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36B45">
      <w:pPr>
        <w:rPr>
          <w:rFonts w:hint="eastAsia" w:ascii="方正小标宋简体" w:hAnsi="宋体" w:eastAsia="方正小标宋简体" w:cs="Times New Roman"/>
          <w:color w:val="auto"/>
          <w:sz w:val="52"/>
          <w:szCs w:val="52"/>
          <w:highlight w:val="none"/>
          <w:lang w:eastAsia="zh-CN"/>
        </w:rPr>
      </w:pPr>
      <w:r>
        <w:rPr>
          <w:rFonts w:hint="eastAsia" w:ascii="方正小标宋简体" w:hAnsi="宋体" w:eastAsia="方正小标宋简体" w:cs="Times New Roman"/>
          <w:color w:val="auto"/>
          <w:sz w:val="52"/>
          <w:szCs w:val="52"/>
          <w:highlight w:val="none"/>
          <w:lang w:eastAsia="zh-CN"/>
        </w:rPr>
        <w:drawing>
          <wp:inline distT="0" distB="0" distL="114300" distR="114300">
            <wp:extent cx="5622925" cy="7952740"/>
            <wp:effectExtent l="0" t="0" r="15875" b="10160"/>
            <wp:docPr id="3" name="图片 3" descr="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封面_01"/>
                    <pic:cNvPicPr>
                      <a:picLocks noChangeAspect="1"/>
                    </pic:cNvPicPr>
                  </pic:nvPicPr>
                  <pic:blipFill>
                    <a:blip r:embed="rId14"/>
                    <a:stretch>
                      <a:fillRect/>
                    </a:stretch>
                  </pic:blipFill>
                  <pic:spPr>
                    <a:xfrm>
                      <a:off x="0" y="0"/>
                      <a:ext cx="5622925" cy="7952740"/>
                    </a:xfrm>
                    <a:prstGeom prst="rect">
                      <a:avLst/>
                    </a:prstGeom>
                  </pic:spPr>
                </pic:pic>
              </a:graphicData>
            </a:graphic>
          </wp:inline>
        </w:drawing>
      </w:r>
      <w:r>
        <w:rPr>
          <w:rFonts w:hint="eastAsia" w:ascii="方正小标宋简体" w:hAnsi="宋体" w:eastAsia="方正小标宋简体" w:cs="Times New Roman"/>
          <w:color w:val="auto"/>
          <w:sz w:val="52"/>
          <w:szCs w:val="52"/>
          <w:highlight w:val="none"/>
          <w:lang w:eastAsia="zh-CN"/>
        </w:rPr>
        <w:br w:type="page"/>
      </w:r>
    </w:p>
    <w:p w14:paraId="6A9A8ED6">
      <w:pPr>
        <w:rPr>
          <w:rFonts w:hint="eastAsia" w:ascii="方正小标宋简体" w:hAnsi="宋体" w:eastAsia="方正小标宋简体" w:cs="Times New Roman"/>
          <w:color w:val="auto"/>
          <w:sz w:val="52"/>
          <w:szCs w:val="52"/>
          <w:highlight w:val="none"/>
          <w:lang w:eastAsia="zh-CN"/>
        </w:rPr>
      </w:pPr>
    </w:p>
    <w:p w14:paraId="002D0609">
      <w:pPr>
        <w:spacing w:line="360" w:lineRule="auto"/>
        <w:jc w:val="center"/>
        <w:rPr>
          <w:rFonts w:hint="eastAsia" w:ascii="方正小标宋简体" w:hAnsi="方正小标宋简体" w:eastAsia="方正小标宋简体" w:cs="方正小标宋简体"/>
          <w:color w:val="auto"/>
          <w:sz w:val="52"/>
          <w:szCs w:val="52"/>
          <w:highlight w:val="none"/>
          <w:lang w:eastAsia="zh-CN"/>
        </w:rPr>
      </w:pPr>
      <w:r>
        <w:rPr>
          <w:rFonts w:hint="eastAsia" w:ascii="方正小标宋简体" w:hAnsi="宋体" w:eastAsia="方正小标宋简体" w:cs="Times New Roman"/>
          <w:color w:val="auto"/>
          <w:sz w:val="52"/>
          <w:szCs w:val="52"/>
          <w:highlight w:val="none"/>
          <w:lang w:eastAsia="zh-CN"/>
        </w:rPr>
        <w:t>广西翔正项目管理有限公司</w:t>
      </w:r>
    </w:p>
    <w:p w14:paraId="5A4D283D">
      <w:pPr>
        <w:spacing w:line="360" w:lineRule="auto"/>
        <w:jc w:val="center"/>
        <w:rPr>
          <w:rFonts w:ascii="方正小标宋简体" w:hAnsi="方正小标宋简体" w:eastAsia="方正小标宋简体" w:cs="方正小标宋简体"/>
          <w:b/>
          <w:color w:val="auto"/>
          <w:sz w:val="44"/>
          <w:szCs w:val="44"/>
          <w:highlight w:val="none"/>
        </w:rPr>
      </w:pPr>
    </w:p>
    <w:p w14:paraId="5BA3428E">
      <w:pPr>
        <w:pStyle w:val="65"/>
        <w:rPr>
          <w:color w:val="auto"/>
          <w:highlight w:val="none"/>
        </w:rPr>
      </w:pPr>
    </w:p>
    <w:p w14:paraId="5D0D8301">
      <w:pPr>
        <w:snapToGrid w:val="0"/>
        <w:spacing w:before="156" w:beforeLines="50" w:line="360" w:lineRule="auto"/>
        <w:jc w:val="center"/>
        <w:rPr>
          <w:rFonts w:ascii="华文新魏" w:hAnsi="宋体" w:eastAsia="华文新魏" w:cs="Times New Roman"/>
          <w:color w:val="auto"/>
          <w:sz w:val="112"/>
          <w:szCs w:val="112"/>
          <w:highlight w:val="none"/>
        </w:rPr>
      </w:pPr>
      <w:r>
        <w:rPr>
          <w:rFonts w:hint="eastAsia" w:ascii="华文新魏" w:hAnsi="宋体" w:eastAsia="华文新魏" w:cs="Times New Roman"/>
          <w:color w:val="auto"/>
          <w:sz w:val="112"/>
          <w:szCs w:val="112"/>
          <w:highlight w:val="none"/>
        </w:rPr>
        <w:t>竞争性磋商文件</w:t>
      </w:r>
    </w:p>
    <w:p w14:paraId="6A67933B">
      <w:pPr>
        <w:snapToGrid w:val="0"/>
        <w:spacing w:before="156" w:beforeLines="50" w:line="360" w:lineRule="auto"/>
        <w:jc w:val="center"/>
        <w:rPr>
          <w:rFonts w:ascii="宋体" w:hAnsi="宋体" w:eastAsia="仿宋_GB2312"/>
          <w:b/>
          <w:color w:val="auto"/>
          <w:sz w:val="30"/>
          <w:szCs w:val="72"/>
          <w:highlight w:val="none"/>
        </w:rPr>
      </w:pPr>
      <w:r>
        <w:rPr>
          <w:rFonts w:hint="eastAsia" w:ascii="仿宋_GB2312" w:hAnsi="宋体" w:eastAsia="仿宋_GB2312" w:cs="Times New Roman"/>
          <w:b/>
          <w:color w:val="auto"/>
          <w:sz w:val="48"/>
          <w:szCs w:val="48"/>
          <w:highlight w:val="none"/>
        </w:rPr>
        <w:t>（全流程电子化采购）</w:t>
      </w:r>
    </w:p>
    <w:p w14:paraId="22881E6B">
      <w:pPr>
        <w:snapToGrid w:val="0"/>
        <w:spacing w:line="360" w:lineRule="auto"/>
        <w:rPr>
          <w:rFonts w:ascii="宋体" w:hAnsi="宋体" w:eastAsia="宋体"/>
          <w:color w:val="auto"/>
          <w:sz w:val="30"/>
          <w:szCs w:val="72"/>
          <w:highlight w:val="none"/>
        </w:rPr>
      </w:pPr>
    </w:p>
    <w:p w14:paraId="575A7CAF">
      <w:pPr>
        <w:pStyle w:val="3"/>
        <w:rPr>
          <w:color w:val="auto"/>
          <w:highlight w:val="none"/>
        </w:rPr>
      </w:pPr>
    </w:p>
    <w:p w14:paraId="396334DF">
      <w:pPr>
        <w:snapToGrid w:val="0"/>
        <w:spacing w:line="360" w:lineRule="auto"/>
        <w:ind w:right="1081" w:rightChars="515" w:firstLine="1506" w:firstLineChars="500"/>
        <w:rPr>
          <w:rFonts w:hint="eastAsia" w:ascii="宋体" w:hAnsi="宋体" w:eastAsia="宋体"/>
          <w:b/>
          <w:bCs/>
          <w:color w:val="auto"/>
          <w:sz w:val="30"/>
          <w:szCs w:val="30"/>
          <w:highlight w:val="none"/>
          <w:lang w:eastAsia="zh-CN"/>
        </w:rPr>
      </w:pPr>
      <w:r>
        <w:rPr>
          <w:rFonts w:hint="eastAsia" w:ascii="宋体" w:hAnsi="宋体" w:eastAsia="宋体"/>
          <w:b/>
          <w:bCs/>
          <w:color w:val="auto"/>
          <w:sz w:val="30"/>
          <w:szCs w:val="30"/>
          <w:highlight w:val="none"/>
        </w:rPr>
        <w:t>项目名称：</w:t>
      </w:r>
      <w:r>
        <w:rPr>
          <w:rFonts w:hint="eastAsia" w:ascii="宋体" w:hAnsi="宋体" w:eastAsia="宋体"/>
          <w:b/>
          <w:bCs/>
          <w:color w:val="auto"/>
          <w:sz w:val="30"/>
          <w:szCs w:val="30"/>
          <w:highlight w:val="none"/>
          <w:lang w:eastAsia="zh-CN"/>
        </w:rPr>
        <w:t>人工智能发展与合作活动项目</w:t>
      </w:r>
    </w:p>
    <w:p w14:paraId="2DF01598">
      <w:pPr>
        <w:snapToGrid w:val="0"/>
        <w:spacing w:line="360" w:lineRule="auto"/>
        <w:ind w:left="630" w:leftChars="300" w:firstLine="881" w:firstLineChars="308"/>
        <w:rPr>
          <w:rFonts w:hint="eastAsia" w:ascii="宋体" w:hAnsi="宋体" w:eastAsia="宋体"/>
          <w:b/>
          <w:color w:val="auto"/>
          <w:sz w:val="30"/>
          <w:szCs w:val="48"/>
          <w:highlight w:val="none"/>
          <w:lang w:eastAsia="zh-CN"/>
        </w:rPr>
      </w:pPr>
      <w:r>
        <w:rPr>
          <w:rFonts w:hint="eastAsia" w:ascii="宋体" w:hAnsi="宋体" w:eastAsia="宋体" w:cs="微软雅黑"/>
          <w:b/>
          <w:bCs/>
          <w:color w:val="auto"/>
          <w:w w:val="95"/>
          <w:sz w:val="30"/>
          <w:szCs w:val="30"/>
          <w:highlight w:val="none"/>
        </w:rPr>
        <w:t>项目</w:t>
      </w:r>
      <w:r>
        <w:rPr>
          <w:rFonts w:hint="eastAsia" w:ascii="宋体" w:hAnsi="宋体" w:eastAsia="宋体"/>
          <w:b/>
          <w:bCs/>
          <w:color w:val="auto"/>
          <w:sz w:val="30"/>
          <w:szCs w:val="30"/>
          <w:highlight w:val="none"/>
        </w:rPr>
        <w:t>编号</w:t>
      </w:r>
      <w:r>
        <w:rPr>
          <w:rFonts w:hint="eastAsia" w:ascii="宋体" w:hAnsi="宋体" w:eastAsia="宋体" w:cs="微软雅黑"/>
          <w:b/>
          <w:bCs/>
          <w:color w:val="auto"/>
          <w:w w:val="95"/>
          <w:sz w:val="30"/>
          <w:szCs w:val="30"/>
          <w:highlight w:val="none"/>
        </w:rPr>
        <w:t>：</w:t>
      </w:r>
      <w:r>
        <w:rPr>
          <w:rFonts w:hint="eastAsia" w:ascii="宋体" w:hAnsi="宋体" w:eastAsia="宋体" w:cs="微软雅黑"/>
          <w:b/>
          <w:bCs/>
          <w:color w:val="auto"/>
          <w:w w:val="95"/>
          <w:sz w:val="30"/>
          <w:szCs w:val="30"/>
          <w:highlight w:val="none"/>
          <w:lang w:eastAsia="zh-CN"/>
        </w:rPr>
        <w:t>GXZC2026-C3-000837-GXXZ</w:t>
      </w:r>
    </w:p>
    <w:p w14:paraId="6E79461A">
      <w:pPr>
        <w:snapToGrid w:val="0"/>
        <w:spacing w:line="360" w:lineRule="auto"/>
        <w:ind w:left="630" w:leftChars="300" w:firstLine="881" w:firstLineChars="308"/>
        <w:rPr>
          <w:rFonts w:hint="eastAsia" w:ascii="宋体" w:hAnsi="宋体" w:eastAsia="宋体"/>
          <w:b/>
          <w:bCs/>
          <w:color w:val="auto"/>
          <w:w w:val="95"/>
          <w:sz w:val="30"/>
          <w:szCs w:val="30"/>
          <w:highlight w:val="none"/>
          <w:lang w:eastAsia="zh-CN"/>
        </w:rPr>
      </w:pPr>
      <w:r>
        <w:rPr>
          <w:rFonts w:hint="eastAsia" w:ascii="宋体" w:hAnsi="宋体" w:eastAsia="宋体"/>
          <w:b/>
          <w:bCs/>
          <w:color w:val="auto"/>
          <w:w w:val="95"/>
          <w:sz w:val="30"/>
          <w:szCs w:val="30"/>
          <w:highlight w:val="none"/>
        </w:rPr>
        <w:t>采 购 人：</w:t>
      </w:r>
      <w:r>
        <w:rPr>
          <w:rFonts w:hint="eastAsia" w:ascii="宋体" w:hAnsi="宋体" w:eastAsia="宋体"/>
          <w:b/>
          <w:bCs/>
          <w:color w:val="auto"/>
          <w:sz w:val="30"/>
          <w:szCs w:val="30"/>
          <w:highlight w:val="none"/>
          <w:lang w:eastAsia="zh-CN"/>
        </w:rPr>
        <w:t>广西壮族自治区大数据发展局</w:t>
      </w:r>
    </w:p>
    <w:p w14:paraId="3D834423">
      <w:pPr>
        <w:snapToGrid w:val="0"/>
        <w:spacing w:line="360" w:lineRule="auto"/>
        <w:ind w:left="630" w:leftChars="300" w:firstLine="881" w:firstLineChars="308"/>
        <w:rPr>
          <w:rFonts w:hint="eastAsia" w:ascii="宋体" w:hAnsi="宋体" w:eastAsia="宋体"/>
          <w:b/>
          <w:bCs/>
          <w:color w:val="auto"/>
          <w:w w:val="95"/>
          <w:sz w:val="30"/>
          <w:szCs w:val="30"/>
          <w:highlight w:val="none"/>
          <w:lang w:eastAsia="zh-CN"/>
        </w:rPr>
      </w:pPr>
      <w:r>
        <w:rPr>
          <w:rFonts w:hint="eastAsia" w:ascii="宋体" w:hAnsi="宋体" w:eastAsia="宋体"/>
          <w:b/>
          <w:bCs/>
          <w:color w:val="auto"/>
          <w:w w:val="95"/>
          <w:sz w:val="30"/>
          <w:szCs w:val="30"/>
          <w:highlight w:val="none"/>
        </w:rPr>
        <w:t>采购代理机构：</w:t>
      </w:r>
      <w:r>
        <w:rPr>
          <w:rFonts w:hint="eastAsia" w:ascii="宋体" w:hAnsi="宋体" w:eastAsia="宋体"/>
          <w:b/>
          <w:bCs/>
          <w:color w:val="auto"/>
          <w:w w:val="95"/>
          <w:sz w:val="30"/>
          <w:szCs w:val="30"/>
          <w:highlight w:val="none"/>
          <w:lang w:eastAsia="zh-CN"/>
        </w:rPr>
        <w:t>广西翔正项目管理有限公司</w:t>
      </w:r>
    </w:p>
    <w:p w14:paraId="129D28D8">
      <w:pPr>
        <w:pStyle w:val="28"/>
        <w:snapToGrid w:val="0"/>
        <w:spacing w:line="360" w:lineRule="auto"/>
        <w:ind w:firstLine="1125" w:firstLineChars="393"/>
        <w:rPr>
          <w:rFonts w:ascii="宋体" w:hAnsi="宋体" w:eastAsia="宋体"/>
          <w:b/>
          <w:bCs/>
          <w:color w:val="auto"/>
          <w:w w:val="95"/>
          <w:sz w:val="30"/>
          <w:szCs w:val="30"/>
          <w:highlight w:val="none"/>
        </w:rPr>
      </w:pPr>
    </w:p>
    <w:p w14:paraId="3234B405">
      <w:pPr>
        <w:pStyle w:val="28"/>
        <w:tabs>
          <w:tab w:val="left" w:pos="7832"/>
        </w:tabs>
        <w:snapToGrid w:val="0"/>
        <w:spacing w:line="360" w:lineRule="auto"/>
        <w:ind w:left="420" w:firstLine="841" w:firstLineChars="294"/>
        <w:rPr>
          <w:rFonts w:hint="eastAsia" w:ascii="宋体" w:hAnsi="宋体" w:eastAsia="宋体"/>
          <w:b/>
          <w:bCs/>
          <w:color w:val="auto"/>
          <w:w w:val="95"/>
          <w:sz w:val="30"/>
          <w:szCs w:val="30"/>
          <w:highlight w:val="none"/>
          <w:lang w:eastAsia="zh-CN"/>
        </w:rPr>
      </w:pPr>
      <w:r>
        <w:rPr>
          <w:rFonts w:hint="eastAsia" w:ascii="宋体" w:hAnsi="宋体" w:eastAsia="宋体"/>
          <w:b/>
          <w:bCs/>
          <w:color w:val="auto"/>
          <w:w w:val="95"/>
          <w:sz w:val="30"/>
          <w:szCs w:val="30"/>
          <w:highlight w:val="none"/>
        </w:rPr>
        <w:t xml:space="preserve">               </w:t>
      </w:r>
      <w:r>
        <w:rPr>
          <w:rFonts w:ascii="宋体" w:hAnsi="宋体" w:eastAsia="宋体"/>
          <w:b/>
          <w:bCs/>
          <w:color w:val="auto"/>
          <w:w w:val="95"/>
          <w:sz w:val="30"/>
          <w:szCs w:val="30"/>
          <w:highlight w:val="none"/>
        </w:rPr>
        <w:t>202</w:t>
      </w:r>
      <w:r>
        <w:rPr>
          <w:rFonts w:hint="eastAsia" w:ascii="宋体" w:hAnsi="宋体" w:eastAsia="宋体"/>
          <w:b/>
          <w:bCs/>
          <w:color w:val="auto"/>
          <w:w w:val="95"/>
          <w:sz w:val="30"/>
          <w:szCs w:val="30"/>
          <w:highlight w:val="none"/>
          <w:lang w:val="en-US" w:eastAsia="zh-CN"/>
        </w:rPr>
        <w:t>6</w:t>
      </w:r>
      <w:r>
        <w:rPr>
          <w:rFonts w:hint="eastAsia" w:ascii="宋体" w:hAnsi="宋体" w:eastAsia="宋体"/>
          <w:b/>
          <w:bCs/>
          <w:color w:val="auto"/>
          <w:w w:val="95"/>
          <w:sz w:val="30"/>
          <w:szCs w:val="30"/>
          <w:highlight w:val="none"/>
        </w:rPr>
        <w:t>年</w:t>
      </w:r>
      <w:r>
        <w:rPr>
          <w:rFonts w:hint="eastAsia" w:ascii="宋体" w:hAnsi="宋体" w:eastAsia="宋体"/>
          <w:b/>
          <w:bCs/>
          <w:color w:val="auto"/>
          <w:w w:val="95"/>
          <w:sz w:val="30"/>
          <w:szCs w:val="30"/>
          <w:highlight w:val="none"/>
          <w:lang w:val="en-US" w:eastAsia="zh-CN"/>
        </w:rPr>
        <w:t>4</w:t>
      </w:r>
      <w:r>
        <w:rPr>
          <w:rFonts w:hint="eastAsia" w:ascii="宋体" w:hAnsi="宋体" w:eastAsia="宋体"/>
          <w:b/>
          <w:bCs/>
          <w:color w:val="auto"/>
          <w:w w:val="95"/>
          <w:sz w:val="30"/>
          <w:szCs w:val="30"/>
          <w:highlight w:val="none"/>
        </w:rPr>
        <w:t>月</w:t>
      </w:r>
      <w:r>
        <w:rPr>
          <w:rFonts w:hint="eastAsia" w:ascii="宋体" w:hAnsi="宋体" w:eastAsia="宋体"/>
          <w:b/>
          <w:bCs/>
          <w:color w:val="auto"/>
          <w:w w:val="95"/>
          <w:sz w:val="30"/>
          <w:szCs w:val="30"/>
          <w:highlight w:val="none"/>
          <w:lang w:val="en-US" w:eastAsia="zh-CN"/>
        </w:rPr>
        <w:t>13</w:t>
      </w:r>
      <w:r>
        <w:rPr>
          <w:rFonts w:hint="eastAsia" w:ascii="宋体" w:hAnsi="宋体" w:eastAsia="宋体"/>
          <w:b/>
          <w:bCs/>
          <w:color w:val="auto"/>
          <w:w w:val="95"/>
          <w:sz w:val="30"/>
          <w:szCs w:val="30"/>
          <w:highlight w:val="none"/>
        </w:rPr>
        <w:t>日</w:t>
      </w:r>
      <w:r>
        <w:rPr>
          <w:rFonts w:hint="eastAsia" w:ascii="宋体" w:hAnsi="宋体" w:eastAsia="宋体"/>
          <w:b/>
          <w:bCs/>
          <w:color w:val="auto"/>
          <w:w w:val="95"/>
          <w:sz w:val="30"/>
          <w:szCs w:val="30"/>
          <w:highlight w:val="none"/>
          <w:lang w:eastAsia="zh-CN"/>
        </w:rPr>
        <w:tab/>
      </w:r>
    </w:p>
    <w:p w14:paraId="44E97F8F">
      <w:pPr>
        <w:spacing w:line="360" w:lineRule="auto"/>
        <w:jc w:val="center"/>
        <w:rPr>
          <w:rFonts w:hint="eastAsia" w:ascii="宋体" w:hAnsi="宋体" w:eastAsia="宋体"/>
          <w:b/>
          <w:color w:val="auto"/>
          <w:sz w:val="44"/>
          <w:szCs w:val="44"/>
          <w:highlight w:val="none"/>
        </w:rPr>
        <w:sectPr>
          <w:headerReference r:id="rId6" w:type="first"/>
          <w:footerReference r:id="rId8" w:type="first"/>
          <w:headerReference r:id="rId5" w:type="default"/>
          <w:footerReference r:id="rId7" w:type="default"/>
          <w:pgSz w:w="11906" w:h="16838"/>
          <w:pgMar w:top="1327" w:right="1440" w:bottom="1417" w:left="1587" w:header="851" w:footer="992" w:gutter="0"/>
          <w:pgNumType w:fmt="decimal" w:start="1"/>
          <w:cols w:space="720" w:num="1"/>
          <w:titlePg/>
          <w:docGrid w:type="lines" w:linePitch="312" w:charSpace="0"/>
        </w:sectPr>
      </w:pPr>
    </w:p>
    <w:p w14:paraId="72F9E6A0">
      <w:pPr>
        <w:spacing w:line="360" w:lineRule="auto"/>
        <w:jc w:val="center"/>
        <w:rPr>
          <w:rFonts w:ascii="宋体" w:hAnsi="宋体" w:eastAsia="宋体"/>
          <w:b/>
          <w:color w:val="auto"/>
          <w:sz w:val="44"/>
          <w:szCs w:val="44"/>
          <w:highlight w:val="none"/>
        </w:rPr>
      </w:pPr>
      <w:r>
        <w:rPr>
          <w:rFonts w:hint="eastAsia" w:ascii="宋体" w:hAnsi="宋体" w:eastAsia="宋体"/>
          <w:b/>
          <w:color w:val="auto"/>
          <w:sz w:val="44"/>
          <w:szCs w:val="44"/>
          <w:highlight w:val="none"/>
        </w:rPr>
        <w:t>目  录</w:t>
      </w:r>
    </w:p>
    <w:p w14:paraId="78118D92">
      <w:pPr>
        <w:spacing w:line="400" w:lineRule="exact"/>
        <w:jc w:val="center"/>
        <w:rPr>
          <w:rFonts w:ascii="宋体" w:hAnsi="宋体" w:eastAsia="宋体"/>
          <w:b/>
          <w:color w:val="auto"/>
          <w:sz w:val="44"/>
          <w:szCs w:val="44"/>
          <w:highlight w:val="none"/>
        </w:rPr>
      </w:pPr>
    </w:p>
    <w:p w14:paraId="6F3D9CB8">
      <w:pPr>
        <w:pStyle w:val="35"/>
        <w:tabs>
          <w:tab w:val="right" w:leader="dot" w:pos="9049"/>
        </w:tabs>
        <w:rPr>
          <w:color w:val="auto"/>
          <w:highlight w:val="none"/>
        </w:rPr>
      </w:pPr>
      <w:r>
        <w:rPr>
          <w:rFonts w:ascii="宋体" w:hAnsi="宋体" w:eastAsia="宋体"/>
          <w:b/>
          <w:color w:val="auto"/>
          <w:sz w:val="24"/>
          <w:highlight w:val="none"/>
        </w:rPr>
        <w:fldChar w:fldCharType="begin"/>
      </w:r>
      <w:r>
        <w:rPr>
          <w:rFonts w:ascii="宋体" w:hAnsi="宋体" w:eastAsia="宋体"/>
          <w:b/>
          <w:color w:val="auto"/>
          <w:sz w:val="24"/>
          <w:highlight w:val="none"/>
        </w:rPr>
        <w:instrText xml:space="preserve"> </w:instrText>
      </w:r>
      <w:r>
        <w:rPr>
          <w:rFonts w:hint="eastAsia" w:ascii="宋体" w:hAnsi="宋体" w:eastAsia="宋体"/>
          <w:b/>
          <w:color w:val="auto"/>
          <w:sz w:val="24"/>
          <w:highlight w:val="none"/>
        </w:rPr>
        <w:instrText xml:space="preserve">TOC \o "1-3" \h \z \u</w:instrText>
      </w:r>
      <w:r>
        <w:rPr>
          <w:rFonts w:ascii="宋体" w:hAnsi="宋体" w:eastAsia="宋体"/>
          <w:b/>
          <w:color w:val="auto"/>
          <w:sz w:val="24"/>
          <w:highlight w:val="none"/>
        </w:rPr>
        <w:instrText xml:space="preserve"> </w:instrText>
      </w:r>
      <w:r>
        <w:rPr>
          <w:rFonts w:ascii="宋体" w:hAnsi="宋体" w:eastAsia="宋体"/>
          <w:b/>
          <w:color w:val="auto"/>
          <w:sz w:val="24"/>
          <w:highlight w:val="none"/>
        </w:rPr>
        <w:fldChar w:fldCharType="separate"/>
      </w:r>
      <w:r>
        <w:rPr>
          <w:rFonts w:ascii="宋体" w:hAnsi="宋体" w:eastAsia="宋体"/>
          <w:color w:val="auto"/>
          <w:highlight w:val="none"/>
        </w:rPr>
        <w:fldChar w:fldCharType="begin"/>
      </w:r>
      <w:r>
        <w:rPr>
          <w:rFonts w:ascii="宋体" w:hAnsi="宋体" w:eastAsia="宋体"/>
          <w:color w:val="auto"/>
          <w:highlight w:val="none"/>
        </w:rPr>
        <w:instrText xml:space="preserve"> HYPERLINK \l _Toc15776 </w:instrText>
      </w:r>
      <w:r>
        <w:rPr>
          <w:rFonts w:ascii="宋体" w:hAnsi="宋体" w:eastAsia="宋体"/>
          <w:color w:val="auto"/>
          <w:highlight w:val="none"/>
        </w:rPr>
        <w:fldChar w:fldCharType="separate"/>
      </w:r>
      <w:r>
        <w:rPr>
          <w:rFonts w:hint="eastAsia" w:ascii="宋体" w:hAnsi="宋体" w:eastAsia="宋体"/>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_Toc15776 \h </w:instrText>
      </w:r>
      <w:r>
        <w:rPr>
          <w:color w:val="auto"/>
          <w:highlight w:val="none"/>
        </w:rPr>
        <w:fldChar w:fldCharType="separate"/>
      </w:r>
      <w:r>
        <w:rPr>
          <w:color w:val="auto"/>
          <w:highlight w:val="none"/>
        </w:rPr>
        <w:t>1</w:t>
      </w:r>
      <w:r>
        <w:rPr>
          <w:color w:val="auto"/>
          <w:highlight w:val="none"/>
        </w:rPr>
        <w:fldChar w:fldCharType="end"/>
      </w:r>
      <w:r>
        <w:rPr>
          <w:rFonts w:ascii="宋体" w:hAnsi="宋体" w:eastAsia="宋体"/>
          <w:color w:val="auto"/>
          <w:highlight w:val="none"/>
        </w:rPr>
        <w:fldChar w:fldCharType="end"/>
      </w:r>
    </w:p>
    <w:p w14:paraId="331B3BE7">
      <w:pPr>
        <w:pStyle w:val="35"/>
        <w:tabs>
          <w:tab w:val="right" w:leader="dot" w:pos="9049"/>
        </w:tabs>
        <w:rPr>
          <w:color w:val="auto"/>
          <w:highlight w:val="none"/>
        </w:rPr>
      </w:pPr>
      <w:r>
        <w:rPr>
          <w:rFonts w:ascii="宋体" w:hAnsi="宋体" w:eastAsia="宋体"/>
          <w:color w:val="auto"/>
          <w:highlight w:val="none"/>
        </w:rPr>
        <w:fldChar w:fldCharType="begin"/>
      </w:r>
      <w:r>
        <w:rPr>
          <w:rFonts w:ascii="宋体" w:hAnsi="宋体" w:eastAsia="宋体"/>
          <w:color w:val="auto"/>
          <w:highlight w:val="none"/>
        </w:rPr>
        <w:instrText xml:space="preserve"> HYPERLINK \l _Toc6497 </w:instrText>
      </w:r>
      <w:r>
        <w:rPr>
          <w:rFonts w:ascii="宋体" w:hAnsi="宋体" w:eastAsia="宋体"/>
          <w:color w:val="auto"/>
          <w:highlight w:val="none"/>
        </w:rPr>
        <w:fldChar w:fldCharType="separate"/>
      </w:r>
      <w:r>
        <w:rPr>
          <w:rFonts w:hint="eastAsia" w:ascii="宋体" w:hAnsi="宋体" w:eastAsia="宋体"/>
          <w:color w:val="auto"/>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_Toc6497 \h </w:instrText>
      </w:r>
      <w:r>
        <w:rPr>
          <w:color w:val="auto"/>
          <w:highlight w:val="none"/>
        </w:rPr>
        <w:fldChar w:fldCharType="separate"/>
      </w:r>
      <w:r>
        <w:rPr>
          <w:color w:val="auto"/>
          <w:highlight w:val="none"/>
        </w:rPr>
        <w:t>5</w:t>
      </w:r>
      <w:r>
        <w:rPr>
          <w:color w:val="auto"/>
          <w:highlight w:val="none"/>
        </w:rPr>
        <w:fldChar w:fldCharType="end"/>
      </w:r>
      <w:r>
        <w:rPr>
          <w:rFonts w:ascii="宋体" w:hAnsi="宋体" w:eastAsia="宋体"/>
          <w:color w:val="auto"/>
          <w:highlight w:val="none"/>
        </w:rPr>
        <w:fldChar w:fldCharType="end"/>
      </w:r>
    </w:p>
    <w:p w14:paraId="28912E00">
      <w:pPr>
        <w:pStyle w:val="40"/>
        <w:tabs>
          <w:tab w:val="right" w:leader="dot" w:pos="9049"/>
        </w:tabs>
        <w:rPr>
          <w:color w:val="auto"/>
          <w:highlight w:val="none"/>
        </w:rPr>
      </w:pPr>
      <w:r>
        <w:rPr>
          <w:rFonts w:ascii="宋体" w:hAnsi="宋体" w:eastAsia="宋体"/>
          <w:color w:val="auto"/>
          <w:highlight w:val="none"/>
        </w:rPr>
        <w:fldChar w:fldCharType="begin"/>
      </w:r>
      <w:r>
        <w:rPr>
          <w:rFonts w:ascii="宋体" w:hAnsi="宋体" w:eastAsia="宋体"/>
          <w:color w:val="auto"/>
          <w:highlight w:val="none"/>
        </w:rPr>
        <w:instrText xml:space="preserve"> HYPERLINK \l _Toc10129 </w:instrText>
      </w:r>
      <w:r>
        <w:rPr>
          <w:rFonts w:ascii="宋体" w:hAnsi="宋体" w:eastAsia="宋体"/>
          <w:color w:val="auto"/>
          <w:highlight w:val="none"/>
        </w:rPr>
        <w:fldChar w:fldCharType="separate"/>
      </w:r>
      <w:r>
        <w:rPr>
          <w:rFonts w:hint="eastAsia" w:ascii="宋体" w:hAnsi="宋体" w:eastAsia="宋体"/>
          <w:color w:val="auto"/>
          <w:szCs w:val="32"/>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_Toc10129 \h </w:instrText>
      </w:r>
      <w:r>
        <w:rPr>
          <w:color w:val="auto"/>
          <w:highlight w:val="none"/>
        </w:rPr>
        <w:fldChar w:fldCharType="separate"/>
      </w:r>
      <w:r>
        <w:rPr>
          <w:color w:val="auto"/>
          <w:highlight w:val="none"/>
        </w:rPr>
        <w:t>5</w:t>
      </w:r>
      <w:r>
        <w:rPr>
          <w:color w:val="auto"/>
          <w:highlight w:val="none"/>
        </w:rPr>
        <w:fldChar w:fldCharType="end"/>
      </w:r>
      <w:r>
        <w:rPr>
          <w:rFonts w:ascii="宋体" w:hAnsi="宋体" w:eastAsia="宋体"/>
          <w:color w:val="auto"/>
          <w:highlight w:val="none"/>
        </w:rPr>
        <w:fldChar w:fldCharType="end"/>
      </w:r>
    </w:p>
    <w:p w14:paraId="35B09C5E">
      <w:pPr>
        <w:pStyle w:val="40"/>
        <w:tabs>
          <w:tab w:val="right" w:leader="dot" w:pos="9049"/>
        </w:tabs>
        <w:rPr>
          <w:color w:val="auto"/>
          <w:highlight w:val="none"/>
        </w:rPr>
      </w:pPr>
      <w:r>
        <w:rPr>
          <w:rFonts w:ascii="宋体" w:hAnsi="宋体" w:eastAsia="宋体"/>
          <w:color w:val="auto"/>
          <w:highlight w:val="none"/>
        </w:rPr>
        <w:fldChar w:fldCharType="begin"/>
      </w:r>
      <w:r>
        <w:rPr>
          <w:rFonts w:ascii="宋体" w:hAnsi="宋体" w:eastAsia="宋体"/>
          <w:color w:val="auto"/>
          <w:highlight w:val="none"/>
        </w:rPr>
        <w:instrText xml:space="preserve"> HYPERLINK \l _Toc5398 </w:instrText>
      </w:r>
      <w:r>
        <w:rPr>
          <w:rFonts w:ascii="宋体" w:hAnsi="宋体" w:eastAsia="宋体"/>
          <w:color w:val="auto"/>
          <w:highlight w:val="none"/>
        </w:rPr>
        <w:fldChar w:fldCharType="separate"/>
      </w:r>
      <w:r>
        <w:rPr>
          <w:rFonts w:hint="eastAsia" w:ascii="宋体" w:hAnsi="宋体" w:eastAsia="宋体"/>
          <w:color w:val="auto"/>
          <w:szCs w:val="32"/>
          <w:highlight w:val="none"/>
        </w:rPr>
        <w:t>供应商须知正文</w:t>
      </w:r>
      <w:r>
        <w:rPr>
          <w:color w:val="auto"/>
          <w:highlight w:val="none"/>
        </w:rPr>
        <w:tab/>
      </w:r>
      <w:r>
        <w:rPr>
          <w:color w:val="auto"/>
          <w:highlight w:val="none"/>
        </w:rPr>
        <w:fldChar w:fldCharType="begin"/>
      </w:r>
      <w:r>
        <w:rPr>
          <w:color w:val="auto"/>
          <w:highlight w:val="none"/>
        </w:rPr>
        <w:instrText xml:space="preserve"> PAGEREF _Toc5398 \h </w:instrText>
      </w:r>
      <w:r>
        <w:rPr>
          <w:color w:val="auto"/>
          <w:highlight w:val="none"/>
        </w:rPr>
        <w:fldChar w:fldCharType="separate"/>
      </w:r>
      <w:r>
        <w:rPr>
          <w:color w:val="auto"/>
          <w:highlight w:val="none"/>
        </w:rPr>
        <w:t>11</w:t>
      </w:r>
      <w:r>
        <w:rPr>
          <w:color w:val="auto"/>
          <w:highlight w:val="none"/>
        </w:rPr>
        <w:fldChar w:fldCharType="end"/>
      </w:r>
      <w:r>
        <w:rPr>
          <w:rFonts w:ascii="宋体" w:hAnsi="宋体" w:eastAsia="宋体"/>
          <w:color w:val="auto"/>
          <w:highlight w:val="none"/>
        </w:rPr>
        <w:fldChar w:fldCharType="end"/>
      </w:r>
    </w:p>
    <w:p w14:paraId="269AB9E4">
      <w:pPr>
        <w:pStyle w:val="35"/>
        <w:tabs>
          <w:tab w:val="right" w:leader="dot" w:pos="9049"/>
        </w:tabs>
        <w:rPr>
          <w:color w:val="auto"/>
          <w:highlight w:val="none"/>
        </w:rPr>
      </w:pPr>
      <w:r>
        <w:rPr>
          <w:rFonts w:ascii="宋体" w:hAnsi="宋体" w:eastAsia="宋体"/>
          <w:color w:val="auto"/>
          <w:highlight w:val="none"/>
        </w:rPr>
        <w:fldChar w:fldCharType="begin"/>
      </w:r>
      <w:r>
        <w:rPr>
          <w:rFonts w:ascii="宋体" w:hAnsi="宋体" w:eastAsia="宋体"/>
          <w:color w:val="auto"/>
          <w:highlight w:val="none"/>
        </w:rPr>
        <w:instrText xml:space="preserve"> HYPERLINK \l _Toc20221 </w:instrText>
      </w:r>
      <w:r>
        <w:rPr>
          <w:rFonts w:ascii="宋体" w:hAnsi="宋体" w:eastAsia="宋体"/>
          <w:color w:val="auto"/>
          <w:highlight w:val="none"/>
        </w:rPr>
        <w:fldChar w:fldCharType="separate"/>
      </w:r>
      <w:r>
        <w:rPr>
          <w:rFonts w:hint="eastAsia" w:ascii="宋体" w:hAnsi="宋体" w:eastAsia="宋体"/>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_Toc20221 \h </w:instrText>
      </w:r>
      <w:r>
        <w:rPr>
          <w:color w:val="auto"/>
          <w:highlight w:val="none"/>
        </w:rPr>
        <w:fldChar w:fldCharType="separate"/>
      </w:r>
      <w:r>
        <w:rPr>
          <w:color w:val="auto"/>
          <w:highlight w:val="none"/>
        </w:rPr>
        <w:t>22</w:t>
      </w:r>
      <w:r>
        <w:rPr>
          <w:color w:val="auto"/>
          <w:highlight w:val="none"/>
        </w:rPr>
        <w:fldChar w:fldCharType="end"/>
      </w:r>
      <w:r>
        <w:rPr>
          <w:rFonts w:ascii="宋体" w:hAnsi="宋体" w:eastAsia="宋体"/>
          <w:color w:val="auto"/>
          <w:highlight w:val="none"/>
        </w:rPr>
        <w:fldChar w:fldCharType="end"/>
      </w:r>
    </w:p>
    <w:p w14:paraId="7054F17F">
      <w:pPr>
        <w:pStyle w:val="35"/>
        <w:tabs>
          <w:tab w:val="right" w:leader="dot" w:pos="9049"/>
        </w:tabs>
        <w:rPr>
          <w:color w:val="auto"/>
          <w:highlight w:val="none"/>
        </w:rPr>
      </w:pPr>
      <w:r>
        <w:rPr>
          <w:rFonts w:ascii="宋体" w:hAnsi="宋体" w:eastAsia="宋体"/>
          <w:color w:val="auto"/>
          <w:highlight w:val="none"/>
        </w:rPr>
        <w:fldChar w:fldCharType="begin"/>
      </w:r>
      <w:r>
        <w:rPr>
          <w:rFonts w:ascii="宋体" w:hAnsi="宋体" w:eastAsia="宋体"/>
          <w:color w:val="auto"/>
          <w:highlight w:val="none"/>
        </w:rPr>
        <w:instrText xml:space="preserve"> HYPERLINK \l _Toc31186 </w:instrText>
      </w:r>
      <w:r>
        <w:rPr>
          <w:rFonts w:ascii="宋体" w:hAnsi="宋体" w:eastAsia="宋体"/>
          <w:color w:val="auto"/>
          <w:highlight w:val="none"/>
        </w:rPr>
        <w:fldChar w:fldCharType="separate"/>
      </w:r>
      <w:r>
        <w:rPr>
          <w:rFonts w:hint="eastAsia" w:ascii="宋体" w:hAnsi="宋体" w:eastAsia="宋体"/>
          <w:bCs/>
          <w:color w:val="auto"/>
          <w:kern w:val="44"/>
          <w:szCs w:val="44"/>
          <w:highlight w:val="none"/>
        </w:rPr>
        <w:t>第四章  评审程序、评审方法和评审标准</w:t>
      </w:r>
      <w:r>
        <w:rPr>
          <w:color w:val="auto"/>
          <w:highlight w:val="none"/>
        </w:rPr>
        <w:tab/>
      </w:r>
      <w:r>
        <w:rPr>
          <w:color w:val="auto"/>
          <w:highlight w:val="none"/>
        </w:rPr>
        <w:fldChar w:fldCharType="begin"/>
      </w:r>
      <w:r>
        <w:rPr>
          <w:color w:val="auto"/>
          <w:highlight w:val="none"/>
        </w:rPr>
        <w:instrText xml:space="preserve"> PAGEREF _Toc31186 \h </w:instrText>
      </w:r>
      <w:r>
        <w:rPr>
          <w:color w:val="auto"/>
          <w:highlight w:val="none"/>
        </w:rPr>
        <w:fldChar w:fldCharType="separate"/>
      </w:r>
      <w:r>
        <w:rPr>
          <w:color w:val="auto"/>
          <w:highlight w:val="none"/>
        </w:rPr>
        <w:t>27</w:t>
      </w:r>
      <w:r>
        <w:rPr>
          <w:color w:val="auto"/>
          <w:highlight w:val="none"/>
        </w:rPr>
        <w:fldChar w:fldCharType="end"/>
      </w:r>
      <w:r>
        <w:rPr>
          <w:rFonts w:ascii="宋体" w:hAnsi="宋体" w:eastAsia="宋体"/>
          <w:color w:val="auto"/>
          <w:highlight w:val="none"/>
        </w:rPr>
        <w:fldChar w:fldCharType="end"/>
      </w:r>
    </w:p>
    <w:p w14:paraId="360FEA2A">
      <w:pPr>
        <w:pStyle w:val="40"/>
        <w:tabs>
          <w:tab w:val="right" w:leader="dot" w:pos="9049"/>
        </w:tabs>
        <w:rPr>
          <w:color w:val="auto"/>
          <w:highlight w:val="none"/>
        </w:rPr>
      </w:pPr>
      <w:r>
        <w:rPr>
          <w:rFonts w:ascii="宋体" w:hAnsi="宋体" w:eastAsia="宋体"/>
          <w:color w:val="auto"/>
          <w:highlight w:val="none"/>
        </w:rPr>
        <w:fldChar w:fldCharType="begin"/>
      </w:r>
      <w:r>
        <w:rPr>
          <w:rFonts w:ascii="宋体" w:hAnsi="宋体" w:eastAsia="宋体"/>
          <w:color w:val="auto"/>
          <w:highlight w:val="none"/>
        </w:rPr>
        <w:instrText xml:space="preserve"> HYPERLINK \l _Toc4069 </w:instrText>
      </w:r>
      <w:r>
        <w:rPr>
          <w:rFonts w:ascii="宋体" w:hAnsi="宋体" w:eastAsia="宋体"/>
          <w:color w:val="auto"/>
          <w:highlight w:val="none"/>
        </w:rPr>
        <w:fldChar w:fldCharType="separate"/>
      </w:r>
      <w:r>
        <w:rPr>
          <w:rFonts w:hint="eastAsia" w:ascii="宋体" w:hAnsi="宋体" w:eastAsia="宋体"/>
          <w:color w:val="auto"/>
          <w:szCs w:val="32"/>
          <w:highlight w:val="none"/>
        </w:rPr>
        <w:t>一、评审程序和评审方法</w:t>
      </w:r>
      <w:r>
        <w:rPr>
          <w:color w:val="auto"/>
          <w:highlight w:val="none"/>
        </w:rPr>
        <w:tab/>
      </w:r>
      <w:r>
        <w:rPr>
          <w:color w:val="auto"/>
          <w:highlight w:val="none"/>
        </w:rPr>
        <w:fldChar w:fldCharType="begin"/>
      </w:r>
      <w:r>
        <w:rPr>
          <w:color w:val="auto"/>
          <w:highlight w:val="none"/>
        </w:rPr>
        <w:instrText xml:space="preserve"> PAGEREF _Toc4069 \h </w:instrText>
      </w:r>
      <w:r>
        <w:rPr>
          <w:color w:val="auto"/>
          <w:highlight w:val="none"/>
        </w:rPr>
        <w:fldChar w:fldCharType="separate"/>
      </w:r>
      <w:r>
        <w:rPr>
          <w:color w:val="auto"/>
          <w:highlight w:val="none"/>
        </w:rPr>
        <w:t>27</w:t>
      </w:r>
      <w:r>
        <w:rPr>
          <w:color w:val="auto"/>
          <w:highlight w:val="none"/>
        </w:rPr>
        <w:fldChar w:fldCharType="end"/>
      </w:r>
      <w:r>
        <w:rPr>
          <w:rFonts w:ascii="宋体" w:hAnsi="宋体" w:eastAsia="宋体"/>
          <w:color w:val="auto"/>
          <w:highlight w:val="none"/>
        </w:rPr>
        <w:fldChar w:fldCharType="end"/>
      </w:r>
    </w:p>
    <w:p w14:paraId="1111C8B1">
      <w:pPr>
        <w:pStyle w:val="40"/>
        <w:tabs>
          <w:tab w:val="right" w:leader="dot" w:pos="9049"/>
        </w:tabs>
        <w:rPr>
          <w:color w:val="auto"/>
          <w:highlight w:val="none"/>
        </w:rPr>
      </w:pPr>
      <w:r>
        <w:rPr>
          <w:rFonts w:ascii="宋体" w:hAnsi="宋体" w:eastAsia="宋体"/>
          <w:color w:val="auto"/>
          <w:highlight w:val="none"/>
        </w:rPr>
        <w:fldChar w:fldCharType="begin"/>
      </w:r>
      <w:r>
        <w:rPr>
          <w:rFonts w:ascii="宋体" w:hAnsi="宋体" w:eastAsia="宋体"/>
          <w:color w:val="auto"/>
          <w:highlight w:val="none"/>
        </w:rPr>
        <w:instrText xml:space="preserve"> HYPERLINK \l _Toc26986 </w:instrText>
      </w:r>
      <w:r>
        <w:rPr>
          <w:rFonts w:ascii="宋体" w:hAnsi="宋体" w:eastAsia="宋体"/>
          <w:color w:val="auto"/>
          <w:highlight w:val="none"/>
        </w:rPr>
        <w:fldChar w:fldCharType="separate"/>
      </w:r>
      <w:r>
        <w:rPr>
          <w:rFonts w:hint="eastAsia" w:ascii="宋体" w:hAnsi="宋体" w:eastAsia="宋体"/>
          <w:color w:val="auto"/>
          <w:szCs w:val="32"/>
          <w:highlight w:val="none"/>
        </w:rPr>
        <w:t>二、评审标准</w:t>
      </w:r>
      <w:r>
        <w:rPr>
          <w:color w:val="auto"/>
          <w:highlight w:val="none"/>
        </w:rPr>
        <w:tab/>
      </w:r>
      <w:r>
        <w:rPr>
          <w:color w:val="auto"/>
          <w:highlight w:val="none"/>
        </w:rPr>
        <w:fldChar w:fldCharType="begin"/>
      </w:r>
      <w:r>
        <w:rPr>
          <w:color w:val="auto"/>
          <w:highlight w:val="none"/>
        </w:rPr>
        <w:instrText xml:space="preserve"> PAGEREF _Toc26986 \h </w:instrText>
      </w:r>
      <w:r>
        <w:rPr>
          <w:color w:val="auto"/>
          <w:highlight w:val="none"/>
        </w:rPr>
        <w:fldChar w:fldCharType="separate"/>
      </w:r>
      <w:r>
        <w:rPr>
          <w:color w:val="auto"/>
          <w:highlight w:val="none"/>
        </w:rPr>
        <w:t>32</w:t>
      </w:r>
      <w:r>
        <w:rPr>
          <w:color w:val="auto"/>
          <w:highlight w:val="none"/>
        </w:rPr>
        <w:fldChar w:fldCharType="end"/>
      </w:r>
      <w:r>
        <w:rPr>
          <w:rFonts w:ascii="宋体" w:hAnsi="宋体" w:eastAsia="宋体"/>
          <w:color w:val="auto"/>
          <w:highlight w:val="none"/>
        </w:rPr>
        <w:fldChar w:fldCharType="end"/>
      </w:r>
    </w:p>
    <w:p w14:paraId="29BA8E2C">
      <w:pPr>
        <w:pStyle w:val="35"/>
        <w:tabs>
          <w:tab w:val="right" w:leader="dot" w:pos="9049"/>
        </w:tabs>
        <w:rPr>
          <w:color w:val="auto"/>
          <w:highlight w:val="none"/>
        </w:rPr>
      </w:pPr>
      <w:r>
        <w:rPr>
          <w:rFonts w:ascii="宋体" w:hAnsi="宋体" w:eastAsia="宋体"/>
          <w:color w:val="auto"/>
          <w:highlight w:val="none"/>
        </w:rPr>
        <w:fldChar w:fldCharType="begin"/>
      </w:r>
      <w:r>
        <w:rPr>
          <w:rFonts w:ascii="宋体" w:hAnsi="宋体" w:eastAsia="宋体"/>
          <w:color w:val="auto"/>
          <w:highlight w:val="none"/>
        </w:rPr>
        <w:instrText xml:space="preserve"> HYPERLINK \l _Toc11093 </w:instrText>
      </w:r>
      <w:r>
        <w:rPr>
          <w:rFonts w:ascii="宋体" w:hAnsi="宋体" w:eastAsia="宋体"/>
          <w:color w:val="auto"/>
          <w:highlight w:val="none"/>
        </w:rPr>
        <w:fldChar w:fldCharType="separate"/>
      </w:r>
      <w:r>
        <w:rPr>
          <w:rFonts w:hint="eastAsia" w:ascii="宋体" w:hAnsi="宋体" w:eastAsia="宋体"/>
          <w:color w:val="auto"/>
          <w:highlight w:val="none"/>
        </w:rPr>
        <w:t xml:space="preserve">第五章 响应文件格式 </w:t>
      </w:r>
      <w:r>
        <w:rPr>
          <w:color w:val="auto"/>
          <w:highlight w:val="none"/>
        </w:rPr>
        <w:tab/>
      </w:r>
      <w:r>
        <w:rPr>
          <w:color w:val="auto"/>
          <w:highlight w:val="none"/>
        </w:rPr>
        <w:fldChar w:fldCharType="begin"/>
      </w:r>
      <w:r>
        <w:rPr>
          <w:color w:val="auto"/>
          <w:highlight w:val="none"/>
        </w:rPr>
        <w:instrText xml:space="preserve"> PAGEREF _Toc11093 \h </w:instrText>
      </w:r>
      <w:r>
        <w:rPr>
          <w:color w:val="auto"/>
          <w:highlight w:val="none"/>
        </w:rPr>
        <w:fldChar w:fldCharType="separate"/>
      </w:r>
      <w:r>
        <w:rPr>
          <w:color w:val="auto"/>
          <w:highlight w:val="none"/>
        </w:rPr>
        <w:t>35</w:t>
      </w:r>
      <w:r>
        <w:rPr>
          <w:color w:val="auto"/>
          <w:highlight w:val="none"/>
        </w:rPr>
        <w:fldChar w:fldCharType="end"/>
      </w:r>
      <w:r>
        <w:rPr>
          <w:rFonts w:ascii="宋体" w:hAnsi="宋体" w:eastAsia="宋体"/>
          <w:color w:val="auto"/>
          <w:highlight w:val="none"/>
        </w:rPr>
        <w:fldChar w:fldCharType="end"/>
      </w:r>
    </w:p>
    <w:p w14:paraId="13352DBD">
      <w:pPr>
        <w:pStyle w:val="40"/>
        <w:tabs>
          <w:tab w:val="right" w:leader="dot" w:pos="9049"/>
        </w:tabs>
        <w:rPr>
          <w:color w:val="auto"/>
          <w:highlight w:val="none"/>
        </w:rPr>
      </w:pPr>
      <w:r>
        <w:rPr>
          <w:rFonts w:ascii="宋体" w:hAnsi="宋体" w:eastAsia="宋体"/>
          <w:color w:val="auto"/>
          <w:highlight w:val="none"/>
        </w:rPr>
        <w:fldChar w:fldCharType="begin"/>
      </w:r>
      <w:r>
        <w:rPr>
          <w:rFonts w:ascii="宋体" w:hAnsi="宋体" w:eastAsia="宋体"/>
          <w:color w:val="auto"/>
          <w:highlight w:val="none"/>
        </w:rPr>
        <w:instrText xml:space="preserve"> HYPERLINK \l _Toc21782 </w:instrText>
      </w:r>
      <w:r>
        <w:rPr>
          <w:rFonts w:ascii="宋体" w:hAnsi="宋体" w:eastAsia="宋体"/>
          <w:color w:val="auto"/>
          <w:highlight w:val="none"/>
        </w:rPr>
        <w:fldChar w:fldCharType="separate"/>
      </w:r>
      <w:r>
        <w:rPr>
          <w:rFonts w:hint="eastAsia" w:ascii="宋体" w:hAnsi="宋体" w:eastAsia="宋体"/>
          <w:color w:val="auto"/>
          <w:szCs w:val="32"/>
          <w:highlight w:val="none"/>
        </w:rPr>
        <w:t>一、资格证明文件格式</w:t>
      </w:r>
      <w:r>
        <w:rPr>
          <w:color w:val="auto"/>
          <w:highlight w:val="none"/>
        </w:rPr>
        <w:tab/>
      </w:r>
      <w:r>
        <w:rPr>
          <w:color w:val="auto"/>
          <w:highlight w:val="none"/>
        </w:rPr>
        <w:fldChar w:fldCharType="begin"/>
      </w:r>
      <w:r>
        <w:rPr>
          <w:color w:val="auto"/>
          <w:highlight w:val="none"/>
        </w:rPr>
        <w:instrText xml:space="preserve"> PAGEREF _Toc21782 \h </w:instrText>
      </w:r>
      <w:r>
        <w:rPr>
          <w:color w:val="auto"/>
          <w:highlight w:val="none"/>
        </w:rPr>
        <w:fldChar w:fldCharType="separate"/>
      </w:r>
      <w:r>
        <w:rPr>
          <w:color w:val="auto"/>
          <w:highlight w:val="none"/>
        </w:rPr>
        <w:t>36</w:t>
      </w:r>
      <w:r>
        <w:rPr>
          <w:color w:val="auto"/>
          <w:highlight w:val="none"/>
        </w:rPr>
        <w:fldChar w:fldCharType="end"/>
      </w:r>
      <w:r>
        <w:rPr>
          <w:rFonts w:ascii="宋体" w:hAnsi="宋体" w:eastAsia="宋体"/>
          <w:color w:val="auto"/>
          <w:highlight w:val="none"/>
        </w:rPr>
        <w:fldChar w:fldCharType="end"/>
      </w:r>
    </w:p>
    <w:p w14:paraId="7510070E">
      <w:pPr>
        <w:pStyle w:val="40"/>
        <w:tabs>
          <w:tab w:val="right" w:leader="dot" w:pos="9049"/>
        </w:tabs>
        <w:rPr>
          <w:color w:val="auto"/>
          <w:highlight w:val="none"/>
        </w:rPr>
      </w:pPr>
      <w:r>
        <w:rPr>
          <w:rFonts w:ascii="宋体" w:hAnsi="宋体" w:eastAsia="宋体"/>
          <w:color w:val="auto"/>
          <w:highlight w:val="none"/>
        </w:rPr>
        <w:fldChar w:fldCharType="begin"/>
      </w:r>
      <w:r>
        <w:rPr>
          <w:rFonts w:ascii="宋体" w:hAnsi="宋体" w:eastAsia="宋体"/>
          <w:color w:val="auto"/>
          <w:highlight w:val="none"/>
        </w:rPr>
        <w:instrText xml:space="preserve"> HYPERLINK \l _Toc14460 </w:instrText>
      </w:r>
      <w:r>
        <w:rPr>
          <w:rFonts w:ascii="宋体" w:hAnsi="宋体" w:eastAsia="宋体"/>
          <w:color w:val="auto"/>
          <w:highlight w:val="none"/>
        </w:rPr>
        <w:fldChar w:fldCharType="separate"/>
      </w:r>
      <w:r>
        <w:rPr>
          <w:rFonts w:hint="eastAsia" w:ascii="宋体" w:hAnsi="宋体" w:eastAsia="宋体"/>
          <w:bCs/>
          <w:color w:val="auto"/>
          <w:szCs w:val="32"/>
          <w:highlight w:val="none"/>
        </w:rPr>
        <w:t>二、</w:t>
      </w:r>
      <w:r>
        <w:rPr>
          <w:rFonts w:hint="eastAsia" w:ascii="宋体" w:hAnsi="宋体" w:eastAsia="宋体"/>
          <w:color w:val="auto"/>
          <w:szCs w:val="32"/>
          <w:highlight w:val="none"/>
        </w:rPr>
        <w:t>报价文件格式</w:t>
      </w:r>
      <w:r>
        <w:rPr>
          <w:color w:val="auto"/>
          <w:highlight w:val="none"/>
        </w:rPr>
        <w:tab/>
      </w:r>
      <w:r>
        <w:rPr>
          <w:color w:val="auto"/>
          <w:highlight w:val="none"/>
        </w:rPr>
        <w:fldChar w:fldCharType="begin"/>
      </w:r>
      <w:r>
        <w:rPr>
          <w:color w:val="auto"/>
          <w:highlight w:val="none"/>
        </w:rPr>
        <w:instrText xml:space="preserve"> PAGEREF _Toc14460 \h </w:instrText>
      </w:r>
      <w:r>
        <w:rPr>
          <w:color w:val="auto"/>
          <w:highlight w:val="none"/>
        </w:rPr>
        <w:fldChar w:fldCharType="separate"/>
      </w:r>
      <w:r>
        <w:rPr>
          <w:color w:val="auto"/>
          <w:highlight w:val="none"/>
        </w:rPr>
        <w:t>44</w:t>
      </w:r>
      <w:r>
        <w:rPr>
          <w:color w:val="auto"/>
          <w:highlight w:val="none"/>
        </w:rPr>
        <w:fldChar w:fldCharType="end"/>
      </w:r>
      <w:r>
        <w:rPr>
          <w:rFonts w:ascii="宋体" w:hAnsi="宋体" w:eastAsia="宋体"/>
          <w:color w:val="auto"/>
          <w:highlight w:val="none"/>
        </w:rPr>
        <w:fldChar w:fldCharType="end"/>
      </w:r>
    </w:p>
    <w:p w14:paraId="7BE8F7E3">
      <w:pPr>
        <w:pStyle w:val="40"/>
        <w:tabs>
          <w:tab w:val="right" w:leader="dot" w:pos="9049"/>
        </w:tabs>
        <w:rPr>
          <w:color w:val="auto"/>
          <w:highlight w:val="none"/>
        </w:rPr>
      </w:pPr>
      <w:r>
        <w:rPr>
          <w:rFonts w:ascii="宋体" w:hAnsi="宋体" w:eastAsia="宋体"/>
          <w:color w:val="auto"/>
          <w:highlight w:val="none"/>
        </w:rPr>
        <w:fldChar w:fldCharType="begin"/>
      </w:r>
      <w:r>
        <w:rPr>
          <w:rFonts w:ascii="宋体" w:hAnsi="宋体" w:eastAsia="宋体"/>
          <w:color w:val="auto"/>
          <w:highlight w:val="none"/>
        </w:rPr>
        <w:instrText xml:space="preserve"> HYPERLINK \l _Toc7867 </w:instrText>
      </w:r>
      <w:r>
        <w:rPr>
          <w:rFonts w:ascii="宋体" w:hAnsi="宋体" w:eastAsia="宋体"/>
          <w:color w:val="auto"/>
          <w:highlight w:val="none"/>
        </w:rPr>
        <w:fldChar w:fldCharType="separate"/>
      </w:r>
      <w:r>
        <w:rPr>
          <w:rFonts w:hint="eastAsia" w:ascii="宋体" w:hAnsi="宋体" w:eastAsia="宋体"/>
          <w:bCs/>
          <w:color w:val="auto"/>
          <w:szCs w:val="32"/>
          <w:highlight w:val="none"/>
        </w:rPr>
        <w:t>三、</w:t>
      </w:r>
      <w:r>
        <w:rPr>
          <w:rFonts w:hint="eastAsia" w:ascii="宋体" w:hAnsi="宋体" w:eastAsia="宋体"/>
          <w:color w:val="auto"/>
          <w:szCs w:val="32"/>
          <w:highlight w:val="none"/>
        </w:rPr>
        <w:t>商务技术文件格式</w:t>
      </w:r>
      <w:r>
        <w:rPr>
          <w:color w:val="auto"/>
          <w:highlight w:val="none"/>
        </w:rPr>
        <w:tab/>
      </w:r>
      <w:r>
        <w:rPr>
          <w:color w:val="auto"/>
          <w:highlight w:val="none"/>
        </w:rPr>
        <w:fldChar w:fldCharType="begin"/>
      </w:r>
      <w:r>
        <w:rPr>
          <w:color w:val="auto"/>
          <w:highlight w:val="none"/>
        </w:rPr>
        <w:instrText xml:space="preserve"> PAGEREF _Toc7867 \h </w:instrText>
      </w:r>
      <w:r>
        <w:rPr>
          <w:color w:val="auto"/>
          <w:highlight w:val="none"/>
        </w:rPr>
        <w:fldChar w:fldCharType="separate"/>
      </w:r>
      <w:r>
        <w:rPr>
          <w:color w:val="auto"/>
          <w:highlight w:val="none"/>
        </w:rPr>
        <w:t>49</w:t>
      </w:r>
      <w:r>
        <w:rPr>
          <w:color w:val="auto"/>
          <w:highlight w:val="none"/>
        </w:rPr>
        <w:fldChar w:fldCharType="end"/>
      </w:r>
      <w:r>
        <w:rPr>
          <w:rFonts w:ascii="宋体" w:hAnsi="宋体" w:eastAsia="宋体"/>
          <w:color w:val="auto"/>
          <w:highlight w:val="none"/>
        </w:rPr>
        <w:fldChar w:fldCharType="end"/>
      </w:r>
    </w:p>
    <w:p w14:paraId="7B8A3216">
      <w:pPr>
        <w:pStyle w:val="35"/>
        <w:tabs>
          <w:tab w:val="right" w:leader="dot" w:pos="9049"/>
        </w:tabs>
        <w:rPr>
          <w:color w:val="auto"/>
          <w:highlight w:val="none"/>
        </w:rPr>
      </w:pPr>
      <w:r>
        <w:rPr>
          <w:rFonts w:ascii="宋体" w:hAnsi="宋体" w:eastAsia="宋体"/>
          <w:color w:val="auto"/>
          <w:highlight w:val="none"/>
        </w:rPr>
        <w:fldChar w:fldCharType="begin"/>
      </w:r>
      <w:r>
        <w:rPr>
          <w:rFonts w:ascii="宋体" w:hAnsi="宋体" w:eastAsia="宋体"/>
          <w:color w:val="auto"/>
          <w:highlight w:val="none"/>
        </w:rPr>
        <w:instrText xml:space="preserve"> HYPERLINK \l _Toc25433 </w:instrText>
      </w:r>
      <w:r>
        <w:rPr>
          <w:rFonts w:ascii="宋体" w:hAnsi="宋体" w:eastAsia="宋体"/>
          <w:color w:val="auto"/>
          <w:highlight w:val="none"/>
        </w:rPr>
        <w:fldChar w:fldCharType="separate"/>
      </w:r>
      <w:r>
        <w:rPr>
          <w:rFonts w:hint="eastAsia" w:ascii="宋体" w:hAnsi="宋体" w:eastAsia="宋体" w:cs="Tahoma"/>
          <w:color w:val="auto"/>
          <w:szCs w:val="44"/>
          <w:highlight w:val="none"/>
        </w:rPr>
        <w:t>质疑函（格式）</w:t>
      </w:r>
      <w:r>
        <w:rPr>
          <w:color w:val="auto"/>
          <w:highlight w:val="none"/>
        </w:rPr>
        <w:tab/>
      </w:r>
      <w:r>
        <w:rPr>
          <w:color w:val="auto"/>
          <w:highlight w:val="none"/>
        </w:rPr>
        <w:fldChar w:fldCharType="begin"/>
      </w:r>
      <w:r>
        <w:rPr>
          <w:color w:val="auto"/>
          <w:highlight w:val="none"/>
        </w:rPr>
        <w:instrText xml:space="preserve"> PAGEREF _Toc25433 \h </w:instrText>
      </w:r>
      <w:r>
        <w:rPr>
          <w:color w:val="auto"/>
          <w:highlight w:val="none"/>
        </w:rPr>
        <w:fldChar w:fldCharType="separate"/>
      </w:r>
      <w:r>
        <w:rPr>
          <w:color w:val="auto"/>
          <w:highlight w:val="none"/>
        </w:rPr>
        <w:t>57</w:t>
      </w:r>
      <w:r>
        <w:rPr>
          <w:color w:val="auto"/>
          <w:highlight w:val="none"/>
        </w:rPr>
        <w:fldChar w:fldCharType="end"/>
      </w:r>
      <w:r>
        <w:rPr>
          <w:rFonts w:ascii="宋体" w:hAnsi="宋体" w:eastAsia="宋体"/>
          <w:color w:val="auto"/>
          <w:highlight w:val="none"/>
        </w:rPr>
        <w:fldChar w:fldCharType="end"/>
      </w:r>
    </w:p>
    <w:p w14:paraId="1F81C638">
      <w:pPr>
        <w:pStyle w:val="35"/>
        <w:tabs>
          <w:tab w:val="right" w:leader="dot" w:pos="9049"/>
        </w:tabs>
        <w:rPr>
          <w:color w:val="auto"/>
          <w:highlight w:val="none"/>
        </w:rPr>
      </w:pPr>
      <w:r>
        <w:rPr>
          <w:rFonts w:ascii="宋体" w:hAnsi="宋体" w:eastAsia="宋体"/>
          <w:color w:val="auto"/>
          <w:highlight w:val="none"/>
        </w:rPr>
        <w:fldChar w:fldCharType="begin"/>
      </w:r>
      <w:r>
        <w:rPr>
          <w:rFonts w:ascii="宋体" w:hAnsi="宋体" w:eastAsia="宋体"/>
          <w:color w:val="auto"/>
          <w:highlight w:val="none"/>
        </w:rPr>
        <w:instrText xml:space="preserve"> HYPERLINK \l _Toc30052 </w:instrText>
      </w:r>
      <w:r>
        <w:rPr>
          <w:rFonts w:ascii="宋体" w:hAnsi="宋体" w:eastAsia="宋体"/>
          <w:color w:val="auto"/>
          <w:highlight w:val="none"/>
        </w:rPr>
        <w:fldChar w:fldCharType="separate"/>
      </w:r>
      <w:r>
        <w:rPr>
          <w:rFonts w:hint="eastAsia" w:ascii="宋体" w:hAnsi="宋体" w:eastAsia="宋体" w:cs="Tahoma"/>
          <w:color w:val="auto"/>
          <w:szCs w:val="44"/>
          <w:highlight w:val="none"/>
        </w:rPr>
        <w:t>投诉书（格式）</w:t>
      </w:r>
      <w:r>
        <w:rPr>
          <w:color w:val="auto"/>
          <w:highlight w:val="none"/>
        </w:rPr>
        <w:tab/>
      </w:r>
      <w:r>
        <w:rPr>
          <w:color w:val="auto"/>
          <w:highlight w:val="none"/>
        </w:rPr>
        <w:fldChar w:fldCharType="begin"/>
      </w:r>
      <w:r>
        <w:rPr>
          <w:color w:val="auto"/>
          <w:highlight w:val="none"/>
        </w:rPr>
        <w:instrText xml:space="preserve"> PAGEREF _Toc30052 \h </w:instrText>
      </w:r>
      <w:r>
        <w:rPr>
          <w:color w:val="auto"/>
          <w:highlight w:val="none"/>
        </w:rPr>
        <w:fldChar w:fldCharType="separate"/>
      </w:r>
      <w:r>
        <w:rPr>
          <w:color w:val="auto"/>
          <w:highlight w:val="none"/>
        </w:rPr>
        <w:t>59</w:t>
      </w:r>
      <w:r>
        <w:rPr>
          <w:color w:val="auto"/>
          <w:highlight w:val="none"/>
        </w:rPr>
        <w:fldChar w:fldCharType="end"/>
      </w:r>
      <w:r>
        <w:rPr>
          <w:rFonts w:ascii="宋体" w:hAnsi="宋体" w:eastAsia="宋体"/>
          <w:color w:val="auto"/>
          <w:highlight w:val="none"/>
        </w:rPr>
        <w:fldChar w:fldCharType="end"/>
      </w:r>
    </w:p>
    <w:p w14:paraId="46EE3BE1">
      <w:pPr>
        <w:pStyle w:val="35"/>
        <w:tabs>
          <w:tab w:val="right" w:leader="dot" w:pos="9049"/>
        </w:tabs>
        <w:rPr>
          <w:color w:val="auto"/>
          <w:highlight w:val="none"/>
        </w:rPr>
      </w:pPr>
      <w:r>
        <w:rPr>
          <w:rFonts w:ascii="宋体" w:hAnsi="宋体" w:eastAsia="宋体"/>
          <w:color w:val="auto"/>
          <w:highlight w:val="none"/>
        </w:rPr>
        <w:fldChar w:fldCharType="begin"/>
      </w:r>
      <w:r>
        <w:rPr>
          <w:rFonts w:ascii="宋体" w:hAnsi="宋体" w:eastAsia="宋体"/>
          <w:color w:val="auto"/>
          <w:highlight w:val="none"/>
        </w:rPr>
        <w:instrText xml:space="preserve"> HYPERLINK \l _Toc3521 </w:instrText>
      </w:r>
      <w:r>
        <w:rPr>
          <w:rFonts w:ascii="宋体" w:hAnsi="宋体" w:eastAsia="宋体"/>
          <w:color w:val="auto"/>
          <w:highlight w:val="none"/>
        </w:rPr>
        <w:fldChar w:fldCharType="separate"/>
      </w:r>
      <w:r>
        <w:rPr>
          <w:rFonts w:hint="eastAsia" w:ascii="宋体" w:hAnsi="宋体" w:eastAsia="宋体"/>
          <w:color w:val="auto"/>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_Toc3521 \h </w:instrText>
      </w:r>
      <w:r>
        <w:rPr>
          <w:color w:val="auto"/>
          <w:highlight w:val="none"/>
        </w:rPr>
        <w:fldChar w:fldCharType="separate"/>
      </w:r>
      <w:r>
        <w:rPr>
          <w:color w:val="auto"/>
          <w:highlight w:val="none"/>
        </w:rPr>
        <w:t>62</w:t>
      </w:r>
      <w:r>
        <w:rPr>
          <w:color w:val="auto"/>
          <w:highlight w:val="none"/>
        </w:rPr>
        <w:fldChar w:fldCharType="end"/>
      </w:r>
      <w:r>
        <w:rPr>
          <w:rFonts w:ascii="宋体" w:hAnsi="宋体" w:eastAsia="宋体"/>
          <w:color w:val="auto"/>
          <w:highlight w:val="none"/>
        </w:rPr>
        <w:fldChar w:fldCharType="end"/>
      </w:r>
    </w:p>
    <w:p w14:paraId="0242B80E">
      <w:pPr>
        <w:pStyle w:val="40"/>
        <w:tabs>
          <w:tab w:val="right" w:leader="dot" w:pos="9049"/>
        </w:tabs>
        <w:rPr>
          <w:color w:val="auto"/>
          <w:highlight w:val="none"/>
        </w:rPr>
      </w:pPr>
      <w:r>
        <w:rPr>
          <w:rFonts w:ascii="宋体" w:hAnsi="宋体" w:eastAsia="宋体"/>
          <w:color w:val="auto"/>
          <w:highlight w:val="none"/>
        </w:rPr>
        <w:fldChar w:fldCharType="begin"/>
      </w:r>
      <w:r>
        <w:rPr>
          <w:rFonts w:ascii="宋体" w:hAnsi="宋体" w:eastAsia="宋体"/>
          <w:color w:val="auto"/>
          <w:highlight w:val="none"/>
        </w:rPr>
        <w:instrText xml:space="preserve"> HYPERLINK \l _Toc20125 </w:instrText>
      </w:r>
      <w:r>
        <w:rPr>
          <w:rFonts w:ascii="宋体" w:hAnsi="宋体" w:eastAsia="宋体"/>
          <w:color w:val="auto"/>
          <w:highlight w:val="none"/>
        </w:rPr>
        <w:fldChar w:fldCharType="separate"/>
      </w:r>
      <w:r>
        <w:rPr>
          <w:rFonts w:ascii="Times New Roman" w:hAnsi="Times New Roman" w:eastAsia="宋体" w:cs="Times New Roman"/>
          <w:bCs/>
          <w:color w:val="auto"/>
          <w:kern w:val="0"/>
          <w:szCs w:val="28"/>
          <w:highlight w:val="none"/>
        </w:rPr>
        <w:t>广西壮族自治区政府采购合同</w:t>
      </w:r>
      <w:r>
        <w:rPr>
          <w:color w:val="auto"/>
          <w:highlight w:val="none"/>
        </w:rPr>
        <w:tab/>
      </w:r>
      <w:r>
        <w:rPr>
          <w:color w:val="auto"/>
          <w:highlight w:val="none"/>
        </w:rPr>
        <w:fldChar w:fldCharType="begin"/>
      </w:r>
      <w:r>
        <w:rPr>
          <w:color w:val="auto"/>
          <w:highlight w:val="none"/>
        </w:rPr>
        <w:instrText xml:space="preserve"> PAGEREF _Toc20125 \h </w:instrText>
      </w:r>
      <w:r>
        <w:rPr>
          <w:color w:val="auto"/>
          <w:highlight w:val="none"/>
        </w:rPr>
        <w:fldChar w:fldCharType="separate"/>
      </w:r>
      <w:r>
        <w:rPr>
          <w:color w:val="auto"/>
          <w:highlight w:val="none"/>
        </w:rPr>
        <w:t>63</w:t>
      </w:r>
      <w:r>
        <w:rPr>
          <w:color w:val="auto"/>
          <w:highlight w:val="none"/>
        </w:rPr>
        <w:fldChar w:fldCharType="end"/>
      </w:r>
      <w:r>
        <w:rPr>
          <w:rFonts w:ascii="宋体" w:hAnsi="宋体" w:eastAsia="宋体"/>
          <w:color w:val="auto"/>
          <w:highlight w:val="none"/>
        </w:rPr>
        <w:fldChar w:fldCharType="end"/>
      </w:r>
    </w:p>
    <w:p w14:paraId="043693FB">
      <w:pPr>
        <w:pStyle w:val="104"/>
        <w:tabs>
          <w:tab w:val="right" w:leader="dot" w:pos="8931"/>
          <w:tab w:val="clear" w:pos="8296"/>
        </w:tabs>
        <w:snapToGrid w:val="0"/>
        <w:spacing w:line="500" w:lineRule="atLeast"/>
        <w:ind w:left="0" w:leftChars="0"/>
        <w:rPr>
          <w:rFonts w:ascii="宋体" w:hAnsi="宋体" w:eastAsia="宋体"/>
          <w:b/>
          <w:color w:val="auto"/>
          <w:sz w:val="24"/>
          <w:highlight w:val="none"/>
        </w:rPr>
      </w:pPr>
      <w:r>
        <w:rPr>
          <w:rFonts w:ascii="宋体" w:hAnsi="宋体" w:eastAsia="宋体"/>
          <w:color w:val="auto"/>
          <w:highlight w:val="none"/>
        </w:rPr>
        <w:fldChar w:fldCharType="end"/>
      </w:r>
    </w:p>
    <w:p w14:paraId="3CD7A42E">
      <w:pPr>
        <w:spacing w:line="400" w:lineRule="exact"/>
        <w:jc w:val="left"/>
        <w:rPr>
          <w:rFonts w:ascii="宋体" w:hAnsi="宋体" w:eastAsia="宋体"/>
          <w:b/>
          <w:color w:val="auto"/>
          <w:sz w:val="32"/>
          <w:szCs w:val="32"/>
          <w:highlight w:val="none"/>
        </w:rPr>
      </w:pPr>
    </w:p>
    <w:p w14:paraId="37C241B1">
      <w:pPr>
        <w:spacing w:line="400" w:lineRule="exact"/>
        <w:jc w:val="center"/>
        <w:rPr>
          <w:rFonts w:ascii="宋体" w:hAnsi="宋体" w:eastAsia="宋体"/>
          <w:b/>
          <w:color w:val="auto"/>
          <w:sz w:val="32"/>
          <w:szCs w:val="32"/>
          <w:highlight w:val="none"/>
        </w:rPr>
      </w:pPr>
    </w:p>
    <w:p w14:paraId="325EF9FE">
      <w:pPr>
        <w:tabs>
          <w:tab w:val="left" w:pos="6770"/>
        </w:tabs>
        <w:spacing w:line="400" w:lineRule="exact"/>
        <w:jc w:val="left"/>
        <w:rPr>
          <w:rFonts w:hint="eastAsia" w:ascii="宋体" w:hAnsi="宋体" w:eastAsia="宋体"/>
          <w:b/>
          <w:color w:val="auto"/>
          <w:sz w:val="32"/>
          <w:szCs w:val="32"/>
          <w:highlight w:val="none"/>
          <w:lang w:eastAsia="zh-CN"/>
        </w:rPr>
      </w:pPr>
      <w:r>
        <w:rPr>
          <w:rFonts w:hint="eastAsia" w:ascii="宋体" w:hAnsi="宋体" w:eastAsia="宋体"/>
          <w:b/>
          <w:color w:val="auto"/>
          <w:sz w:val="32"/>
          <w:szCs w:val="32"/>
          <w:highlight w:val="none"/>
          <w:lang w:eastAsia="zh-CN"/>
        </w:rPr>
        <w:tab/>
      </w:r>
    </w:p>
    <w:p w14:paraId="00A96530">
      <w:pPr>
        <w:tabs>
          <w:tab w:val="left" w:pos="3085"/>
        </w:tabs>
        <w:spacing w:line="400" w:lineRule="exact"/>
        <w:jc w:val="left"/>
        <w:rPr>
          <w:rFonts w:hint="eastAsia" w:ascii="宋体" w:hAnsi="宋体" w:eastAsia="宋体"/>
          <w:b/>
          <w:color w:val="auto"/>
          <w:sz w:val="32"/>
          <w:szCs w:val="32"/>
          <w:highlight w:val="none"/>
          <w:lang w:eastAsia="zh-CN"/>
        </w:rPr>
      </w:pPr>
      <w:r>
        <w:rPr>
          <w:rFonts w:hint="eastAsia" w:ascii="宋体" w:hAnsi="宋体" w:eastAsia="宋体"/>
          <w:b/>
          <w:color w:val="auto"/>
          <w:sz w:val="32"/>
          <w:szCs w:val="32"/>
          <w:highlight w:val="none"/>
          <w:lang w:eastAsia="zh-CN"/>
        </w:rPr>
        <w:tab/>
      </w:r>
    </w:p>
    <w:p w14:paraId="7D9B82BA">
      <w:pPr>
        <w:spacing w:line="400" w:lineRule="exact"/>
        <w:jc w:val="center"/>
        <w:rPr>
          <w:rFonts w:ascii="宋体" w:hAnsi="宋体" w:eastAsia="宋体"/>
          <w:b/>
          <w:color w:val="auto"/>
          <w:sz w:val="32"/>
          <w:szCs w:val="32"/>
          <w:highlight w:val="none"/>
        </w:rPr>
      </w:pPr>
    </w:p>
    <w:p w14:paraId="7D89FF85">
      <w:pPr>
        <w:spacing w:line="400" w:lineRule="exact"/>
        <w:rPr>
          <w:rFonts w:ascii="宋体" w:hAnsi="宋体" w:eastAsia="宋体"/>
          <w:b/>
          <w:color w:val="auto"/>
          <w:sz w:val="32"/>
          <w:szCs w:val="32"/>
          <w:highlight w:val="none"/>
        </w:rPr>
        <w:sectPr>
          <w:footerReference r:id="rId10" w:type="first"/>
          <w:footerReference r:id="rId9" w:type="default"/>
          <w:pgSz w:w="11906" w:h="16838"/>
          <w:pgMar w:top="1327" w:right="1440" w:bottom="1327" w:left="1417" w:header="851" w:footer="992" w:gutter="0"/>
          <w:pgNumType w:fmt="decimal" w:start="1"/>
          <w:cols w:space="720" w:num="1"/>
          <w:titlePg/>
          <w:docGrid w:type="lines" w:linePitch="312" w:charSpace="0"/>
        </w:sectPr>
      </w:pPr>
    </w:p>
    <w:p w14:paraId="77D72B20">
      <w:pPr>
        <w:pStyle w:val="2"/>
        <w:spacing w:line="240" w:lineRule="auto"/>
        <w:jc w:val="center"/>
        <w:rPr>
          <w:rFonts w:ascii="宋体" w:hAnsi="宋体" w:eastAsia="宋体"/>
          <w:color w:val="auto"/>
          <w:highlight w:val="none"/>
        </w:rPr>
      </w:pPr>
      <w:bookmarkStart w:id="0" w:name="_Toc15776"/>
      <w:r>
        <w:rPr>
          <w:rFonts w:hint="eastAsia" w:ascii="宋体" w:hAnsi="宋体" w:eastAsia="宋体"/>
          <w:color w:val="auto"/>
          <w:highlight w:val="none"/>
        </w:rPr>
        <w:t>第一章 竞争性磋商公告</w:t>
      </w:r>
      <w:bookmarkEnd w:id="0"/>
    </w:p>
    <w:p w14:paraId="75FA18E7">
      <w:pPr>
        <w:wordWrap w:val="0"/>
        <w:jc w:val="center"/>
        <w:rPr>
          <w:rFonts w:ascii="宋体" w:hAnsi="Courier New"/>
          <w:b w:val="0"/>
          <w:bCs/>
          <w:color w:val="auto"/>
          <w:kern w:val="0"/>
          <w:sz w:val="36"/>
          <w:szCs w:val="36"/>
          <w:highlight w:val="none"/>
        </w:rPr>
      </w:pPr>
      <w:r>
        <w:rPr>
          <w:rFonts w:hint="eastAsia" w:ascii="宋体" w:hAnsi="Courier New"/>
          <w:b w:val="0"/>
          <w:bCs/>
          <w:color w:val="auto"/>
          <w:kern w:val="0"/>
          <w:sz w:val="36"/>
          <w:szCs w:val="36"/>
          <w:highlight w:val="none"/>
        </w:rPr>
        <w:t>竞争性磋商公告</w:t>
      </w:r>
    </w:p>
    <w:p w14:paraId="06258382">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val="0"/>
        <w:spacing w:line="400" w:lineRule="exact"/>
        <w:rPr>
          <w:rFonts w:hint="eastAsia" w:ascii="宋体" w:hAnsi="宋体" w:eastAsia="宋体" w:cs="宋体"/>
          <w:color w:val="auto"/>
          <w:szCs w:val="21"/>
          <w:highlight w:val="none"/>
        </w:rPr>
      </w:pPr>
      <w:bookmarkStart w:id="1" w:name="_Hlk37430271"/>
      <w:r>
        <w:rPr>
          <w:rFonts w:hint="eastAsia" w:ascii="宋体" w:hAnsi="宋体" w:eastAsia="宋体" w:cs="宋体"/>
          <w:color w:val="auto"/>
          <w:szCs w:val="21"/>
          <w:highlight w:val="none"/>
        </w:rPr>
        <w:t>项目概况</w:t>
      </w:r>
    </w:p>
    <w:p w14:paraId="4228DDB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val="0"/>
        <w:snapToGrid/>
        <w:spacing w:after="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人工智能发展与合作活动项目</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的潜在供应商应在广西政府采购云平台（https://www.gcy.zfcg.gxzf.gov.cn/）获取（下载）竞争性磋商文件，并于</w:t>
      </w:r>
      <w:r>
        <w:rPr>
          <w:rFonts w:hint="eastAsia" w:ascii="宋体" w:hAnsi="宋体" w:eastAsia="宋体" w:cs="宋体"/>
          <w:b/>
          <w:bCs/>
          <w:color w:val="auto"/>
          <w:szCs w:val="21"/>
          <w:highlight w:val="none"/>
        </w:rPr>
        <w:t>202</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lang w:val="en-US" w:eastAsia="zh-CN"/>
        </w:rPr>
        <w:t>28</w:t>
      </w:r>
      <w:r>
        <w:rPr>
          <w:rFonts w:hint="eastAsia" w:ascii="宋体" w:hAnsi="宋体" w:eastAsia="宋体" w:cs="宋体"/>
          <w:b/>
          <w:bCs/>
          <w:color w:val="auto"/>
          <w:szCs w:val="21"/>
          <w:highlight w:val="none"/>
        </w:rPr>
        <w:t>日9时</w:t>
      </w:r>
      <w:r>
        <w:rPr>
          <w:rFonts w:hint="eastAsia" w:ascii="宋体" w:hAnsi="宋体" w:eastAsia="宋体" w:cs="宋体"/>
          <w:b/>
          <w:bCs/>
          <w:color w:val="auto"/>
          <w:szCs w:val="21"/>
          <w:highlight w:val="none"/>
          <w:lang w:val="en-US" w:eastAsia="zh-CN"/>
        </w:rPr>
        <w:t>0</w:t>
      </w:r>
      <w:r>
        <w:rPr>
          <w:rFonts w:hint="eastAsia" w:ascii="宋体" w:hAnsi="宋体" w:eastAsia="宋体" w:cs="宋体"/>
          <w:b/>
          <w:bCs/>
          <w:color w:val="auto"/>
          <w:szCs w:val="21"/>
          <w:highlight w:val="none"/>
        </w:rPr>
        <w:t>0分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545A8264">
      <w:pPr>
        <w:keepNext w:val="0"/>
        <w:keepLines w:val="0"/>
        <w:pageBreakBefore w:val="0"/>
        <w:kinsoku/>
        <w:wordWrap w:val="0"/>
        <w:overflowPunct/>
        <w:topLinePunct w:val="0"/>
        <w:autoSpaceDE/>
        <w:autoSpaceDN/>
        <w:bidi w:val="0"/>
        <w:adjustRightInd w:val="0"/>
        <w:spacing w:after="0" w:line="360" w:lineRule="auto"/>
        <w:ind w:firstLine="354" w:firstLineChars="147"/>
        <w:rPr>
          <w:rFonts w:ascii="黑体" w:hAnsi="黑体" w:eastAsia="黑体"/>
          <w:b/>
          <w:color w:val="auto"/>
          <w:sz w:val="24"/>
          <w:highlight w:val="none"/>
        </w:rPr>
      </w:pPr>
      <w:bookmarkStart w:id="2" w:name="_Hlk37429674"/>
      <w:bookmarkStart w:id="3" w:name="_Toc35393805"/>
      <w:bookmarkStart w:id="4" w:name="_Toc35393636"/>
      <w:bookmarkStart w:id="5" w:name="_Toc28359018"/>
      <w:bookmarkStart w:id="6" w:name="_Toc28359095"/>
      <w:bookmarkStart w:id="7" w:name="_Toc44229885"/>
      <w:r>
        <w:rPr>
          <w:rFonts w:hint="eastAsia" w:ascii="黑体" w:hAnsi="黑体" w:eastAsia="黑体"/>
          <w:b/>
          <w:color w:val="auto"/>
          <w:sz w:val="24"/>
          <w:highlight w:val="none"/>
        </w:rPr>
        <w:t>一、项目基本情况</w:t>
      </w:r>
    </w:p>
    <w:p w14:paraId="3DF2E854">
      <w:pPr>
        <w:keepNext w:val="0"/>
        <w:keepLines w:val="0"/>
        <w:pageBreakBefore w:val="0"/>
        <w:kinsoku/>
        <w:overflowPunct/>
        <w:topLinePunct w:val="0"/>
        <w:autoSpaceDE/>
        <w:autoSpaceDN/>
        <w:bidi w:val="0"/>
        <w:spacing w:after="0" w:line="360" w:lineRule="auto"/>
        <w:ind w:leftChars="200"/>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项目编号：</w:t>
      </w:r>
      <w:r>
        <w:rPr>
          <w:rFonts w:hint="eastAsia" w:ascii="宋体" w:hAnsi="宋体" w:eastAsia="宋体" w:cs="宋体"/>
          <w:color w:val="auto"/>
          <w:sz w:val="21"/>
          <w:szCs w:val="24"/>
          <w:highlight w:val="none"/>
          <w:lang w:eastAsia="zh-CN"/>
        </w:rPr>
        <w:t>GXZC2026-C3-000837-GXXZ</w:t>
      </w:r>
    </w:p>
    <w:p w14:paraId="64BA2A8F">
      <w:pPr>
        <w:keepNext w:val="0"/>
        <w:keepLines w:val="0"/>
        <w:pageBreakBefore w:val="0"/>
        <w:kinsoku/>
        <w:overflowPunct/>
        <w:topLinePunct w:val="0"/>
        <w:autoSpaceDE/>
        <w:autoSpaceDN/>
        <w:bidi w:val="0"/>
        <w:spacing w:after="0" w:line="360" w:lineRule="auto"/>
        <w:ind w:leftChars="200"/>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 xml:space="preserve">采购计划文号: </w:t>
      </w:r>
      <w:r>
        <w:rPr>
          <w:rFonts w:hint="eastAsia" w:ascii="宋体" w:hAnsi="宋体" w:eastAsia="宋体" w:cs="宋体"/>
          <w:color w:val="auto"/>
          <w:sz w:val="21"/>
          <w:szCs w:val="24"/>
          <w:highlight w:val="none"/>
          <w:lang w:val="en-US" w:eastAsia="zh-CN"/>
        </w:rPr>
        <w:t>广西政采[2026]6656号</w:t>
      </w:r>
    </w:p>
    <w:p w14:paraId="3C800AAC">
      <w:pPr>
        <w:keepNext w:val="0"/>
        <w:keepLines w:val="0"/>
        <w:pageBreakBefore w:val="0"/>
        <w:kinsoku/>
        <w:overflowPunct/>
        <w:topLinePunct w:val="0"/>
        <w:autoSpaceDE/>
        <w:autoSpaceDN/>
        <w:bidi w:val="0"/>
        <w:spacing w:after="0" w:line="360" w:lineRule="auto"/>
        <w:ind w:leftChars="200"/>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项目名称：人工智能发展与合作活动项目</w:t>
      </w:r>
    </w:p>
    <w:p w14:paraId="78A44FFC">
      <w:pPr>
        <w:keepNext w:val="0"/>
        <w:keepLines w:val="0"/>
        <w:pageBreakBefore w:val="0"/>
        <w:kinsoku/>
        <w:overflowPunct/>
        <w:topLinePunct w:val="0"/>
        <w:autoSpaceDE/>
        <w:autoSpaceDN/>
        <w:bidi w:val="0"/>
        <w:spacing w:after="0" w:line="360" w:lineRule="auto"/>
        <w:ind w:left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采购方式：竞争性磋商</w:t>
      </w:r>
    </w:p>
    <w:p w14:paraId="428BD893">
      <w:pPr>
        <w:keepNext w:val="0"/>
        <w:keepLines w:val="0"/>
        <w:pageBreakBefore w:val="0"/>
        <w:kinsoku/>
        <w:overflowPunct/>
        <w:topLinePunct w:val="0"/>
        <w:autoSpaceDE/>
        <w:autoSpaceDN/>
        <w:bidi w:val="0"/>
        <w:spacing w:after="0" w:line="360" w:lineRule="auto"/>
        <w:ind w:left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预算金额：</w:t>
      </w:r>
      <w:r>
        <w:rPr>
          <w:rFonts w:hint="eastAsia" w:ascii="宋体" w:hAnsi="宋体" w:eastAsia="宋体" w:cs="宋体"/>
          <w:color w:val="auto"/>
          <w:sz w:val="21"/>
          <w:szCs w:val="24"/>
          <w:highlight w:val="none"/>
          <w:lang w:val="en-US" w:eastAsia="zh-CN"/>
        </w:rPr>
        <w:t>256.6190</w:t>
      </w:r>
      <w:r>
        <w:rPr>
          <w:rFonts w:hint="eastAsia" w:ascii="宋体" w:hAnsi="宋体" w:eastAsia="宋体" w:cs="宋体"/>
          <w:color w:val="auto"/>
          <w:sz w:val="21"/>
          <w:szCs w:val="24"/>
          <w:highlight w:val="none"/>
        </w:rPr>
        <w:t>万元</w:t>
      </w:r>
    </w:p>
    <w:p w14:paraId="3E6B3FA6">
      <w:pPr>
        <w:keepNext w:val="0"/>
        <w:keepLines w:val="0"/>
        <w:pageBreakBefore w:val="0"/>
        <w:kinsoku/>
        <w:overflowPunct/>
        <w:topLinePunct w:val="0"/>
        <w:autoSpaceDE/>
        <w:autoSpaceDN/>
        <w:bidi w:val="0"/>
        <w:spacing w:after="0" w:line="360" w:lineRule="auto"/>
        <w:ind w:left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最高限价（如有）：</w:t>
      </w:r>
      <w:r>
        <w:rPr>
          <w:rFonts w:hint="eastAsia" w:ascii="宋体" w:hAnsi="宋体" w:eastAsia="宋体" w:cs="宋体"/>
          <w:color w:val="auto"/>
          <w:sz w:val="21"/>
          <w:szCs w:val="24"/>
          <w:highlight w:val="none"/>
          <w:lang w:val="en-US" w:eastAsia="zh-CN"/>
        </w:rPr>
        <w:t>256.6190</w:t>
      </w:r>
      <w:r>
        <w:rPr>
          <w:rFonts w:hint="eastAsia" w:ascii="宋体" w:hAnsi="宋体" w:eastAsia="宋体" w:cs="宋体"/>
          <w:color w:val="auto"/>
          <w:sz w:val="21"/>
          <w:szCs w:val="24"/>
          <w:highlight w:val="none"/>
        </w:rPr>
        <w:t>万元</w:t>
      </w:r>
    </w:p>
    <w:p w14:paraId="4FC88FCD">
      <w:pPr>
        <w:keepNext w:val="0"/>
        <w:keepLines w:val="0"/>
        <w:pageBreakBefore w:val="0"/>
        <w:kinsoku/>
        <w:overflowPunct/>
        <w:topLinePunct w:val="0"/>
        <w:autoSpaceDE/>
        <w:autoSpaceDN/>
        <w:bidi w:val="0"/>
        <w:spacing w:after="0" w:line="360" w:lineRule="auto"/>
        <w:ind w:leftChars="20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 xml:space="preserve">采购需求： </w:t>
      </w:r>
    </w:p>
    <w:tbl>
      <w:tblPr>
        <w:tblStyle w:val="4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77"/>
        <w:gridCol w:w="2199"/>
        <w:gridCol w:w="6212"/>
      </w:tblGrid>
      <w:tr w14:paraId="3ED281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82" w:hRule="atLeast"/>
          <w:jc w:val="center"/>
        </w:trPr>
        <w:tc>
          <w:tcPr>
            <w:tcW w:w="472" w:type="pct"/>
            <w:tcBorders>
              <w:top w:val="single" w:color="auto" w:sz="4" w:space="0"/>
              <w:bottom w:val="single" w:color="auto" w:sz="4" w:space="0"/>
              <w:right w:val="single" w:color="auto" w:sz="4" w:space="0"/>
            </w:tcBorders>
            <w:noWrap w:val="0"/>
            <w:vAlign w:val="center"/>
          </w:tcPr>
          <w:p w14:paraId="26356DF0">
            <w:pPr>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360" w:lineRule="auto"/>
              <w:ind w:left="0" w:right="0"/>
              <w:jc w:val="center"/>
              <w:textAlignment w:val="center"/>
              <w:rPr>
                <w:rFonts w:hint="default" w:ascii="宋体"/>
                <w:color w:val="auto"/>
                <w:szCs w:val="21"/>
                <w:highlight w:val="none"/>
              </w:rPr>
            </w:pPr>
            <w:r>
              <w:rPr>
                <w:rFonts w:hint="eastAsia" w:ascii="宋体" w:hAnsi="宋体" w:cs="宋体"/>
                <w:color w:val="auto"/>
                <w:kern w:val="0"/>
                <w:szCs w:val="21"/>
                <w:highlight w:val="none"/>
                <w:lang w:bidi="ar"/>
              </w:rPr>
              <w:t>序号</w:t>
            </w:r>
          </w:p>
        </w:tc>
        <w:tc>
          <w:tcPr>
            <w:tcW w:w="1184" w:type="pct"/>
            <w:tcBorders>
              <w:top w:val="single" w:color="auto" w:sz="4" w:space="0"/>
              <w:left w:val="single" w:color="auto" w:sz="4" w:space="0"/>
              <w:bottom w:val="single" w:color="auto" w:sz="4" w:space="0"/>
              <w:right w:val="single" w:color="auto" w:sz="4" w:space="0"/>
            </w:tcBorders>
            <w:noWrap w:val="0"/>
            <w:vAlign w:val="center"/>
          </w:tcPr>
          <w:p w14:paraId="1AD75F60">
            <w:pPr>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360" w:lineRule="auto"/>
              <w:ind w:left="0" w:right="0"/>
              <w:jc w:val="center"/>
              <w:textAlignment w:val="center"/>
              <w:rPr>
                <w:rFonts w:hint="default" w:ascii="宋体"/>
                <w:color w:val="auto"/>
                <w:szCs w:val="21"/>
                <w:highlight w:val="none"/>
              </w:rPr>
            </w:pPr>
            <w:r>
              <w:rPr>
                <w:rFonts w:hint="eastAsia" w:ascii="宋体" w:hAnsi="宋体" w:cs="宋体"/>
                <w:color w:val="auto"/>
                <w:kern w:val="0"/>
                <w:szCs w:val="21"/>
                <w:highlight w:val="none"/>
                <w:lang w:bidi="ar"/>
              </w:rPr>
              <w:t>标的名称</w:t>
            </w:r>
          </w:p>
        </w:tc>
        <w:tc>
          <w:tcPr>
            <w:tcW w:w="3345" w:type="pct"/>
            <w:tcBorders>
              <w:top w:val="single" w:color="auto" w:sz="4" w:space="0"/>
              <w:left w:val="single" w:color="auto" w:sz="4" w:space="0"/>
              <w:bottom w:val="single" w:color="auto" w:sz="4" w:space="0"/>
            </w:tcBorders>
            <w:noWrap w:val="0"/>
            <w:vAlign w:val="center"/>
          </w:tcPr>
          <w:p w14:paraId="4310D7FA">
            <w:pPr>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360" w:lineRule="auto"/>
              <w:ind w:left="0" w:right="0"/>
              <w:jc w:val="center"/>
              <w:textAlignment w:val="center"/>
              <w:rPr>
                <w:rFonts w:hint="default" w:ascii="宋体"/>
                <w:color w:val="auto"/>
                <w:szCs w:val="21"/>
                <w:highlight w:val="none"/>
              </w:rPr>
            </w:pPr>
            <w:r>
              <w:rPr>
                <w:rFonts w:hint="eastAsia" w:ascii="宋体" w:hAnsi="宋体" w:cs="宋体"/>
                <w:color w:val="auto"/>
                <w:kern w:val="0"/>
                <w:szCs w:val="21"/>
                <w:highlight w:val="none"/>
                <w:lang w:bidi="ar"/>
              </w:rPr>
              <w:t>简要技术需求或者服务要求</w:t>
            </w:r>
          </w:p>
        </w:tc>
      </w:tr>
      <w:tr w14:paraId="5D744C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53" w:hRule="atLeast"/>
          <w:jc w:val="center"/>
        </w:trPr>
        <w:tc>
          <w:tcPr>
            <w:tcW w:w="472" w:type="pct"/>
            <w:tcBorders>
              <w:top w:val="single" w:color="auto" w:sz="4" w:space="0"/>
              <w:bottom w:val="single" w:color="auto" w:sz="4" w:space="0"/>
              <w:right w:val="single" w:color="auto" w:sz="4" w:space="0"/>
            </w:tcBorders>
            <w:noWrap w:val="0"/>
            <w:vAlign w:val="center"/>
          </w:tcPr>
          <w:p w14:paraId="405BB8E6">
            <w:pPr>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360" w:lineRule="auto"/>
              <w:ind w:left="0" w:right="0"/>
              <w:jc w:val="center"/>
              <w:textAlignment w:val="center"/>
              <w:rPr>
                <w:rFonts w:hint="default" w:ascii="宋体" w:eastAsia="宋体" w:cs="宋体"/>
                <w:color w:val="auto"/>
                <w:kern w:val="0"/>
                <w:sz w:val="20"/>
                <w:szCs w:val="20"/>
                <w:highlight w:val="none"/>
              </w:rPr>
            </w:pPr>
            <w:r>
              <w:rPr>
                <w:rFonts w:hint="eastAsia" w:ascii="宋体" w:hAnsi="宋体" w:eastAsia="宋体" w:cs="宋体"/>
                <w:color w:val="auto"/>
                <w:kern w:val="0"/>
                <w:sz w:val="20"/>
                <w:szCs w:val="20"/>
                <w:highlight w:val="none"/>
                <w:lang w:bidi="ar"/>
              </w:rPr>
              <w:t>1</w:t>
            </w:r>
          </w:p>
        </w:tc>
        <w:tc>
          <w:tcPr>
            <w:tcW w:w="1184" w:type="pct"/>
            <w:tcBorders>
              <w:top w:val="single" w:color="auto" w:sz="4" w:space="0"/>
              <w:left w:val="single" w:color="auto" w:sz="4" w:space="0"/>
              <w:bottom w:val="single" w:color="auto" w:sz="4" w:space="0"/>
              <w:right w:val="single" w:color="auto" w:sz="4" w:space="0"/>
            </w:tcBorders>
            <w:noWrap w:val="0"/>
            <w:vAlign w:val="center"/>
          </w:tcPr>
          <w:p w14:paraId="198EA8FF">
            <w:pPr>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360" w:lineRule="auto"/>
              <w:ind w:left="0" w:right="0"/>
              <w:jc w:val="center"/>
              <w:textAlignment w:val="center"/>
              <w:rPr>
                <w:rFonts w:hint="eastAsia" w:ascii="宋体" w:eastAsia="宋体"/>
                <w:color w:val="auto"/>
                <w:szCs w:val="21"/>
                <w:highlight w:val="none"/>
                <w:lang w:eastAsia="zh-CN"/>
              </w:rPr>
            </w:pPr>
            <w:r>
              <w:rPr>
                <w:rFonts w:hint="eastAsia" w:ascii="宋体" w:hAnsi="宋体" w:eastAsia="宋体" w:cs="宋体"/>
                <w:color w:val="auto"/>
                <w:kern w:val="0"/>
                <w:szCs w:val="21"/>
                <w:highlight w:val="none"/>
                <w:lang w:eastAsia="zh-CN" w:bidi="ar"/>
              </w:rPr>
              <w:t>人工智能发展与合作活动项目</w:t>
            </w:r>
          </w:p>
        </w:tc>
        <w:tc>
          <w:tcPr>
            <w:tcW w:w="3345" w:type="pct"/>
            <w:tcBorders>
              <w:top w:val="single" w:color="auto" w:sz="4" w:space="0"/>
              <w:left w:val="single" w:color="auto" w:sz="4" w:space="0"/>
              <w:bottom w:val="single" w:color="auto" w:sz="4" w:space="0"/>
            </w:tcBorders>
            <w:noWrap w:val="0"/>
            <w:vAlign w:val="center"/>
          </w:tcPr>
          <w:p w14:paraId="50F62871">
            <w:pPr>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360" w:lineRule="auto"/>
              <w:ind w:left="0" w:right="0" w:firstLine="420" w:firstLineChars="200"/>
              <w:textAlignment w:val="center"/>
              <w:rPr>
                <w:rFonts w:hint="eastAsia" w:ascii="宋体" w:eastAsia="宋体"/>
                <w:color w:val="auto"/>
                <w:szCs w:val="21"/>
                <w:highlight w:val="none"/>
                <w:lang w:eastAsia="zh-CN"/>
              </w:rPr>
            </w:pPr>
            <w:r>
              <w:rPr>
                <w:rFonts w:hint="eastAsia" w:ascii="宋体" w:hAnsi="Times New Roman" w:eastAsia="宋体" w:cs="Times New Roman"/>
                <w:color w:val="auto"/>
                <w:szCs w:val="21"/>
                <w:highlight w:val="none"/>
              </w:rPr>
              <w:t>采购专业服务机构提供以下服务：（一）以座谈、拜会</w:t>
            </w: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推介</w:t>
            </w:r>
            <w:r>
              <w:rPr>
                <w:rFonts w:hint="eastAsia" w:ascii="宋体" w:hAnsi="Times New Roman" w:eastAsia="宋体" w:cs="Times New Roman"/>
                <w:color w:val="auto"/>
                <w:szCs w:val="21"/>
                <w:highlight w:val="none"/>
              </w:rPr>
              <w:t>等形式</w:t>
            </w:r>
            <w:r>
              <w:rPr>
                <w:rFonts w:hint="eastAsia" w:ascii="宋体" w:hAnsi="Times New Roman" w:eastAsia="宋体" w:cs="Times New Roman"/>
                <w:color w:val="auto"/>
                <w:szCs w:val="21"/>
                <w:highlight w:val="none"/>
                <w:lang w:val="en-US" w:eastAsia="zh-CN"/>
              </w:rPr>
              <w:t>在东盟国家举办至少21场活动</w:t>
            </w: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rPr>
              <w:t>协助推动与东盟国家</w:t>
            </w:r>
            <w:r>
              <w:rPr>
                <w:rFonts w:hint="eastAsia" w:ascii="宋体" w:hAnsi="Times New Roman" w:eastAsia="宋体" w:cs="Times New Roman"/>
                <w:color w:val="auto"/>
                <w:szCs w:val="21"/>
                <w:highlight w:val="none"/>
                <w:lang w:val="en-US" w:eastAsia="zh-CN"/>
              </w:rPr>
              <w:t>在人工智能领域</w:t>
            </w:r>
            <w:r>
              <w:rPr>
                <w:rFonts w:hint="eastAsia" w:ascii="宋体" w:hAnsi="Times New Roman" w:eastAsia="宋体" w:cs="Times New Roman"/>
                <w:color w:val="auto"/>
                <w:szCs w:val="21"/>
                <w:highlight w:val="none"/>
              </w:rPr>
              <w:t>的合作</w:t>
            </w: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rPr>
              <w:t>（二）组织东盟国家人工智能</w:t>
            </w:r>
            <w:r>
              <w:rPr>
                <w:rFonts w:hint="eastAsia" w:ascii="宋体" w:hAnsi="Times New Roman" w:eastAsia="宋体" w:cs="Times New Roman"/>
                <w:color w:val="auto"/>
                <w:szCs w:val="21"/>
                <w:highlight w:val="none"/>
                <w:lang w:val="en-US" w:eastAsia="zh-CN"/>
              </w:rPr>
              <w:t>领域</w:t>
            </w:r>
            <w:r>
              <w:rPr>
                <w:rFonts w:hint="eastAsia" w:ascii="宋体" w:hAnsi="Times New Roman" w:eastAsia="宋体" w:cs="Times New Roman"/>
                <w:color w:val="auto"/>
                <w:szCs w:val="21"/>
                <w:highlight w:val="none"/>
              </w:rPr>
              <w:t>专家、学者、政府或企业代表到国内</w:t>
            </w:r>
            <w:r>
              <w:rPr>
                <w:rFonts w:hint="eastAsia" w:ascii="宋体" w:hAnsi="Times New Roman" w:eastAsia="宋体" w:cs="Times New Roman"/>
                <w:color w:val="auto"/>
                <w:szCs w:val="21"/>
                <w:highlight w:val="none"/>
                <w:lang w:val="en-US" w:eastAsia="zh-CN"/>
              </w:rPr>
              <w:t>参加至少7场活动，包含但不限于</w:t>
            </w:r>
            <w:r>
              <w:rPr>
                <w:rFonts w:hint="eastAsia" w:ascii="宋体" w:hAnsi="Times New Roman" w:eastAsia="宋体" w:cs="Times New Roman"/>
                <w:color w:val="auto"/>
                <w:szCs w:val="21"/>
                <w:highlight w:val="none"/>
              </w:rPr>
              <w:t>展览、会议、论坛等活动</w:t>
            </w: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rPr>
              <w:t>推动人工智能领域务实合作。具体详见《第三章 采购需求》</w:t>
            </w:r>
            <w:r>
              <w:rPr>
                <w:rFonts w:hint="eastAsia" w:ascii="宋体" w:hAnsi="Times New Roman" w:eastAsia="宋体" w:cs="Times New Roman"/>
                <w:color w:val="auto"/>
                <w:szCs w:val="21"/>
                <w:highlight w:val="none"/>
                <w:lang w:eastAsia="zh-CN"/>
              </w:rPr>
              <w:t>。</w:t>
            </w:r>
          </w:p>
        </w:tc>
      </w:tr>
    </w:tbl>
    <w:p w14:paraId="230BC488">
      <w:pPr>
        <w:keepNext w:val="0"/>
        <w:keepLines w:val="0"/>
        <w:pageBreakBefore w:val="0"/>
        <w:kinsoku/>
        <w:overflowPunct/>
        <w:topLinePunct w:val="0"/>
        <w:autoSpaceDE/>
        <w:autoSpaceDN/>
        <w:bidi w:val="0"/>
        <w:adjustRightInd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w:t>
      </w:r>
      <w:r>
        <w:rPr>
          <w:rFonts w:hint="eastAsia" w:ascii="宋体" w:hAnsi="宋体" w:eastAsia="宋体" w:cs="宋体"/>
          <w:color w:val="auto"/>
          <w:szCs w:val="21"/>
          <w:highlight w:val="none"/>
          <w:lang w:eastAsia="zh-CN"/>
        </w:rPr>
        <w:t>（</w:t>
      </w:r>
      <w:r>
        <w:rPr>
          <w:rFonts w:hint="eastAsia" w:ascii="宋体" w:hAnsi="宋体" w:eastAsia="宋体"/>
          <w:color w:val="auto"/>
          <w:highlight w:val="none"/>
          <w:lang w:val="en-US" w:eastAsia="zh-CN"/>
        </w:rPr>
        <w:t>服务</w:t>
      </w:r>
      <w:r>
        <w:rPr>
          <w:rFonts w:hint="eastAsia" w:ascii="宋体" w:hAnsi="宋体" w:eastAsia="宋体" w:cs="宋体"/>
          <w:color w:val="auto"/>
          <w:szCs w:val="21"/>
          <w:highlight w:val="none"/>
          <w:lang w:val="en-US" w:eastAsia="zh-CN"/>
        </w:rPr>
        <w:t>期限）</w:t>
      </w:r>
      <w:r>
        <w:rPr>
          <w:rFonts w:hint="eastAsia" w:ascii="宋体" w:hAnsi="宋体" w:eastAsia="宋体" w:cs="宋体"/>
          <w:color w:val="auto"/>
          <w:szCs w:val="21"/>
          <w:highlight w:val="none"/>
        </w:rPr>
        <w:t>：2年（</w:t>
      </w:r>
      <w:r>
        <w:rPr>
          <w:rFonts w:hint="eastAsia" w:ascii="宋体" w:hAnsi="宋体" w:eastAsia="宋体"/>
          <w:color w:val="auto"/>
          <w:highlight w:val="none"/>
          <w:lang w:val="en-US" w:eastAsia="zh-CN"/>
        </w:rPr>
        <w:t>自项目合同签订之日起，至项目验收完成并提供后续保障服务止</w:t>
      </w:r>
      <w:r>
        <w:rPr>
          <w:rFonts w:hint="eastAsia" w:ascii="宋体" w:hAnsi="宋体" w:eastAsia="宋体" w:cs="宋体"/>
          <w:color w:val="auto"/>
          <w:szCs w:val="21"/>
          <w:highlight w:val="none"/>
        </w:rPr>
        <w:t>）。</w:t>
      </w:r>
    </w:p>
    <w:p w14:paraId="6C0C0A19">
      <w:pPr>
        <w:keepNext w:val="0"/>
        <w:keepLines w:val="0"/>
        <w:pageBreakBefore w:val="0"/>
        <w:kinsoku/>
        <w:wordWrap w:val="0"/>
        <w:overflowPunct/>
        <w:topLinePunct w:val="0"/>
        <w:autoSpaceDE/>
        <w:autoSpaceDN/>
        <w:bidi w:val="0"/>
        <w:adjustRightInd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本项目不接受联合体竞标。</w:t>
      </w:r>
    </w:p>
    <w:p w14:paraId="0E212192">
      <w:pPr>
        <w:keepNext w:val="0"/>
        <w:keepLines w:val="0"/>
        <w:pageBreakBefore w:val="0"/>
        <w:kinsoku/>
        <w:wordWrap w:val="0"/>
        <w:overflowPunct/>
        <w:topLinePunct w:val="0"/>
        <w:autoSpaceDE/>
        <w:autoSpaceDN/>
        <w:bidi w:val="0"/>
        <w:adjustRightInd w:val="0"/>
        <w:spacing w:after="0"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二、申请人的资格条件：</w:t>
      </w:r>
    </w:p>
    <w:p w14:paraId="20FD4376">
      <w:pPr>
        <w:keepNext w:val="0"/>
        <w:keepLines w:val="0"/>
        <w:pageBreakBefore w:val="0"/>
        <w:widowControl w:val="0"/>
        <w:kinsoku/>
        <w:wordWrap w:val="0"/>
        <w:overflowPunct/>
        <w:topLinePunct w:val="0"/>
        <w:autoSpaceDE/>
        <w:autoSpaceDN/>
        <w:bidi w:val="0"/>
        <w:adjustRightInd w:val="0"/>
        <w:snapToGrid/>
        <w:spacing w:after="0" w:line="360" w:lineRule="auto"/>
        <w:ind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6EDE5DDE">
      <w:pPr>
        <w:keepNext w:val="0"/>
        <w:keepLines w:val="0"/>
        <w:pageBreakBefore w:val="0"/>
        <w:widowControl w:val="0"/>
        <w:kinsoku/>
        <w:overflowPunct/>
        <w:topLinePunct w:val="0"/>
        <w:autoSpaceDE/>
        <w:autoSpaceDN/>
        <w:bidi w:val="0"/>
        <w:snapToGrid/>
        <w:spacing w:after="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2、落实政府采购政策需满足的资格要求：本项目</w:t>
      </w:r>
      <w:r>
        <w:rPr>
          <w:rFonts w:hint="eastAsia" w:ascii="宋体" w:hAnsi="宋体" w:eastAsia="宋体" w:cs="宋体"/>
          <w:color w:val="auto"/>
          <w:szCs w:val="21"/>
          <w:highlight w:val="none"/>
          <w:lang w:eastAsia="zh-CN"/>
        </w:rPr>
        <w:t>为</w:t>
      </w:r>
      <w:r>
        <w:rPr>
          <w:rFonts w:hint="eastAsia" w:ascii="宋体" w:hAnsi="宋体" w:eastAsia="宋体" w:cs="宋体"/>
          <w:color w:val="auto"/>
          <w:szCs w:val="21"/>
          <w:highlight w:val="none"/>
        </w:rPr>
        <w:t>专门面向中小企业采购</w:t>
      </w:r>
      <w:r>
        <w:rPr>
          <w:rFonts w:hint="eastAsia" w:ascii="宋体" w:hAnsi="宋体" w:eastAsia="宋体" w:cs="Times New Roman"/>
          <w:color w:val="auto"/>
          <w:szCs w:val="21"/>
          <w:highlight w:val="none"/>
          <w:lang w:eastAsia="zh-CN"/>
        </w:rPr>
        <w:t>（</w:t>
      </w:r>
      <w:r>
        <w:rPr>
          <w:rFonts w:hint="eastAsia" w:ascii="宋体" w:hAnsi="宋体" w:eastAsia="宋体" w:cs="宋体"/>
          <w:color w:val="auto"/>
          <w:szCs w:val="21"/>
          <w:highlight w:val="none"/>
          <w:lang w:eastAsia="zh-CN"/>
        </w:rPr>
        <w:t>供应商应为中小微企业、监狱企业、残疾人福利性单位)</w:t>
      </w:r>
    </w:p>
    <w:p w14:paraId="1F9AA80D">
      <w:pPr>
        <w:keepNext w:val="0"/>
        <w:keepLines w:val="0"/>
        <w:pageBreakBefore w:val="0"/>
        <w:widowControl w:val="0"/>
        <w:kinsoku/>
        <w:wordWrap w:val="0"/>
        <w:overflowPunct/>
        <w:topLinePunct w:val="0"/>
        <w:autoSpaceDE/>
        <w:autoSpaceDN/>
        <w:bidi w:val="0"/>
        <w:adjustRightInd w:val="0"/>
        <w:snapToGrid/>
        <w:spacing w:after="0" w:line="360" w:lineRule="auto"/>
        <w:ind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3、本项目的特定资格要求：无。</w:t>
      </w:r>
    </w:p>
    <w:p w14:paraId="3371D989">
      <w:pPr>
        <w:keepNext w:val="0"/>
        <w:keepLines w:val="0"/>
        <w:pageBreakBefore w:val="0"/>
        <w:kinsoku/>
        <w:wordWrap w:val="0"/>
        <w:overflowPunct/>
        <w:topLinePunct w:val="0"/>
        <w:autoSpaceDE/>
        <w:autoSpaceDN/>
        <w:bidi w:val="0"/>
        <w:adjustRightInd w:val="0"/>
        <w:spacing w:after="0"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三、获取竞争性磋商文件</w:t>
      </w:r>
    </w:p>
    <w:p w14:paraId="5452364B">
      <w:pPr>
        <w:keepNext w:val="0"/>
        <w:keepLines w:val="0"/>
        <w:pageBreakBefore w:val="0"/>
        <w:widowControl/>
        <w:kinsoku/>
        <w:wordWrap w:val="0"/>
        <w:overflowPunct/>
        <w:topLinePunct w:val="0"/>
        <w:autoSpaceDE/>
        <w:autoSpaceDN/>
        <w:bidi w:val="0"/>
        <w:adjustRightInd w:val="0"/>
        <w:spacing w:after="0" w:line="360" w:lineRule="auto"/>
        <w:ind w:firstLine="420" w:firstLineChars="200"/>
        <w:textAlignment w:val="center"/>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时间：/至2026年4月28日，每天上午00:00-12:00；下午12:00-23:59（北京时间，法定节假日除外）。</w:t>
      </w:r>
    </w:p>
    <w:p w14:paraId="30D09778">
      <w:pPr>
        <w:keepNext w:val="0"/>
        <w:keepLines w:val="0"/>
        <w:pageBreakBefore w:val="0"/>
        <w:widowControl/>
        <w:kinsoku/>
        <w:wordWrap w:val="0"/>
        <w:overflowPunct/>
        <w:topLinePunct w:val="0"/>
        <w:autoSpaceDE/>
        <w:autoSpaceDN/>
        <w:bidi w:val="0"/>
        <w:adjustRightInd w:val="0"/>
        <w:spacing w:after="0" w:line="360" w:lineRule="auto"/>
        <w:ind w:firstLine="420" w:firstLineChars="200"/>
        <w:textAlignment w:val="center"/>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地点：广西政府采购云平台（https://www.gcy.zfcg.gxzf.gov.cn/）</w:t>
      </w:r>
    </w:p>
    <w:p w14:paraId="09860734">
      <w:pPr>
        <w:keepNext w:val="0"/>
        <w:keepLines w:val="0"/>
        <w:pageBreakBefore w:val="0"/>
        <w:widowControl/>
        <w:kinsoku/>
        <w:wordWrap w:val="0"/>
        <w:overflowPunct/>
        <w:topLinePunct w:val="0"/>
        <w:autoSpaceDE/>
        <w:autoSpaceDN/>
        <w:bidi w:val="0"/>
        <w:adjustRightInd w:val="0"/>
        <w:spacing w:after="0" w:line="360" w:lineRule="auto"/>
        <w:ind w:firstLine="420" w:firstLineChars="200"/>
        <w:textAlignment w:val="center"/>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方式：网上下载。本项目不发放纸质文件，供应商应自行在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w:t>
      </w:r>
    </w:p>
    <w:p w14:paraId="731395FF">
      <w:pPr>
        <w:keepNext w:val="0"/>
        <w:keepLines w:val="0"/>
        <w:pageBreakBefore w:val="0"/>
        <w:widowControl/>
        <w:kinsoku/>
        <w:wordWrap w:val="0"/>
        <w:overflowPunct/>
        <w:topLinePunct w:val="0"/>
        <w:autoSpaceDE/>
        <w:autoSpaceDN/>
        <w:bidi w:val="0"/>
        <w:adjustRightInd w:val="0"/>
        <w:spacing w:after="0" w:line="360" w:lineRule="auto"/>
        <w:ind w:firstLine="420" w:firstLineChars="200"/>
        <w:textAlignment w:val="center"/>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售价：0元。</w:t>
      </w:r>
    </w:p>
    <w:p w14:paraId="56A69DB1">
      <w:pPr>
        <w:keepNext w:val="0"/>
        <w:keepLines w:val="0"/>
        <w:pageBreakBefore w:val="0"/>
        <w:kinsoku/>
        <w:wordWrap w:val="0"/>
        <w:overflowPunct/>
        <w:topLinePunct w:val="0"/>
        <w:autoSpaceDE/>
        <w:autoSpaceDN/>
        <w:bidi w:val="0"/>
        <w:adjustRightInd w:val="0"/>
        <w:spacing w:after="0"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四、响应文件提交</w:t>
      </w:r>
    </w:p>
    <w:p w14:paraId="57D3EA55">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t>1、首次响应文件提交截止时间：</w:t>
      </w:r>
      <w:r>
        <w:rPr>
          <w:rFonts w:hint="eastAsia" w:ascii="宋体" w:hAnsi="Times New Roman" w:eastAsia="宋体" w:cs="Times New Roman"/>
          <w:b/>
          <w:bCs/>
          <w:color w:val="auto"/>
          <w:szCs w:val="21"/>
          <w:highlight w:val="none"/>
          <w:lang w:val="en-US" w:eastAsia="zh-CN"/>
        </w:rPr>
        <w:t>2026年4月28日</w:t>
      </w:r>
      <w:r>
        <w:rPr>
          <w:rFonts w:hint="eastAsia" w:ascii="宋体" w:hAnsi="宋体" w:eastAsia="宋体" w:cs="宋体"/>
          <w:b/>
          <w:bCs/>
          <w:color w:val="auto"/>
          <w:kern w:val="0"/>
          <w:szCs w:val="21"/>
          <w:highlight w:val="none"/>
        </w:rPr>
        <w:t>9时</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0分（北京时间）</w:t>
      </w:r>
    </w:p>
    <w:p w14:paraId="6AFB649A">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2、地点：通过广西政府采购云平台</w:t>
      </w:r>
      <w:r>
        <w:rPr>
          <w:rFonts w:hint="eastAsia" w:ascii="宋体" w:hAnsi="宋体" w:eastAsia="宋体" w:cs="宋体"/>
          <w:bCs/>
          <w:color w:val="auto"/>
          <w:kern w:val="0"/>
          <w:szCs w:val="21"/>
          <w:highlight w:val="none"/>
        </w:rPr>
        <w:t>（https://www.gcy.zfcg.gxzf.gov.cn/）</w:t>
      </w:r>
      <w:r>
        <w:rPr>
          <w:rFonts w:hint="eastAsia" w:ascii="宋体" w:hAnsi="宋体" w:eastAsia="宋体" w:cs="宋体"/>
          <w:color w:val="auto"/>
          <w:szCs w:val="21"/>
          <w:highlight w:val="none"/>
        </w:rPr>
        <w:t>在线提交。</w:t>
      </w:r>
    </w:p>
    <w:p w14:paraId="71D20D6E">
      <w:pPr>
        <w:keepNext w:val="0"/>
        <w:keepLines w:val="0"/>
        <w:pageBreakBefore w:val="0"/>
        <w:kinsoku/>
        <w:wordWrap w:val="0"/>
        <w:overflowPunct/>
        <w:topLinePunct w:val="0"/>
        <w:autoSpaceDE/>
        <w:autoSpaceDN/>
        <w:bidi w:val="0"/>
        <w:adjustRightInd w:val="0"/>
        <w:spacing w:after="0"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五、开启</w:t>
      </w:r>
    </w:p>
    <w:p w14:paraId="2685531B">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1、首次响应文件开启时间：</w:t>
      </w:r>
      <w:r>
        <w:rPr>
          <w:rFonts w:hint="eastAsia" w:ascii="宋体" w:hAnsi="Times New Roman" w:eastAsia="宋体" w:cs="Times New Roman"/>
          <w:b/>
          <w:bCs/>
          <w:color w:val="auto"/>
          <w:szCs w:val="21"/>
          <w:highlight w:val="none"/>
          <w:lang w:val="en-US" w:eastAsia="zh-CN"/>
        </w:rPr>
        <w:t>2026年4月28日</w:t>
      </w:r>
      <w:r>
        <w:rPr>
          <w:rFonts w:hint="eastAsia" w:ascii="宋体" w:hAnsi="宋体" w:eastAsia="宋体" w:cs="宋体"/>
          <w:b/>
          <w:bCs/>
          <w:color w:val="auto"/>
          <w:kern w:val="0"/>
          <w:szCs w:val="21"/>
          <w:highlight w:val="none"/>
        </w:rPr>
        <w:t>9时</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0分（北京时间）</w:t>
      </w:r>
    </w:p>
    <w:p w14:paraId="761B5194">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2、地点：广西政府采购云平台（https://www.gcy.zfcg.gxzf.gov.cn/）。</w:t>
      </w:r>
    </w:p>
    <w:p w14:paraId="390F6FF5">
      <w:pPr>
        <w:keepNext w:val="0"/>
        <w:keepLines w:val="0"/>
        <w:pageBreakBefore w:val="0"/>
        <w:kinsoku/>
        <w:wordWrap w:val="0"/>
        <w:overflowPunct/>
        <w:topLinePunct w:val="0"/>
        <w:autoSpaceDE/>
        <w:autoSpaceDN/>
        <w:bidi w:val="0"/>
        <w:adjustRightInd w:val="0"/>
        <w:spacing w:after="0"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六、公告期限</w:t>
      </w:r>
    </w:p>
    <w:p w14:paraId="2BA42E55">
      <w:pPr>
        <w:keepNext w:val="0"/>
        <w:keepLines w:val="0"/>
        <w:pageBreakBefore w:val="0"/>
        <w:kinsoku/>
        <w:wordWrap w:val="0"/>
        <w:overflowPunct/>
        <w:topLinePunct w:val="0"/>
        <w:autoSpaceDE/>
        <w:autoSpaceDN/>
        <w:bidi w:val="0"/>
        <w:adjustRightInd w:val="0"/>
        <w:spacing w:after="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15B92326">
      <w:pPr>
        <w:keepNext w:val="0"/>
        <w:keepLines w:val="0"/>
        <w:pageBreakBefore w:val="0"/>
        <w:kinsoku/>
        <w:wordWrap w:val="0"/>
        <w:overflowPunct/>
        <w:topLinePunct w:val="0"/>
        <w:autoSpaceDE/>
        <w:autoSpaceDN/>
        <w:bidi w:val="0"/>
        <w:adjustRightInd w:val="0"/>
        <w:spacing w:after="0"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七、其他补充事宜</w:t>
      </w:r>
    </w:p>
    <w:p w14:paraId="748667F2">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1、磋商保证金：1万元。</w:t>
      </w:r>
    </w:p>
    <w:p w14:paraId="754EC22F">
      <w:pPr>
        <w:keepNext w:val="0"/>
        <w:keepLines w:val="0"/>
        <w:pageBreakBefore w:val="0"/>
        <w:kinsoku/>
        <w:wordWrap w:val="0"/>
        <w:overflowPunct/>
        <w:topLinePunct w:val="0"/>
        <w:autoSpaceDE/>
        <w:autoSpaceDN/>
        <w:bidi w:val="0"/>
        <w:adjustRightInd w:val="0"/>
        <w:spacing w:after="0" w:line="360" w:lineRule="auto"/>
        <w:ind w:leftChars="3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开户名称：广西翔正项目管理有限公司</w:t>
      </w:r>
    </w:p>
    <w:p w14:paraId="5B8BD153">
      <w:pPr>
        <w:keepNext w:val="0"/>
        <w:keepLines w:val="0"/>
        <w:pageBreakBefore w:val="0"/>
        <w:kinsoku/>
        <w:wordWrap w:val="0"/>
        <w:overflowPunct/>
        <w:topLinePunct w:val="0"/>
        <w:autoSpaceDE/>
        <w:autoSpaceDN/>
        <w:bidi w:val="0"/>
        <w:adjustRightInd w:val="0"/>
        <w:spacing w:after="0" w:line="360" w:lineRule="auto"/>
        <w:ind w:leftChars="3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开户银行：中国工商银行南宁建政支行</w:t>
      </w:r>
    </w:p>
    <w:p w14:paraId="155BD605">
      <w:pPr>
        <w:keepNext w:val="0"/>
        <w:keepLines w:val="0"/>
        <w:pageBreakBefore w:val="0"/>
        <w:kinsoku/>
        <w:wordWrap w:val="0"/>
        <w:overflowPunct/>
        <w:topLinePunct w:val="0"/>
        <w:autoSpaceDE/>
        <w:autoSpaceDN/>
        <w:bidi w:val="0"/>
        <w:adjustRightInd w:val="0"/>
        <w:spacing w:after="0" w:line="360" w:lineRule="auto"/>
        <w:ind w:leftChars="3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账号：210 210 710 93000 76992 </w:t>
      </w:r>
    </w:p>
    <w:p w14:paraId="1D4DC615">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、网上查询地址：中国政府采购网（www.ccgp.gov.cn）、广西政府采购网（zfcg.gxzf.gov.cn）。</w:t>
      </w:r>
    </w:p>
    <w:p w14:paraId="04BF3571">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、本项目需要落实的政府采购政策：</w:t>
      </w:r>
    </w:p>
    <w:p w14:paraId="5F78D319">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（1）政府采购促进中小企业发展。</w:t>
      </w:r>
    </w:p>
    <w:p w14:paraId="4FE34AD4">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（2）政府采购支持采用本国产品的政策。</w:t>
      </w:r>
    </w:p>
    <w:p w14:paraId="6B4C9510">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（3）强制采购节能产品；优先采购节能产品、环境标志产品。</w:t>
      </w:r>
    </w:p>
    <w:p w14:paraId="262E3FAC">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（4）政府采购促进残疾人就业政策。</w:t>
      </w:r>
    </w:p>
    <w:p w14:paraId="799614E4">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Cs w:val="21"/>
          <w:highlight w:val="none"/>
          <w:lang w:eastAsia="zh-CN"/>
        </w:rPr>
        <w:t>（5）政府采购支持监狱企业发展</w:t>
      </w:r>
      <w:r>
        <w:rPr>
          <w:rFonts w:hint="eastAsia" w:ascii="宋体" w:hAnsi="宋体" w:eastAsia="宋体" w:cs="宋体"/>
          <w:color w:val="auto"/>
          <w:sz w:val="24"/>
          <w:szCs w:val="24"/>
          <w:highlight w:val="none"/>
          <w:lang w:eastAsia="zh-CN"/>
        </w:rPr>
        <w:t>。</w:t>
      </w:r>
    </w:p>
    <w:p w14:paraId="63256A17">
      <w:pPr>
        <w:keepNext w:val="0"/>
        <w:keepLines w:val="0"/>
        <w:pageBreakBefore w:val="0"/>
        <w:widowControl/>
        <w:kinsoku/>
        <w:wordWrap w:val="0"/>
        <w:overflowPunct/>
        <w:topLinePunct w:val="0"/>
        <w:autoSpaceDE/>
        <w:autoSpaceDN/>
        <w:bidi w:val="0"/>
        <w:adjustRightInd w:val="0"/>
        <w:snapToGrid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、磋商注意事项：</w:t>
      </w:r>
    </w:p>
    <w:p w14:paraId="5E248FD2">
      <w:pPr>
        <w:keepNext w:val="0"/>
        <w:keepLines w:val="0"/>
        <w:pageBreakBefore w:val="0"/>
        <w:widowControl/>
        <w:kinsoku/>
        <w:wordWrap w:val="0"/>
        <w:overflowPunct/>
        <w:topLinePunct w:val="0"/>
        <w:autoSpaceDE/>
        <w:autoSpaceDN/>
        <w:bidi w:val="0"/>
        <w:adjustRightInd w:val="0"/>
        <w:snapToGrid w:val="0"/>
        <w:spacing w:after="0"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响应文件提交方式：本项目为全流程电子化政府采购项目，通过广西政府采购云平台（https://www.gcy.zfcg.gxzf.gov.cn/）实行在线电子磋商采购，供应商应先安装广西政府采购云平台（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eastAsia="宋体" w:cs="宋体"/>
          <w:b/>
          <w:color w:val="auto"/>
          <w:szCs w:val="21"/>
          <w:highlight w:val="none"/>
        </w:rPr>
        <w:t>供应商在广西政府采购云平台提交电子版响应文件时，请填写参加远程开标活动经办人联系方式。</w:t>
      </w:r>
    </w:p>
    <w:p w14:paraId="665B4AA3">
      <w:pPr>
        <w:keepNext w:val="0"/>
        <w:keepLines w:val="0"/>
        <w:pageBreakBefore w:val="0"/>
        <w:widowControl/>
        <w:kinsoku/>
        <w:wordWrap w:val="0"/>
        <w:overflowPunct/>
        <w:topLinePunct w:val="0"/>
        <w:autoSpaceDE/>
        <w:autoSpaceDN/>
        <w:bidi w:val="0"/>
        <w:adjustRightInd w:val="0"/>
        <w:snapToGrid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（2）供应商应及时熟悉掌握电子标系统操作指南（广西政府采购云电子卖场首页右上角—服务中心—帮助文档—项目采购）：</w:t>
      </w:r>
      <w:r>
        <w:rPr>
          <w:rFonts w:hint="eastAsia" w:ascii="宋体" w:hAnsi="宋体" w:eastAsia="宋体" w:cs="宋体"/>
          <w:color w:val="auto"/>
          <w:highlight w:val="none"/>
        </w:rPr>
        <w:t>https://helpcenter.zcygov.cn/document/#/document/dashboard?siteCode=gx</w:t>
      </w:r>
      <w:r>
        <w:rPr>
          <w:rFonts w:hint="eastAsia" w:ascii="宋体" w:hAnsi="宋体" w:eastAsia="宋体" w:cs="宋体"/>
          <w:color w:val="auto"/>
          <w:szCs w:val="21"/>
          <w:highlight w:val="none"/>
        </w:rPr>
        <w:t>；及时完成CA申领和绑定（见广西壮族自治区政府采购网—办事服务—下载专区-</w:t>
      </w:r>
      <w:r>
        <w:rPr>
          <w:rFonts w:hint="eastAsia" w:ascii="宋体" w:hAnsi="宋体" w:eastAsia="宋体" w:cs="宋体"/>
          <w:bCs/>
          <w:color w:val="auto"/>
          <w:kern w:val="0"/>
          <w:szCs w:val="21"/>
          <w:highlight w:val="none"/>
        </w:rPr>
        <w:t>广西政府采购云平台</w:t>
      </w:r>
      <w:r>
        <w:rPr>
          <w:rFonts w:hint="eastAsia" w:ascii="宋体" w:hAnsi="宋体" w:eastAsia="宋体" w:cs="宋体"/>
          <w:color w:val="auto"/>
          <w:szCs w:val="21"/>
          <w:highlight w:val="none"/>
        </w:rPr>
        <w:t>CA证书办理操作指南）。</w:t>
      </w:r>
    </w:p>
    <w:p w14:paraId="140939D7">
      <w:pPr>
        <w:keepNext w:val="0"/>
        <w:keepLines w:val="0"/>
        <w:pageBreakBefore w:val="0"/>
        <w:widowControl/>
        <w:kinsoku/>
        <w:wordWrap w:val="0"/>
        <w:overflowPunct/>
        <w:topLinePunct w:val="0"/>
        <w:autoSpaceDE/>
        <w:autoSpaceDN/>
        <w:bidi w:val="0"/>
        <w:adjustRightInd w:val="0"/>
        <w:snapToGrid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78BDEEA2">
      <w:pPr>
        <w:keepNext w:val="0"/>
        <w:keepLines w:val="0"/>
        <w:pageBreakBefore w:val="0"/>
        <w:widowControl/>
        <w:kinsoku/>
        <w:wordWrap w:val="0"/>
        <w:overflowPunct/>
        <w:topLinePunct w:val="0"/>
        <w:autoSpaceDE/>
        <w:autoSpaceDN/>
        <w:bidi w:val="0"/>
        <w:adjustRightInd w:val="0"/>
        <w:snapToGrid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（4）为确保网上操作合法、有效和安全，请供应商确保在电子竞标过程中能够对相关数据电文进行加密和使用电子签章，妥善保管CA数字证书并使用有效的CA数字证书参与整个采购活动。</w:t>
      </w:r>
    </w:p>
    <w:p w14:paraId="46E68A6D">
      <w:pPr>
        <w:keepNext w:val="0"/>
        <w:keepLines w:val="0"/>
        <w:pageBreakBefore w:val="0"/>
        <w:kinsoku/>
        <w:wordWrap w:val="0"/>
        <w:overflowPunct/>
        <w:topLinePunct w:val="0"/>
        <w:autoSpaceDE/>
        <w:autoSpaceDN/>
        <w:bidi w:val="0"/>
        <w:adjustRightInd w:val="0"/>
        <w:snapToGrid w:val="0"/>
        <w:spacing w:after="0"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注：供应商应当在首次响应文件提交截止时间前完成电子响应文件的上传、递交，</w:t>
      </w:r>
      <w:r>
        <w:rPr>
          <w:rFonts w:hint="eastAsia" w:ascii="宋体" w:hAnsi="宋体" w:eastAsia="宋体" w:cs="宋体"/>
          <w:b/>
          <w:color w:val="auto"/>
          <w:szCs w:val="21"/>
          <w:highlight w:val="none"/>
        </w:rPr>
        <w:t>首次响应文件提交截止时间</w:t>
      </w:r>
      <w:r>
        <w:rPr>
          <w:rFonts w:hint="eastAsia" w:ascii="宋体" w:hAnsi="宋体" w:eastAsia="宋体" w:cs="宋体"/>
          <w:b/>
          <w:bCs/>
          <w:color w:val="auto"/>
          <w:szCs w:val="21"/>
          <w:highlight w:val="none"/>
        </w:rPr>
        <w:t>前可以补充、修改或者撤回响应文件。补充或者修改响应文件的，应当先行撤回原文件，补充、修改后重新上传、递交。</w:t>
      </w:r>
      <w:r>
        <w:rPr>
          <w:rFonts w:hint="eastAsia" w:ascii="宋体" w:hAnsi="宋体" w:eastAsia="宋体" w:cs="宋体"/>
          <w:b/>
          <w:color w:val="auto"/>
          <w:szCs w:val="21"/>
          <w:highlight w:val="none"/>
        </w:rPr>
        <w:t>首次响应文件提交截止时间</w:t>
      </w:r>
      <w:r>
        <w:rPr>
          <w:rFonts w:hint="eastAsia" w:ascii="宋体" w:hAnsi="宋体" w:eastAsia="宋体" w:cs="宋体"/>
          <w:b/>
          <w:bCs/>
          <w:color w:val="auto"/>
          <w:szCs w:val="21"/>
          <w:highlight w:val="none"/>
        </w:rPr>
        <w:t>前未完成上传、递交的，视为撤回响应文件。</w:t>
      </w:r>
      <w:r>
        <w:rPr>
          <w:rFonts w:hint="eastAsia" w:ascii="宋体" w:hAnsi="宋体" w:eastAsia="宋体" w:cs="宋体"/>
          <w:b/>
          <w:color w:val="auto"/>
          <w:szCs w:val="21"/>
          <w:highlight w:val="none"/>
        </w:rPr>
        <w:t>首次响应文件提交截止时间</w:t>
      </w:r>
      <w:r>
        <w:rPr>
          <w:rFonts w:hint="eastAsia" w:ascii="宋体" w:hAnsi="宋体" w:eastAsia="宋体" w:cs="宋体"/>
          <w:b/>
          <w:bCs/>
          <w:color w:val="auto"/>
          <w:szCs w:val="21"/>
          <w:highlight w:val="none"/>
        </w:rPr>
        <w:t>以后上传递交的响应文件，广西政府采购云平台将予以拒收。</w:t>
      </w:r>
    </w:p>
    <w:p w14:paraId="126ADE90">
      <w:pPr>
        <w:keepNext w:val="0"/>
        <w:keepLines w:val="0"/>
        <w:pageBreakBefore w:val="0"/>
        <w:widowControl/>
        <w:kinsoku/>
        <w:wordWrap w:val="0"/>
        <w:overflowPunct/>
        <w:topLinePunct w:val="0"/>
        <w:autoSpaceDE/>
        <w:autoSpaceDN/>
        <w:bidi w:val="0"/>
        <w:adjustRightInd w:val="0"/>
        <w:snapToGrid w:val="0"/>
        <w:spacing w:after="0"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11C0FE73">
      <w:pPr>
        <w:keepNext w:val="0"/>
        <w:keepLines w:val="0"/>
        <w:pageBreakBefore w:val="0"/>
        <w:widowControl/>
        <w:kinsoku/>
        <w:wordWrap w:val="0"/>
        <w:overflowPunct/>
        <w:topLinePunct w:val="0"/>
        <w:autoSpaceDE/>
        <w:autoSpaceDN/>
        <w:bidi w:val="0"/>
        <w:adjustRightInd w:val="0"/>
        <w:snapToGrid w:val="0"/>
        <w:spacing w:after="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、供应商需要在具备有摄像头及语音功能且互联网网络状况良好的电脑登录广西政府采购云平台远程开标大厅参与本次磋商，否则后果自负。</w:t>
      </w:r>
    </w:p>
    <w:p w14:paraId="61F83815">
      <w:pPr>
        <w:keepNext w:val="0"/>
        <w:keepLines w:val="0"/>
        <w:pageBreakBefore w:val="0"/>
        <w:widowControl/>
        <w:kinsoku/>
        <w:wordWrap w:val="0"/>
        <w:overflowPunct/>
        <w:topLinePunct w:val="0"/>
        <w:autoSpaceDE/>
        <w:autoSpaceDN/>
        <w:bidi w:val="0"/>
        <w:adjustRightInd w:val="0"/>
        <w:snapToGrid w:val="0"/>
        <w:spacing w:after="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bookmarkEnd w:id="2"/>
    <w:p w14:paraId="5186B5FD">
      <w:pPr>
        <w:keepNext w:val="0"/>
        <w:keepLines w:val="0"/>
        <w:pageBreakBefore w:val="0"/>
        <w:kinsoku/>
        <w:wordWrap w:val="0"/>
        <w:overflowPunct/>
        <w:topLinePunct w:val="0"/>
        <w:autoSpaceDE/>
        <w:autoSpaceDN/>
        <w:bidi w:val="0"/>
        <w:adjustRightInd w:val="0"/>
        <w:snapToGrid w:val="0"/>
        <w:spacing w:after="0"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八、凡对本次采购提出询问，请按以下方式联系。</w:t>
      </w:r>
      <w:bookmarkEnd w:id="3"/>
      <w:bookmarkEnd w:id="4"/>
      <w:bookmarkEnd w:id="5"/>
      <w:bookmarkEnd w:id="6"/>
      <w:bookmarkEnd w:id="7"/>
    </w:p>
    <w:p w14:paraId="0B21F33F">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bookmarkStart w:id="8" w:name="_Toc35393637"/>
      <w:bookmarkStart w:id="9" w:name="_Toc28359096"/>
      <w:bookmarkStart w:id="10" w:name="_Toc35393806"/>
      <w:bookmarkStart w:id="11" w:name="_Toc28359019"/>
      <w:r>
        <w:rPr>
          <w:rFonts w:hint="eastAsia" w:ascii="宋体" w:hAnsi="宋体" w:eastAsia="宋体" w:cs="宋体"/>
          <w:color w:val="auto"/>
          <w:szCs w:val="21"/>
          <w:highlight w:val="none"/>
          <w:lang w:eastAsia="zh-CN"/>
        </w:rPr>
        <w:t>1.采购人信息</w:t>
      </w:r>
    </w:p>
    <w:p w14:paraId="4CCB64BA">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名 称：广西壮族自治区大数据发展局 </w:t>
      </w:r>
    </w:p>
    <w:p w14:paraId="59D272A9">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地址：南宁市良庆区体强路18号</w:t>
      </w:r>
    </w:p>
    <w:p w14:paraId="45F19EF8">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bookmarkStart w:id="12" w:name="_Toc28359009"/>
      <w:bookmarkStart w:id="13" w:name="_Toc28359086"/>
      <w:r>
        <w:rPr>
          <w:rFonts w:hint="eastAsia" w:ascii="宋体" w:hAnsi="宋体" w:eastAsia="宋体" w:cs="宋体"/>
          <w:color w:val="auto"/>
          <w:szCs w:val="21"/>
          <w:highlight w:val="none"/>
          <w:lang w:eastAsia="zh-CN"/>
        </w:rPr>
        <w:t>联系人：</w:t>
      </w:r>
      <w:r>
        <w:rPr>
          <w:rFonts w:hint="eastAsia" w:ascii="宋体" w:hAnsi="宋体" w:eastAsia="宋体" w:cs="宋体"/>
          <w:color w:val="auto"/>
          <w:szCs w:val="21"/>
          <w:highlight w:val="none"/>
          <w:lang w:val="en-US" w:eastAsia="zh-CN"/>
        </w:rPr>
        <w:t xml:space="preserve"> 韦丽欣</w:t>
      </w:r>
    </w:p>
    <w:p w14:paraId="3AFA1456">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联系电话：</w:t>
      </w:r>
      <w:r>
        <w:rPr>
          <w:rFonts w:hint="eastAsia" w:ascii="宋体" w:hAnsi="宋体" w:eastAsia="宋体" w:cs="宋体"/>
          <w:color w:val="auto"/>
          <w:szCs w:val="21"/>
          <w:highlight w:val="none"/>
          <w:lang w:val="en-US" w:eastAsia="zh-CN"/>
        </w:rPr>
        <w:t xml:space="preserve"> 0771-6116954</w:t>
      </w:r>
    </w:p>
    <w:p w14:paraId="2E8A17A6">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2.采购代理机构信息</w:t>
      </w:r>
      <w:bookmarkEnd w:id="12"/>
      <w:bookmarkEnd w:id="13"/>
    </w:p>
    <w:p w14:paraId="084B9BD1">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 称：广西翔正项目管理有限公司</w:t>
      </w:r>
    </w:p>
    <w:p w14:paraId="1A9D5385">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　址：南宁市兴宁区秀厢大道199号金源城（建兴路）金源CBD东城25楼</w:t>
      </w:r>
    </w:p>
    <w:p w14:paraId="30D98BB5">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联系方式：</w:t>
      </w:r>
      <w:bookmarkStart w:id="14" w:name="_Toc28359010"/>
      <w:bookmarkStart w:id="15" w:name="_Toc28359087"/>
      <w:r>
        <w:rPr>
          <w:rFonts w:hint="eastAsia" w:ascii="宋体" w:hAnsi="宋体" w:eastAsia="宋体" w:cs="宋体"/>
          <w:color w:val="auto"/>
          <w:szCs w:val="21"/>
          <w:highlight w:val="none"/>
          <w:lang w:eastAsia="zh-CN"/>
        </w:rPr>
        <w:t>0771-3925351</w:t>
      </w:r>
    </w:p>
    <w:p w14:paraId="6E7FA17A">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3.项目联系方式</w:t>
      </w:r>
      <w:bookmarkEnd w:id="14"/>
      <w:bookmarkEnd w:id="15"/>
    </w:p>
    <w:p w14:paraId="3D904BC6">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项目联系人： 苏晓英、黄翠丽   </w:t>
      </w:r>
    </w:p>
    <w:p w14:paraId="3CBF261A">
      <w:pPr>
        <w:keepNext w:val="0"/>
        <w:keepLines w:val="0"/>
        <w:pageBreakBefore w:val="0"/>
        <w:kinsoku/>
        <w:wordWrap w:val="0"/>
        <w:overflowPunct/>
        <w:topLinePunct w:val="0"/>
        <w:autoSpaceDE/>
        <w:autoSpaceDN/>
        <w:bidi w:val="0"/>
        <w:adjustRightInd w:val="0"/>
        <w:spacing w:after="0" w:line="360" w:lineRule="auto"/>
        <w:ind w:leftChars="20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电　话：0771-3925351、0771-</w:t>
      </w:r>
      <w:r>
        <w:rPr>
          <w:rFonts w:hint="eastAsia" w:ascii="宋体" w:hAnsi="宋体" w:eastAsia="宋体" w:cs="宋体"/>
          <w:color w:val="auto"/>
          <w:szCs w:val="21"/>
          <w:highlight w:val="none"/>
          <w:lang w:val="en-US" w:eastAsia="zh-CN"/>
        </w:rPr>
        <w:t>5660532（传真）</w:t>
      </w:r>
      <w:r>
        <w:rPr>
          <w:rFonts w:hint="eastAsia" w:ascii="宋体" w:hAnsi="宋体" w:eastAsia="宋体" w:cs="宋体"/>
          <w:color w:val="auto"/>
          <w:szCs w:val="21"/>
          <w:highlight w:val="none"/>
          <w:lang w:eastAsia="zh-CN"/>
        </w:rPr>
        <w:t xml:space="preserve">  </w:t>
      </w:r>
    </w:p>
    <w:p w14:paraId="3DC9C838">
      <w:pPr>
        <w:keepNext w:val="0"/>
        <w:keepLines w:val="0"/>
        <w:pageBreakBefore w:val="0"/>
        <w:kinsoku/>
        <w:wordWrap w:val="0"/>
        <w:overflowPunct/>
        <w:topLinePunct w:val="0"/>
        <w:autoSpaceDE/>
        <w:autoSpaceDN/>
        <w:bidi w:val="0"/>
        <w:adjustRightInd w:val="0"/>
        <w:snapToGrid w:val="0"/>
        <w:spacing w:line="400" w:lineRule="exact"/>
        <w:jc w:val="right"/>
        <w:rPr>
          <w:rFonts w:hint="eastAsia" w:ascii="宋体" w:hAnsi="宋体" w:eastAsia="宋体" w:cs="宋体"/>
          <w:color w:val="auto"/>
          <w:szCs w:val="21"/>
          <w:highlight w:val="none"/>
        </w:rPr>
      </w:pPr>
    </w:p>
    <w:p w14:paraId="4352D037">
      <w:pPr>
        <w:keepNext w:val="0"/>
        <w:keepLines w:val="0"/>
        <w:pageBreakBefore w:val="0"/>
        <w:kinsoku/>
        <w:wordWrap w:val="0"/>
        <w:overflowPunct/>
        <w:topLinePunct w:val="0"/>
        <w:autoSpaceDE/>
        <w:autoSpaceDN/>
        <w:bidi w:val="0"/>
        <w:adjustRightInd w:val="0"/>
        <w:snapToGrid w:val="0"/>
        <w:spacing w:line="400" w:lineRule="exact"/>
        <w:jc w:val="righ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广西翔正项目管理有限公司</w:t>
      </w:r>
    </w:p>
    <w:p w14:paraId="0377FD5F">
      <w:pPr>
        <w:keepNext w:val="0"/>
        <w:keepLines w:val="0"/>
        <w:pageBreakBefore w:val="0"/>
        <w:kinsoku/>
        <w:wordWrap w:val="0"/>
        <w:overflowPunct/>
        <w:topLinePunct w:val="0"/>
        <w:autoSpaceDE/>
        <w:autoSpaceDN/>
        <w:bidi w:val="0"/>
        <w:adjustRightInd w:val="0"/>
        <w:snapToGrid w:val="0"/>
        <w:spacing w:line="400" w:lineRule="exact"/>
        <w:ind w:left="23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日</w:t>
      </w:r>
      <w:bookmarkEnd w:id="1"/>
      <w:bookmarkEnd w:id="8"/>
      <w:bookmarkEnd w:id="9"/>
      <w:bookmarkEnd w:id="10"/>
      <w:bookmarkEnd w:id="11"/>
    </w:p>
    <w:p w14:paraId="5AF583D0">
      <w:pPr>
        <w:spacing w:line="400" w:lineRule="exact"/>
        <w:jc w:val="center"/>
        <w:rPr>
          <w:rFonts w:ascii="宋体" w:hAnsi="宋体" w:eastAsia="宋体"/>
          <w:color w:val="auto"/>
          <w:highlight w:val="none"/>
        </w:rPr>
      </w:pPr>
      <w:r>
        <w:rPr>
          <w:rFonts w:ascii="宋体" w:hAnsi="宋体" w:eastAsia="宋体"/>
          <w:color w:val="auto"/>
          <w:sz w:val="32"/>
          <w:szCs w:val="32"/>
          <w:highlight w:val="none"/>
        </w:rPr>
        <w:br w:type="page"/>
      </w:r>
    </w:p>
    <w:p w14:paraId="17CE985C">
      <w:pPr>
        <w:pStyle w:val="2"/>
        <w:keepNext/>
        <w:keepLines/>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color w:val="auto"/>
          <w:highlight w:val="none"/>
        </w:rPr>
      </w:pPr>
      <w:bookmarkStart w:id="16" w:name="_Toc6497"/>
      <w:r>
        <w:rPr>
          <w:rFonts w:hint="eastAsia" w:ascii="宋体" w:hAnsi="宋体" w:eastAsia="宋体"/>
          <w:color w:val="auto"/>
          <w:highlight w:val="none"/>
        </w:rPr>
        <w:t>第二章 供应商须知</w:t>
      </w:r>
      <w:bookmarkEnd w:id="16"/>
    </w:p>
    <w:p w14:paraId="01840EA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eastAsia="宋体"/>
          <w:b/>
          <w:color w:val="auto"/>
          <w:sz w:val="32"/>
          <w:szCs w:val="32"/>
          <w:highlight w:val="none"/>
        </w:rPr>
      </w:pPr>
      <w:bookmarkStart w:id="17" w:name="_Toc10129"/>
      <w:r>
        <w:rPr>
          <w:rFonts w:hint="eastAsia" w:ascii="宋体" w:hAnsi="宋体" w:eastAsia="宋体"/>
          <w:b/>
          <w:color w:val="auto"/>
          <w:sz w:val="32"/>
          <w:szCs w:val="32"/>
          <w:highlight w:val="none"/>
        </w:rPr>
        <w:t>供应商须知前附表</w:t>
      </w:r>
      <w:bookmarkEnd w:id="17"/>
    </w:p>
    <w:tbl>
      <w:tblPr>
        <w:tblStyle w:val="49"/>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034B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232D6BD">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b/>
                <w:color w:val="auto"/>
                <w:szCs w:val="21"/>
                <w:highlight w:val="none"/>
              </w:rPr>
            </w:pPr>
            <w:r>
              <w:rPr>
                <w:rFonts w:hint="eastAsia" w:ascii="宋体" w:hAnsi="宋体" w:eastAsia="宋体" w:cs="Calibri"/>
                <w:b/>
                <w:color w:val="auto"/>
                <w:szCs w:val="21"/>
                <w:highlight w:val="none"/>
              </w:rPr>
              <w:t>条款号</w:t>
            </w:r>
          </w:p>
        </w:tc>
        <w:tc>
          <w:tcPr>
            <w:tcW w:w="7912" w:type="dxa"/>
            <w:vAlign w:val="center"/>
          </w:tcPr>
          <w:p w14:paraId="3364E1BC">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b/>
                <w:color w:val="auto"/>
                <w:szCs w:val="21"/>
                <w:highlight w:val="none"/>
              </w:rPr>
            </w:pPr>
            <w:r>
              <w:rPr>
                <w:rFonts w:hint="eastAsia" w:ascii="宋体" w:hAnsi="宋体" w:eastAsia="宋体" w:cs="Calibri"/>
                <w:b/>
                <w:color w:val="auto"/>
                <w:szCs w:val="21"/>
                <w:highlight w:val="none"/>
              </w:rPr>
              <w:t>内    容</w:t>
            </w:r>
          </w:p>
        </w:tc>
      </w:tr>
      <w:tr w14:paraId="36D1B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23A9261">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3</w:t>
            </w:r>
          </w:p>
        </w:tc>
        <w:tc>
          <w:tcPr>
            <w:tcW w:w="7912" w:type="dxa"/>
            <w:vAlign w:val="center"/>
          </w:tcPr>
          <w:p w14:paraId="596EC374">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olor w:val="auto"/>
                <w:highlight w:val="none"/>
              </w:rPr>
              <w:t>1.供应商的资格条件：详见竞争性磋商公告</w:t>
            </w:r>
          </w:p>
          <w:p w14:paraId="157E3352">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olor w:val="auto"/>
                <w:highlight w:val="none"/>
              </w:rPr>
              <w:t>2.供应商出现下列情形之一的，不得参加政府采购活动：</w:t>
            </w:r>
          </w:p>
          <w:p w14:paraId="5C75F771">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rPr>
            </w:pPr>
            <w:r>
              <w:rPr>
                <w:rFonts w:hint="eastAsia" w:ascii="宋体" w:hAnsi="宋体" w:eastAsia="宋体"/>
                <w:color w:val="auto"/>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D3A464">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default" w:ascii="宋体" w:hAnsi="宋体" w:eastAsia="宋体" w:cs="Calibri"/>
                <w:color w:val="auto"/>
                <w:szCs w:val="21"/>
                <w:highlight w:val="none"/>
              </w:rPr>
            </w:pPr>
            <w:r>
              <w:rPr>
                <w:rFonts w:hint="eastAsia" w:ascii="宋体" w:hAnsi="宋体" w:eastAsia="宋体"/>
                <w:color w:val="auto"/>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B848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C791D1">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5.1</w:t>
            </w:r>
          </w:p>
        </w:tc>
        <w:tc>
          <w:tcPr>
            <w:tcW w:w="7912" w:type="dxa"/>
            <w:vAlign w:val="center"/>
          </w:tcPr>
          <w:p w14:paraId="5131B89F">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rPr>
                <w:rFonts w:hint="eastAsia" w:ascii="宋体" w:hAnsi="宋体" w:eastAsia="宋体" w:cs="Calibri"/>
                <w:color w:val="auto"/>
                <w:szCs w:val="21"/>
                <w:highlight w:val="none"/>
                <w:lang w:eastAsia="zh-CN"/>
              </w:rPr>
            </w:pPr>
            <w:r>
              <w:rPr>
                <w:rFonts w:hint="eastAsia" w:ascii="宋体" w:hAnsi="宋体" w:eastAsia="宋体" w:cs="Calibri"/>
                <w:color w:val="auto"/>
                <w:szCs w:val="21"/>
                <w:highlight w:val="none"/>
              </w:rPr>
              <w:t>是否接受联合体竞标:</w:t>
            </w:r>
            <w:r>
              <w:rPr>
                <w:rFonts w:hint="eastAsia" w:ascii="宋体" w:hAnsi="宋体" w:eastAsia="宋体" w:cs="Calibri"/>
                <w:color w:val="auto"/>
                <w:szCs w:val="21"/>
                <w:highlight w:val="none"/>
                <w:lang w:eastAsia="zh-CN"/>
              </w:rPr>
              <w:t>本项目不接受联合体竞标</w:t>
            </w:r>
          </w:p>
        </w:tc>
      </w:tr>
      <w:tr w14:paraId="313D9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0341357">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6.2</w:t>
            </w:r>
          </w:p>
        </w:tc>
        <w:tc>
          <w:tcPr>
            <w:tcW w:w="7912" w:type="dxa"/>
            <w:vAlign w:val="center"/>
          </w:tcPr>
          <w:p w14:paraId="68D69265">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rPr>
            </w:pPr>
            <w:r>
              <w:rPr>
                <w:rFonts w:hint="eastAsia" w:ascii="宋体" w:hAnsi="宋体" w:eastAsia="宋体"/>
                <w:color w:val="auto"/>
                <w:highlight w:val="none"/>
                <w:lang w:val="en-US" w:eastAsia="zh-CN"/>
              </w:rPr>
              <w:t>☑</w:t>
            </w:r>
            <w:r>
              <w:rPr>
                <w:rFonts w:hint="eastAsia" w:ascii="宋体" w:hAnsi="宋体" w:eastAsia="宋体"/>
                <w:color w:val="auto"/>
                <w:highlight w:val="none"/>
                <w:lang w:val="en-US"/>
              </w:rPr>
              <w:t>不允许分包</w:t>
            </w:r>
          </w:p>
          <w:p w14:paraId="0ABB29D4">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rPr>
            </w:pPr>
            <w:r>
              <w:rPr>
                <w:rFonts w:hint="eastAsia" w:ascii="宋体" w:hAnsi="宋体" w:eastAsia="宋体"/>
                <w:color w:val="auto"/>
                <w:highlight w:val="none"/>
                <w:lang w:val="en-US"/>
              </w:rPr>
              <w:t>□允许分包</w:t>
            </w:r>
          </w:p>
          <w:p w14:paraId="4940528D">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rPr>
              <w:t>分包内容：</w:t>
            </w:r>
            <w:r>
              <w:rPr>
                <w:rFonts w:hint="eastAsia" w:ascii="宋体" w:hAnsi="宋体" w:eastAsia="宋体"/>
                <w:color w:val="auto"/>
                <w:highlight w:val="none"/>
                <w:u w:val="single"/>
                <w:lang w:val="en-US"/>
              </w:rPr>
              <w:t xml:space="preserve">    </w:t>
            </w:r>
            <w:r>
              <w:rPr>
                <w:rFonts w:hint="eastAsia" w:ascii="宋体" w:hAnsi="宋体" w:eastAsia="宋体"/>
                <w:color w:val="auto"/>
                <w:highlight w:val="none"/>
                <w:u w:val="single"/>
                <w:lang w:val="en-US" w:eastAsia="zh-CN"/>
              </w:rPr>
              <w:t>/</w:t>
            </w:r>
            <w:r>
              <w:rPr>
                <w:rFonts w:hint="eastAsia" w:ascii="宋体" w:hAnsi="宋体" w:eastAsia="宋体"/>
                <w:color w:val="auto"/>
                <w:highlight w:val="none"/>
                <w:u w:val="single"/>
                <w:lang w:val="en-US"/>
              </w:rPr>
              <w:t xml:space="preserve">       </w:t>
            </w:r>
            <w:r>
              <w:rPr>
                <w:rFonts w:hint="eastAsia" w:ascii="宋体" w:hAnsi="宋体" w:eastAsia="宋体"/>
                <w:color w:val="auto"/>
                <w:highlight w:val="none"/>
                <w:u w:val="single"/>
                <w:lang w:val="en-US" w:eastAsia="zh-CN"/>
              </w:rPr>
              <w:t>。</w:t>
            </w:r>
          </w:p>
          <w:p w14:paraId="43ABCF54">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s="Calibri"/>
                <w:color w:val="auto"/>
                <w:szCs w:val="21"/>
                <w:highlight w:val="none"/>
                <w:lang w:val="en-US" w:eastAsia="zh-CN"/>
              </w:rPr>
            </w:pPr>
            <w:r>
              <w:rPr>
                <w:rFonts w:hint="eastAsia" w:ascii="宋体" w:hAnsi="宋体" w:eastAsia="宋体"/>
                <w:color w:val="auto"/>
                <w:highlight w:val="none"/>
                <w:lang w:val="en-US"/>
              </w:rPr>
              <w:t xml:space="preserve">分包金额或者比例： </w:t>
            </w:r>
            <w:r>
              <w:rPr>
                <w:rFonts w:hint="eastAsia" w:ascii="宋体" w:hAnsi="宋体" w:eastAsia="宋体"/>
                <w:color w:val="auto"/>
                <w:highlight w:val="none"/>
                <w:u w:val="single"/>
                <w:lang w:val="en-US"/>
              </w:rPr>
              <w:t xml:space="preserve">    </w:t>
            </w:r>
            <w:r>
              <w:rPr>
                <w:rFonts w:hint="eastAsia" w:ascii="宋体" w:hAnsi="宋体" w:eastAsia="宋体"/>
                <w:color w:val="auto"/>
                <w:highlight w:val="none"/>
                <w:u w:val="single"/>
                <w:lang w:val="en-US" w:eastAsia="zh-CN"/>
              </w:rPr>
              <w:t>/</w:t>
            </w:r>
            <w:r>
              <w:rPr>
                <w:rFonts w:hint="eastAsia" w:ascii="宋体" w:hAnsi="宋体" w:eastAsia="宋体"/>
                <w:color w:val="auto"/>
                <w:highlight w:val="none"/>
                <w:u w:val="single"/>
                <w:lang w:val="en-US"/>
              </w:rPr>
              <w:t xml:space="preserve">     </w:t>
            </w:r>
            <w:r>
              <w:rPr>
                <w:rFonts w:hint="eastAsia" w:ascii="宋体" w:hAnsi="宋体" w:eastAsia="宋体"/>
                <w:color w:val="auto"/>
                <w:highlight w:val="none"/>
                <w:u w:val="single"/>
                <w:lang w:val="en-US" w:eastAsia="zh-CN"/>
              </w:rPr>
              <w:t>。</w:t>
            </w:r>
          </w:p>
        </w:tc>
      </w:tr>
      <w:tr w14:paraId="65E61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CDC176">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12.1.</w:t>
            </w:r>
            <w:r>
              <w:rPr>
                <w:rFonts w:hint="default" w:ascii="宋体" w:hAnsi="宋体" w:eastAsia="宋体" w:cs="Calibri"/>
                <w:color w:val="auto"/>
                <w:szCs w:val="21"/>
                <w:highlight w:val="none"/>
              </w:rPr>
              <w:t>1</w:t>
            </w:r>
          </w:p>
        </w:tc>
        <w:tc>
          <w:tcPr>
            <w:tcW w:w="7912" w:type="dxa"/>
            <w:vAlign w:val="center"/>
          </w:tcPr>
          <w:p w14:paraId="4A8380B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default" w:ascii="宋体" w:hAnsi="宋体" w:eastAsia="宋体" w:cs="Calibri"/>
                <w:b/>
                <w:color w:val="auto"/>
                <w:szCs w:val="21"/>
                <w:highlight w:val="none"/>
              </w:rPr>
            </w:pPr>
            <w:r>
              <w:rPr>
                <w:rFonts w:hint="eastAsia" w:ascii="宋体" w:hAnsi="宋体" w:eastAsia="宋体" w:cs="Calibri"/>
                <w:b/>
                <w:color w:val="auto"/>
                <w:szCs w:val="21"/>
                <w:highlight w:val="none"/>
              </w:rPr>
              <w:t>资格证明文件</w:t>
            </w:r>
          </w:p>
          <w:p w14:paraId="31ECE250">
            <w:pPr>
              <w:pStyle w:val="18"/>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s="等线"/>
                <w:color w:val="auto"/>
                <w:szCs w:val="21"/>
                <w:highlight w:val="none"/>
                <w:lang w:val="en-US"/>
              </w:rPr>
            </w:pPr>
            <w:r>
              <w:rPr>
                <w:rFonts w:hint="eastAsia" w:ascii="宋体" w:hAnsi="宋体" w:eastAsia="宋体" w:cs="Calibri"/>
                <w:color w:val="auto"/>
                <w:szCs w:val="21"/>
                <w:highlight w:val="none"/>
                <w:lang w:val="en-US"/>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eastAsia="宋体" w:cs="Calibri"/>
                <w:b/>
                <w:color w:val="auto"/>
                <w:szCs w:val="21"/>
                <w:highlight w:val="none"/>
                <w:lang w:val="en-US"/>
              </w:rPr>
              <w:t>必须提供，否则响应文件按无效响应处理</w:t>
            </w:r>
            <w:r>
              <w:rPr>
                <w:rFonts w:hint="eastAsia" w:ascii="宋体" w:hAnsi="宋体" w:eastAsia="宋体" w:cs="Calibri"/>
                <w:color w:val="auto"/>
                <w:szCs w:val="21"/>
                <w:highlight w:val="none"/>
                <w:lang w:val="en-US"/>
              </w:rPr>
              <w:t>）</w:t>
            </w:r>
          </w:p>
          <w:p w14:paraId="67B2F2F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contextualSpacing/>
              <w:jc w:val="left"/>
              <w:textAlignment w:val="auto"/>
              <w:rPr>
                <w:rFonts w:hint="default" w:ascii="宋体" w:hAnsi="宋体" w:eastAsia="宋体" w:cs="Calibri"/>
                <w:color w:val="auto"/>
                <w:szCs w:val="21"/>
                <w:highlight w:val="none"/>
              </w:rPr>
            </w:pPr>
            <w:r>
              <w:rPr>
                <w:rFonts w:hint="eastAsia" w:ascii="宋体" w:hAnsi="宋体" w:eastAsia="宋体" w:cs="Calibri"/>
                <w:color w:val="auto"/>
                <w:szCs w:val="21"/>
                <w:highlight w:val="none"/>
              </w:rPr>
              <w:t>2. 供应商依法缴纳税收的相关材料（</w:t>
            </w:r>
            <w:r>
              <w:rPr>
                <w:rFonts w:hint="default" w:ascii="宋体" w:hAnsi="宋体" w:eastAsia="宋体" w:cs="Calibri"/>
                <w:color w:val="auto"/>
                <w:szCs w:val="21"/>
                <w:highlight w:val="none"/>
                <w:u w:val="single"/>
              </w:rPr>
              <w:t>202</w:t>
            </w:r>
            <w:r>
              <w:rPr>
                <w:rFonts w:hint="eastAsia" w:ascii="宋体" w:hAnsi="宋体" w:eastAsia="宋体" w:cs="Calibri"/>
                <w:color w:val="auto"/>
                <w:szCs w:val="21"/>
                <w:highlight w:val="none"/>
                <w:u w:val="single"/>
                <w:lang w:val="en-US" w:eastAsia="zh-CN"/>
              </w:rPr>
              <w:t>5</w:t>
            </w:r>
            <w:r>
              <w:rPr>
                <w:rFonts w:hint="eastAsia" w:ascii="宋体" w:hAnsi="宋体" w:eastAsia="宋体" w:cs="Calibri"/>
                <w:color w:val="auto"/>
                <w:szCs w:val="21"/>
                <w:highlight w:val="none"/>
                <w:u w:val="single"/>
              </w:rPr>
              <w:t xml:space="preserve"> </w:t>
            </w:r>
            <w:r>
              <w:rPr>
                <w:rFonts w:hint="eastAsia" w:ascii="宋体" w:hAnsi="宋体" w:eastAsia="宋体" w:cs="Calibri"/>
                <w:color w:val="auto"/>
                <w:szCs w:val="21"/>
                <w:highlight w:val="none"/>
              </w:rPr>
              <w:t>年</w:t>
            </w:r>
            <w:r>
              <w:rPr>
                <w:rFonts w:hint="eastAsia" w:ascii="宋体" w:hAnsi="宋体" w:eastAsia="宋体" w:cs="Calibri"/>
                <w:color w:val="auto"/>
                <w:szCs w:val="21"/>
                <w:highlight w:val="none"/>
                <w:u w:val="single"/>
                <w:lang w:val="en-US" w:eastAsia="zh-CN"/>
              </w:rPr>
              <w:t>11</w:t>
            </w:r>
            <w:r>
              <w:rPr>
                <w:rFonts w:hint="eastAsia" w:ascii="宋体" w:hAnsi="宋体" w:eastAsia="宋体" w:cs="Calibri"/>
                <w:color w:val="auto"/>
                <w:szCs w:val="21"/>
                <w:highlight w:val="none"/>
              </w:rPr>
              <w:t>月至</w:t>
            </w:r>
            <w:r>
              <w:rPr>
                <w:rFonts w:hint="default" w:ascii="宋体" w:hAnsi="宋体" w:eastAsia="宋体" w:cs="Calibri"/>
                <w:color w:val="auto"/>
                <w:szCs w:val="21"/>
                <w:highlight w:val="none"/>
                <w:u w:val="single"/>
              </w:rPr>
              <w:t>202</w:t>
            </w:r>
            <w:r>
              <w:rPr>
                <w:rFonts w:hint="eastAsia" w:ascii="宋体" w:hAnsi="宋体" w:eastAsia="宋体" w:cs="Calibri"/>
                <w:color w:val="auto"/>
                <w:szCs w:val="21"/>
                <w:highlight w:val="none"/>
                <w:u w:val="single"/>
                <w:lang w:val="en-US" w:eastAsia="zh-CN"/>
              </w:rPr>
              <w:t>6</w:t>
            </w:r>
            <w:r>
              <w:rPr>
                <w:rFonts w:hint="eastAsia" w:ascii="宋体" w:hAnsi="宋体" w:eastAsia="宋体" w:cs="Calibri"/>
                <w:color w:val="auto"/>
                <w:szCs w:val="21"/>
                <w:highlight w:val="none"/>
              </w:rPr>
              <w:t>年</w:t>
            </w:r>
            <w:r>
              <w:rPr>
                <w:rFonts w:hint="eastAsia" w:ascii="宋体" w:hAnsi="宋体" w:eastAsia="宋体" w:cs="Calibri"/>
                <w:color w:val="auto"/>
                <w:szCs w:val="21"/>
                <w:highlight w:val="none"/>
                <w:u w:val="single"/>
                <w:lang w:val="en-US" w:eastAsia="zh-CN"/>
              </w:rPr>
              <w:t>4</w:t>
            </w:r>
            <w:r>
              <w:rPr>
                <w:rFonts w:hint="eastAsia" w:ascii="宋体" w:hAnsi="宋体" w:eastAsia="宋体" w:cs="Calibri"/>
                <w:color w:val="auto"/>
                <w:szCs w:val="21"/>
                <w:highlight w:val="none"/>
              </w:rPr>
              <w:t>月内连续</w:t>
            </w:r>
            <w:r>
              <w:rPr>
                <w:rFonts w:hint="default" w:ascii="宋体" w:hAnsi="宋体" w:eastAsia="宋体" w:cs="Calibri"/>
                <w:color w:val="auto"/>
                <w:szCs w:val="21"/>
                <w:highlight w:val="none"/>
                <w:u w:val="single"/>
              </w:rPr>
              <w:t>3</w:t>
            </w:r>
            <w:r>
              <w:rPr>
                <w:rFonts w:hint="eastAsia" w:ascii="宋体" w:hAnsi="宋体" w:eastAsia="宋体" w:cs="Calibri"/>
                <w:color w:val="auto"/>
                <w:szCs w:val="21"/>
                <w:highlight w:val="none"/>
                <w:u w:val="single"/>
              </w:rPr>
              <w:t xml:space="preserve"> </w:t>
            </w:r>
            <w:r>
              <w:rPr>
                <w:rFonts w:hint="eastAsia" w:ascii="宋体" w:hAnsi="宋体" w:eastAsia="宋体" w:cs="Calibri"/>
                <w:color w:val="auto"/>
                <w:szCs w:val="21"/>
                <w:highlight w:val="none"/>
              </w:rPr>
              <w:t>个月的依法缴纳税收的凭据复印件；</w:t>
            </w:r>
            <w:r>
              <w:rPr>
                <w:rFonts w:hint="eastAsia" w:ascii="宋体" w:hAnsi="宋体" w:eastAsia="宋体"/>
                <w:color w:val="auto"/>
                <w:highlight w:val="none"/>
              </w:rPr>
              <w:t>依法免税的，必须提供相应文件证明其依法免税。</w:t>
            </w:r>
            <w:r>
              <w:rPr>
                <w:rFonts w:hint="eastAsia" w:ascii="宋体" w:hAnsi="宋体" w:eastAsia="宋体" w:cs="Calibri"/>
                <w:color w:val="auto"/>
                <w:szCs w:val="21"/>
                <w:highlight w:val="none"/>
              </w:rPr>
              <w:t>从</w:t>
            </w:r>
            <w:r>
              <w:rPr>
                <w:rFonts w:hint="default" w:ascii="宋体" w:hAnsi="宋体" w:eastAsia="宋体"/>
                <w:color w:val="auto"/>
                <w:szCs w:val="21"/>
                <w:highlight w:val="none"/>
              </w:rPr>
              <w:t>成立</w:t>
            </w:r>
            <w:r>
              <w:rPr>
                <w:rFonts w:hint="eastAsia" w:ascii="宋体" w:hAnsi="宋体" w:eastAsia="宋体"/>
                <w:color w:val="auto"/>
                <w:szCs w:val="21"/>
                <w:highlight w:val="none"/>
              </w:rPr>
              <w:t>之日起</w:t>
            </w:r>
            <w:r>
              <w:rPr>
                <w:rFonts w:hint="eastAsia" w:ascii="宋体" w:hAnsi="宋体" w:eastAsia="宋体" w:cs="Calibri"/>
                <w:color w:val="auto"/>
                <w:szCs w:val="21"/>
                <w:highlight w:val="none"/>
              </w:rPr>
              <w:t>到响应文件提交截止时间止不足要求月数的，只需提供从</w:t>
            </w:r>
            <w:r>
              <w:rPr>
                <w:rFonts w:hint="default" w:ascii="宋体" w:hAnsi="宋体" w:eastAsia="宋体"/>
                <w:color w:val="auto"/>
                <w:szCs w:val="21"/>
                <w:highlight w:val="none"/>
              </w:rPr>
              <w:t>成立</w:t>
            </w:r>
            <w:r>
              <w:rPr>
                <w:rFonts w:hint="eastAsia" w:ascii="宋体" w:hAnsi="宋体" w:eastAsia="宋体"/>
                <w:color w:val="auto"/>
                <w:szCs w:val="21"/>
                <w:highlight w:val="none"/>
              </w:rPr>
              <w:t>之日起</w:t>
            </w:r>
            <w:r>
              <w:rPr>
                <w:rFonts w:hint="eastAsia" w:ascii="宋体" w:hAnsi="宋体" w:eastAsia="宋体" w:cs="Calibri"/>
                <w:color w:val="auto"/>
                <w:szCs w:val="21"/>
                <w:highlight w:val="none"/>
              </w:rPr>
              <w:t>的依法缴纳税收</w:t>
            </w:r>
            <w:r>
              <w:rPr>
                <w:rFonts w:hint="eastAsia" w:ascii="宋体" w:hAnsi="宋体" w:eastAsia="宋体"/>
                <w:color w:val="auto"/>
                <w:highlight w:val="none"/>
              </w:rPr>
              <w:t>相应证明文件</w:t>
            </w:r>
            <w:r>
              <w:rPr>
                <w:rFonts w:hint="eastAsia" w:ascii="宋体" w:hAnsi="宋体" w:eastAsia="宋体" w:cs="Calibri"/>
                <w:color w:val="auto"/>
                <w:szCs w:val="21"/>
                <w:highlight w:val="none"/>
              </w:rPr>
              <w:t>）；（</w:t>
            </w:r>
            <w:r>
              <w:rPr>
                <w:rFonts w:hint="eastAsia" w:ascii="宋体" w:hAnsi="宋体" w:eastAsia="宋体" w:cs="Calibri"/>
                <w:b/>
                <w:color w:val="auto"/>
                <w:szCs w:val="21"/>
                <w:highlight w:val="none"/>
              </w:rPr>
              <w:t>必须提供，否则响应文件按无效响应处理</w:t>
            </w:r>
            <w:r>
              <w:rPr>
                <w:rFonts w:hint="eastAsia" w:ascii="宋体" w:hAnsi="宋体" w:eastAsia="宋体" w:cs="Calibri"/>
                <w:color w:val="auto"/>
                <w:szCs w:val="21"/>
                <w:highlight w:val="none"/>
              </w:rPr>
              <w:t>）</w:t>
            </w:r>
          </w:p>
          <w:p w14:paraId="57211BF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contextualSpacing/>
              <w:jc w:val="left"/>
              <w:textAlignment w:val="auto"/>
              <w:rPr>
                <w:rFonts w:hint="default" w:ascii="宋体" w:hAnsi="宋体" w:eastAsia="宋体" w:cs="Calibri"/>
                <w:color w:val="auto"/>
                <w:szCs w:val="21"/>
                <w:highlight w:val="none"/>
              </w:rPr>
            </w:pPr>
            <w:r>
              <w:rPr>
                <w:rFonts w:hint="eastAsia" w:ascii="宋体" w:hAnsi="宋体" w:eastAsia="宋体" w:cs="Calibri"/>
                <w:color w:val="auto"/>
                <w:szCs w:val="21"/>
                <w:highlight w:val="none"/>
              </w:rPr>
              <w:t>3. 供应商依法缴纳社会保障资金的相关材料[</w:t>
            </w:r>
            <w:r>
              <w:rPr>
                <w:rFonts w:hint="eastAsia" w:ascii="宋体" w:hAnsi="宋体" w:eastAsia="宋体" w:cs="Calibri"/>
                <w:color w:val="auto"/>
                <w:szCs w:val="21"/>
                <w:highlight w:val="none"/>
                <w:u w:val="single"/>
              </w:rPr>
              <w:t xml:space="preserve"> </w:t>
            </w:r>
            <w:r>
              <w:rPr>
                <w:rFonts w:hint="default" w:ascii="宋体" w:hAnsi="宋体" w:eastAsia="宋体" w:cs="Calibri"/>
                <w:color w:val="auto"/>
                <w:szCs w:val="21"/>
                <w:highlight w:val="none"/>
                <w:u w:val="single"/>
              </w:rPr>
              <w:t>202</w:t>
            </w:r>
            <w:r>
              <w:rPr>
                <w:rFonts w:hint="eastAsia" w:ascii="宋体" w:hAnsi="宋体" w:eastAsia="宋体" w:cs="Calibri"/>
                <w:color w:val="auto"/>
                <w:szCs w:val="21"/>
                <w:highlight w:val="none"/>
                <w:u w:val="single"/>
                <w:lang w:val="en-US" w:eastAsia="zh-CN"/>
              </w:rPr>
              <w:t>5</w:t>
            </w:r>
            <w:r>
              <w:rPr>
                <w:rFonts w:hint="eastAsia" w:ascii="宋体" w:hAnsi="宋体" w:eastAsia="宋体" w:cs="Calibri"/>
                <w:color w:val="auto"/>
                <w:szCs w:val="21"/>
                <w:highlight w:val="none"/>
                <w:u w:val="single"/>
              </w:rPr>
              <w:t xml:space="preserve"> </w:t>
            </w:r>
            <w:r>
              <w:rPr>
                <w:rFonts w:hint="eastAsia" w:ascii="宋体" w:hAnsi="宋体" w:eastAsia="宋体" w:cs="Calibri"/>
                <w:color w:val="auto"/>
                <w:szCs w:val="21"/>
                <w:highlight w:val="none"/>
              </w:rPr>
              <w:t>年</w:t>
            </w:r>
            <w:r>
              <w:rPr>
                <w:rFonts w:hint="eastAsia" w:ascii="宋体" w:hAnsi="宋体" w:eastAsia="宋体" w:cs="Calibri"/>
                <w:color w:val="auto"/>
                <w:szCs w:val="21"/>
                <w:highlight w:val="none"/>
                <w:u w:val="single"/>
                <w:lang w:val="en-US" w:eastAsia="zh-CN"/>
              </w:rPr>
              <w:t>11</w:t>
            </w:r>
            <w:r>
              <w:rPr>
                <w:rFonts w:hint="eastAsia" w:ascii="宋体" w:hAnsi="宋体" w:eastAsia="宋体" w:cs="Calibri"/>
                <w:color w:val="auto"/>
                <w:szCs w:val="21"/>
                <w:highlight w:val="none"/>
              </w:rPr>
              <w:t>月至</w:t>
            </w:r>
            <w:r>
              <w:rPr>
                <w:rFonts w:hint="default" w:ascii="宋体" w:hAnsi="宋体" w:eastAsia="宋体" w:cs="Calibri"/>
                <w:color w:val="auto"/>
                <w:szCs w:val="21"/>
                <w:highlight w:val="none"/>
                <w:u w:val="single"/>
              </w:rPr>
              <w:t>202</w:t>
            </w:r>
            <w:r>
              <w:rPr>
                <w:rFonts w:hint="eastAsia" w:ascii="宋体" w:hAnsi="宋体" w:eastAsia="宋体" w:cs="Calibri"/>
                <w:color w:val="auto"/>
                <w:szCs w:val="21"/>
                <w:highlight w:val="none"/>
                <w:u w:val="single"/>
                <w:lang w:val="en-US" w:eastAsia="zh-CN"/>
              </w:rPr>
              <w:t>6</w:t>
            </w:r>
            <w:r>
              <w:rPr>
                <w:rFonts w:hint="eastAsia" w:ascii="宋体" w:hAnsi="宋体" w:eastAsia="宋体" w:cs="Calibri"/>
                <w:color w:val="auto"/>
                <w:szCs w:val="21"/>
                <w:highlight w:val="none"/>
              </w:rPr>
              <w:t>年</w:t>
            </w:r>
            <w:r>
              <w:rPr>
                <w:rFonts w:hint="eastAsia" w:ascii="宋体" w:hAnsi="宋体" w:eastAsia="宋体" w:cs="Calibri"/>
                <w:color w:val="auto"/>
                <w:szCs w:val="21"/>
                <w:highlight w:val="none"/>
                <w:u w:val="single"/>
                <w:lang w:val="en-US" w:eastAsia="zh-CN"/>
              </w:rPr>
              <w:t>4</w:t>
            </w:r>
            <w:r>
              <w:rPr>
                <w:rFonts w:hint="eastAsia" w:ascii="宋体" w:hAnsi="宋体" w:eastAsia="宋体" w:cs="Calibri"/>
                <w:color w:val="auto"/>
                <w:szCs w:val="21"/>
                <w:highlight w:val="none"/>
              </w:rPr>
              <w:t>月连续</w:t>
            </w:r>
            <w:r>
              <w:rPr>
                <w:rFonts w:hint="default" w:ascii="宋体" w:hAnsi="宋体" w:eastAsia="宋体" w:cs="Calibri"/>
                <w:color w:val="auto"/>
                <w:szCs w:val="21"/>
                <w:highlight w:val="none"/>
                <w:u w:val="single"/>
              </w:rPr>
              <w:t>3</w:t>
            </w:r>
            <w:r>
              <w:rPr>
                <w:rFonts w:hint="eastAsia" w:ascii="宋体" w:hAnsi="宋体" w:eastAsia="宋体" w:cs="Calibri"/>
                <w:color w:val="auto"/>
                <w:szCs w:val="21"/>
                <w:highlight w:val="none"/>
                <w:u w:val="single"/>
              </w:rPr>
              <w:t xml:space="preserve"> </w:t>
            </w:r>
            <w:r>
              <w:rPr>
                <w:rFonts w:hint="eastAsia" w:ascii="宋体" w:hAnsi="宋体" w:eastAsia="宋体" w:cs="Calibri"/>
                <w:color w:val="auto"/>
                <w:szCs w:val="21"/>
                <w:highlight w:val="none"/>
              </w:rPr>
              <w:t>个月的依法缴纳社会保障资金的缴费证明材料（如：专用收据、社会保险缴纳清单或者社保部门的证明）复印件；依法不需要缴纳社会保障资金的供应商，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eastAsia="宋体" w:cs="Calibri"/>
                <w:b/>
                <w:color w:val="auto"/>
                <w:szCs w:val="21"/>
                <w:highlight w:val="none"/>
              </w:rPr>
              <w:t>必须提供，否则响应文件按无效响应处理</w:t>
            </w:r>
            <w:r>
              <w:rPr>
                <w:rFonts w:hint="eastAsia" w:ascii="宋体" w:hAnsi="宋体" w:eastAsia="宋体" w:cs="Calibri"/>
                <w:color w:val="auto"/>
                <w:szCs w:val="21"/>
                <w:highlight w:val="none"/>
              </w:rPr>
              <w:t>）</w:t>
            </w:r>
          </w:p>
          <w:p w14:paraId="2C3AD22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contextualSpacing/>
              <w:jc w:val="left"/>
              <w:textAlignment w:val="auto"/>
              <w:rPr>
                <w:rFonts w:hint="default" w:ascii="宋体" w:hAnsi="宋体" w:eastAsia="宋体" w:cs="Calibri"/>
                <w:b/>
                <w:color w:val="auto"/>
                <w:szCs w:val="21"/>
                <w:highlight w:val="none"/>
              </w:rPr>
            </w:pPr>
            <w:r>
              <w:rPr>
                <w:rFonts w:hint="eastAsia" w:ascii="宋体" w:hAnsi="宋体" w:eastAsia="宋体" w:cs="Calibri"/>
                <w:color w:val="auto"/>
                <w:szCs w:val="21"/>
                <w:highlight w:val="none"/>
              </w:rPr>
              <w:t>4.供应商</w:t>
            </w:r>
            <w:r>
              <w:rPr>
                <w:rFonts w:hint="eastAsia" w:ascii="宋体" w:hAnsi="宋体" w:eastAsia="宋体"/>
                <w:color w:val="auto"/>
                <w:szCs w:val="21"/>
                <w:highlight w:val="none"/>
              </w:rPr>
              <w:t>财务状况报告（</w:t>
            </w:r>
            <w:r>
              <w:rPr>
                <w:rFonts w:hint="eastAsia" w:ascii="宋体" w:hAnsi="宋体" w:eastAsia="宋体"/>
                <w:color w:val="auto"/>
                <w:szCs w:val="21"/>
                <w:highlight w:val="none"/>
                <w:u w:val="single"/>
              </w:rPr>
              <w:t>2</w:t>
            </w:r>
            <w:r>
              <w:rPr>
                <w:rFonts w:hint="default" w:ascii="宋体" w:hAnsi="宋体" w:eastAsia="宋体"/>
                <w:color w:val="auto"/>
                <w:szCs w:val="21"/>
                <w:highlight w:val="none"/>
                <w:u w:val="single"/>
              </w:rPr>
              <w:t>02</w:t>
            </w:r>
            <w:r>
              <w:rPr>
                <w:rFonts w:hint="eastAsia" w:ascii="宋体" w:hAnsi="宋体" w:eastAsia="宋体"/>
                <w:color w:val="auto"/>
                <w:szCs w:val="21"/>
                <w:highlight w:val="none"/>
                <w:u w:val="single"/>
                <w:lang w:val="en-US" w:eastAsia="zh-CN"/>
              </w:rPr>
              <w:t>4</w:t>
            </w:r>
            <w:r>
              <w:rPr>
                <w:rFonts w:hint="eastAsia" w:ascii="宋体" w:hAnsi="宋体" w:eastAsia="宋体"/>
                <w:color w:val="auto"/>
                <w:szCs w:val="21"/>
                <w:highlight w:val="none"/>
              </w:rPr>
              <w:t>年度财务报表复印件，或者银行出具的资信证明，或者中国人民银行征信中心出具的信用报告（企业竞标的提供企业信用报告，自然人竞标的提供个人信用报告）；供应商属于</w:t>
            </w:r>
            <w:r>
              <w:rPr>
                <w:rFonts w:hint="eastAsia" w:ascii="宋体" w:hAnsi="宋体" w:eastAsia="宋体"/>
                <w:color w:val="auto"/>
                <w:highlight w:val="none"/>
              </w:rPr>
              <w:t>成立时间</w:t>
            </w:r>
            <w:r>
              <w:rPr>
                <w:rFonts w:hint="eastAsia" w:ascii="宋体" w:hAnsi="宋体" w:eastAsia="宋体"/>
                <w:color w:val="auto"/>
                <w:kern w:val="0"/>
                <w:highlight w:val="none"/>
              </w:rPr>
              <w:t>在规定年度之后</w:t>
            </w:r>
            <w:r>
              <w:rPr>
                <w:rFonts w:hint="eastAsia" w:ascii="宋体" w:hAnsi="宋体" w:eastAsia="宋体"/>
                <w:color w:val="auto"/>
                <w:highlight w:val="none"/>
              </w:rPr>
              <w:t>的</w:t>
            </w:r>
            <w:r>
              <w:rPr>
                <w:rFonts w:hint="eastAsia" w:ascii="宋体" w:hAnsi="宋体" w:eastAsia="宋体"/>
                <w:color w:val="auto"/>
                <w:szCs w:val="21"/>
                <w:highlight w:val="none"/>
              </w:rPr>
              <w:t>法人或其他组织</w:t>
            </w:r>
            <w:r>
              <w:rPr>
                <w:rFonts w:hint="eastAsia" w:ascii="宋体" w:hAnsi="宋体" w:eastAsia="宋体"/>
                <w:color w:val="auto"/>
                <w:highlight w:val="none"/>
              </w:rPr>
              <w:t>，需提供成立之日起至响应文件提交截止时间前的月报表</w:t>
            </w:r>
            <w:r>
              <w:rPr>
                <w:rFonts w:hint="eastAsia" w:ascii="宋体" w:hAnsi="宋体" w:eastAsia="宋体"/>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eastAsia="宋体" w:cs="Calibri"/>
                <w:color w:val="auto"/>
                <w:szCs w:val="21"/>
                <w:highlight w:val="none"/>
              </w:rPr>
              <w:t>；</w:t>
            </w:r>
            <w:r>
              <w:rPr>
                <w:rFonts w:hint="eastAsia" w:ascii="宋体" w:hAnsi="宋体" w:eastAsia="宋体" w:cs="Calibri"/>
                <w:bCs/>
                <w:color w:val="auto"/>
                <w:szCs w:val="21"/>
                <w:highlight w:val="none"/>
              </w:rPr>
              <w:t>（</w:t>
            </w:r>
            <w:r>
              <w:rPr>
                <w:rFonts w:hint="eastAsia" w:ascii="宋体" w:hAnsi="宋体" w:eastAsia="宋体"/>
                <w:b/>
                <w:color w:val="auto"/>
                <w:szCs w:val="21"/>
                <w:highlight w:val="none"/>
              </w:rPr>
              <w:t>必须提供</w:t>
            </w:r>
            <w:r>
              <w:rPr>
                <w:rFonts w:hint="eastAsia" w:ascii="宋体" w:hAnsi="宋体" w:eastAsia="宋体" w:cs="Calibri"/>
                <w:b/>
                <w:color w:val="auto"/>
                <w:szCs w:val="21"/>
                <w:highlight w:val="none"/>
              </w:rPr>
              <w:t>，否则响应文件按无效响应处理</w:t>
            </w:r>
            <w:r>
              <w:rPr>
                <w:rFonts w:hint="eastAsia" w:ascii="宋体" w:hAnsi="宋体" w:eastAsia="宋体" w:cs="Calibri"/>
                <w:bCs/>
                <w:color w:val="auto"/>
                <w:szCs w:val="21"/>
                <w:highlight w:val="none"/>
              </w:rPr>
              <w:t>）</w:t>
            </w:r>
          </w:p>
          <w:p w14:paraId="679E2DC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default" w:ascii="宋体" w:hAnsi="宋体" w:eastAsia="宋体" w:cs="Calibri"/>
                <w:color w:val="auto"/>
                <w:szCs w:val="21"/>
                <w:highlight w:val="none"/>
              </w:rPr>
            </w:pPr>
            <w:r>
              <w:rPr>
                <w:rFonts w:hint="eastAsia" w:ascii="宋体" w:hAnsi="宋体" w:eastAsia="宋体" w:cs="Calibri"/>
                <w:color w:val="auto"/>
                <w:szCs w:val="21"/>
                <w:highlight w:val="none"/>
              </w:rPr>
              <w:t>5.供应商直接控股、管理关系信息表（格式后附）；（</w:t>
            </w:r>
            <w:r>
              <w:rPr>
                <w:rFonts w:hint="eastAsia" w:ascii="宋体" w:hAnsi="宋体" w:eastAsia="宋体" w:cs="Calibri"/>
                <w:b/>
                <w:color w:val="auto"/>
                <w:szCs w:val="21"/>
                <w:highlight w:val="none"/>
              </w:rPr>
              <w:t>必须提供，否则响应文件按无效响应处理</w:t>
            </w:r>
            <w:r>
              <w:rPr>
                <w:rFonts w:hint="eastAsia" w:ascii="宋体" w:hAnsi="宋体" w:eastAsia="宋体" w:cs="Calibri"/>
                <w:color w:val="auto"/>
                <w:szCs w:val="21"/>
                <w:highlight w:val="none"/>
              </w:rPr>
              <w:t>）</w:t>
            </w:r>
          </w:p>
          <w:p w14:paraId="3A4F7A9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default" w:ascii="宋体" w:hAnsi="宋体" w:eastAsia="宋体" w:cs="Calibri"/>
                <w:color w:val="auto"/>
                <w:szCs w:val="21"/>
                <w:highlight w:val="none"/>
              </w:rPr>
            </w:pPr>
            <w:r>
              <w:rPr>
                <w:rFonts w:hint="eastAsia" w:ascii="宋体" w:hAnsi="宋体" w:eastAsia="宋体" w:cs="Calibri"/>
                <w:color w:val="auto"/>
                <w:szCs w:val="21"/>
                <w:highlight w:val="none"/>
              </w:rPr>
              <w:t>6.竞标声明（格式后附）；（</w:t>
            </w:r>
            <w:r>
              <w:rPr>
                <w:rFonts w:hint="eastAsia" w:ascii="宋体" w:hAnsi="宋体" w:eastAsia="宋体" w:cs="Calibri"/>
                <w:b/>
                <w:color w:val="auto"/>
                <w:szCs w:val="21"/>
                <w:highlight w:val="none"/>
              </w:rPr>
              <w:t>必须提供，否则响应文件按无效响应处理</w:t>
            </w:r>
            <w:r>
              <w:rPr>
                <w:rFonts w:hint="eastAsia" w:ascii="宋体" w:hAnsi="宋体" w:eastAsia="宋体" w:cs="Calibri"/>
                <w:color w:val="auto"/>
                <w:szCs w:val="21"/>
                <w:highlight w:val="none"/>
              </w:rPr>
              <w:t>）</w:t>
            </w:r>
          </w:p>
          <w:p w14:paraId="161FF03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Calibri"/>
                <w:color w:val="auto"/>
                <w:szCs w:val="21"/>
                <w:highlight w:val="none"/>
              </w:rPr>
            </w:pPr>
            <w:r>
              <w:rPr>
                <w:rFonts w:hint="default" w:ascii="宋体" w:hAnsi="宋体" w:eastAsia="宋体" w:cs="Calibri"/>
                <w:color w:val="auto"/>
                <w:szCs w:val="21"/>
                <w:highlight w:val="none"/>
              </w:rPr>
              <w:t>7</w:t>
            </w:r>
            <w:r>
              <w:rPr>
                <w:rFonts w:hint="eastAsia" w:ascii="宋体" w:hAnsi="宋体" w:eastAsia="宋体" w:cs="Calibri"/>
                <w:color w:val="auto"/>
                <w:szCs w:val="21"/>
                <w:highlight w:val="none"/>
              </w:rPr>
              <w:t>.联合体竞标协议书（格式后附）；（</w:t>
            </w:r>
            <w:r>
              <w:rPr>
                <w:rFonts w:hint="eastAsia" w:ascii="宋体" w:hAnsi="宋体" w:eastAsia="宋体" w:cs="Calibri"/>
                <w:b/>
                <w:color w:val="auto"/>
                <w:szCs w:val="21"/>
                <w:highlight w:val="none"/>
              </w:rPr>
              <w:t>联合体竞标时必须提供，否则响应文件按无效响应处理</w:t>
            </w:r>
            <w:r>
              <w:rPr>
                <w:rFonts w:hint="eastAsia" w:ascii="宋体" w:hAnsi="宋体" w:eastAsia="宋体" w:cs="Calibri"/>
                <w:color w:val="auto"/>
                <w:szCs w:val="21"/>
                <w:highlight w:val="none"/>
              </w:rPr>
              <w:t>）</w:t>
            </w:r>
          </w:p>
          <w:p w14:paraId="0F48CC7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default" w:ascii="宋体" w:hAnsi="宋体" w:eastAsia="宋体" w:cs="Calibri"/>
                <w:color w:val="auto"/>
                <w:szCs w:val="21"/>
                <w:highlight w:val="none"/>
              </w:rPr>
            </w:pPr>
            <w:r>
              <w:rPr>
                <w:rFonts w:hint="eastAsia" w:ascii="宋体" w:hAnsi="宋体" w:eastAsia="宋体" w:cs="Calibri"/>
                <w:color w:val="auto"/>
                <w:szCs w:val="21"/>
                <w:highlight w:val="none"/>
                <w:lang w:val="en-US" w:eastAsia="zh-CN"/>
              </w:rPr>
              <w:t>8.</w:t>
            </w:r>
            <w:r>
              <w:rPr>
                <w:rFonts w:hint="eastAsia" w:ascii="宋体" w:hAnsi="宋体" w:eastAsia="宋体" w:cs="Calibri"/>
                <w:color w:val="auto"/>
                <w:szCs w:val="21"/>
                <w:highlight w:val="none"/>
              </w:rPr>
              <w:t>中小企业声明函或残疾人福利性单位声明函或投标人属于监狱企业的证明材料。（</w:t>
            </w:r>
            <w:r>
              <w:rPr>
                <w:rFonts w:hint="eastAsia" w:ascii="宋体" w:hAnsi="宋体" w:eastAsia="宋体" w:cs="Calibri"/>
                <w:b/>
                <w:bCs/>
                <w:color w:val="auto"/>
                <w:szCs w:val="21"/>
                <w:highlight w:val="none"/>
              </w:rPr>
              <w:t>必须提供，则响应文件按无效响应处理</w:t>
            </w:r>
            <w:r>
              <w:rPr>
                <w:rFonts w:hint="eastAsia" w:ascii="宋体" w:hAnsi="宋体" w:eastAsia="宋体" w:cs="Calibri"/>
                <w:color w:val="auto"/>
                <w:szCs w:val="21"/>
                <w:highlight w:val="none"/>
              </w:rPr>
              <w:t>）</w:t>
            </w:r>
          </w:p>
          <w:p w14:paraId="3C2C233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default" w:ascii="宋体" w:hAnsi="宋体" w:eastAsia="宋体" w:cs="Calibri"/>
                <w:color w:val="auto"/>
                <w:szCs w:val="21"/>
                <w:highlight w:val="none"/>
              </w:rPr>
            </w:pPr>
            <w:r>
              <w:rPr>
                <w:rFonts w:hint="eastAsia" w:ascii="宋体" w:hAnsi="宋体" w:eastAsia="宋体" w:cs="Calibri"/>
                <w:color w:val="auto"/>
                <w:szCs w:val="21"/>
                <w:highlight w:val="none"/>
                <w:lang w:val="en-US" w:eastAsia="zh-CN"/>
              </w:rPr>
              <w:t>9.</w:t>
            </w:r>
            <w:r>
              <w:rPr>
                <w:rFonts w:hint="eastAsia" w:ascii="宋体" w:hAnsi="宋体" w:eastAsia="宋体" w:cs="Calibri"/>
                <w:color w:val="auto"/>
                <w:szCs w:val="21"/>
                <w:highlight w:val="none"/>
              </w:rPr>
              <w:t>除磋商文件规定必须提供以外，供应商认为需要提供的其他证明材料；</w:t>
            </w:r>
          </w:p>
          <w:p w14:paraId="044F500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default" w:ascii="宋体" w:hAnsi="宋体" w:eastAsia="宋体" w:cs="Calibri"/>
                <w:b/>
                <w:color w:val="auto"/>
                <w:szCs w:val="21"/>
                <w:highlight w:val="none"/>
              </w:rPr>
            </w:pPr>
            <w:r>
              <w:rPr>
                <w:rFonts w:hint="eastAsia" w:ascii="宋体" w:hAnsi="宋体" w:eastAsia="宋体" w:cs="Calibri"/>
                <w:b/>
                <w:color w:val="auto"/>
                <w:szCs w:val="21"/>
                <w:highlight w:val="none"/>
              </w:rPr>
              <w:t>注：</w:t>
            </w:r>
          </w:p>
          <w:p w14:paraId="71BE7AC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13" w:firstLineChars="196"/>
              <w:jc w:val="left"/>
              <w:textAlignment w:val="auto"/>
              <w:rPr>
                <w:rFonts w:hint="default" w:ascii="宋体" w:hAnsi="宋体" w:eastAsia="宋体" w:cs="Calibri"/>
                <w:b/>
                <w:color w:val="auto"/>
                <w:szCs w:val="21"/>
                <w:highlight w:val="none"/>
              </w:rPr>
            </w:pPr>
            <w:r>
              <w:rPr>
                <w:rFonts w:hint="eastAsia" w:ascii="宋体" w:hAnsi="宋体" w:eastAsia="宋体" w:cs="Calibri"/>
                <w:b/>
                <w:color w:val="auto"/>
                <w:szCs w:val="21"/>
                <w:highlight w:val="none"/>
              </w:rPr>
              <w:t>1.以上标明“必须提供”的材料属于复印件的，必须加盖供应商</w:t>
            </w:r>
            <w:r>
              <w:rPr>
                <w:rFonts w:hint="eastAsia" w:ascii="宋体" w:hAnsi="宋体" w:eastAsia="宋体"/>
                <w:b/>
                <w:color w:val="auto"/>
                <w:highlight w:val="none"/>
              </w:rPr>
              <w:t>电子签章</w:t>
            </w:r>
            <w:r>
              <w:rPr>
                <w:rFonts w:hint="eastAsia" w:ascii="宋体" w:hAnsi="宋体" w:eastAsia="宋体" w:cs="Calibri"/>
                <w:b/>
                <w:color w:val="auto"/>
                <w:szCs w:val="21"/>
                <w:highlight w:val="none"/>
              </w:rPr>
              <w:t>，否则响应文件按无效处理。</w:t>
            </w:r>
          </w:p>
          <w:p w14:paraId="33791AC1">
            <w:pPr>
              <w:pStyle w:val="18"/>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22" w:firstLineChars="200"/>
              <w:textAlignment w:val="auto"/>
              <w:rPr>
                <w:rFonts w:hint="default" w:ascii="宋体" w:hAnsi="宋体" w:eastAsia="宋体" w:cs="Calibri"/>
                <w:b/>
                <w:color w:val="auto"/>
                <w:szCs w:val="21"/>
                <w:highlight w:val="none"/>
                <w:lang w:val="en-US"/>
              </w:rPr>
            </w:pPr>
            <w:r>
              <w:rPr>
                <w:rFonts w:hint="eastAsia" w:ascii="宋体" w:hAnsi="宋体" w:eastAsia="宋体" w:cs="Calibri"/>
                <w:b/>
                <w:color w:val="auto"/>
                <w:szCs w:val="21"/>
                <w:highlight w:val="none"/>
                <w:lang w:val="en-US"/>
              </w:rPr>
              <w:t>2.联合体竞标时，第1-</w:t>
            </w:r>
            <w:r>
              <w:rPr>
                <w:rFonts w:hint="eastAsia" w:ascii="宋体" w:hAnsi="宋体" w:eastAsia="宋体" w:cs="Calibri"/>
                <w:b/>
                <w:color w:val="auto"/>
                <w:szCs w:val="21"/>
                <w:highlight w:val="none"/>
                <w:lang w:val="en-US" w:eastAsia="zh-CN"/>
              </w:rPr>
              <w:t>6</w:t>
            </w:r>
            <w:r>
              <w:rPr>
                <w:rFonts w:hint="eastAsia" w:ascii="宋体" w:hAnsi="宋体" w:eastAsia="宋体" w:cs="Calibri"/>
                <w:b/>
                <w:color w:val="auto"/>
                <w:szCs w:val="21"/>
                <w:highlight w:val="none"/>
                <w:lang w:val="en-US"/>
              </w:rPr>
              <w:t>项资格证明文件联合体各方均必须分别提供，</w:t>
            </w:r>
            <w:r>
              <w:rPr>
                <w:rFonts w:hint="eastAsia" w:ascii="宋体" w:hAnsi="宋体" w:eastAsia="宋体" w:cs="等线"/>
                <w:b/>
                <w:color w:val="auto"/>
                <w:highlight w:val="none"/>
                <w:lang w:val="en-US"/>
              </w:rPr>
              <w:t>并由</w:t>
            </w:r>
            <w:r>
              <w:rPr>
                <w:rFonts w:hint="eastAsia" w:ascii="宋体" w:hAnsi="宋体" w:eastAsia="宋体" w:cs="Calibri"/>
                <w:b/>
                <w:color w:val="auto"/>
                <w:szCs w:val="21"/>
                <w:highlight w:val="none"/>
                <w:lang w:val="en-US"/>
              </w:rPr>
              <w:t>联合体</w:t>
            </w:r>
            <w:r>
              <w:rPr>
                <w:rFonts w:hint="eastAsia" w:ascii="宋体" w:hAnsi="宋体" w:eastAsia="宋体" w:cs="等线"/>
                <w:b/>
                <w:color w:val="auto"/>
                <w:highlight w:val="none"/>
                <w:lang w:val="en-US"/>
              </w:rPr>
              <w:t>牵头人加盖电子签章</w:t>
            </w:r>
            <w:r>
              <w:rPr>
                <w:rFonts w:hint="eastAsia" w:ascii="宋体" w:hAnsi="宋体" w:eastAsia="宋体" w:cs="Calibri"/>
                <w:b/>
                <w:color w:val="auto"/>
                <w:szCs w:val="21"/>
                <w:highlight w:val="none"/>
                <w:lang w:val="en-US"/>
              </w:rPr>
              <w:t>，</w:t>
            </w:r>
            <w:r>
              <w:rPr>
                <w:rFonts w:hint="eastAsia" w:ascii="宋体" w:hAnsi="宋体" w:eastAsia="宋体" w:cs="等线"/>
                <w:b/>
                <w:color w:val="auto"/>
                <w:highlight w:val="none"/>
                <w:lang w:val="en-US"/>
              </w:rPr>
              <w:t>规定签字</w:t>
            </w:r>
            <w:r>
              <w:rPr>
                <w:rFonts w:hint="eastAsia" w:ascii="宋体" w:hAnsi="宋体" w:eastAsia="宋体" w:cs="Calibri"/>
                <w:b/>
                <w:color w:val="auto"/>
                <w:szCs w:val="21"/>
                <w:highlight w:val="none"/>
                <w:lang w:val="en-US"/>
              </w:rPr>
              <w:t>处签字</w:t>
            </w:r>
            <w:r>
              <w:rPr>
                <w:rFonts w:hint="eastAsia" w:ascii="宋体" w:hAnsi="宋体" w:eastAsia="宋体" w:cs="等线"/>
                <w:b/>
                <w:bCs/>
                <w:color w:val="auto"/>
                <w:szCs w:val="21"/>
                <w:highlight w:val="none"/>
                <w:lang w:val="en-US"/>
              </w:rPr>
              <w:t>（或者电子签名）</w:t>
            </w:r>
            <w:r>
              <w:rPr>
                <w:rFonts w:hint="eastAsia" w:ascii="宋体" w:hAnsi="宋体" w:eastAsia="宋体" w:cs="Calibri"/>
                <w:b/>
                <w:color w:val="auto"/>
                <w:szCs w:val="21"/>
                <w:highlight w:val="none"/>
                <w:lang w:val="en-US"/>
              </w:rPr>
              <w:t>，否则响应文件按无效处理。</w:t>
            </w:r>
          </w:p>
          <w:p w14:paraId="48043EB2">
            <w:pPr>
              <w:pStyle w:val="18"/>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22" w:firstLineChars="200"/>
              <w:textAlignment w:val="auto"/>
              <w:rPr>
                <w:rFonts w:hint="default" w:ascii="宋体" w:hAnsi="宋体" w:eastAsia="宋体" w:cs="Calibri"/>
                <w:b/>
                <w:color w:val="auto"/>
                <w:szCs w:val="21"/>
                <w:highlight w:val="none"/>
                <w:lang w:val="en-US"/>
              </w:rPr>
            </w:pPr>
            <w:r>
              <w:rPr>
                <w:rFonts w:hint="default" w:ascii="宋体" w:hAnsi="宋体" w:eastAsia="宋体" w:cs="等线"/>
                <w:b/>
                <w:bCs/>
                <w:color w:val="auto"/>
                <w:szCs w:val="21"/>
                <w:highlight w:val="none"/>
                <w:lang w:val="en-US"/>
              </w:rPr>
              <w:t>3</w:t>
            </w:r>
            <w:r>
              <w:rPr>
                <w:rFonts w:hint="eastAsia" w:ascii="宋体" w:hAnsi="宋体" w:eastAsia="宋体" w:cs="等线"/>
                <w:b/>
                <w:bCs/>
                <w:color w:val="auto"/>
                <w:szCs w:val="21"/>
                <w:highlight w:val="none"/>
                <w:lang w:val="en-US"/>
              </w:rPr>
              <w:t>.分公司参加竞标的，应当取得总公司授权，否则磋商无效（响应文件中提供授权书复印件）；</w:t>
            </w:r>
          </w:p>
        </w:tc>
      </w:tr>
      <w:tr w14:paraId="68C24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640D99D">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12.1.2</w:t>
            </w:r>
          </w:p>
        </w:tc>
        <w:tc>
          <w:tcPr>
            <w:tcW w:w="7912" w:type="dxa"/>
            <w:vAlign w:val="center"/>
          </w:tcPr>
          <w:p w14:paraId="40E9259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Calibri"/>
                <w:color w:val="auto"/>
                <w:szCs w:val="21"/>
                <w:highlight w:val="none"/>
              </w:rPr>
            </w:pPr>
            <w:r>
              <w:rPr>
                <w:rFonts w:hint="eastAsia" w:ascii="宋体" w:hAnsi="宋体" w:eastAsia="宋体" w:cs="Calibri"/>
                <w:color w:val="auto"/>
                <w:szCs w:val="21"/>
                <w:highlight w:val="none"/>
              </w:rPr>
              <w:t>报价文件</w:t>
            </w:r>
          </w:p>
          <w:p w14:paraId="0FF435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Calibri"/>
                <w:color w:val="auto"/>
                <w:szCs w:val="21"/>
                <w:highlight w:val="none"/>
                <w:lang w:val="en-US" w:eastAsia="zh-CN"/>
              </w:rPr>
            </w:pPr>
            <w:r>
              <w:rPr>
                <w:rFonts w:hint="eastAsia" w:ascii="宋体" w:hAnsi="宋体" w:eastAsia="宋体" w:cs="Calibri"/>
                <w:color w:val="auto"/>
                <w:szCs w:val="21"/>
                <w:highlight w:val="none"/>
                <w:lang w:val="en-US" w:eastAsia="zh-CN"/>
              </w:rPr>
              <w:t>1.响应函；</w:t>
            </w:r>
            <w:r>
              <w:rPr>
                <w:rFonts w:hint="eastAsia" w:ascii="宋体" w:hAnsi="宋体" w:eastAsia="宋体" w:cs="Calibri"/>
                <w:color w:val="auto"/>
                <w:szCs w:val="21"/>
                <w:highlight w:val="none"/>
              </w:rPr>
              <w:t>（</w:t>
            </w:r>
            <w:r>
              <w:rPr>
                <w:rFonts w:hint="eastAsia" w:ascii="宋体" w:hAnsi="宋体" w:eastAsia="宋体" w:cs="Calibri"/>
                <w:b/>
                <w:bCs/>
                <w:color w:val="auto"/>
                <w:szCs w:val="21"/>
                <w:highlight w:val="none"/>
              </w:rPr>
              <w:t>必须提供，否则响应文件按无效处理</w:t>
            </w:r>
            <w:r>
              <w:rPr>
                <w:rFonts w:hint="eastAsia" w:ascii="宋体" w:hAnsi="宋体" w:eastAsia="宋体" w:cs="Calibri"/>
                <w:color w:val="auto"/>
                <w:szCs w:val="21"/>
                <w:highlight w:val="none"/>
              </w:rPr>
              <w:t>）</w:t>
            </w:r>
          </w:p>
          <w:p w14:paraId="4B54E0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Calibri"/>
                <w:color w:val="auto"/>
                <w:szCs w:val="21"/>
                <w:highlight w:val="none"/>
              </w:rPr>
            </w:pPr>
            <w:r>
              <w:rPr>
                <w:rFonts w:hint="eastAsia" w:ascii="宋体" w:hAnsi="宋体" w:eastAsia="宋体" w:cs="Calibri"/>
                <w:color w:val="auto"/>
                <w:szCs w:val="21"/>
                <w:highlight w:val="none"/>
                <w:lang w:val="en-US" w:eastAsia="zh-CN"/>
              </w:rPr>
              <w:t>2.</w:t>
            </w:r>
            <w:r>
              <w:rPr>
                <w:rFonts w:hint="eastAsia" w:ascii="宋体" w:hAnsi="宋体" w:eastAsia="宋体" w:cs="Calibri"/>
                <w:color w:val="auto"/>
                <w:szCs w:val="21"/>
                <w:highlight w:val="none"/>
              </w:rPr>
              <w:t>竞标报价表（格式后附）；（</w:t>
            </w:r>
            <w:r>
              <w:rPr>
                <w:rFonts w:hint="eastAsia" w:ascii="宋体" w:hAnsi="宋体" w:eastAsia="宋体" w:cs="Calibri"/>
                <w:b/>
                <w:bCs/>
                <w:color w:val="auto"/>
                <w:szCs w:val="21"/>
                <w:highlight w:val="none"/>
              </w:rPr>
              <w:t>必须提供，否则响应文件按无效处理</w:t>
            </w:r>
            <w:r>
              <w:rPr>
                <w:rFonts w:hint="eastAsia" w:ascii="宋体" w:hAnsi="宋体" w:eastAsia="宋体" w:cs="Calibri"/>
                <w:color w:val="auto"/>
                <w:szCs w:val="21"/>
                <w:highlight w:val="none"/>
              </w:rPr>
              <w:t>）</w:t>
            </w:r>
          </w:p>
          <w:p w14:paraId="122677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Calibri"/>
                <w:color w:val="auto"/>
                <w:szCs w:val="21"/>
                <w:highlight w:val="none"/>
              </w:rPr>
            </w:pPr>
            <w:r>
              <w:rPr>
                <w:rFonts w:hint="eastAsia" w:ascii="宋体" w:hAnsi="宋体" w:eastAsia="宋体" w:cs="Calibri"/>
                <w:color w:val="auto"/>
                <w:szCs w:val="21"/>
                <w:highlight w:val="none"/>
                <w:lang w:val="en-US" w:eastAsia="zh-CN"/>
              </w:rPr>
              <w:t>3</w:t>
            </w:r>
            <w:r>
              <w:rPr>
                <w:rFonts w:hint="eastAsia" w:ascii="宋体" w:hAnsi="宋体" w:eastAsia="宋体" w:cs="Calibri"/>
                <w:color w:val="auto"/>
                <w:szCs w:val="21"/>
                <w:highlight w:val="none"/>
              </w:rPr>
              <w:t>.供应商认为需要提供的其他有关资料。</w:t>
            </w:r>
          </w:p>
        </w:tc>
      </w:tr>
      <w:tr w14:paraId="279AC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0FDB81">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12.</w:t>
            </w:r>
            <w:r>
              <w:rPr>
                <w:rFonts w:hint="default" w:ascii="宋体" w:hAnsi="宋体" w:eastAsia="宋体" w:cs="Calibri"/>
                <w:color w:val="auto"/>
                <w:szCs w:val="21"/>
                <w:highlight w:val="none"/>
              </w:rPr>
              <w:t>1</w:t>
            </w:r>
            <w:r>
              <w:rPr>
                <w:rFonts w:hint="eastAsia" w:ascii="宋体" w:hAnsi="宋体" w:eastAsia="宋体" w:cs="Calibri"/>
                <w:color w:val="auto"/>
                <w:szCs w:val="21"/>
                <w:highlight w:val="none"/>
              </w:rPr>
              <w:t>.3</w:t>
            </w:r>
          </w:p>
        </w:tc>
        <w:tc>
          <w:tcPr>
            <w:tcW w:w="7912" w:type="dxa"/>
            <w:vAlign w:val="center"/>
          </w:tcPr>
          <w:p w14:paraId="29E62D4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s="Calibri"/>
                <w:b/>
                <w:bCs/>
                <w:color w:val="auto"/>
                <w:szCs w:val="21"/>
                <w:highlight w:val="none"/>
              </w:rPr>
            </w:pPr>
            <w:r>
              <w:rPr>
                <w:rFonts w:hint="eastAsia" w:ascii="宋体" w:hAnsi="宋体" w:eastAsia="宋体" w:cs="Calibri"/>
                <w:b/>
                <w:bCs/>
                <w:color w:val="auto"/>
                <w:szCs w:val="21"/>
                <w:highlight w:val="none"/>
              </w:rPr>
              <w:t>商务技术文件</w:t>
            </w:r>
          </w:p>
          <w:p w14:paraId="370A791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s="Calibri"/>
                <w:color w:val="auto"/>
                <w:szCs w:val="21"/>
                <w:highlight w:val="none"/>
              </w:rPr>
            </w:pPr>
            <w:r>
              <w:rPr>
                <w:rFonts w:hint="eastAsia" w:ascii="宋体" w:hAnsi="宋体" w:eastAsia="宋体" w:cs="Calibri"/>
                <w:color w:val="auto"/>
                <w:szCs w:val="21"/>
                <w:highlight w:val="none"/>
              </w:rPr>
              <w:t>1.无串通竞标行为的承诺函（格式后附）；（</w:t>
            </w:r>
            <w:r>
              <w:rPr>
                <w:rFonts w:hint="eastAsia" w:ascii="宋体" w:hAnsi="宋体" w:eastAsia="宋体" w:cs="Calibri"/>
                <w:b/>
                <w:color w:val="auto"/>
                <w:szCs w:val="21"/>
                <w:highlight w:val="none"/>
              </w:rPr>
              <w:t>必须提供，否则响应文件按无效响应处理</w:t>
            </w:r>
            <w:r>
              <w:rPr>
                <w:rFonts w:hint="eastAsia" w:ascii="宋体" w:hAnsi="宋体" w:eastAsia="宋体" w:cs="Calibri"/>
                <w:color w:val="auto"/>
                <w:szCs w:val="21"/>
                <w:highlight w:val="none"/>
              </w:rPr>
              <w:t>）</w:t>
            </w:r>
          </w:p>
          <w:p w14:paraId="70715F9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default" w:ascii="宋体" w:hAnsi="宋体" w:eastAsia="宋体" w:cs="Calibri"/>
                <w:color w:val="auto"/>
                <w:szCs w:val="21"/>
                <w:highlight w:val="none"/>
              </w:rPr>
            </w:pPr>
            <w:r>
              <w:rPr>
                <w:rFonts w:hint="eastAsia" w:ascii="宋体" w:hAnsi="宋体" w:eastAsia="宋体" w:cs="Calibri"/>
                <w:color w:val="auto"/>
                <w:szCs w:val="21"/>
                <w:highlight w:val="none"/>
              </w:rPr>
              <w:t>2.法定代表人身份证明书及法定代表人有效身份证正反面复印件（格式后附）；（</w:t>
            </w:r>
            <w:r>
              <w:rPr>
                <w:rFonts w:hint="eastAsia" w:ascii="宋体" w:hAnsi="宋体" w:eastAsia="宋体" w:cs="Calibri"/>
                <w:b/>
                <w:bCs/>
                <w:color w:val="auto"/>
                <w:szCs w:val="21"/>
                <w:highlight w:val="none"/>
              </w:rPr>
              <w:t>除自然人竞标外</w:t>
            </w:r>
            <w:r>
              <w:rPr>
                <w:rFonts w:hint="eastAsia" w:ascii="宋体" w:hAnsi="宋体" w:eastAsia="宋体" w:cs="Calibri"/>
                <w:b/>
                <w:color w:val="auto"/>
                <w:szCs w:val="21"/>
                <w:highlight w:val="none"/>
              </w:rPr>
              <w:t>必须提供，否则响应文件按无效响应处理</w:t>
            </w:r>
            <w:r>
              <w:rPr>
                <w:rFonts w:hint="eastAsia" w:ascii="宋体" w:hAnsi="宋体" w:eastAsia="宋体" w:cs="Calibri"/>
                <w:color w:val="auto"/>
                <w:szCs w:val="21"/>
                <w:highlight w:val="none"/>
              </w:rPr>
              <w:t>）</w:t>
            </w:r>
          </w:p>
          <w:p w14:paraId="155A85F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Calibri"/>
                <w:color w:val="auto"/>
                <w:szCs w:val="21"/>
                <w:highlight w:val="none"/>
              </w:rPr>
            </w:pPr>
            <w:r>
              <w:rPr>
                <w:rFonts w:hint="eastAsia" w:ascii="宋体" w:hAnsi="宋体" w:eastAsia="宋体" w:cs="Calibri"/>
                <w:color w:val="auto"/>
                <w:szCs w:val="21"/>
                <w:highlight w:val="none"/>
              </w:rPr>
              <w:t>3.授权委托书及委托代理人有效身份证正反面复印件（格式后附）；（</w:t>
            </w:r>
            <w:r>
              <w:rPr>
                <w:rFonts w:hint="eastAsia" w:ascii="宋体" w:hAnsi="宋体" w:eastAsia="宋体" w:cs="Calibri"/>
                <w:b/>
                <w:color w:val="auto"/>
                <w:szCs w:val="21"/>
                <w:highlight w:val="none"/>
              </w:rPr>
              <w:t>委托时必须提供，否则响应文件按无效响应处理</w:t>
            </w:r>
            <w:r>
              <w:rPr>
                <w:rFonts w:hint="eastAsia" w:ascii="宋体" w:hAnsi="宋体" w:eastAsia="宋体" w:cs="Calibri"/>
                <w:color w:val="auto"/>
                <w:szCs w:val="21"/>
                <w:highlight w:val="none"/>
              </w:rPr>
              <w:t>）</w:t>
            </w:r>
          </w:p>
          <w:p w14:paraId="7A720F6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s="Calibri"/>
                <w:b/>
                <w:color w:val="auto"/>
                <w:szCs w:val="21"/>
                <w:highlight w:val="none"/>
              </w:rPr>
            </w:pPr>
            <w:r>
              <w:rPr>
                <w:rFonts w:hint="eastAsia" w:ascii="宋体" w:hAnsi="宋体" w:eastAsia="宋体" w:cs="Calibri"/>
                <w:color w:val="auto"/>
                <w:szCs w:val="21"/>
                <w:highlight w:val="none"/>
              </w:rPr>
              <w:t>4.磋商保证金提交凭证；</w:t>
            </w:r>
            <w:r>
              <w:rPr>
                <w:rFonts w:hint="eastAsia" w:ascii="宋体" w:hAnsi="宋体" w:eastAsia="宋体" w:cs="Calibri"/>
                <w:b/>
                <w:color w:val="auto"/>
                <w:szCs w:val="21"/>
                <w:highlight w:val="none"/>
              </w:rPr>
              <w:t>（必须提供，否则响应文件按无效响应处理）</w:t>
            </w:r>
          </w:p>
          <w:p w14:paraId="3626A9F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s="Calibri"/>
                <w:color w:val="auto"/>
                <w:szCs w:val="21"/>
                <w:highlight w:val="none"/>
              </w:rPr>
            </w:pPr>
            <w:r>
              <w:rPr>
                <w:rFonts w:hint="eastAsia" w:ascii="宋体" w:hAnsi="宋体" w:eastAsia="宋体" w:cs="Calibri"/>
                <w:color w:val="auto"/>
                <w:szCs w:val="21"/>
                <w:highlight w:val="none"/>
                <w:lang w:val="en-US" w:eastAsia="zh-CN"/>
              </w:rPr>
              <w:t>5</w:t>
            </w:r>
            <w:r>
              <w:rPr>
                <w:rFonts w:hint="eastAsia" w:ascii="宋体" w:hAnsi="宋体" w:eastAsia="宋体" w:cs="Calibri"/>
                <w:color w:val="auto"/>
                <w:szCs w:val="21"/>
                <w:highlight w:val="none"/>
              </w:rPr>
              <w:t>.商务要求偏离表（格式后附）；（</w:t>
            </w:r>
            <w:r>
              <w:rPr>
                <w:rFonts w:hint="eastAsia" w:ascii="宋体" w:hAnsi="宋体" w:eastAsia="宋体" w:cs="Calibri"/>
                <w:b/>
                <w:color w:val="auto"/>
                <w:szCs w:val="21"/>
                <w:highlight w:val="none"/>
              </w:rPr>
              <w:t>必须提供，否则响应文件按无效响应处理</w:t>
            </w:r>
            <w:r>
              <w:rPr>
                <w:rFonts w:hint="eastAsia" w:ascii="宋体" w:hAnsi="宋体" w:eastAsia="宋体" w:cs="Calibri"/>
                <w:color w:val="auto"/>
                <w:szCs w:val="21"/>
                <w:highlight w:val="none"/>
              </w:rPr>
              <w:t>）</w:t>
            </w:r>
          </w:p>
          <w:p w14:paraId="6FF51B3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s="Calibri"/>
                <w:color w:val="auto"/>
                <w:szCs w:val="21"/>
                <w:highlight w:val="none"/>
              </w:rPr>
            </w:pPr>
            <w:r>
              <w:rPr>
                <w:rFonts w:hint="eastAsia" w:ascii="宋体" w:hAnsi="宋体" w:eastAsia="宋体" w:cs="Calibri"/>
                <w:color w:val="auto"/>
                <w:szCs w:val="21"/>
                <w:highlight w:val="none"/>
                <w:lang w:val="en-US" w:eastAsia="zh-CN"/>
              </w:rPr>
              <w:t>6</w:t>
            </w:r>
            <w:r>
              <w:rPr>
                <w:rFonts w:hint="eastAsia" w:ascii="宋体" w:hAnsi="宋体" w:eastAsia="宋体" w:cs="Calibri"/>
                <w:color w:val="auto"/>
                <w:szCs w:val="21"/>
                <w:highlight w:val="none"/>
              </w:rPr>
              <w:t>.服务方案（格式自拟）；（</w:t>
            </w:r>
            <w:r>
              <w:rPr>
                <w:rFonts w:hint="eastAsia" w:ascii="宋体" w:hAnsi="宋体" w:eastAsia="宋体" w:cs="Calibri"/>
                <w:b/>
                <w:color w:val="auto"/>
                <w:szCs w:val="21"/>
                <w:highlight w:val="none"/>
              </w:rPr>
              <w:t>必须提供，否则响应文件按无效响应处理</w:t>
            </w:r>
            <w:r>
              <w:rPr>
                <w:rFonts w:hint="eastAsia" w:ascii="宋体" w:hAnsi="宋体" w:eastAsia="宋体" w:cs="Calibri"/>
                <w:color w:val="auto"/>
                <w:szCs w:val="21"/>
                <w:highlight w:val="none"/>
              </w:rPr>
              <w:t>）</w:t>
            </w:r>
          </w:p>
          <w:p w14:paraId="1C22B4E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s="Calibri"/>
                <w:color w:val="auto"/>
                <w:szCs w:val="21"/>
                <w:highlight w:val="none"/>
              </w:rPr>
            </w:pPr>
            <w:r>
              <w:rPr>
                <w:rFonts w:hint="eastAsia" w:ascii="宋体" w:hAnsi="宋体" w:eastAsia="宋体" w:cs="Calibri"/>
                <w:color w:val="auto"/>
                <w:szCs w:val="21"/>
                <w:highlight w:val="none"/>
                <w:lang w:val="en-US" w:eastAsia="zh-CN"/>
              </w:rPr>
              <w:t>7</w:t>
            </w:r>
            <w:r>
              <w:rPr>
                <w:rFonts w:hint="eastAsia" w:ascii="宋体" w:hAnsi="宋体" w:eastAsia="宋体" w:cs="Calibri"/>
                <w:color w:val="auto"/>
                <w:szCs w:val="21"/>
                <w:highlight w:val="none"/>
              </w:rPr>
              <w:t>.技术要求偏离表（格式后附）；（</w:t>
            </w:r>
            <w:r>
              <w:rPr>
                <w:rFonts w:hint="eastAsia" w:ascii="宋体" w:hAnsi="宋体" w:eastAsia="宋体" w:cs="Calibri"/>
                <w:b/>
                <w:color w:val="auto"/>
                <w:szCs w:val="21"/>
                <w:highlight w:val="none"/>
              </w:rPr>
              <w:t>必须提供，否则响应文件按无效响应处理</w:t>
            </w:r>
            <w:r>
              <w:rPr>
                <w:rFonts w:hint="eastAsia" w:ascii="宋体" w:hAnsi="宋体" w:eastAsia="宋体" w:cs="Calibri"/>
                <w:color w:val="auto"/>
                <w:szCs w:val="21"/>
                <w:highlight w:val="none"/>
              </w:rPr>
              <w:t>）</w:t>
            </w:r>
          </w:p>
          <w:p w14:paraId="067E722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s="Calibri"/>
                <w:color w:val="auto"/>
                <w:szCs w:val="21"/>
                <w:highlight w:val="none"/>
              </w:rPr>
            </w:pPr>
            <w:r>
              <w:rPr>
                <w:rFonts w:hint="eastAsia" w:ascii="宋体" w:hAnsi="宋体" w:eastAsia="宋体" w:cs="Calibri"/>
                <w:color w:val="auto"/>
                <w:szCs w:val="21"/>
                <w:highlight w:val="none"/>
                <w:lang w:val="en-US" w:eastAsia="zh-CN"/>
              </w:rPr>
              <w:t>8</w:t>
            </w:r>
            <w:r>
              <w:rPr>
                <w:rFonts w:hint="eastAsia" w:ascii="宋体" w:hAnsi="宋体" w:eastAsia="宋体" w:cs="Calibri"/>
                <w:color w:val="auto"/>
                <w:szCs w:val="21"/>
                <w:highlight w:val="none"/>
              </w:rPr>
              <w:t xml:space="preserve">.项目实施人员一览表（格式后附）； </w:t>
            </w:r>
          </w:p>
          <w:p w14:paraId="300EABD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s="Calibri"/>
                <w:color w:val="auto"/>
                <w:szCs w:val="21"/>
                <w:highlight w:val="none"/>
              </w:rPr>
            </w:pPr>
            <w:r>
              <w:rPr>
                <w:rFonts w:hint="eastAsia" w:ascii="宋体" w:hAnsi="宋体" w:eastAsia="宋体" w:cs="Calibri"/>
                <w:color w:val="auto"/>
                <w:szCs w:val="21"/>
                <w:highlight w:val="none"/>
                <w:lang w:val="en-US" w:eastAsia="zh-CN"/>
              </w:rPr>
              <w:t>9.</w:t>
            </w:r>
            <w:r>
              <w:rPr>
                <w:rFonts w:hint="eastAsia" w:ascii="宋体" w:hAnsi="宋体" w:eastAsia="宋体" w:cs="Calibri"/>
                <w:color w:val="auto"/>
                <w:szCs w:val="21"/>
                <w:highlight w:val="none"/>
              </w:rPr>
              <w:t>对应采购需求的技术要求、商务要求提供的其他文件资料（格式自拟）；</w:t>
            </w:r>
          </w:p>
          <w:p w14:paraId="5A168C9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s="Calibri"/>
                <w:color w:val="auto"/>
                <w:szCs w:val="21"/>
                <w:highlight w:val="none"/>
              </w:rPr>
            </w:pPr>
            <w:r>
              <w:rPr>
                <w:rFonts w:hint="eastAsia" w:ascii="宋体" w:hAnsi="宋体" w:eastAsia="宋体" w:cs="Calibri"/>
                <w:color w:val="auto"/>
                <w:szCs w:val="21"/>
                <w:highlight w:val="none"/>
                <w:lang w:val="en-US" w:eastAsia="zh-CN"/>
              </w:rPr>
              <w:t>10</w:t>
            </w:r>
            <w:r>
              <w:rPr>
                <w:rFonts w:hint="eastAsia" w:ascii="宋体" w:hAnsi="宋体" w:eastAsia="宋体" w:cs="Calibri"/>
                <w:color w:val="auto"/>
                <w:szCs w:val="21"/>
                <w:highlight w:val="none"/>
              </w:rPr>
              <w:t>.供应商认为需要提供的其他有关资料。</w:t>
            </w:r>
          </w:p>
          <w:p w14:paraId="3B0D7DF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default" w:ascii="宋体" w:hAnsi="宋体" w:eastAsia="宋体" w:cs="Calibri"/>
                <w:b/>
                <w:color w:val="auto"/>
                <w:szCs w:val="21"/>
                <w:highlight w:val="none"/>
              </w:rPr>
            </w:pPr>
            <w:r>
              <w:rPr>
                <w:rFonts w:hint="eastAsia" w:ascii="宋体" w:hAnsi="宋体" w:eastAsia="宋体" w:cs="Calibri"/>
                <w:b/>
                <w:color w:val="auto"/>
                <w:szCs w:val="21"/>
                <w:highlight w:val="none"/>
              </w:rPr>
              <w:t>注：以上标明“必须提供”的材料属于复印件的，必须加盖供应商</w:t>
            </w:r>
            <w:r>
              <w:rPr>
                <w:rFonts w:hint="eastAsia" w:ascii="宋体" w:hAnsi="宋体" w:eastAsia="宋体"/>
                <w:b/>
                <w:bCs/>
                <w:color w:val="auto"/>
                <w:szCs w:val="21"/>
                <w:highlight w:val="none"/>
              </w:rPr>
              <w:t>电子签章</w:t>
            </w:r>
            <w:r>
              <w:rPr>
                <w:rFonts w:hint="eastAsia" w:ascii="宋体" w:hAnsi="宋体" w:eastAsia="宋体" w:cs="Calibri"/>
                <w:b/>
                <w:color w:val="auto"/>
                <w:szCs w:val="21"/>
                <w:highlight w:val="none"/>
              </w:rPr>
              <w:t>，否则响应文件按无效响应处理。</w:t>
            </w:r>
          </w:p>
        </w:tc>
      </w:tr>
      <w:tr w14:paraId="5CF46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3D62BD">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15.2</w:t>
            </w:r>
          </w:p>
        </w:tc>
        <w:tc>
          <w:tcPr>
            <w:tcW w:w="7912" w:type="dxa"/>
            <w:vAlign w:val="center"/>
          </w:tcPr>
          <w:p w14:paraId="2CC6AD55">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color w:val="auto"/>
                <w:highlight w:val="none"/>
              </w:rPr>
            </w:pPr>
            <w:r>
              <w:rPr>
                <w:rFonts w:hint="eastAsia" w:ascii="宋体" w:hAnsi="宋体" w:eastAsia="宋体" w:cs="Calibri"/>
                <w:color w:val="auto"/>
                <w:kern w:val="0"/>
                <w:sz w:val="21"/>
                <w:szCs w:val="21"/>
                <w:highlight w:val="none"/>
                <w:lang w:val="en-US" w:eastAsia="zh-CN" w:bidi="ar-SA"/>
              </w:rPr>
              <w:t>竞标报价是履行合同的最终价格，即满足全部采购需求所应提供的服务的价格；包括：供应商完成本项目服务所有内容及其他相关服务的投入、售后服务、税金、利润及其他所有可能发生的一切费用，合同履行期间采购人不再支付任何费用，供应商报价时应考虑相关费用。</w:t>
            </w:r>
          </w:p>
        </w:tc>
      </w:tr>
      <w:tr w14:paraId="4B0A1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788C1DD">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textAlignment w:val="auto"/>
              <w:rPr>
                <w:rFonts w:hint="default" w:ascii="宋体" w:hAnsi="宋体" w:eastAsia="宋体" w:cs="Calibri"/>
                <w:color w:val="auto"/>
                <w:szCs w:val="21"/>
                <w:highlight w:val="none"/>
              </w:rPr>
            </w:pPr>
            <w:r>
              <w:rPr>
                <w:rFonts w:hint="eastAsia" w:ascii="宋体" w:hAnsi="宋体" w:eastAsia="宋体" w:cs="Calibri"/>
                <w:color w:val="auto"/>
                <w:szCs w:val="21"/>
                <w:highlight w:val="none"/>
              </w:rPr>
              <w:t>16.</w:t>
            </w:r>
            <w:r>
              <w:rPr>
                <w:rFonts w:hint="default" w:ascii="宋体" w:hAnsi="宋体" w:eastAsia="宋体" w:cs="Calibri"/>
                <w:color w:val="auto"/>
                <w:szCs w:val="21"/>
                <w:highlight w:val="none"/>
              </w:rPr>
              <w:t>2</w:t>
            </w:r>
          </w:p>
        </w:tc>
        <w:tc>
          <w:tcPr>
            <w:tcW w:w="7912" w:type="dxa"/>
            <w:vAlign w:val="center"/>
          </w:tcPr>
          <w:p w14:paraId="44820517">
            <w:pPr>
              <w:pStyle w:val="14"/>
              <w:keepNext w:val="0"/>
              <w:keepLines w:val="0"/>
              <w:pageBreakBefore w:val="0"/>
              <w:widowControl w:val="0"/>
              <w:suppressLineNumbers w:val="0"/>
              <w:tabs>
                <w:tab w:val="clear" w:pos="454"/>
              </w:tabs>
              <w:kinsoku/>
              <w:wordWrap/>
              <w:overflowPunct/>
              <w:topLinePunct w:val="0"/>
              <w:autoSpaceDE/>
              <w:autoSpaceDN/>
              <w:bidi w:val="0"/>
              <w:adjustRightInd/>
              <w:snapToGrid w:val="0"/>
              <w:spacing w:before="0" w:beforeAutospacing="0" w:after="0" w:afterLines="0" w:afterAutospacing="0" w:line="360" w:lineRule="auto"/>
              <w:ind w:left="283" w:right="0" w:hanging="283" w:hangingChars="135"/>
              <w:textAlignment w:val="auto"/>
              <w:rPr>
                <w:rFonts w:hint="default"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竞标有效期：自首次响应文件提交截止之日起</w:t>
            </w:r>
            <w:r>
              <w:rPr>
                <w:rFonts w:hint="default" w:ascii="宋体" w:hAnsi="宋体" w:eastAsia="宋体" w:cs="Calibri"/>
                <w:color w:val="auto"/>
                <w:kern w:val="2"/>
                <w:sz w:val="21"/>
                <w:szCs w:val="21"/>
                <w:highlight w:val="none"/>
                <w:u w:val="single"/>
              </w:rPr>
              <w:t>90</w:t>
            </w:r>
            <w:r>
              <w:rPr>
                <w:rFonts w:hint="eastAsia" w:ascii="宋体" w:hAnsi="宋体" w:eastAsia="宋体" w:cs="Calibri"/>
                <w:color w:val="auto"/>
                <w:kern w:val="2"/>
                <w:sz w:val="21"/>
                <w:szCs w:val="21"/>
                <w:highlight w:val="none"/>
              </w:rPr>
              <w:t>日。</w:t>
            </w:r>
          </w:p>
        </w:tc>
      </w:tr>
      <w:tr w14:paraId="6F628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D933E65">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center"/>
              <w:rPr>
                <w:rFonts w:hint="eastAsia" w:ascii="宋体" w:hAnsi="宋体" w:eastAsia="宋体"/>
                <w:color w:val="auto"/>
                <w:highlight w:val="none"/>
              </w:rPr>
            </w:pPr>
            <w:r>
              <w:rPr>
                <w:rFonts w:hint="eastAsia" w:ascii="宋体" w:hAnsi="宋体" w:eastAsia="宋体"/>
                <w:color w:val="auto"/>
                <w:highlight w:val="none"/>
              </w:rPr>
              <w:t>17.1</w:t>
            </w:r>
          </w:p>
        </w:tc>
        <w:tc>
          <w:tcPr>
            <w:tcW w:w="7912" w:type="dxa"/>
            <w:vAlign w:val="center"/>
          </w:tcPr>
          <w:p w14:paraId="059CB8D8">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Calibri"/>
                <w:color w:val="auto"/>
                <w:kern w:val="0"/>
                <w:sz w:val="21"/>
                <w:szCs w:val="21"/>
                <w:highlight w:val="none"/>
                <w:lang w:val="en-US" w:eastAsia="zh-CN" w:bidi="ar-SA"/>
              </w:rPr>
            </w:pPr>
            <w:r>
              <w:rPr>
                <w:rFonts w:hint="eastAsia" w:ascii="宋体" w:hAnsi="宋体" w:eastAsia="宋体" w:cs="Calibri"/>
                <w:color w:val="auto"/>
                <w:kern w:val="0"/>
                <w:sz w:val="21"/>
                <w:szCs w:val="21"/>
                <w:highlight w:val="none"/>
                <w:lang w:val="en-US" w:eastAsia="zh-CN" w:bidi="ar-SA"/>
              </w:rPr>
              <w:t>□本项目不收取磋商保证金。</w:t>
            </w:r>
          </w:p>
          <w:p w14:paraId="0E9364DC">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Calibri"/>
                <w:color w:val="auto"/>
                <w:kern w:val="0"/>
                <w:sz w:val="21"/>
                <w:szCs w:val="21"/>
                <w:highlight w:val="none"/>
                <w:lang w:val="en-US" w:eastAsia="zh-CN" w:bidi="ar-SA"/>
              </w:rPr>
            </w:pPr>
            <w:r>
              <w:rPr>
                <w:rFonts w:hint="eastAsia" w:ascii="宋体" w:hAnsi="宋体" w:eastAsia="宋体" w:cs="Calibri"/>
                <w:color w:val="auto"/>
                <w:kern w:val="0"/>
                <w:sz w:val="21"/>
                <w:szCs w:val="21"/>
                <w:highlight w:val="none"/>
                <w:lang w:val="en-US" w:eastAsia="zh-CN" w:bidi="ar-SA"/>
              </w:rPr>
              <w:t>☑本项目收取磋商保证金，具体规定如下：</w:t>
            </w:r>
          </w:p>
          <w:p w14:paraId="479115BA">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Calibri"/>
                <w:color w:val="auto"/>
                <w:kern w:val="0"/>
                <w:sz w:val="21"/>
                <w:szCs w:val="21"/>
                <w:highlight w:val="none"/>
                <w:lang w:val="en-US" w:eastAsia="zh-CN" w:bidi="ar-SA"/>
              </w:rPr>
            </w:pPr>
            <w:r>
              <w:rPr>
                <w:rFonts w:hint="eastAsia" w:ascii="宋体" w:hAnsi="宋体" w:eastAsia="宋体" w:cs="Calibri"/>
                <w:color w:val="auto"/>
                <w:kern w:val="0"/>
                <w:sz w:val="21"/>
                <w:szCs w:val="21"/>
                <w:highlight w:val="none"/>
                <w:lang w:val="en-US" w:eastAsia="zh-CN" w:bidi="ar-SA"/>
              </w:rPr>
              <w:t>金额：1万元，须足额缴纳。</w:t>
            </w:r>
          </w:p>
          <w:p w14:paraId="23FB5731">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Calibri"/>
                <w:color w:val="auto"/>
                <w:kern w:val="0"/>
                <w:sz w:val="21"/>
                <w:szCs w:val="21"/>
                <w:highlight w:val="none"/>
                <w:lang w:val="en-US" w:eastAsia="zh-CN" w:bidi="ar-SA"/>
              </w:rPr>
            </w:pPr>
            <w:r>
              <w:rPr>
                <w:rFonts w:hint="eastAsia" w:ascii="宋体" w:hAnsi="宋体" w:eastAsia="宋体" w:cs="Calibri"/>
                <w:color w:val="auto"/>
                <w:kern w:val="0"/>
                <w:sz w:val="21"/>
                <w:szCs w:val="21"/>
                <w:highlight w:val="none"/>
                <w:lang w:val="en-US" w:eastAsia="zh-CN" w:bidi="ar-SA"/>
              </w:rPr>
              <w:t>磋商保证金的交纳方式：银行转账、支票、汇票、本票或者银行、保险机构出具的保函（包含电子保函），禁止采用现钞方式。采用银行转账方式的，在响应文件提交截止时间前交至指定账户并且到账（开户名称：广西翔正项目管理有限公司，开户银行：中国工商银行南宁建政支行，银行账号210 210 710 93000 76992）；采用支票、汇票、本票或者保函等方式的，在响应文件提交截止时间前，供应商必须提交单独密封的支票、汇票、本票或者保函原件。否则视为无效磋商保证金。</w:t>
            </w:r>
          </w:p>
          <w:p w14:paraId="7C4CA560">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Calibri"/>
                <w:color w:val="auto"/>
                <w:kern w:val="0"/>
                <w:sz w:val="21"/>
                <w:szCs w:val="21"/>
                <w:highlight w:val="none"/>
                <w:lang w:val="en-US" w:eastAsia="zh-CN" w:bidi="ar-SA"/>
              </w:rPr>
            </w:pPr>
            <w:r>
              <w:rPr>
                <w:rFonts w:hint="eastAsia" w:ascii="宋体" w:hAnsi="宋体" w:eastAsia="宋体" w:cs="Calibri"/>
                <w:color w:val="auto"/>
                <w:kern w:val="0"/>
                <w:sz w:val="21"/>
                <w:szCs w:val="21"/>
                <w:highlight w:val="none"/>
                <w:lang w:val="en-US" w:eastAsia="zh-CN" w:bidi="ar-SA"/>
              </w:rPr>
              <w:t>相关要求：</w:t>
            </w:r>
          </w:p>
          <w:p w14:paraId="23714505">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Calibri"/>
                <w:color w:val="auto"/>
                <w:kern w:val="0"/>
                <w:sz w:val="21"/>
                <w:szCs w:val="21"/>
                <w:highlight w:val="none"/>
                <w:lang w:val="en-US" w:eastAsia="zh-CN" w:bidi="ar-SA"/>
              </w:rPr>
            </w:pPr>
            <w:r>
              <w:rPr>
                <w:rFonts w:hint="eastAsia" w:ascii="宋体" w:hAnsi="宋体" w:eastAsia="宋体" w:cs="Calibri"/>
                <w:color w:val="auto"/>
                <w:kern w:val="0"/>
                <w:sz w:val="21"/>
                <w:szCs w:val="21"/>
                <w:highlight w:val="none"/>
                <w:lang w:val="en-US" w:eastAsia="zh-CN" w:bidi="ar-SA"/>
              </w:rPr>
              <w:t>1.磋商保证金采用银行转账交纳方式的，在响应文件提交截止时间前交至指定账户并且到账，供应商应将银行转账底单的复印件作为磋商保证金提交凭证，放置于商务技术文件中，否则响应文件按无效响应处理。</w:t>
            </w:r>
          </w:p>
          <w:p w14:paraId="4B718F15">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Calibri"/>
                <w:color w:val="auto"/>
                <w:kern w:val="0"/>
                <w:sz w:val="21"/>
                <w:szCs w:val="21"/>
                <w:highlight w:val="none"/>
                <w:lang w:val="en-US" w:eastAsia="zh-CN" w:bidi="ar-SA"/>
              </w:rPr>
            </w:pPr>
            <w:r>
              <w:rPr>
                <w:rFonts w:hint="eastAsia" w:ascii="宋体" w:hAnsi="宋体" w:eastAsia="宋体" w:cs="Calibri"/>
                <w:color w:val="auto"/>
                <w:kern w:val="0"/>
                <w:sz w:val="21"/>
                <w:szCs w:val="21"/>
                <w:highlight w:val="none"/>
                <w:lang w:val="en-US" w:eastAsia="zh-CN" w:bidi="ar-SA"/>
              </w:rPr>
              <w:t>2.磋商保证金采用支票、汇票、本票或者银行、保险机构出具的保函（包含电子保函）交纳方式的，供应商应将支票、汇票、本票或者银行、保险机构出具的保函（包含电子保函）的复印件作为磋商保证金提交凭证，放置于商务技术文件中，否则响应文件按无效处理。供应商必须在响应文件提交截止时间前采用现场或邮寄方式</w:t>
            </w:r>
            <w:r>
              <w:rPr>
                <w:rFonts w:hint="eastAsia" w:ascii="宋体" w:hAnsi="宋体" w:cs="Calibri"/>
                <w:color w:val="auto"/>
                <w:kern w:val="0"/>
                <w:sz w:val="21"/>
                <w:szCs w:val="21"/>
                <w:highlight w:val="none"/>
                <w:lang w:val="en-US" w:eastAsia="zh-CN" w:bidi="ar-SA"/>
              </w:rPr>
              <w:t>[</w:t>
            </w:r>
            <w:r>
              <w:rPr>
                <w:rFonts w:hint="eastAsia" w:ascii="宋体" w:hAnsi="宋体" w:eastAsia="宋体" w:cs="Calibri"/>
                <w:color w:val="auto"/>
                <w:kern w:val="0"/>
                <w:sz w:val="21"/>
                <w:szCs w:val="21"/>
                <w:highlight w:val="none"/>
                <w:lang w:val="en-US" w:eastAsia="zh-CN" w:bidi="ar-SA"/>
              </w:rPr>
              <w:t>现场提交地址：广西翔正项目管理有限公司(南宁市兴宁区秀厢大道199号金源城（建兴路）金源CBD东城25楼；邮寄地址：南宁市兴宁区秀厢大道199号金源城（建兴路）金源CBD东城25楼，收件人：黄翠丽，联系方式：0771-3925351</w:t>
            </w:r>
            <w:r>
              <w:rPr>
                <w:rFonts w:hint="eastAsia" w:ascii="宋体" w:hAnsi="宋体" w:cs="Calibri"/>
                <w:color w:val="auto"/>
                <w:kern w:val="0"/>
                <w:sz w:val="21"/>
                <w:szCs w:val="21"/>
                <w:highlight w:val="none"/>
                <w:lang w:val="en-US" w:eastAsia="zh-CN" w:bidi="ar-SA"/>
              </w:rPr>
              <w:t>]</w:t>
            </w:r>
            <w:r>
              <w:rPr>
                <w:rFonts w:hint="eastAsia" w:ascii="宋体" w:hAnsi="宋体" w:eastAsia="宋体" w:cs="Calibri"/>
                <w:color w:val="auto"/>
                <w:kern w:val="0"/>
                <w:sz w:val="21"/>
                <w:szCs w:val="21"/>
                <w:highlight w:val="none"/>
                <w:lang w:val="en-US" w:eastAsia="zh-CN" w:bidi="ar-SA"/>
              </w:rPr>
              <w:t>将单独密封的支票、汇票、本票或者银行、保险机构出具的保函原件提交给采购人或者采购代理机构，由采购人或者采购代理机构向供应商出具回执（邮寄方式的除外），并妥善保管。</w:t>
            </w:r>
          </w:p>
          <w:p w14:paraId="5E8AF04B">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Calibri"/>
                <w:color w:val="auto"/>
                <w:kern w:val="0"/>
                <w:sz w:val="21"/>
                <w:szCs w:val="21"/>
                <w:highlight w:val="none"/>
                <w:lang w:val="en-US" w:eastAsia="zh-CN" w:bidi="ar-SA"/>
              </w:rPr>
            </w:pPr>
            <w:r>
              <w:rPr>
                <w:rFonts w:hint="eastAsia" w:ascii="宋体" w:hAnsi="宋体" w:eastAsia="宋体" w:cs="Calibri"/>
                <w:color w:val="auto"/>
                <w:kern w:val="0"/>
                <w:sz w:val="21"/>
                <w:szCs w:val="21"/>
                <w:highlight w:val="none"/>
                <w:lang w:val="en-US" w:eastAsia="zh-CN" w:bidi="ar-SA"/>
              </w:rPr>
              <w:t>3.供应商为联合体的，可以由联合体中的一方或者多方共同交纳磋商保证金，其交纳的保证金对联合体各方均具有约束力。</w:t>
            </w:r>
          </w:p>
          <w:p w14:paraId="13315B05">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Calibri"/>
                <w:color w:val="auto"/>
                <w:kern w:val="0"/>
                <w:sz w:val="21"/>
                <w:szCs w:val="21"/>
                <w:highlight w:val="none"/>
                <w:lang w:val="en-US" w:eastAsia="zh-CN" w:bidi="ar-SA"/>
              </w:rPr>
            </w:pPr>
            <w:r>
              <w:rPr>
                <w:rFonts w:hint="eastAsia" w:ascii="宋体" w:hAnsi="宋体" w:eastAsia="宋体" w:cs="Calibri"/>
                <w:color w:val="auto"/>
                <w:kern w:val="0"/>
                <w:sz w:val="21"/>
                <w:szCs w:val="21"/>
                <w:highlight w:val="none"/>
                <w:lang w:val="en-US" w:eastAsia="zh-CN" w:bidi="ar-SA"/>
              </w:rPr>
              <w:t xml:space="preserve">备注： </w:t>
            </w:r>
          </w:p>
          <w:p w14:paraId="677D8643">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Calibri"/>
                <w:color w:val="auto"/>
                <w:kern w:val="0"/>
                <w:sz w:val="21"/>
                <w:szCs w:val="21"/>
                <w:highlight w:val="none"/>
                <w:lang w:val="en-US" w:eastAsia="zh-CN" w:bidi="ar-SA"/>
              </w:rPr>
            </w:pPr>
            <w:r>
              <w:rPr>
                <w:rFonts w:hint="eastAsia" w:ascii="宋体" w:hAnsi="宋体" w:eastAsia="宋体" w:cs="Calibri"/>
                <w:color w:val="auto"/>
                <w:kern w:val="0"/>
                <w:sz w:val="21"/>
                <w:szCs w:val="21"/>
                <w:highlight w:val="none"/>
                <w:lang w:val="en-US" w:eastAsia="zh-CN" w:bidi="ar-SA"/>
              </w:rPr>
              <w:t>1.磋商保证金在响应文件提交截止时间后提交的，或者不按规定交纳方式交纳的，或者未足额交纳的（包含保函额度不足的），视为无效磋商保证金。</w:t>
            </w:r>
          </w:p>
          <w:p w14:paraId="5594A210">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Calibri"/>
                <w:color w:val="auto"/>
                <w:kern w:val="0"/>
                <w:sz w:val="21"/>
                <w:szCs w:val="21"/>
                <w:highlight w:val="none"/>
                <w:lang w:val="en-US" w:eastAsia="zh-CN" w:bidi="ar-SA"/>
              </w:rPr>
            </w:pPr>
            <w:r>
              <w:rPr>
                <w:rFonts w:hint="eastAsia" w:ascii="宋体" w:hAnsi="宋体" w:eastAsia="宋体" w:cs="Calibri"/>
                <w:color w:val="auto"/>
                <w:kern w:val="0"/>
                <w:sz w:val="21"/>
                <w:szCs w:val="21"/>
                <w:highlight w:val="none"/>
                <w:lang w:val="en-US" w:eastAsia="zh-CN" w:bidi="ar-SA"/>
              </w:rPr>
              <w:t>2.供应商采用现钞方式或者从个人账户（自然人竞标除外）转出的磋商保证金，视为无效磋商保证金。</w:t>
            </w:r>
          </w:p>
          <w:p w14:paraId="421A24F7">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Calibri"/>
                <w:color w:val="auto"/>
                <w:kern w:val="0"/>
                <w:sz w:val="21"/>
                <w:szCs w:val="21"/>
                <w:highlight w:val="none"/>
                <w:lang w:val="en-US" w:eastAsia="zh-CN" w:bidi="ar-SA"/>
              </w:rPr>
            </w:pPr>
            <w:r>
              <w:rPr>
                <w:rFonts w:hint="eastAsia" w:ascii="宋体" w:hAnsi="宋体" w:eastAsia="宋体" w:cs="Calibri"/>
                <w:color w:val="auto"/>
                <w:kern w:val="0"/>
                <w:sz w:val="21"/>
                <w:szCs w:val="21"/>
                <w:highlight w:val="none"/>
                <w:lang w:val="en-US" w:eastAsia="zh-CN" w:bidi="ar-SA"/>
              </w:rPr>
              <w:t>3.支票、汇票或者本票出现无效或者背书情形的，视为无效磋商保证金。</w:t>
            </w:r>
          </w:p>
          <w:p w14:paraId="0008F9D1">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Calibri"/>
                <w:color w:val="auto"/>
                <w:kern w:val="0"/>
                <w:sz w:val="21"/>
                <w:szCs w:val="21"/>
                <w:highlight w:val="none"/>
                <w:lang w:val="en-US" w:eastAsia="zh-CN" w:bidi="ar-SA"/>
              </w:rPr>
            </w:pPr>
            <w:r>
              <w:rPr>
                <w:rFonts w:hint="eastAsia" w:ascii="宋体" w:hAnsi="宋体" w:eastAsia="宋体" w:cs="Calibri"/>
                <w:color w:val="auto"/>
                <w:kern w:val="0"/>
                <w:sz w:val="21"/>
                <w:szCs w:val="21"/>
                <w:highlight w:val="none"/>
                <w:lang w:val="en-US" w:eastAsia="zh-CN" w:bidi="ar-SA"/>
              </w:rPr>
              <w:t>4.保函有效期低于竞标有效期的，视为无效磋商保证金。</w:t>
            </w:r>
          </w:p>
          <w:p w14:paraId="77C1C206">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olor w:val="auto"/>
                <w:highlight w:val="none"/>
                <w:lang w:val="en-US"/>
              </w:rPr>
            </w:pPr>
            <w:r>
              <w:rPr>
                <w:rFonts w:hint="eastAsia" w:ascii="宋体" w:hAnsi="宋体" w:eastAsia="宋体" w:cs="Calibri"/>
                <w:color w:val="auto"/>
                <w:kern w:val="0"/>
                <w:sz w:val="21"/>
                <w:szCs w:val="21"/>
                <w:highlight w:val="none"/>
                <w:lang w:val="en-US" w:eastAsia="zh-CN" w:bidi="ar-SA"/>
              </w:rPr>
              <w:t>5.采用银行、保险机构出具保函的，必须为无条件保函，否则视为无效磋商保证金。</w:t>
            </w:r>
          </w:p>
        </w:tc>
      </w:tr>
      <w:tr w14:paraId="2A902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348778">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default" w:ascii="宋体" w:hAnsi="宋体" w:eastAsia="宋体" w:cs="Calibri"/>
                <w:color w:val="auto"/>
                <w:szCs w:val="21"/>
                <w:highlight w:val="none"/>
              </w:rPr>
              <w:t>19</w:t>
            </w:r>
          </w:p>
        </w:tc>
        <w:tc>
          <w:tcPr>
            <w:tcW w:w="7912" w:type="dxa"/>
            <w:vAlign w:val="center"/>
          </w:tcPr>
          <w:p w14:paraId="473DD7E4">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rPr>
                <w:rFonts w:hint="default" w:ascii="宋体" w:hAnsi="宋体" w:eastAsia="宋体" w:cs="Calibri"/>
                <w:color w:val="auto"/>
                <w:szCs w:val="21"/>
                <w:highlight w:val="none"/>
              </w:rPr>
            </w:pPr>
            <w:r>
              <w:rPr>
                <w:rFonts w:hint="eastAsia" w:ascii="宋体" w:hAnsi="宋体" w:eastAsia="宋体"/>
                <w:color w:val="auto"/>
                <w:szCs w:val="21"/>
                <w:highlight w:val="none"/>
              </w:rPr>
              <w:t>本项目不接受</w:t>
            </w:r>
            <w:r>
              <w:rPr>
                <w:rFonts w:hint="eastAsia" w:ascii="宋体" w:hAnsi="宋体" w:eastAsia="宋体"/>
                <w:color w:val="auto"/>
                <w:highlight w:val="none"/>
              </w:rPr>
              <w:t>电子</w:t>
            </w:r>
            <w:r>
              <w:rPr>
                <w:rFonts w:hint="eastAsia" w:ascii="宋体" w:hAnsi="宋体" w:eastAsia="宋体"/>
                <w:color w:val="auto"/>
                <w:szCs w:val="21"/>
                <w:highlight w:val="none"/>
              </w:rPr>
              <w:t>备份响应文件</w:t>
            </w:r>
          </w:p>
        </w:tc>
      </w:tr>
      <w:tr w14:paraId="3F643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jc w:val="center"/>
        </w:trPr>
        <w:tc>
          <w:tcPr>
            <w:tcW w:w="992" w:type="dxa"/>
            <w:vAlign w:val="center"/>
          </w:tcPr>
          <w:p w14:paraId="76918F7D">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20.1</w:t>
            </w:r>
          </w:p>
        </w:tc>
        <w:tc>
          <w:tcPr>
            <w:tcW w:w="7912" w:type="dxa"/>
            <w:vAlign w:val="center"/>
          </w:tcPr>
          <w:p w14:paraId="493A9EA7">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contextualSpacing/>
              <w:jc w:val="left"/>
              <w:rPr>
                <w:rFonts w:hint="default" w:ascii="宋体" w:hAnsi="宋体" w:eastAsia="宋体" w:cs="Calibri"/>
                <w:color w:val="auto"/>
                <w:szCs w:val="21"/>
                <w:highlight w:val="none"/>
                <w:u w:val="single"/>
              </w:rPr>
            </w:pPr>
            <w:r>
              <w:rPr>
                <w:rFonts w:hint="eastAsia" w:ascii="宋体" w:hAnsi="宋体" w:eastAsia="宋体" w:cs="Calibri"/>
                <w:color w:val="auto"/>
                <w:szCs w:val="21"/>
                <w:highlight w:val="none"/>
              </w:rPr>
              <w:t>响应文件提交截止时间：详见竞争性磋商公告。</w:t>
            </w:r>
          </w:p>
          <w:p w14:paraId="68E54A67">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contextualSpacing/>
              <w:jc w:val="left"/>
              <w:rPr>
                <w:rFonts w:hint="default" w:ascii="宋体" w:hAnsi="宋体" w:eastAsia="宋体" w:cs="Calibri"/>
                <w:color w:val="auto"/>
                <w:szCs w:val="21"/>
                <w:highlight w:val="none"/>
              </w:rPr>
            </w:pPr>
            <w:r>
              <w:rPr>
                <w:rFonts w:hint="eastAsia" w:ascii="宋体" w:hAnsi="宋体" w:eastAsia="宋体" w:cs="Calibri"/>
                <w:color w:val="auto"/>
                <w:szCs w:val="21"/>
                <w:highlight w:val="none"/>
              </w:rPr>
              <w:t>响应文件提交地点：详见竞争性磋商公告。</w:t>
            </w:r>
          </w:p>
        </w:tc>
      </w:tr>
      <w:tr w14:paraId="1CCCE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2326543">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24.1</w:t>
            </w:r>
          </w:p>
        </w:tc>
        <w:tc>
          <w:tcPr>
            <w:tcW w:w="7912" w:type="dxa"/>
            <w:vAlign w:val="center"/>
          </w:tcPr>
          <w:p w14:paraId="626376AE">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contextualSpacing/>
              <w:jc w:val="left"/>
              <w:rPr>
                <w:rFonts w:hint="eastAsia" w:ascii="宋体" w:hAnsi="宋体" w:eastAsia="宋体" w:cs="Calibri"/>
                <w:color w:val="auto"/>
                <w:szCs w:val="21"/>
                <w:highlight w:val="none"/>
              </w:rPr>
            </w:pPr>
            <w:r>
              <w:rPr>
                <w:rFonts w:hint="eastAsia" w:ascii="宋体" w:hAnsi="宋体" w:eastAsia="宋体" w:cs="Calibri"/>
                <w:color w:val="auto"/>
                <w:szCs w:val="21"/>
                <w:highlight w:val="none"/>
              </w:rPr>
              <w:t>磋商小组的人数：</w:t>
            </w:r>
            <w:r>
              <w:rPr>
                <w:rFonts w:hint="eastAsia" w:ascii="宋体" w:hAnsi="宋体" w:eastAsia="宋体" w:cs="Calibri"/>
                <w:color w:val="auto"/>
                <w:szCs w:val="21"/>
                <w:highlight w:val="none"/>
                <w:u w:val="single"/>
              </w:rPr>
              <w:t xml:space="preserve"> 3</w:t>
            </w:r>
            <w:r>
              <w:rPr>
                <w:rFonts w:hint="eastAsia" w:ascii="宋体" w:hAnsi="宋体" w:eastAsia="宋体" w:cs="Calibri"/>
                <w:color w:val="auto"/>
                <w:szCs w:val="21"/>
                <w:highlight w:val="none"/>
              </w:rPr>
              <w:t>人或以上单数。</w:t>
            </w:r>
          </w:p>
        </w:tc>
      </w:tr>
      <w:tr w14:paraId="024EA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87617E">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2</w:t>
            </w:r>
            <w:r>
              <w:rPr>
                <w:rFonts w:hint="default" w:ascii="宋体" w:hAnsi="宋体" w:eastAsia="宋体" w:cs="Calibri"/>
                <w:color w:val="auto"/>
                <w:szCs w:val="21"/>
                <w:highlight w:val="none"/>
              </w:rPr>
              <w:t>5</w:t>
            </w:r>
          </w:p>
        </w:tc>
        <w:tc>
          <w:tcPr>
            <w:tcW w:w="7912" w:type="dxa"/>
            <w:vAlign w:val="center"/>
          </w:tcPr>
          <w:p w14:paraId="70B40B44">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contextualSpacing/>
              <w:jc w:val="left"/>
              <w:rPr>
                <w:rFonts w:hint="eastAsia" w:ascii="宋体" w:hAnsi="宋体" w:eastAsia="宋体" w:cs="Calibri"/>
                <w:color w:val="auto"/>
                <w:szCs w:val="21"/>
                <w:highlight w:val="none"/>
              </w:rPr>
            </w:pPr>
            <w:r>
              <w:rPr>
                <w:rFonts w:hint="eastAsia" w:ascii="宋体" w:hAnsi="宋体" w:eastAsia="宋体" w:cs="Calibri"/>
                <w:color w:val="auto"/>
                <w:szCs w:val="21"/>
                <w:highlight w:val="none"/>
              </w:rPr>
              <w:t>首次响应文件开启时间详见“竞争性磋商公告”</w:t>
            </w:r>
          </w:p>
          <w:p w14:paraId="46213081">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contextualSpacing/>
              <w:jc w:val="left"/>
              <w:rPr>
                <w:rFonts w:hint="eastAsia" w:ascii="宋体" w:hAnsi="宋体" w:eastAsia="宋体" w:cs="Calibri"/>
                <w:color w:val="auto"/>
                <w:szCs w:val="21"/>
                <w:highlight w:val="none"/>
              </w:rPr>
            </w:pPr>
            <w:r>
              <w:rPr>
                <w:rFonts w:hint="eastAsia" w:ascii="宋体" w:hAnsi="宋体" w:eastAsia="宋体" w:cs="Calibri"/>
                <w:color w:val="auto"/>
                <w:szCs w:val="21"/>
                <w:highlight w:val="none"/>
              </w:rPr>
              <w:t>首次响应文件解密时间：</w:t>
            </w:r>
            <w:r>
              <w:rPr>
                <w:rFonts w:hint="eastAsia" w:ascii="宋体" w:hAnsi="宋体" w:eastAsia="宋体" w:cs="Calibri"/>
                <w:color w:val="auto"/>
                <w:szCs w:val="21"/>
                <w:highlight w:val="none"/>
                <w:u w:val="single"/>
              </w:rPr>
              <w:t xml:space="preserve">30 </w:t>
            </w:r>
            <w:r>
              <w:rPr>
                <w:rFonts w:hint="eastAsia" w:ascii="宋体" w:hAnsi="宋体" w:eastAsia="宋体" w:cs="Calibri"/>
                <w:color w:val="auto"/>
                <w:szCs w:val="21"/>
                <w:highlight w:val="none"/>
              </w:rPr>
              <w:t>分钟</w:t>
            </w:r>
          </w:p>
        </w:tc>
      </w:tr>
      <w:tr w14:paraId="6E391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992" w:type="dxa"/>
            <w:vAlign w:val="center"/>
          </w:tcPr>
          <w:p w14:paraId="1E8FA107">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2</w:t>
            </w:r>
            <w:r>
              <w:rPr>
                <w:rFonts w:hint="default" w:ascii="宋体" w:hAnsi="宋体" w:eastAsia="宋体" w:cs="Calibri"/>
                <w:color w:val="auto"/>
                <w:szCs w:val="21"/>
                <w:highlight w:val="none"/>
              </w:rPr>
              <w:t>6.3</w:t>
            </w:r>
          </w:p>
        </w:tc>
        <w:tc>
          <w:tcPr>
            <w:tcW w:w="7912" w:type="dxa"/>
            <w:vAlign w:val="center"/>
          </w:tcPr>
          <w:p w14:paraId="072156A6">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contextualSpacing/>
              <w:jc w:val="left"/>
              <w:rPr>
                <w:rFonts w:hint="eastAsia" w:ascii="宋体" w:hAnsi="宋体" w:eastAsia="宋体" w:cs="Calibri"/>
                <w:color w:val="auto"/>
                <w:szCs w:val="21"/>
                <w:highlight w:val="none"/>
              </w:rPr>
            </w:pPr>
            <w:r>
              <w:rPr>
                <w:rFonts w:hint="eastAsia" w:ascii="宋体" w:hAnsi="宋体" w:eastAsia="宋体" w:cs="Calibri"/>
                <w:color w:val="auto"/>
                <w:szCs w:val="21"/>
                <w:highlight w:val="none"/>
              </w:rPr>
              <w:t>商务要求评审中允许负偏离的条款数为</w:t>
            </w:r>
            <w:r>
              <w:rPr>
                <w:rFonts w:hint="eastAsia" w:ascii="宋体" w:hAnsi="宋体" w:eastAsia="宋体" w:cs="Calibri"/>
                <w:color w:val="auto"/>
                <w:szCs w:val="21"/>
                <w:highlight w:val="none"/>
                <w:u w:val="single"/>
              </w:rPr>
              <w:t xml:space="preserve"> 0</w:t>
            </w:r>
            <w:r>
              <w:rPr>
                <w:rFonts w:hint="eastAsia" w:ascii="宋体" w:hAnsi="宋体" w:eastAsia="宋体" w:cs="Calibri"/>
                <w:color w:val="auto"/>
                <w:szCs w:val="21"/>
                <w:highlight w:val="none"/>
              </w:rPr>
              <w:t>项。</w:t>
            </w:r>
          </w:p>
          <w:p w14:paraId="2505E544">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contextualSpacing/>
              <w:jc w:val="left"/>
              <w:rPr>
                <w:rFonts w:hint="eastAsia" w:ascii="宋体" w:hAnsi="宋体" w:eastAsia="宋体" w:cs="Calibri"/>
                <w:color w:val="auto"/>
                <w:szCs w:val="21"/>
                <w:highlight w:val="none"/>
              </w:rPr>
            </w:pPr>
            <w:r>
              <w:rPr>
                <w:rFonts w:hint="eastAsia" w:ascii="宋体" w:hAnsi="宋体" w:eastAsia="宋体" w:cs="Calibri"/>
                <w:color w:val="auto"/>
                <w:szCs w:val="21"/>
                <w:highlight w:val="none"/>
              </w:rPr>
              <w:t>技术要求评审中允许负偏离的条款数为</w:t>
            </w:r>
            <w:r>
              <w:rPr>
                <w:rFonts w:hint="eastAsia" w:ascii="宋体" w:hAnsi="宋体" w:eastAsia="宋体" w:cs="Calibri"/>
                <w:color w:val="auto"/>
                <w:szCs w:val="21"/>
                <w:highlight w:val="none"/>
                <w:u w:val="single"/>
              </w:rPr>
              <w:t xml:space="preserve"> 0</w:t>
            </w:r>
            <w:r>
              <w:rPr>
                <w:rFonts w:hint="eastAsia" w:ascii="宋体" w:hAnsi="宋体" w:eastAsia="宋体" w:cs="Calibri"/>
                <w:color w:val="auto"/>
                <w:szCs w:val="21"/>
                <w:highlight w:val="none"/>
              </w:rPr>
              <w:t>项。</w:t>
            </w:r>
          </w:p>
        </w:tc>
      </w:tr>
      <w:tr w14:paraId="6BF09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F02767B">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default" w:ascii="宋体" w:hAnsi="宋体" w:eastAsia="宋体" w:cs="Calibri"/>
                <w:color w:val="auto"/>
                <w:szCs w:val="21"/>
                <w:highlight w:val="none"/>
              </w:rPr>
              <w:t>28.1</w:t>
            </w:r>
          </w:p>
        </w:tc>
        <w:tc>
          <w:tcPr>
            <w:tcW w:w="7912" w:type="dxa"/>
            <w:vAlign w:val="center"/>
          </w:tcPr>
          <w:p w14:paraId="3C88094D">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20" w:lineRule="exact"/>
              <w:ind w:left="0" w:right="0"/>
              <w:textAlignment w:val="bottom"/>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本项目不收取履约保证金。</w:t>
            </w:r>
          </w:p>
          <w:p w14:paraId="49D9A6CA">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20" w:lineRule="exact"/>
              <w:ind w:left="0" w:right="0"/>
              <w:textAlignment w:val="bottom"/>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sym w:font="Wingdings 2" w:char="00A3"/>
            </w:r>
            <w:r>
              <w:rPr>
                <w:rFonts w:hint="eastAsia" w:ascii="宋体" w:hAnsi="宋体" w:eastAsia="宋体" w:cs="Times New Roman"/>
                <w:color w:val="auto"/>
                <w:szCs w:val="21"/>
                <w:highlight w:val="none"/>
              </w:rPr>
              <w:t>本项目收取履约保证金，具体规定如下：</w:t>
            </w:r>
          </w:p>
          <w:p w14:paraId="3DE068BA">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rPr>
                <w:rFonts w:hint="default" w:ascii="宋体" w:hAnsi="宋体" w:eastAsia="宋体" w:cs="Calibri"/>
                <w:color w:val="auto"/>
                <w:szCs w:val="21"/>
                <w:highlight w:val="none"/>
              </w:rPr>
            </w:pPr>
            <w:r>
              <w:rPr>
                <w:rFonts w:hint="eastAsia" w:ascii="宋体" w:hAnsi="宋体" w:eastAsia="宋体" w:cs="Calibri"/>
                <w:color w:val="auto"/>
                <w:szCs w:val="21"/>
                <w:highlight w:val="none"/>
              </w:rPr>
              <w:t>履约保证金金额：按单分标成交金额的</w:t>
            </w:r>
            <w:r>
              <w:rPr>
                <w:rFonts w:hint="eastAsia" w:ascii="宋体" w:hAnsi="宋体" w:eastAsia="宋体" w:cs="Calibri"/>
                <w:color w:val="auto"/>
                <w:szCs w:val="21"/>
                <w:highlight w:val="none"/>
                <w:u w:val="single"/>
                <w:lang w:val="en-US" w:eastAsia="zh-CN"/>
              </w:rPr>
              <w:t>2</w:t>
            </w:r>
            <w:r>
              <w:rPr>
                <w:rFonts w:hint="eastAsia" w:ascii="宋体" w:hAnsi="宋体" w:eastAsia="宋体" w:cs="Calibri"/>
                <w:color w:val="auto"/>
                <w:szCs w:val="21"/>
                <w:highlight w:val="none"/>
              </w:rPr>
              <w:t>%。</w:t>
            </w:r>
          </w:p>
          <w:p w14:paraId="651E7D23">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rPr>
                <w:rFonts w:hint="default" w:ascii="宋体" w:hAnsi="宋体" w:eastAsia="宋体" w:cs="Calibri"/>
                <w:color w:val="auto"/>
                <w:szCs w:val="21"/>
                <w:highlight w:val="none"/>
              </w:rPr>
            </w:pPr>
            <w:r>
              <w:rPr>
                <w:rFonts w:hint="eastAsia" w:ascii="宋体" w:hAnsi="宋体" w:eastAsia="宋体" w:cs="Calibri"/>
                <w:color w:val="auto"/>
                <w:szCs w:val="21"/>
                <w:highlight w:val="none"/>
              </w:rPr>
              <w:t>成交人在签订本项目合同前，须向采购人交纳</w:t>
            </w:r>
            <w:r>
              <w:rPr>
                <w:rFonts w:hint="eastAsia" w:ascii="宋体" w:hAnsi="宋体" w:eastAsia="宋体" w:cs="Calibri"/>
                <w:color w:val="auto"/>
                <w:szCs w:val="21"/>
                <w:highlight w:val="none"/>
                <w:lang w:val="en-US" w:eastAsia="zh-CN"/>
              </w:rPr>
              <w:t>单分标</w:t>
            </w:r>
            <w:r>
              <w:rPr>
                <w:rFonts w:hint="eastAsia" w:ascii="宋体" w:hAnsi="宋体" w:eastAsia="宋体" w:cs="Calibri"/>
                <w:color w:val="auto"/>
                <w:szCs w:val="21"/>
                <w:highlight w:val="none"/>
              </w:rPr>
              <w:t>成交金额</w:t>
            </w:r>
            <w:r>
              <w:rPr>
                <w:rFonts w:hint="eastAsia" w:ascii="宋体" w:hAnsi="宋体" w:eastAsia="宋体" w:cs="Calibri"/>
                <w:color w:val="auto"/>
                <w:szCs w:val="21"/>
                <w:highlight w:val="none"/>
                <w:u w:val="single"/>
                <w:lang w:val="en-US" w:eastAsia="zh-CN"/>
              </w:rPr>
              <w:t>2</w:t>
            </w:r>
            <w:r>
              <w:rPr>
                <w:rFonts w:hint="eastAsia" w:ascii="宋体" w:hAnsi="宋体" w:eastAsia="宋体" w:cs="Calibri"/>
                <w:color w:val="auto"/>
                <w:szCs w:val="21"/>
                <w:highlight w:val="none"/>
              </w:rPr>
              <w:t>% 的履约保证金，以保证项目正常运行，如成交人违反相关法律法规，不履行所订立的合同，采购人有权取消成交人成交资格，协议自动终止。履约保证金不予返还，所造成的损失超过履约保证金数额的，还应对超出部分予以赔偿。</w:t>
            </w:r>
          </w:p>
          <w:p w14:paraId="5DB39230">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rPr>
                <w:rFonts w:hint="default" w:ascii="宋体" w:hAnsi="宋体" w:eastAsia="宋体" w:cs="Calibri"/>
                <w:color w:val="auto"/>
                <w:szCs w:val="21"/>
                <w:highlight w:val="none"/>
              </w:rPr>
            </w:pPr>
            <w:r>
              <w:rPr>
                <w:rFonts w:hint="eastAsia" w:ascii="宋体" w:hAnsi="宋体" w:eastAsia="宋体" w:cs="Calibri"/>
                <w:color w:val="auto"/>
                <w:szCs w:val="21"/>
                <w:highlight w:val="none"/>
              </w:rPr>
              <w:t>履约保证金递交方式：银行转账、电汇或网上支付、支票、汇票、本票或者银行、保险机构出具的保函等非现金方式。</w:t>
            </w:r>
          </w:p>
          <w:p w14:paraId="4CFC198C">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rPr>
                <w:rFonts w:hint="default" w:ascii="宋体" w:hAnsi="宋体" w:eastAsia="宋体" w:cs="Calibri"/>
                <w:color w:val="auto"/>
                <w:szCs w:val="21"/>
                <w:highlight w:val="none"/>
              </w:rPr>
            </w:pPr>
            <w:r>
              <w:rPr>
                <w:rFonts w:hint="eastAsia" w:ascii="宋体" w:hAnsi="宋体" w:eastAsia="宋体" w:cs="Calibri"/>
                <w:color w:val="auto"/>
                <w:szCs w:val="21"/>
                <w:highlight w:val="none"/>
              </w:rPr>
              <w:t>履约保证金退付方式、时间及条件：服务期满验收完成后后无息退付。履约保证金退付方式同磋商保证金退付方式。</w:t>
            </w:r>
          </w:p>
          <w:p w14:paraId="7E6CEF17">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rPr>
                <w:rFonts w:hint="default" w:ascii="宋体" w:hAnsi="宋体" w:eastAsia="宋体" w:cs="Calibri"/>
                <w:color w:val="auto"/>
                <w:szCs w:val="21"/>
                <w:highlight w:val="none"/>
              </w:rPr>
            </w:pPr>
            <w:r>
              <w:rPr>
                <w:rFonts w:hint="eastAsia" w:ascii="宋体" w:hAnsi="宋体" w:eastAsia="宋体" w:cs="Calibri"/>
                <w:color w:val="auto"/>
                <w:szCs w:val="21"/>
                <w:highlight w:val="none"/>
              </w:rPr>
              <w:t>由成交供应商向履约保证金收取单位提供《广西壮族自治区政府采购项目合同验收书》（详见桂财采〔2015〕22号），保证金收取单位在收到合格材料后5个工作日内办理退还手续（不计利息）。</w:t>
            </w:r>
          </w:p>
          <w:p w14:paraId="11D53564">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rPr>
                <w:rFonts w:hint="default" w:ascii="宋体" w:hAnsi="宋体" w:eastAsia="宋体" w:cs="Calibri"/>
                <w:b/>
                <w:color w:val="auto"/>
                <w:szCs w:val="21"/>
                <w:highlight w:val="none"/>
              </w:rPr>
            </w:pPr>
            <w:r>
              <w:rPr>
                <w:rFonts w:hint="eastAsia" w:ascii="宋体" w:hAnsi="宋体" w:eastAsia="宋体" w:cs="Calibri"/>
                <w:color w:val="auto"/>
                <w:szCs w:val="21"/>
                <w:highlight w:val="none"/>
              </w:rPr>
              <w:t>备注：</w:t>
            </w:r>
            <w:r>
              <w:rPr>
                <w:rFonts w:hint="eastAsia" w:ascii="宋体" w:hAnsi="宋体" w:eastAsia="宋体" w:cs="Calibri"/>
                <w:color w:val="auto"/>
                <w:szCs w:val="21"/>
                <w:highlight w:val="none"/>
              </w:rPr>
              <w:br w:type="textWrapping"/>
            </w:r>
            <w:r>
              <w:rPr>
                <w:rFonts w:hint="default" w:ascii="宋体" w:hAnsi="宋体" w:eastAsia="宋体" w:cs="Calibri"/>
                <w:b/>
                <w:color w:val="auto"/>
                <w:szCs w:val="21"/>
                <w:highlight w:val="none"/>
              </w:rPr>
              <w:t>1. 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p>
          <w:p w14:paraId="3B6E0496">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rPr>
                <w:rFonts w:hint="default" w:ascii="宋体" w:hAnsi="宋体" w:eastAsia="宋体" w:cs="Calibri"/>
                <w:b/>
                <w:color w:val="auto"/>
                <w:szCs w:val="21"/>
                <w:highlight w:val="none"/>
              </w:rPr>
            </w:pPr>
            <w:r>
              <w:rPr>
                <w:rFonts w:hint="default" w:ascii="宋体" w:hAnsi="宋体" w:eastAsia="宋体" w:cs="Calibri"/>
                <w:b/>
                <w:color w:val="auto"/>
                <w:szCs w:val="21"/>
                <w:highlight w:val="none"/>
              </w:rPr>
              <w:t>2.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06B2BE5F">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rPr>
                <w:rFonts w:hint="default" w:ascii="宋体" w:hAnsi="宋体" w:eastAsia="宋体" w:cs="Calibri"/>
                <w:b/>
                <w:color w:val="auto"/>
                <w:szCs w:val="21"/>
                <w:highlight w:val="none"/>
              </w:rPr>
            </w:pPr>
            <w:r>
              <w:rPr>
                <w:rFonts w:hint="default" w:ascii="宋体" w:hAnsi="宋体" w:eastAsia="宋体" w:cs="Calibri"/>
                <w:b/>
                <w:color w:val="auto"/>
                <w:szCs w:val="21"/>
                <w:highlight w:val="none"/>
              </w:rPr>
              <w:t>3.采用银行、保险机构出具的保函的，必须为无条件保函，否则不予签订合同。</w:t>
            </w:r>
          </w:p>
          <w:p w14:paraId="123DE7C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420" w:lineRule="exact"/>
              <w:ind w:left="0" w:right="0"/>
              <w:rPr>
                <w:rFonts w:hint="default" w:ascii="宋体" w:hAnsi="宋体" w:eastAsia="宋体" w:cs="Calibri"/>
                <w:color w:val="auto"/>
                <w:szCs w:val="21"/>
                <w:highlight w:val="none"/>
              </w:rPr>
            </w:pPr>
            <w:r>
              <w:rPr>
                <w:rFonts w:hint="default" w:ascii="宋体" w:hAnsi="宋体" w:eastAsia="宋体" w:cs="Calibri"/>
                <w:b/>
                <w:color w:val="auto"/>
                <w:szCs w:val="21"/>
                <w:highlight w:val="none"/>
              </w:rPr>
              <w:t>4.供应商为联合体的，由联合体任意一方按规定提交的履约保证金，视为有效履约保证金。</w:t>
            </w:r>
          </w:p>
        </w:tc>
      </w:tr>
      <w:tr w14:paraId="5E145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796E24C">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default" w:ascii="宋体" w:hAnsi="宋体" w:eastAsia="宋体" w:cs="Calibri"/>
                <w:color w:val="auto"/>
                <w:szCs w:val="21"/>
                <w:highlight w:val="none"/>
              </w:rPr>
              <w:t>29.1</w:t>
            </w:r>
          </w:p>
        </w:tc>
        <w:tc>
          <w:tcPr>
            <w:tcW w:w="7912" w:type="dxa"/>
            <w:vAlign w:val="center"/>
          </w:tcPr>
          <w:p w14:paraId="42742B17">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 xml:space="preserve">签订合同携带的证明材料： </w:t>
            </w:r>
          </w:p>
          <w:p w14:paraId="7DA5F502">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委托代理人负责签订合同的，须携带授权委托书及委托代理人身份证原件等其他资格证件。</w:t>
            </w:r>
          </w:p>
          <w:p w14:paraId="62B53DE4">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法定代表人负责签订合同的，须携带法定代表人身份证明原件及身份证原件等其他证明材料。</w:t>
            </w:r>
          </w:p>
        </w:tc>
      </w:tr>
      <w:tr w14:paraId="598FC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C6FCE02">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3</w:t>
            </w:r>
            <w:r>
              <w:rPr>
                <w:rFonts w:hint="default" w:ascii="宋体" w:hAnsi="宋体" w:eastAsia="宋体" w:cs="Calibri"/>
                <w:color w:val="auto"/>
                <w:szCs w:val="21"/>
                <w:highlight w:val="none"/>
              </w:rPr>
              <w:t>1.2</w:t>
            </w:r>
          </w:p>
        </w:tc>
        <w:tc>
          <w:tcPr>
            <w:tcW w:w="7912" w:type="dxa"/>
            <w:vAlign w:val="center"/>
          </w:tcPr>
          <w:p w14:paraId="783F0FBE">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接收质疑函方式：以书面形式。</w:t>
            </w:r>
          </w:p>
          <w:p w14:paraId="264BF73E">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质疑联系部门及联系方式：广西翔正项目管理有限公司</w:t>
            </w:r>
          </w:p>
          <w:p w14:paraId="4B58CBE1">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联系电话：0771-3925351</w:t>
            </w:r>
          </w:p>
          <w:p w14:paraId="28926615">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通讯地址：南宁市兴宁区秀厢大道199号金源城（建兴路）金源CBD东城25楼</w:t>
            </w:r>
          </w:p>
          <w:p w14:paraId="13630A53">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default" w:ascii="宋体" w:hAnsi="宋体" w:eastAsia="宋体" w:cs="等线"/>
                <w:color w:val="auto"/>
                <w:kern w:val="2"/>
                <w:sz w:val="21"/>
                <w:highlight w:val="none"/>
                <w:lang w:val="en-US"/>
              </w:rPr>
            </w:pPr>
            <w:r>
              <w:rPr>
                <w:rFonts w:hint="eastAsia" w:ascii="宋体" w:hAnsi="宋体" w:eastAsia="宋体"/>
                <w:color w:val="auto"/>
                <w:highlight w:val="none"/>
                <w:lang w:val="en-US" w:eastAsia="zh-CN"/>
              </w:rPr>
              <w:t>业务时间：每天上午8时30分到12时00分，下午3时00分到6时 00分，双休日和法定节假日不办理业务。</w:t>
            </w:r>
          </w:p>
        </w:tc>
      </w:tr>
      <w:tr w14:paraId="76F16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8658AE">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default" w:ascii="宋体" w:hAnsi="宋体" w:eastAsia="宋体" w:cs="Calibri"/>
                <w:color w:val="auto"/>
                <w:szCs w:val="21"/>
                <w:highlight w:val="none"/>
              </w:rPr>
              <w:t>32.1</w:t>
            </w:r>
          </w:p>
        </w:tc>
        <w:tc>
          <w:tcPr>
            <w:tcW w:w="7912" w:type="dxa"/>
            <w:vAlign w:val="center"/>
          </w:tcPr>
          <w:p w14:paraId="4905166D">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1.采购代理费支付方式：</w:t>
            </w:r>
          </w:p>
          <w:p w14:paraId="633A4051">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☑本项目代理服务费按如下规定由成交供应商在领取成交通知书前，一次性向采购代理机构支付。</w:t>
            </w:r>
          </w:p>
          <w:p w14:paraId="4CC252C5">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□采购人支付。</w:t>
            </w:r>
          </w:p>
          <w:p w14:paraId="55EE2642">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2.采购代理费收取标准：</w:t>
            </w:r>
          </w:p>
          <w:p w14:paraId="776F781F">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firstLine="210" w:firstLineChars="10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 xml:space="preserve">以成交金额为计费额，按照桂价费〔2011〕55号（服务类）规定采用差额定率累进法计算出收费基准价格。        </w:t>
            </w:r>
          </w:p>
          <w:p w14:paraId="0A60221E">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3. 采购代理费收取银行账户</w:t>
            </w:r>
          </w:p>
          <w:p w14:paraId="4924D858">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 xml:space="preserve">账户名称：广西翔正项目管理有限公司 </w:t>
            </w:r>
          </w:p>
          <w:p w14:paraId="710033B1">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 xml:space="preserve">开户银行：中国工商银行南宁市建政支行 </w:t>
            </w:r>
          </w:p>
          <w:p w14:paraId="2C5E79B8">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银行账号：2102107109300076992</w:t>
            </w:r>
          </w:p>
          <w:p w14:paraId="3ABCAED3">
            <w:pPr>
              <w:keepNext w:val="0"/>
              <w:keepLines w:val="0"/>
              <w:pageBreakBefore w:val="0"/>
              <w:widowControl w:val="0"/>
              <w:suppressLineNumbers w:val="0"/>
              <w:kinsoku/>
              <w:wordWrap/>
              <w:overflowPunct/>
              <w:topLinePunct w:val="0"/>
              <w:bidi w:val="0"/>
              <w:adjustRightInd/>
              <w:spacing w:before="0" w:beforeAutospacing="0" w:after="0" w:afterAutospacing="0" w:line="420" w:lineRule="exact"/>
              <w:ind w:left="0" w:right="0"/>
              <w:contextualSpacing/>
              <w:jc w:val="left"/>
              <w:rPr>
                <w:rFonts w:hint="default" w:ascii="宋体" w:hAnsi="宋体" w:eastAsia="宋体" w:cs="Calibri"/>
                <w:color w:val="auto"/>
                <w:sz w:val="21"/>
                <w:highlight w:val="none"/>
                <w:u w:val="single"/>
                <w:lang w:val="en-US"/>
              </w:rPr>
            </w:pPr>
            <w:r>
              <w:rPr>
                <w:rFonts w:hint="eastAsia" w:ascii="宋体" w:hAnsi="宋体" w:eastAsia="宋体"/>
                <w:color w:val="auto"/>
                <w:highlight w:val="none"/>
                <w:lang w:val="en-US" w:eastAsia="zh-CN"/>
              </w:rPr>
              <w:t>开户行行号：102611010711</w:t>
            </w:r>
          </w:p>
        </w:tc>
      </w:tr>
      <w:tr w14:paraId="501C4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79B032">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3</w:t>
            </w:r>
            <w:r>
              <w:rPr>
                <w:rFonts w:hint="default" w:ascii="宋体" w:hAnsi="宋体" w:eastAsia="宋体" w:cs="Calibri"/>
                <w:color w:val="auto"/>
                <w:szCs w:val="21"/>
                <w:highlight w:val="none"/>
              </w:rPr>
              <w:t>3.1</w:t>
            </w:r>
          </w:p>
        </w:tc>
        <w:tc>
          <w:tcPr>
            <w:tcW w:w="7912" w:type="dxa"/>
            <w:vAlign w:val="center"/>
          </w:tcPr>
          <w:p w14:paraId="256934D3">
            <w:pPr>
              <w:pStyle w:val="28"/>
              <w:keepNext w:val="0"/>
              <w:keepLines w:val="0"/>
              <w:pageBreakBefore w:val="0"/>
              <w:widowControl w:val="0"/>
              <w:suppressLineNumbers w:val="0"/>
              <w:kinsoku/>
              <w:wordWrap/>
              <w:overflowPunct/>
              <w:topLinePunct w:val="0"/>
              <w:bidi w:val="0"/>
              <w:adjustRightInd/>
              <w:snapToGrid w:val="0"/>
              <w:spacing w:before="0" w:beforeAutospacing="0" w:afterAutospacing="0" w:line="420" w:lineRule="exact"/>
              <w:ind w:left="0" w:right="0"/>
              <w:rPr>
                <w:rFonts w:hint="default" w:ascii="宋体" w:hAnsi="宋体" w:eastAsia="宋体" w:cs="Calibri"/>
                <w:color w:val="auto"/>
                <w:kern w:val="2"/>
                <w:sz w:val="21"/>
                <w:highlight w:val="none"/>
                <w:lang w:val="en-US"/>
              </w:rPr>
            </w:pPr>
            <w:r>
              <w:rPr>
                <w:rFonts w:hint="eastAsia" w:ascii="宋体" w:hAnsi="宋体" w:eastAsia="宋体" w:cs="等线"/>
                <w:color w:val="auto"/>
                <w:sz w:val="21"/>
                <w:highlight w:val="none"/>
                <w:lang w:val="en-US"/>
              </w:rPr>
              <w:t>解释：</w:t>
            </w:r>
            <w:r>
              <w:rPr>
                <w:rFonts w:hint="default" w:ascii="宋体" w:hAnsi="宋体" w:eastAsia="宋体" w:cs="等线"/>
                <w:color w:val="auto"/>
                <w:sz w:val="21"/>
                <w:highlight w:val="none"/>
                <w:lang w:val="en-US"/>
              </w:rPr>
              <w:t>构成本</w:t>
            </w:r>
            <w:r>
              <w:rPr>
                <w:rFonts w:hint="eastAsia" w:ascii="宋体" w:hAnsi="宋体" w:eastAsia="宋体" w:cs="等线"/>
                <w:color w:val="auto"/>
                <w:sz w:val="21"/>
                <w:highlight w:val="none"/>
                <w:lang w:val="en-US"/>
              </w:rPr>
              <w:t>磋商文件</w:t>
            </w:r>
            <w:r>
              <w:rPr>
                <w:rFonts w:hint="default" w:ascii="宋体" w:hAnsi="宋体" w:eastAsia="宋体" w:cs="等线"/>
                <w:color w:val="auto"/>
                <w:sz w:val="21"/>
                <w:highlight w:val="none"/>
                <w:lang w:val="en-US"/>
              </w:rPr>
              <w:t>的各个组成文件应互为解释，互为说明；除</w:t>
            </w:r>
            <w:r>
              <w:rPr>
                <w:rFonts w:hint="eastAsia" w:ascii="宋体" w:hAnsi="宋体" w:eastAsia="宋体" w:cs="等线"/>
                <w:color w:val="auto"/>
                <w:sz w:val="21"/>
                <w:highlight w:val="none"/>
                <w:lang w:val="en-US"/>
              </w:rPr>
              <w:t>磋商文件</w:t>
            </w:r>
            <w:r>
              <w:rPr>
                <w:rFonts w:hint="default" w:ascii="宋体" w:hAnsi="宋体" w:eastAsia="宋体" w:cs="等线"/>
                <w:color w:val="auto"/>
                <w:sz w:val="21"/>
                <w:highlight w:val="none"/>
                <w:lang w:val="en-US"/>
              </w:rPr>
              <w:t>中有特别规定外，仅适用于</w:t>
            </w:r>
            <w:r>
              <w:rPr>
                <w:rFonts w:hint="eastAsia" w:ascii="宋体" w:hAnsi="宋体" w:eastAsia="宋体" w:cs="等线"/>
                <w:color w:val="auto"/>
                <w:sz w:val="21"/>
                <w:highlight w:val="none"/>
                <w:lang w:val="en-US"/>
              </w:rPr>
              <w:t>竞标</w:t>
            </w:r>
            <w:r>
              <w:rPr>
                <w:rFonts w:hint="default" w:ascii="宋体" w:hAnsi="宋体" w:eastAsia="宋体" w:cs="等线"/>
                <w:color w:val="auto"/>
                <w:sz w:val="21"/>
                <w:highlight w:val="none"/>
                <w:lang w:val="en-US"/>
              </w:rPr>
              <w:t>阶段的规定，按</w:t>
            </w:r>
            <w:r>
              <w:rPr>
                <w:rFonts w:hint="eastAsia" w:ascii="宋体" w:hAnsi="宋体" w:eastAsia="宋体" w:cs="等线"/>
                <w:color w:val="auto"/>
                <w:sz w:val="21"/>
                <w:highlight w:val="none"/>
                <w:lang w:val="en-US"/>
              </w:rPr>
              <w:t>更正公告（澄清公告）</w:t>
            </w:r>
            <w:r>
              <w:rPr>
                <w:rFonts w:hint="default" w:ascii="宋体" w:hAnsi="宋体" w:eastAsia="宋体" w:cs="等线"/>
                <w:color w:val="auto"/>
                <w:sz w:val="21"/>
                <w:highlight w:val="none"/>
                <w:lang w:val="en-US"/>
              </w:rPr>
              <w:t>、</w:t>
            </w:r>
            <w:r>
              <w:rPr>
                <w:rFonts w:hint="eastAsia" w:ascii="宋体" w:hAnsi="宋体" w:eastAsia="宋体" w:cs="等线"/>
                <w:color w:val="auto"/>
                <w:sz w:val="21"/>
                <w:highlight w:val="none"/>
                <w:lang w:val="en-US"/>
              </w:rPr>
              <w:t>竞争性磋商</w:t>
            </w:r>
            <w:r>
              <w:rPr>
                <w:rFonts w:hint="default" w:ascii="宋体" w:hAnsi="宋体" w:eastAsia="宋体" w:cs="等线"/>
                <w:color w:val="auto"/>
                <w:sz w:val="21"/>
                <w:highlight w:val="none"/>
                <w:lang w:val="en-US"/>
              </w:rPr>
              <w:t>公告、</w:t>
            </w:r>
            <w:r>
              <w:rPr>
                <w:rFonts w:hint="eastAsia" w:ascii="宋体" w:hAnsi="宋体" w:eastAsia="宋体" w:cs="等线"/>
                <w:color w:val="auto"/>
                <w:sz w:val="21"/>
                <w:highlight w:val="none"/>
                <w:lang w:val="en-US"/>
              </w:rPr>
              <w:t>供应商</w:t>
            </w:r>
            <w:r>
              <w:rPr>
                <w:rFonts w:hint="default" w:ascii="宋体" w:hAnsi="宋体" w:eastAsia="宋体" w:cs="等线"/>
                <w:color w:val="auto"/>
                <w:sz w:val="21"/>
                <w:highlight w:val="none"/>
                <w:lang w:val="en-US"/>
              </w:rPr>
              <w:t>须知</w:t>
            </w:r>
            <w:r>
              <w:rPr>
                <w:rFonts w:hint="eastAsia" w:ascii="宋体" w:hAnsi="宋体" w:eastAsia="宋体" w:cs="等线"/>
                <w:color w:val="auto"/>
                <w:sz w:val="21"/>
                <w:highlight w:val="none"/>
                <w:lang w:val="en-US"/>
              </w:rPr>
              <w:t>、采购需求</w:t>
            </w:r>
            <w:r>
              <w:rPr>
                <w:rFonts w:hint="default" w:ascii="宋体" w:hAnsi="宋体" w:eastAsia="宋体" w:cs="等线"/>
                <w:color w:val="auto"/>
                <w:sz w:val="21"/>
                <w:highlight w:val="none"/>
                <w:lang w:val="en-US"/>
              </w:rPr>
              <w:t>、</w:t>
            </w:r>
            <w:r>
              <w:rPr>
                <w:rFonts w:hint="eastAsia" w:ascii="宋体" w:hAnsi="宋体" w:eastAsia="宋体" w:cs="等线"/>
                <w:color w:val="auto"/>
                <w:sz w:val="21"/>
                <w:highlight w:val="none"/>
                <w:lang w:val="en-US"/>
              </w:rPr>
              <w:t>评审程序、评审方法和评审标准</w:t>
            </w:r>
            <w:r>
              <w:rPr>
                <w:rFonts w:hint="default" w:ascii="宋体" w:hAnsi="宋体" w:eastAsia="宋体" w:cs="等线"/>
                <w:color w:val="auto"/>
                <w:sz w:val="21"/>
                <w:highlight w:val="none"/>
                <w:lang w:val="en-US"/>
              </w:rPr>
              <w:t>、</w:t>
            </w:r>
            <w:r>
              <w:rPr>
                <w:rFonts w:hint="eastAsia" w:ascii="宋体" w:hAnsi="宋体" w:eastAsia="宋体" w:cs="等线"/>
                <w:color w:val="auto"/>
                <w:sz w:val="21"/>
                <w:highlight w:val="none"/>
                <w:lang w:val="en-US"/>
              </w:rPr>
              <w:t>响应</w:t>
            </w:r>
            <w:r>
              <w:rPr>
                <w:rFonts w:hint="default" w:ascii="宋体" w:hAnsi="宋体" w:eastAsia="宋体" w:cs="等线"/>
                <w:color w:val="auto"/>
                <w:sz w:val="21"/>
                <w:highlight w:val="none"/>
                <w:lang w:val="en-US"/>
              </w:rPr>
              <w:t>文件格式</w:t>
            </w:r>
            <w:r>
              <w:rPr>
                <w:rFonts w:hint="eastAsia" w:ascii="宋体" w:hAnsi="宋体" w:eastAsia="宋体" w:cs="等线"/>
                <w:color w:val="auto"/>
                <w:sz w:val="21"/>
                <w:highlight w:val="none"/>
                <w:lang w:val="en-US"/>
              </w:rPr>
              <w:t>、合同文本</w:t>
            </w:r>
            <w:r>
              <w:rPr>
                <w:rFonts w:hint="default" w:ascii="宋体" w:hAnsi="宋体" w:eastAsia="宋体" w:cs="等线"/>
                <w:color w:val="auto"/>
                <w:sz w:val="21"/>
                <w:highlight w:val="none"/>
                <w:lang w:val="en-US"/>
              </w:rPr>
              <w:t>的先后顺序解释；同一组成文件中就同一事项的规定或者约定不一致的，以编排顺序在后者为准；同一组成文件不同版本之间有不一致的，以形成时间在后者为准；</w:t>
            </w:r>
            <w:r>
              <w:rPr>
                <w:rFonts w:hint="eastAsia" w:ascii="宋体" w:hAnsi="宋体" w:eastAsia="宋体" w:cs="等线"/>
                <w:color w:val="auto"/>
                <w:sz w:val="21"/>
                <w:highlight w:val="none"/>
                <w:lang w:val="en-US"/>
              </w:rPr>
              <w:t>更正公告（澄清公告）</w:t>
            </w:r>
            <w:r>
              <w:rPr>
                <w:rFonts w:hint="default" w:ascii="宋体" w:hAnsi="宋体" w:eastAsia="宋体" w:cs="等线"/>
                <w:color w:val="auto"/>
                <w:sz w:val="21"/>
                <w:highlight w:val="none"/>
                <w:lang w:val="en-US"/>
              </w:rPr>
              <w:t>与同步更新的</w:t>
            </w:r>
            <w:r>
              <w:rPr>
                <w:rFonts w:hint="eastAsia" w:ascii="宋体" w:hAnsi="宋体" w:eastAsia="宋体" w:cs="等线"/>
                <w:color w:val="auto"/>
                <w:sz w:val="21"/>
                <w:highlight w:val="none"/>
                <w:lang w:val="en-US"/>
              </w:rPr>
              <w:t>磋商文件</w:t>
            </w:r>
            <w:r>
              <w:rPr>
                <w:rFonts w:hint="default" w:ascii="宋体" w:hAnsi="宋体" w:eastAsia="宋体" w:cs="等线"/>
                <w:color w:val="auto"/>
                <w:sz w:val="21"/>
                <w:highlight w:val="none"/>
                <w:lang w:val="en-US"/>
              </w:rPr>
              <w:t>不一致时以</w:t>
            </w:r>
            <w:r>
              <w:rPr>
                <w:rFonts w:hint="eastAsia" w:ascii="宋体" w:hAnsi="宋体" w:eastAsia="宋体" w:cs="等线"/>
                <w:color w:val="auto"/>
                <w:sz w:val="21"/>
                <w:highlight w:val="none"/>
                <w:lang w:val="en-US"/>
              </w:rPr>
              <w:t>更正公告（澄清公告）</w:t>
            </w:r>
            <w:r>
              <w:rPr>
                <w:rFonts w:hint="default" w:ascii="宋体" w:hAnsi="宋体" w:eastAsia="宋体" w:cs="等线"/>
                <w:color w:val="auto"/>
                <w:sz w:val="21"/>
                <w:highlight w:val="none"/>
                <w:lang w:val="en-US"/>
              </w:rPr>
              <w:t>为准。按本款前述规定仍不能形成结论的，由</w:t>
            </w:r>
            <w:r>
              <w:rPr>
                <w:rFonts w:hint="eastAsia" w:ascii="宋体" w:hAnsi="宋体" w:eastAsia="宋体" w:cs="等线"/>
                <w:color w:val="auto"/>
                <w:sz w:val="21"/>
                <w:highlight w:val="none"/>
                <w:lang w:val="en-US"/>
              </w:rPr>
              <w:t>采购</w:t>
            </w:r>
            <w:r>
              <w:rPr>
                <w:rFonts w:hint="default" w:ascii="宋体" w:hAnsi="宋体" w:eastAsia="宋体" w:cs="等线"/>
                <w:color w:val="auto"/>
                <w:sz w:val="21"/>
                <w:highlight w:val="none"/>
                <w:lang w:val="en-US"/>
              </w:rPr>
              <w:t>人</w:t>
            </w:r>
            <w:r>
              <w:rPr>
                <w:rFonts w:hint="eastAsia" w:ascii="宋体" w:hAnsi="宋体" w:eastAsia="宋体" w:cs="等线"/>
                <w:color w:val="auto"/>
                <w:sz w:val="21"/>
                <w:highlight w:val="none"/>
                <w:lang w:val="en-US"/>
              </w:rPr>
              <w:t>或者采购代理机构</w:t>
            </w:r>
            <w:r>
              <w:rPr>
                <w:rFonts w:hint="default" w:ascii="宋体" w:hAnsi="宋体" w:eastAsia="宋体" w:cs="等线"/>
                <w:color w:val="auto"/>
                <w:sz w:val="21"/>
                <w:highlight w:val="none"/>
                <w:lang w:val="en-US"/>
              </w:rPr>
              <w:t>负责解释。</w:t>
            </w:r>
          </w:p>
        </w:tc>
      </w:tr>
      <w:tr w14:paraId="7101E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FBEEA6">
            <w:pPr>
              <w:keepNext w:val="0"/>
              <w:keepLines w:val="0"/>
              <w:pageBreakBefore w:val="0"/>
              <w:widowControl w:val="0"/>
              <w:suppressLineNumbers w:val="0"/>
              <w:kinsoku/>
              <w:wordWrap/>
              <w:overflowPunct/>
              <w:topLinePunct w:val="0"/>
              <w:bidi w:val="0"/>
              <w:adjustRightInd/>
              <w:spacing w:before="0" w:beforeAutospacing="0" w:afterAutospacing="0" w:line="420" w:lineRule="exact"/>
              <w:ind w:left="0" w:right="0"/>
              <w:jc w:val="center"/>
              <w:rPr>
                <w:rFonts w:hint="default" w:ascii="宋体" w:hAnsi="宋体" w:eastAsia="宋体" w:cs="Calibri"/>
                <w:color w:val="auto"/>
                <w:szCs w:val="21"/>
                <w:highlight w:val="none"/>
              </w:rPr>
            </w:pPr>
            <w:r>
              <w:rPr>
                <w:rFonts w:hint="eastAsia" w:ascii="宋体" w:hAnsi="宋体" w:eastAsia="宋体" w:cs="Calibri"/>
                <w:color w:val="auto"/>
                <w:szCs w:val="21"/>
                <w:highlight w:val="none"/>
              </w:rPr>
              <w:t>3</w:t>
            </w:r>
            <w:r>
              <w:rPr>
                <w:rFonts w:hint="default" w:ascii="宋体" w:hAnsi="宋体" w:eastAsia="宋体" w:cs="Calibri"/>
                <w:color w:val="auto"/>
                <w:szCs w:val="21"/>
                <w:highlight w:val="none"/>
              </w:rPr>
              <w:t>3.2</w:t>
            </w:r>
          </w:p>
        </w:tc>
        <w:tc>
          <w:tcPr>
            <w:tcW w:w="7912" w:type="dxa"/>
            <w:vAlign w:val="center"/>
          </w:tcPr>
          <w:p w14:paraId="69FF37B6">
            <w:pPr>
              <w:pStyle w:val="2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20" w:lineRule="exact"/>
              <w:ind w:left="0" w:right="0"/>
              <w:textAlignment w:val="auto"/>
              <w:rPr>
                <w:rFonts w:hint="default" w:ascii="宋体" w:hAnsi="宋体" w:eastAsia="宋体" w:cs="等线"/>
                <w:color w:val="auto"/>
                <w:sz w:val="21"/>
                <w:highlight w:val="none"/>
                <w:lang w:val="en-US"/>
              </w:rPr>
            </w:pPr>
            <w:r>
              <w:rPr>
                <w:rFonts w:hint="eastAsia" w:ascii="宋体" w:hAnsi="宋体" w:eastAsia="宋体" w:cs="等线"/>
                <w:color w:val="auto"/>
                <w:sz w:val="21"/>
                <w:highlight w:val="none"/>
                <w:lang w:val="en-US"/>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F09200C">
            <w:pPr>
              <w:pStyle w:val="2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20" w:lineRule="exact"/>
              <w:ind w:left="0" w:right="0"/>
              <w:textAlignment w:val="auto"/>
              <w:rPr>
                <w:rFonts w:hint="default" w:ascii="宋体" w:hAnsi="宋体" w:eastAsia="宋体" w:cs="等线"/>
                <w:color w:val="auto"/>
                <w:sz w:val="21"/>
                <w:highlight w:val="none"/>
                <w:lang w:val="en-US"/>
              </w:rPr>
            </w:pPr>
            <w:r>
              <w:rPr>
                <w:rFonts w:hint="eastAsia" w:ascii="宋体" w:hAnsi="宋体" w:eastAsia="宋体" w:cs="等线"/>
                <w:color w:val="auto"/>
                <w:sz w:val="21"/>
                <w:highlight w:val="none"/>
                <w:lang w:val="en-US"/>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1C1F71E2">
            <w:pPr>
              <w:pStyle w:val="2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20" w:lineRule="exact"/>
              <w:ind w:left="0" w:right="0"/>
              <w:textAlignment w:val="auto"/>
              <w:rPr>
                <w:rFonts w:hint="default" w:ascii="宋体" w:hAnsi="宋体" w:eastAsia="宋体" w:cs="等线"/>
                <w:color w:val="auto"/>
                <w:sz w:val="21"/>
                <w:highlight w:val="none"/>
                <w:lang w:val="en-US"/>
              </w:rPr>
            </w:pPr>
            <w:r>
              <w:rPr>
                <w:rFonts w:hint="default" w:ascii="宋体" w:hAnsi="宋体" w:eastAsia="宋体" w:cs="等线"/>
                <w:color w:val="auto"/>
                <w:sz w:val="21"/>
                <w:highlight w:val="none"/>
                <w:lang w:val="en-US"/>
              </w:rPr>
              <w:t>3</w:t>
            </w:r>
            <w:r>
              <w:rPr>
                <w:rFonts w:hint="eastAsia" w:ascii="宋体" w:hAnsi="宋体" w:eastAsia="宋体" w:cs="等线"/>
                <w:color w:val="auto"/>
                <w:sz w:val="21"/>
                <w:highlight w:val="none"/>
                <w:lang w:val="en-US"/>
              </w:rPr>
              <w:t>.供应商为其他组织或者自然人时，本磋商文件规定的法定代表人指负责人或者自然人。本磋商文件所称负责人是指参加竞标的其他组织营业执照或者执业许可证等证照上的负责人，本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7D60B8F3">
            <w:pPr>
              <w:pStyle w:val="2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20" w:lineRule="exact"/>
              <w:ind w:left="0" w:right="0"/>
              <w:textAlignment w:val="auto"/>
              <w:rPr>
                <w:rFonts w:hint="default" w:ascii="宋体" w:hAnsi="宋体" w:eastAsia="宋体" w:cs="等线"/>
                <w:color w:val="auto"/>
                <w:sz w:val="21"/>
                <w:highlight w:val="none"/>
                <w:lang w:val="en-US"/>
              </w:rPr>
            </w:pPr>
            <w:r>
              <w:rPr>
                <w:rFonts w:hint="default" w:ascii="宋体" w:hAnsi="宋体" w:eastAsia="宋体" w:cs="等线"/>
                <w:color w:val="auto"/>
                <w:sz w:val="21"/>
                <w:highlight w:val="none"/>
                <w:lang w:val="en-US"/>
              </w:rPr>
              <w:t>4.</w:t>
            </w:r>
            <w:r>
              <w:rPr>
                <w:rFonts w:hint="eastAsia" w:ascii="宋体" w:hAnsi="宋体" w:eastAsia="宋体" w:cs="等线"/>
                <w:color w:val="auto"/>
                <w:sz w:val="21"/>
                <w:highlight w:val="none"/>
                <w:lang w:val="en-US"/>
              </w:rPr>
              <w:t>本磋商文件中描述供应商的“签字”是指供应商的法定代表人或者委托代理人亲自在文件规定签署处亲笔写上个人的名字的行为，私章、签字章、印鉴、影印等其他形式均不能代替亲笔签字。</w:t>
            </w:r>
          </w:p>
          <w:p w14:paraId="02A437EB">
            <w:pPr>
              <w:pStyle w:val="2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20" w:lineRule="exact"/>
              <w:ind w:left="0" w:right="0"/>
              <w:textAlignment w:val="auto"/>
              <w:rPr>
                <w:rFonts w:hint="default" w:ascii="宋体" w:hAnsi="宋体" w:eastAsia="宋体" w:cs="等线"/>
                <w:color w:val="auto"/>
                <w:sz w:val="21"/>
                <w:highlight w:val="none"/>
                <w:lang w:val="en-US"/>
              </w:rPr>
            </w:pPr>
            <w:r>
              <w:rPr>
                <w:rFonts w:hint="eastAsia" w:ascii="宋体" w:hAnsi="宋体" w:eastAsia="宋体" w:cs="等线"/>
                <w:color w:val="auto"/>
                <w:sz w:val="21"/>
                <w:highlight w:val="none"/>
                <w:lang w:val="en-US"/>
              </w:rPr>
              <w:t>5</w:t>
            </w:r>
            <w:r>
              <w:rPr>
                <w:rFonts w:hint="default" w:ascii="宋体" w:hAnsi="宋体" w:eastAsia="宋体" w:cs="等线"/>
                <w:color w:val="auto"/>
                <w:sz w:val="21"/>
                <w:highlight w:val="none"/>
                <w:lang w:val="en-US"/>
              </w:rPr>
              <w:t>.</w:t>
            </w:r>
            <w:r>
              <w:rPr>
                <w:rFonts w:hint="eastAsia" w:ascii="宋体" w:hAnsi="宋体" w:eastAsia="宋体" w:cs="等线"/>
                <w:color w:val="auto"/>
                <w:sz w:val="21"/>
                <w:highlight w:val="none"/>
                <w:lang w:val="en-US"/>
              </w:rPr>
              <w:t>本磋商文件所称的“以上”“以下”“以内”“届满”，包括本数；所称的“不满”“超过”“以外”，不包括本数。</w:t>
            </w:r>
          </w:p>
        </w:tc>
      </w:tr>
    </w:tbl>
    <w:p w14:paraId="71E3FB9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1"/>
        <w:rPr>
          <w:rFonts w:ascii="宋体" w:hAnsi="宋体" w:eastAsia="宋体"/>
          <w:b/>
          <w:color w:val="auto"/>
          <w:sz w:val="32"/>
          <w:szCs w:val="32"/>
          <w:highlight w:val="none"/>
        </w:rPr>
      </w:pPr>
      <w:r>
        <w:rPr>
          <w:rFonts w:ascii="宋体" w:hAnsi="宋体" w:eastAsia="宋体"/>
          <w:b/>
          <w:color w:val="auto"/>
          <w:sz w:val="32"/>
          <w:szCs w:val="32"/>
          <w:highlight w:val="none"/>
        </w:rPr>
        <w:br w:type="page"/>
      </w:r>
      <w:bookmarkStart w:id="18" w:name="_Toc5398"/>
      <w:r>
        <w:rPr>
          <w:rFonts w:hint="eastAsia" w:ascii="宋体" w:hAnsi="宋体" w:eastAsia="宋体"/>
          <w:b/>
          <w:color w:val="auto"/>
          <w:sz w:val="32"/>
          <w:szCs w:val="32"/>
          <w:highlight w:val="none"/>
        </w:rPr>
        <w:t>供应商须知正文</w:t>
      </w:r>
      <w:bookmarkEnd w:id="18"/>
    </w:p>
    <w:p w14:paraId="52385E45">
      <w:pPr>
        <w:spacing w:line="400" w:lineRule="exact"/>
        <w:jc w:val="center"/>
        <w:rPr>
          <w:rFonts w:ascii="宋体" w:hAnsi="宋体" w:eastAsia="宋体"/>
          <w:b/>
          <w:color w:val="auto"/>
          <w:sz w:val="32"/>
          <w:szCs w:val="32"/>
          <w:highlight w:val="none"/>
        </w:rPr>
      </w:pPr>
    </w:p>
    <w:p w14:paraId="57856BBC">
      <w:pPr>
        <w:spacing w:line="400" w:lineRule="exact"/>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一、总则</w:t>
      </w:r>
    </w:p>
    <w:p w14:paraId="3482F000">
      <w:pPr>
        <w:spacing w:line="400" w:lineRule="exact"/>
        <w:rPr>
          <w:rFonts w:ascii="宋体" w:hAnsi="宋体" w:eastAsia="宋体"/>
          <w:color w:val="auto"/>
          <w:szCs w:val="21"/>
          <w:highlight w:val="none"/>
        </w:rPr>
      </w:pPr>
    </w:p>
    <w:p w14:paraId="1E3E0EA3">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1.适用范围</w:t>
      </w:r>
    </w:p>
    <w:p w14:paraId="4DC44680">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eastAsia="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eastAsia="宋体" w:cs="Calibri"/>
          <w:color w:val="auto"/>
          <w:szCs w:val="21"/>
          <w:highlight w:val="none"/>
        </w:rPr>
        <w:t>及本项目本级和上级财政部门政府采购有关规定的约束和保护。</w:t>
      </w:r>
    </w:p>
    <w:p w14:paraId="7DD17AAE">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1.2</w:t>
      </w:r>
      <w:r>
        <w:rPr>
          <w:rFonts w:hint="eastAsia" w:ascii="宋体" w:hAnsi="宋体" w:eastAsia="宋体" w:cs="Calibri"/>
          <w:color w:val="auto"/>
          <w:spacing w:val="-6"/>
          <w:szCs w:val="21"/>
          <w:highlight w:val="none"/>
        </w:rPr>
        <w:t>本竞争性磋商文件（以下简称磋商文件）适用于本项目的所有采购程序和环节（法律、法规另有规定的，从其规定）。</w:t>
      </w:r>
    </w:p>
    <w:p w14:paraId="685C71C6">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2.定义</w:t>
      </w:r>
    </w:p>
    <w:p w14:paraId="3D85AFD7">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2.1“采购人”是指依法进行政府采购的国家机关、事业单位、团体组织。</w:t>
      </w:r>
    </w:p>
    <w:p w14:paraId="4CB7AF0F">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u w:val="single"/>
        </w:rPr>
      </w:pPr>
      <w:r>
        <w:rPr>
          <w:rFonts w:hint="eastAsia" w:ascii="宋体" w:hAnsi="宋体" w:eastAsia="宋体" w:cs="Calibri"/>
          <w:color w:val="auto"/>
          <w:szCs w:val="21"/>
          <w:highlight w:val="none"/>
        </w:rPr>
        <w:t>2.2“采购代理机构”是指政府采购集中采购机构和集中采购机构以外的采购代理机构。</w:t>
      </w:r>
    </w:p>
    <w:p w14:paraId="3DC3B821">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2.3“供应商”是指向采购人提供货物、工程或者服务的法人、其他组织或者自然人。</w:t>
      </w:r>
    </w:p>
    <w:p w14:paraId="187B9020">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olor w:val="auto"/>
          <w:szCs w:val="21"/>
          <w:highlight w:val="none"/>
        </w:rPr>
        <w:t>2.4“服务”是指除货物和工程以外的其他政府采购对象。</w:t>
      </w:r>
    </w:p>
    <w:p w14:paraId="5754CFB3">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w:t>
      </w:r>
      <w:r>
        <w:rPr>
          <w:rFonts w:ascii="宋体" w:hAnsi="宋体" w:eastAsia="宋体" w:cs="Calibri"/>
          <w:color w:val="auto"/>
          <w:szCs w:val="21"/>
          <w:highlight w:val="none"/>
        </w:rPr>
        <w:t>5</w:t>
      </w:r>
      <w:r>
        <w:rPr>
          <w:rFonts w:hint="eastAsia" w:ascii="宋体" w:hAnsi="宋体" w:eastAsia="宋体" w:cs="Calibri"/>
          <w:color w:val="auto"/>
          <w:szCs w:val="21"/>
          <w:highlight w:val="none"/>
        </w:rPr>
        <w:t>“竞标”是指供应商按照本项目竞争性磋商公告或者邀请函规定的方式获取磋商文件、提交响应文件并希望获得标的的行为。</w:t>
      </w:r>
    </w:p>
    <w:p w14:paraId="6BB0E915">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contextualSpacing/>
        <w:rPr>
          <w:rFonts w:ascii="宋体" w:hAnsi="宋体" w:eastAsia="宋体" w:cs="Calibri"/>
          <w:color w:val="auto"/>
          <w:szCs w:val="21"/>
          <w:highlight w:val="none"/>
        </w:rPr>
      </w:pPr>
      <w:r>
        <w:rPr>
          <w:rFonts w:hint="eastAsia" w:ascii="宋体" w:hAnsi="宋体" w:eastAsia="宋体" w:cs="Calibri"/>
          <w:color w:val="auto"/>
          <w:szCs w:val="21"/>
          <w:highlight w:val="none"/>
        </w:rPr>
        <w:t>2.6“书面形式”是指合同书、信件和数据电文（包括电报、电传、传真、电子数据交换和电子邮件）等可以有形地表现所载内容的形式。</w:t>
      </w:r>
    </w:p>
    <w:p w14:paraId="7CEAA969">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contextualSpacing/>
        <w:rPr>
          <w:rFonts w:ascii="宋体" w:hAnsi="宋体" w:eastAsia="宋体" w:cs="Calibri"/>
          <w:color w:val="auto"/>
          <w:szCs w:val="21"/>
          <w:highlight w:val="none"/>
        </w:rPr>
      </w:pPr>
      <w:r>
        <w:rPr>
          <w:rFonts w:hint="eastAsia" w:ascii="宋体" w:hAnsi="宋体" w:eastAsia="宋体" w:cs="Calibri"/>
          <w:color w:val="auto"/>
          <w:szCs w:val="21"/>
          <w:highlight w:val="none"/>
        </w:rPr>
        <w:t>2.7“响应文件”</w:t>
      </w:r>
      <w:r>
        <w:rPr>
          <w:rFonts w:hint="eastAsia" w:ascii="宋体" w:hAnsi="宋体" w:eastAsia="宋体" w:cs="Calibri"/>
          <w:color w:val="auto"/>
          <w:spacing w:val="-6"/>
          <w:szCs w:val="21"/>
          <w:highlight w:val="none"/>
        </w:rPr>
        <w:t>是指：供应商根据本磋商文件要求，编制包含资格证明、报价、商务技术等所有内容的文件。</w:t>
      </w:r>
    </w:p>
    <w:p w14:paraId="517218CE">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contextualSpacing/>
        <w:rPr>
          <w:rFonts w:ascii="宋体" w:hAnsi="宋体" w:eastAsia="宋体" w:cs="Calibri"/>
          <w:color w:val="auto"/>
          <w:szCs w:val="21"/>
          <w:highlight w:val="none"/>
        </w:rPr>
      </w:pPr>
      <w:r>
        <w:rPr>
          <w:rFonts w:hint="eastAsia" w:ascii="宋体" w:hAnsi="宋体" w:eastAsia="宋体" w:cs="Calibri"/>
          <w:color w:val="auto"/>
          <w:szCs w:val="21"/>
          <w:highlight w:val="none"/>
        </w:rPr>
        <w:t>2.8“实质性要求”是指磋商文件中已经指明不满足则响应文件按无效响应处理的条款，或者不能负偏离的条款，或者采购需求中带“▲”的条款。</w:t>
      </w:r>
    </w:p>
    <w:p w14:paraId="212E73D3">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contextualSpacing/>
        <w:rPr>
          <w:rFonts w:ascii="宋体" w:hAnsi="宋体" w:eastAsia="宋体" w:cs="Calibri"/>
          <w:color w:val="auto"/>
          <w:szCs w:val="21"/>
          <w:highlight w:val="none"/>
        </w:rPr>
      </w:pPr>
      <w:r>
        <w:rPr>
          <w:rFonts w:hint="eastAsia" w:ascii="宋体" w:hAnsi="宋体" w:eastAsia="宋体" w:cs="Calibri"/>
          <w:color w:val="auto"/>
          <w:szCs w:val="21"/>
          <w:highlight w:val="none"/>
        </w:rPr>
        <w:t>2.9“正偏离”，是指响应文件对磋商文件“采购需求”中有关条款作出的响应优于条款要求并有利于采购人的情形。</w:t>
      </w:r>
    </w:p>
    <w:p w14:paraId="0E1E2917">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contextualSpacing/>
        <w:rPr>
          <w:rFonts w:ascii="宋体" w:hAnsi="宋体" w:eastAsia="宋体" w:cs="Calibri"/>
          <w:color w:val="auto"/>
          <w:szCs w:val="21"/>
          <w:highlight w:val="none"/>
        </w:rPr>
      </w:pPr>
      <w:r>
        <w:rPr>
          <w:rFonts w:ascii="宋体" w:hAnsi="宋体" w:eastAsia="宋体" w:cs="Calibri"/>
          <w:color w:val="auto"/>
          <w:szCs w:val="21"/>
          <w:highlight w:val="none"/>
        </w:rPr>
        <w:t>2.</w:t>
      </w:r>
      <w:r>
        <w:rPr>
          <w:rFonts w:hint="eastAsia" w:ascii="宋体" w:hAnsi="宋体" w:eastAsia="宋体" w:cs="Calibri"/>
          <w:color w:val="auto"/>
          <w:szCs w:val="21"/>
          <w:highlight w:val="none"/>
        </w:rPr>
        <w:t>10“负偏离”，是指响应文件对磋商文件“采购需求”中有关条款作出的响应不满足条款要求，导致采购人要求不能得到满足的情形。</w:t>
      </w:r>
    </w:p>
    <w:p w14:paraId="361B1D1D">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contextualSpacing/>
        <w:rPr>
          <w:rFonts w:ascii="宋体" w:hAnsi="宋体" w:eastAsia="宋体" w:cs="Calibri"/>
          <w:color w:val="auto"/>
          <w:szCs w:val="21"/>
          <w:highlight w:val="none"/>
        </w:rPr>
      </w:pPr>
      <w:r>
        <w:rPr>
          <w:rFonts w:hint="eastAsia" w:ascii="宋体" w:hAnsi="宋体" w:eastAsia="宋体" w:cs="Calibri"/>
          <w:color w:val="auto"/>
          <w:szCs w:val="21"/>
          <w:highlight w:val="none"/>
        </w:rPr>
        <w:t>2.11“允许负偏离的条款”是指采购需求中的不属于“实质性要求”的条款。</w:t>
      </w:r>
    </w:p>
    <w:p w14:paraId="4938BF7F">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contextualSpacing/>
        <w:rPr>
          <w:rFonts w:ascii="宋体" w:hAnsi="宋体" w:eastAsia="宋体" w:cs="Calibri"/>
          <w:color w:val="auto"/>
          <w:szCs w:val="21"/>
          <w:highlight w:val="none"/>
        </w:rPr>
      </w:pPr>
      <w:r>
        <w:rPr>
          <w:rFonts w:hint="eastAsia" w:ascii="宋体" w:hAnsi="宋体" w:eastAsia="宋体" w:cs="Calibri"/>
          <w:color w:val="auto"/>
          <w:szCs w:val="21"/>
          <w:highlight w:val="none"/>
        </w:rPr>
        <w:t>2.</w:t>
      </w:r>
      <w:r>
        <w:rPr>
          <w:rFonts w:ascii="宋体" w:hAnsi="宋体" w:eastAsia="宋体" w:cs="Calibri"/>
          <w:color w:val="auto"/>
          <w:szCs w:val="21"/>
          <w:highlight w:val="none"/>
        </w:rPr>
        <w:t>1</w:t>
      </w:r>
      <w:r>
        <w:rPr>
          <w:rFonts w:hint="eastAsia" w:ascii="宋体" w:hAnsi="宋体" w:eastAsia="宋体" w:cs="Calibri"/>
          <w:color w:val="auto"/>
          <w:szCs w:val="21"/>
          <w:highlight w:val="none"/>
        </w:rPr>
        <w:t>2“首次报价”是指供应商提交的首次响应文件中的报价。</w:t>
      </w:r>
    </w:p>
    <w:p w14:paraId="21173C70">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3.供应商的资格条件</w:t>
      </w:r>
    </w:p>
    <w:p w14:paraId="13764B3D">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供应商的资格条件详见“供应商须知前附表”。</w:t>
      </w:r>
    </w:p>
    <w:p w14:paraId="3C311FA1">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4.竞标费用</w:t>
      </w:r>
    </w:p>
    <w:p w14:paraId="43972D5E">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19B44CBD">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5.联合体竞标</w:t>
      </w:r>
    </w:p>
    <w:p w14:paraId="34F09D1E">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5.1本项目是否接受联合体竞标，详见“供应商须知前附表”。</w:t>
      </w:r>
    </w:p>
    <w:p w14:paraId="0DC8530E">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5.2</w:t>
      </w:r>
      <w:r>
        <w:rPr>
          <w:rFonts w:hint="eastAsia" w:ascii="宋体" w:hAnsi="宋体" w:eastAsia="宋体"/>
          <w:color w:val="auto"/>
          <w:highlight w:val="none"/>
        </w:rPr>
        <w:t>如接受联合体竞标，</w:t>
      </w:r>
      <w:r>
        <w:rPr>
          <w:rFonts w:hint="eastAsia" w:ascii="宋体" w:hAnsi="宋体" w:eastAsia="宋体" w:cs="Calibri"/>
          <w:color w:val="auto"/>
          <w:szCs w:val="21"/>
          <w:highlight w:val="none"/>
        </w:rPr>
        <w:t>联合体竞标要求详见“供应商须知前附表”。</w:t>
      </w:r>
    </w:p>
    <w:p w14:paraId="5926FAAE">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5.3</w:t>
      </w:r>
      <w:bookmarkStart w:id="19" w:name="_Hlk66782192"/>
      <w:r>
        <w:rPr>
          <w:rFonts w:hint="eastAsia" w:ascii="宋体" w:hAnsi="宋体" w:eastAsia="宋体"/>
          <w:color w:val="auto"/>
          <w:szCs w:val="21"/>
          <w:highlight w:val="none"/>
        </w:rPr>
        <w:t>根据《政府采购促进中小企业发展管理办法》（财库〔2020〕46号）第九条第二款《广西壮族自治区财政厅关于持续优化政府采购营商环境推动高质量发展的通知》（桂财采〔</w:t>
      </w:r>
      <w:r>
        <w:rPr>
          <w:rFonts w:ascii="宋体" w:hAnsi="宋体" w:eastAsia="宋体"/>
          <w:color w:val="auto"/>
          <w:szCs w:val="21"/>
          <w:highlight w:val="none"/>
        </w:rPr>
        <w:t>2024〕55号）</w:t>
      </w:r>
      <w:r>
        <w:rPr>
          <w:rFonts w:hint="eastAsia" w:ascii="宋体" w:hAnsi="宋体" w:eastAsia="宋体"/>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19"/>
    </w:p>
    <w:p w14:paraId="476BC0B3">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 xml:space="preserve">6.转包与分包             </w:t>
      </w:r>
    </w:p>
    <w:p w14:paraId="0BCC648E">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20" w:firstLineChars="200"/>
        <w:textAlignment w:val="auto"/>
        <w:outlineLvl w:val="9"/>
        <w:rPr>
          <w:rFonts w:ascii="宋体" w:hAnsi="宋体" w:eastAsia="宋体"/>
          <w:b w:val="0"/>
          <w:color w:val="auto"/>
          <w:sz w:val="21"/>
          <w:szCs w:val="21"/>
          <w:highlight w:val="none"/>
        </w:rPr>
      </w:pPr>
      <w:bookmarkStart w:id="20" w:name="_Toc254970532"/>
      <w:bookmarkStart w:id="21" w:name="_Toc254970673"/>
      <w:r>
        <w:rPr>
          <w:rFonts w:hint="eastAsia" w:ascii="宋体" w:hAnsi="宋体" w:eastAsia="宋体"/>
          <w:b w:val="0"/>
          <w:color w:val="auto"/>
          <w:sz w:val="21"/>
          <w:szCs w:val="21"/>
          <w:highlight w:val="none"/>
        </w:rPr>
        <w:t>6.1本项目不允许转包。</w:t>
      </w:r>
    </w:p>
    <w:p w14:paraId="3B3A40AD">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315" w:firstLineChars="150"/>
        <w:textAlignment w:val="auto"/>
        <w:outlineLvl w:val="9"/>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44D00351">
      <w:pPr>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315" w:firstLineChars="150"/>
        <w:textAlignment w:val="auto"/>
        <w:outlineLvl w:val="9"/>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7B1C056D">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7.特别说明</w:t>
      </w:r>
      <w:bookmarkEnd w:id="20"/>
      <w:bookmarkEnd w:id="21"/>
    </w:p>
    <w:p w14:paraId="7D091FFA">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bookmarkStart w:id="22" w:name="_8.1提供相同品牌产品且通过资格审查、符合性审查的不同投标人参加同一合"/>
      <w:bookmarkEnd w:id="22"/>
      <w:r>
        <w:rPr>
          <w:rFonts w:hint="eastAsia" w:ascii="宋体" w:hAnsi="宋体" w:eastAsia="宋体" w:cs="Calibri"/>
          <w:color w:val="auto"/>
          <w:szCs w:val="21"/>
          <w:highlight w:val="none"/>
        </w:rPr>
        <w:t>7.</w:t>
      </w:r>
      <w:r>
        <w:rPr>
          <w:rFonts w:ascii="宋体" w:hAnsi="宋体" w:eastAsia="宋体" w:cs="Calibri"/>
          <w:color w:val="auto"/>
          <w:szCs w:val="21"/>
          <w:highlight w:val="none"/>
        </w:rPr>
        <w:t>1</w:t>
      </w:r>
      <w:bookmarkStart w:id="23" w:name="_Hlk65832145"/>
      <w:r>
        <w:rPr>
          <w:rFonts w:hint="eastAsia" w:ascii="宋体" w:hAnsi="宋体" w:eastAsia="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eastAsia="宋体" w:cs="Calibri"/>
          <w:color w:val="auto"/>
          <w:szCs w:val="21"/>
          <w:highlight w:val="none"/>
        </w:rPr>
        <w:t>。</w:t>
      </w:r>
    </w:p>
    <w:bookmarkEnd w:id="23"/>
    <w:p w14:paraId="621CC3E9">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7.</w:t>
      </w:r>
      <w:r>
        <w:rPr>
          <w:rFonts w:ascii="宋体" w:hAnsi="宋体" w:eastAsia="宋体" w:cs="Calibri"/>
          <w:color w:val="auto"/>
          <w:szCs w:val="21"/>
          <w:highlight w:val="none"/>
        </w:rPr>
        <w:t>2</w:t>
      </w:r>
      <w:r>
        <w:rPr>
          <w:rFonts w:hint="eastAsia" w:ascii="宋体" w:hAnsi="宋体" w:eastAsia="宋体" w:cs="Calibri"/>
          <w:color w:val="auto"/>
          <w:szCs w:val="21"/>
          <w:highlight w:val="none"/>
        </w:rPr>
        <w:t>供应商应仔细阅读磋商文件的所有内容，按照磋商文件的要求提交响应文件，并对所提供的全部资料的真实性承担法律责任。</w:t>
      </w:r>
    </w:p>
    <w:p w14:paraId="0494B8DC">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7.</w:t>
      </w:r>
      <w:r>
        <w:rPr>
          <w:rFonts w:ascii="宋体" w:hAnsi="宋体" w:eastAsia="宋体" w:cs="Calibri"/>
          <w:color w:val="auto"/>
          <w:szCs w:val="21"/>
          <w:highlight w:val="none"/>
        </w:rPr>
        <w:t>3</w:t>
      </w:r>
      <w:r>
        <w:rPr>
          <w:rFonts w:hint="eastAsia" w:ascii="宋体" w:hAnsi="宋体" w:eastAsia="宋体" w:cs="Calibri"/>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8848306">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7.</w:t>
      </w:r>
      <w:r>
        <w:rPr>
          <w:rFonts w:ascii="宋体" w:hAnsi="宋体" w:eastAsia="宋体" w:cs="Calibri"/>
          <w:color w:val="auto"/>
          <w:szCs w:val="21"/>
          <w:highlight w:val="none"/>
        </w:rPr>
        <w:t>4</w:t>
      </w:r>
      <w:r>
        <w:rPr>
          <w:rFonts w:hint="eastAsia" w:ascii="宋体" w:hAnsi="宋体" w:eastAsia="宋体" w:cs="Calibri"/>
          <w:color w:val="auto"/>
          <w:szCs w:val="21"/>
          <w:highlight w:val="none"/>
        </w:rPr>
        <w:t>在政府采购活动中，采购人员及相关人员与供应商有下列利害关系之一的，应当回避：</w:t>
      </w:r>
    </w:p>
    <w:p w14:paraId="6EA3525F">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（1）参加采购活动前3年内与供应商存在劳动关系；</w:t>
      </w:r>
    </w:p>
    <w:p w14:paraId="0A9BF483">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（2）参加采购活动前3年内担任供应商的董事、监事；</w:t>
      </w:r>
    </w:p>
    <w:p w14:paraId="1BFFEB95">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（3）参加采购活动前3年内是供应商的控股股东或者实际控制人；</w:t>
      </w:r>
    </w:p>
    <w:p w14:paraId="43FD6A20">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（4）与供应商的法定代表人或者负责人有夫妻、直系血亲、三代以内旁系血亲或者近姻亲关系；</w:t>
      </w:r>
    </w:p>
    <w:p w14:paraId="6BDD33E6">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（5）与供应商有其他可能影响政府采购活动公平、公正进行的关系。</w:t>
      </w:r>
    </w:p>
    <w:p w14:paraId="201CFC70">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30D0E29">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7.</w:t>
      </w:r>
      <w:r>
        <w:rPr>
          <w:rFonts w:ascii="宋体" w:hAnsi="宋体" w:eastAsia="宋体" w:cs="Calibri"/>
          <w:color w:val="auto"/>
          <w:szCs w:val="21"/>
          <w:highlight w:val="none"/>
        </w:rPr>
        <w:t>5</w:t>
      </w:r>
      <w:r>
        <w:rPr>
          <w:rFonts w:hint="eastAsia" w:ascii="宋体" w:hAnsi="宋体" w:eastAsia="宋体" w:cs="Calibri"/>
          <w:color w:val="auto"/>
          <w:szCs w:val="21"/>
          <w:highlight w:val="none"/>
        </w:rPr>
        <w:t>有下列情形之一的视为供应商相互串通竞标，响应文件将被视为无效：</w:t>
      </w:r>
    </w:p>
    <w:p w14:paraId="76E4FA95">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 xml:space="preserve">（1）不同供应商的响应文件由同一单位或者个人编制； </w:t>
      </w:r>
    </w:p>
    <w:p w14:paraId="496E0F1A">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（2）不同供应商委托同一单位或者个人办理竞标事宜；</w:t>
      </w:r>
    </w:p>
    <w:p w14:paraId="1E4644B8">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（3）不同的供应商的响应文件载明的项目管理员为同一个人；</w:t>
      </w:r>
    </w:p>
    <w:p w14:paraId="08C70C62">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（4）不同供应商的响应文件异常一致或者报价呈规律性差异；</w:t>
      </w:r>
    </w:p>
    <w:p w14:paraId="5732AE4B">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（5）不同供应商的响应文件相互混装；</w:t>
      </w:r>
    </w:p>
    <w:p w14:paraId="4E5550E8">
      <w:pPr>
        <w:keepNext w:val="0"/>
        <w:keepLines w:val="0"/>
        <w:pageBreakBefore w:val="0"/>
        <w:widowControl w:val="0"/>
        <w:tabs>
          <w:tab w:val="left" w:pos="6931"/>
        </w:tabs>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（6）不同供应商的磋商保证金从同一单位或者个人账户转出。</w:t>
      </w:r>
      <w:r>
        <w:rPr>
          <w:rFonts w:ascii="宋体" w:hAnsi="宋体" w:eastAsia="宋体" w:cs="Calibri"/>
          <w:color w:val="auto"/>
          <w:szCs w:val="21"/>
          <w:highlight w:val="none"/>
        </w:rPr>
        <w:tab/>
      </w:r>
    </w:p>
    <w:p w14:paraId="3A0DB012">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7.</w:t>
      </w:r>
      <w:r>
        <w:rPr>
          <w:rFonts w:ascii="宋体" w:hAnsi="宋体" w:eastAsia="宋体" w:cs="Calibri"/>
          <w:color w:val="auto"/>
          <w:szCs w:val="21"/>
          <w:highlight w:val="none"/>
        </w:rPr>
        <w:t>6</w:t>
      </w:r>
      <w:r>
        <w:rPr>
          <w:rFonts w:hint="eastAsia" w:ascii="宋体" w:hAnsi="宋体" w:eastAsia="宋体" w:cs="Calibri"/>
          <w:color w:val="auto"/>
          <w:szCs w:val="21"/>
          <w:highlight w:val="none"/>
        </w:rPr>
        <w:t>供应商有下列情形之一的，属于恶意串通行为，将报同级监督管理部门：</w:t>
      </w:r>
    </w:p>
    <w:p w14:paraId="3A286992">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（1）供应商直接或者间接从采购人或者采购代理机构处获得其他供应商的相关信息并修改其响应文件；</w:t>
      </w:r>
    </w:p>
    <w:p w14:paraId="3B66E75F">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（2）供应商按照采购人或者采购代理机构的授意撤换、修改响应文件；</w:t>
      </w:r>
    </w:p>
    <w:p w14:paraId="75C6FF79">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（3）供应商之间协商报价、技术方案等响应文件或者响应文件的实质性内容；</w:t>
      </w:r>
    </w:p>
    <w:p w14:paraId="6E43CE99">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（4）属于同一集团、协会、商会等组织成员的供应商按照该组织要求协同参加政府采购活动；</w:t>
      </w:r>
    </w:p>
    <w:p w14:paraId="3A59B759">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EDB9D3D">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（6）供应商之间商定部分供应商放弃参加政府采购活动或者放弃成交；</w:t>
      </w:r>
    </w:p>
    <w:p w14:paraId="6A2BE0B5">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（7）供应商与采购人或者采购代理机构之间、供应商相互之间，为谋求特定供应商成交或者排斥其他供应商的其他串通行为。</w:t>
      </w:r>
    </w:p>
    <w:p w14:paraId="7E2D46FC">
      <w:pPr>
        <w:keepNext w:val="0"/>
        <w:keepLines w:val="0"/>
        <w:pageBreakBefore w:val="0"/>
        <w:widowControl w:val="0"/>
        <w:kinsoku/>
        <w:wordWrap/>
        <w:overflowPunct/>
        <w:topLinePunct w:val="0"/>
        <w:autoSpaceDE/>
        <w:autoSpaceDN/>
        <w:bidi w:val="0"/>
        <w:adjustRightInd/>
        <w:spacing w:after="0" w:line="360" w:lineRule="auto"/>
        <w:ind w:left="0" w:leftChars="0"/>
        <w:jc w:val="center"/>
        <w:rPr>
          <w:rFonts w:ascii="宋体" w:hAnsi="宋体" w:eastAsia="宋体"/>
          <w:b/>
          <w:bCs/>
          <w:color w:val="auto"/>
          <w:sz w:val="32"/>
          <w:szCs w:val="32"/>
          <w:highlight w:val="none"/>
        </w:rPr>
      </w:pPr>
      <w:bookmarkStart w:id="24" w:name="_Toc254970675"/>
      <w:bookmarkStart w:id="25" w:name="_Toc254970534"/>
      <w:r>
        <w:rPr>
          <w:rFonts w:hint="eastAsia" w:ascii="宋体" w:hAnsi="宋体" w:eastAsia="宋体"/>
          <w:b/>
          <w:bCs/>
          <w:color w:val="auto"/>
          <w:sz w:val="32"/>
          <w:szCs w:val="32"/>
          <w:highlight w:val="none"/>
        </w:rPr>
        <w:t>二、磋商文件</w:t>
      </w:r>
      <w:bookmarkEnd w:id="24"/>
      <w:bookmarkEnd w:id="25"/>
    </w:p>
    <w:p w14:paraId="3B22E2D0">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8.磋商文件的构成</w:t>
      </w:r>
    </w:p>
    <w:p w14:paraId="44642851">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（1）竞争性磋商公告/竞标邀请函；</w:t>
      </w:r>
    </w:p>
    <w:p w14:paraId="516B94B3">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 xml:space="preserve">（2）供应商须知； </w:t>
      </w:r>
    </w:p>
    <w:p w14:paraId="273478BC">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（3）采购需求；</w:t>
      </w:r>
    </w:p>
    <w:p w14:paraId="230898BE">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（4）评审程序、评审方法和评审标准；</w:t>
      </w:r>
    </w:p>
    <w:p w14:paraId="1BD87FB3">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（5）响应文件格式；</w:t>
      </w:r>
    </w:p>
    <w:p w14:paraId="5BA7C53A">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（6）合同文本。</w:t>
      </w:r>
    </w:p>
    <w:p w14:paraId="4E461BAF">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9.供应商的询问</w:t>
      </w:r>
    </w:p>
    <w:p w14:paraId="72A0EBB4">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olor w:val="auto"/>
          <w:szCs w:val="21"/>
          <w:highlight w:val="none"/>
        </w:rPr>
      </w:pPr>
      <w:r>
        <w:rPr>
          <w:rFonts w:hint="eastAsia" w:ascii="宋体" w:hAnsi="宋体" w:eastAsia="宋体"/>
          <w:color w:val="auto"/>
          <w:szCs w:val="21"/>
          <w:highlight w:val="none"/>
        </w:rPr>
        <w:t>供应商应认真阅读磋商文件的采购需求，如供应商对磋商文件有疑问的，如要求采购人作出澄清或者修改的，供应商尽可能在</w:t>
      </w:r>
      <w:r>
        <w:rPr>
          <w:rFonts w:ascii="宋体" w:hAnsi="宋体" w:eastAsia="宋体"/>
          <w:color w:val="auto"/>
          <w:szCs w:val="21"/>
          <w:highlight w:val="none"/>
        </w:rPr>
        <w:t>提交首次响应文件截止之日前</w:t>
      </w:r>
      <w:r>
        <w:rPr>
          <w:rFonts w:hint="eastAsia" w:ascii="宋体" w:hAnsi="宋体" w:eastAsia="宋体"/>
          <w:color w:val="auto"/>
          <w:szCs w:val="21"/>
          <w:highlight w:val="none"/>
        </w:rPr>
        <w:t>，以书面形式向</w:t>
      </w:r>
      <w:r>
        <w:rPr>
          <w:rFonts w:ascii="宋体" w:hAnsi="宋体" w:eastAsia="宋体"/>
          <w:color w:val="auto"/>
          <w:szCs w:val="21"/>
          <w:highlight w:val="none"/>
        </w:rPr>
        <w:t>采购人、采购代理机构</w:t>
      </w:r>
      <w:r>
        <w:rPr>
          <w:rFonts w:hint="eastAsia" w:ascii="宋体" w:hAnsi="宋体" w:eastAsia="宋体"/>
          <w:color w:val="auto"/>
          <w:szCs w:val="21"/>
          <w:highlight w:val="none"/>
        </w:rPr>
        <w:t>提出。</w:t>
      </w:r>
    </w:p>
    <w:p w14:paraId="227F3E25">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10.磋商文件的澄清和修改</w:t>
      </w:r>
    </w:p>
    <w:p w14:paraId="067FDEB2">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olor w:val="auto"/>
          <w:szCs w:val="21"/>
          <w:highlight w:val="none"/>
        </w:rPr>
      </w:pPr>
      <w:r>
        <w:rPr>
          <w:rFonts w:ascii="宋体" w:hAnsi="宋体" w:eastAsia="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eastAsia="宋体"/>
          <w:color w:val="auto"/>
          <w:szCs w:val="21"/>
          <w:highlight w:val="none"/>
        </w:rPr>
        <w:t>获取</w:t>
      </w:r>
      <w:r>
        <w:rPr>
          <w:rFonts w:ascii="宋体" w:hAnsi="宋体" w:eastAsia="宋体"/>
          <w:color w:val="auto"/>
          <w:szCs w:val="21"/>
          <w:highlight w:val="none"/>
        </w:rPr>
        <w:t>磋商文件的供应商，不足3个工作日的，应当顺延提交首次响应文件截止之日。</w:t>
      </w:r>
    </w:p>
    <w:p w14:paraId="757AF2C5">
      <w:pPr>
        <w:keepNext w:val="0"/>
        <w:keepLines w:val="0"/>
        <w:pageBreakBefore w:val="0"/>
        <w:widowControl w:val="0"/>
        <w:kinsoku/>
        <w:wordWrap/>
        <w:overflowPunct/>
        <w:topLinePunct w:val="0"/>
        <w:autoSpaceDE/>
        <w:autoSpaceDN/>
        <w:bidi w:val="0"/>
        <w:adjustRightInd/>
        <w:spacing w:after="0" w:line="360" w:lineRule="auto"/>
        <w:ind w:left="0" w:leftChars="0"/>
        <w:jc w:val="center"/>
        <w:rPr>
          <w:rFonts w:ascii="宋体" w:hAnsi="宋体" w:eastAsia="宋体"/>
          <w:b/>
          <w:bCs/>
          <w:color w:val="auto"/>
          <w:szCs w:val="21"/>
          <w:highlight w:val="none"/>
        </w:rPr>
      </w:pPr>
      <w:r>
        <w:rPr>
          <w:rFonts w:hint="eastAsia" w:ascii="宋体" w:hAnsi="宋体" w:eastAsia="宋体"/>
          <w:b/>
          <w:bCs/>
          <w:color w:val="auto"/>
          <w:sz w:val="32"/>
          <w:szCs w:val="32"/>
          <w:highlight w:val="none"/>
        </w:rPr>
        <w:t>三、响应文件的编制</w:t>
      </w:r>
    </w:p>
    <w:p w14:paraId="59E2E66F">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11.响应文件的编制原则</w:t>
      </w:r>
    </w:p>
    <w:p w14:paraId="70AF0823">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供应商必须按照磋商文件的要求编制响应文件，并对其提交的响应文件的真实性、合法性承担法律责任。响应文件必须对磋商文件作出实质性响应。</w:t>
      </w:r>
    </w:p>
    <w:p w14:paraId="05D8226D">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12.响应文件的组成</w:t>
      </w:r>
    </w:p>
    <w:p w14:paraId="4FAD5EE0">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12.1响应文件由资格证明文件、报价文件、商务技术文件三部分组成。</w:t>
      </w:r>
    </w:p>
    <w:p w14:paraId="491DA8D1">
      <w:pPr>
        <w:keepNext w:val="0"/>
        <w:keepLines w:val="0"/>
        <w:pageBreakBefore w:val="0"/>
        <w:widowControl w:val="0"/>
        <w:kinsoku/>
        <w:wordWrap/>
        <w:overflowPunct/>
        <w:topLinePunct w:val="0"/>
        <w:autoSpaceDE/>
        <w:autoSpaceDN/>
        <w:bidi w:val="0"/>
        <w:adjustRightInd/>
        <w:spacing w:after="0" w:line="360" w:lineRule="auto"/>
        <w:ind w:left="420" w:leftChars="0" w:hanging="420" w:hangingChars="200"/>
        <w:rPr>
          <w:rFonts w:ascii="宋体" w:hAnsi="宋体" w:eastAsia="宋体" w:cs="Calibri"/>
          <w:color w:val="auto"/>
          <w:szCs w:val="21"/>
          <w:highlight w:val="none"/>
        </w:rPr>
      </w:pPr>
      <w:r>
        <w:rPr>
          <w:rFonts w:hint="eastAsia" w:ascii="宋体" w:hAnsi="宋体" w:eastAsia="宋体" w:cs="Calibri"/>
          <w:color w:val="auto"/>
          <w:szCs w:val="21"/>
          <w:highlight w:val="none"/>
        </w:rPr>
        <w:t>12.1.1资格证明文件：详见“供应商须知前附表”</w:t>
      </w:r>
    </w:p>
    <w:p w14:paraId="11E233EB">
      <w:pPr>
        <w:keepNext w:val="0"/>
        <w:keepLines w:val="0"/>
        <w:pageBreakBefore w:val="0"/>
        <w:widowControl w:val="0"/>
        <w:kinsoku/>
        <w:wordWrap/>
        <w:overflowPunct/>
        <w:topLinePunct w:val="0"/>
        <w:autoSpaceDE/>
        <w:autoSpaceDN/>
        <w:bidi w:val="0"/>
        <w:adjustRightInd/>
        <w:spacing w:after="0" w:line="360" w:lineRule="auto"/>
        <w:ind w:left="420" w:leftChars="0" w:hanging="420" w:hangingChars="200"/>
        <w:rPr>
          <w:rFonts w:ascii="宋体" w:hAnsi="宋体" w:eastAsia="宋体" w:cs="Calibri"/>
          <w:color w:val="auto"/>
          <w:szCs w:val="21"/>
          <w:highlight w:val="none"/>
        </w:rPr>
      </w:pPr>
      <w:r>
        <w:rPr>
          <w:rFonts w:hint="eastAsia" w:ascii="宋体" w:hAnsi="宋体" w:eastAsia="宋体" w:cs="Calibri"/>
          <w:color w:val="auto"/>
          <w:szCs w:val="21"/>
          <w:highlight w:val="none"/>
        </w:rPr>
        <w:t>12.1.2报价文件：详见“供应商须知前附表”</w:t>
      </w:r>
    </w:p>
    <w:p w14:paraId="2DEE779E">
      <w:pPr>
        <w:keepNext w:val="0"/>
        <w:keepLines w:val="0"/>
        <w:pageBreakBefore w:val="0"/>
        <w:widowControl w:val="0"/>
        <w:kinsoku/>
        <w:wordWrap/>
        <w:overflowPunct/>
        <w:topLinePunct w:val="0"/>
        <w:autoSpaceDE/>
        <w:autoSpaceDN/>
        <w:bidi w:val="0"/>
        <w:adjustRightInd/>
        <w:spacing w:after="0" w:line="360" w:lineRule="auto"/>
        <w:ind w:left="420" w:leftChars="0" w:hanging="420" w:hangingChars="200"/>
        <w:rPr>
          <w:rFonts w:ascii="宋体" w:hAnsi="宋体" w:eastAsia="宋体" w:cs="Calibri"/>
          <w:color w:val="auto"/>
          <w:szCs w:val="21"/>
          <w:highlight w:val="none"/>
        </w:rPr>
      </w:pPr>
      <w:r>
        <w:rPr>
          <w:rFonts w:hint="eastAsia" w:ascii="宋体" w:hAnsi="宋体" w:eastAsia="宋体" w:cs="Calibri"/>
          <w:color w:val="auto"/>
          <w:szCs w:val="21"/>
          <w:highlight w:val="none"/>
        </w:rPr>
        <w:t>12.1.3商务技术文件：详见“供应商须知前附表”</w:t>
      </w:r>
    </w:p>
    <w:p w14:paraId="306FB98C">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13.计量单位</w:t>
      </w:r>
    </w:p>
    <w:p w14:paraId="492DFED5">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磋商文件已有明确规定的，使用磋商文件规定的计量单位；磋商文件没有规定的，应采用中华人民共和国法定计量单位，货币种类为人民币，否则视同未响应。</w:t>
      </w:r>
    </w:p>
    <w:p w14:paraId="04961C75">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14.竞标的风险</w:t>
      </w:r>
    </w:p>
    <w:p w14:paraId="0DCE5746">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供应商没有按照磋商文件要求提供全部资料，或者供应商没有对磋商文件在各方面作出实质性响应可能导致其响应无效，是供应商应当考虑的风险。</w:t>
      </w:r>
    </w:p>
    <w:p w14:paraId="3FF6D6B2">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15.竞标报价</w:t>
      </w:r>
    </w:p>
    <w:p w14:paraId="7B974254">
      <w:pPr>
        <w:keepNext w:val="0"/>
        <w:keepLines w:val="0"/>
        <w:pageBreakBefore w:val="0"/>
        <w:widowControl w:val="0"/>
        <w:tabs>
          <w:tab w:val="left" w:pos="2492"/>
        </w:tabs>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15.1竞标报价应按磋商文件中“竞标报价表”格式填写。</w:t>
      </w:r>
    </w:p>
    <w:p w14:paraId="74D87E48">
      <w:pPr>
        <w:keepNext w:val="0"/>
        <w:keepLines w:val="0"/>
        <w:pageBreakBefore w:val="0"/>
        <w:widowControl w:val="0"/>
        <w:tabs>
          <w:tab w:val="left" w:pos="2492"/>
        </w:tabs>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15.2竞标报价的内容见“供应商须知前附表”。</w:t>
      </w:r>
    </w:p>
    <w:p w14:paraId="30719468">
      <w:pPr>
        <w:keepNext w:val="0"/>
        <w:keepLines w:val="0"/>
        <w:pageBreakBefore w:val="0"/>
        <w:widowControl w:val="0"/>
        <w:kinsoku/>
        <w:wordWrap/>
        <w:overflowPunct/>
        <w:topLinePunct w:val="0"/>
        <w:autoSpaceDE/>
        <w:autoSpaceDN/>
        <w:bidi w:val="0"/>
        <w:adjustRightInd/>
        <w:spacing w:after="0" w:line="360" w:lineRule="auto"/>
        <w:ind w:left="0" w:leftChars="0"/>
        <w:rPr>
          <w:rFonts w:ascii="宋体" w:hAnsi="宋体" w:eastAsia="宋体" w:cs="Calibri"/>
          <w:color w:val="auto"/>
          <w:szCs w:val="21"/>
          <w:highlight w:val="none"/>
        </w:rPr>
      </w:pPr>
      <w:r>
        <w:rPr>
          <w:rFonts w:hint="eastAsia" w:ascii="宋体" w:hAnsi="宋体" w:eastAsia="宋体" w:cs="Calibri"/>
          <w:color w:val="auto"/>
          <w:szCs w:val="21"/>
          <w:highlight w:val="none"/>
        </w:rPr>
        <w:t>15.3竞标报价要求</w:t>
      </w:r>
    </w:p>
    <w:p w14:paraId="10572430">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w:t>
      </w:r>
      <w:r>
        <w:rPr>
          <w:rFonts w:ascii="宋体" w:hAnsi="宋体" w:eastAsia="宋体" w:cs="Calibri"/>
          <w:color w:val="auto"/>
          <w:szCs w:val="21"/>
          <w:highlight w:val="none"/>
        </w:rPr>
        <w:t>5.3.1</w:t>
      </w:r>
      <w:r>
        <w:rPr>
          <w:rFonts w:hint="eastAsia" w:ascii="宋体" w:hAnsi="宋体" w:eastAsia="宋体" w:cs="Calibri"/>
          <w:color w:val="auto"/>
          <w:szCs w:val="21"/>
          <w:highlight w:val="none"/>
        </w:rPr>
        <w:t>供应商的竞标报价应符合以下要求，否则响应文件按无效响应处理：</w:t>
      </w:r>
    </w:p>
    <w:p w14:paraId="7A140712">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（1）供应商必须就“采购需求”中所竞标的每个分标的全部内容分别作完整唯一总价报价，</w:t>
      </w:r>
    </w:p>
    <w:p w14:paraId="6D60423C">
      <w:pPr>
        <w:keepNext w:val="0"/>
        <w:keepLines w:val="0"/>
        <w:pageBreakBefore w:val="0"/>
        <w:widowControl w:val="0"/>
        <w:kinsoku/>
        <w:wordWrap/>
        <w:overflowPunct/>
        <w:topLinePunct w:val="0"/>
        <w:autoSpaceDE/>
        <w:autoSpaceDN/>
        <w:bidi w:val="0"/>
        <w:adjustRightInd/>
        <w:spacing w:after="0" w:line="360" w:lineRule="auto"/>
        <w:ind w:left="0" w:leftChars="0"/>
        <w:rPr>
          <w:rFonts w:ascii="宋体" w:hAnsi="宋体" w:eastAsia="宋体" w:cs="Calibri"/>
          <w:color w:val="auto"/>
          <w:szCs w:val="21"/>
          <w:highlight w:val="none"/>
        </w:rPr>
      </w:pPr>
      <w:r>
        <w:rPr>
          <w:rFonts w:hint="eastAsia" w:ascii="宋体" w:hAnsi="宋体" w:eastAsia="宋体" w:cs="Calibri"/>
          <w:color w:val="auto"/>
          <w:szCs w:val="21"/>
          <w:highlight w:val="none"/>
        </w:rPr>
        <w:t>不得存在漏项报价；</w:t>
      </w:r>
    </w:p>
    <w:p w14:paraId="20D9EC03">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w:t>
      </w:r>
      <w:r>
        <w:rPr>
          <w:rFonts w:ascii="宋体" w:hAnsi="宋体" w:eastAsia="宋体" w:cs="Calibri"/>
          <w:color w:val="auto"/>
          <w:szCs w:val="21"/>
          <w:highlight w:val="none"/>
        </w:rPr>
        <w:t>2</w:t>
      </w:r>
      <w:r>
        <w:rPr>
          <w:rFonts w:hint="eastAsia" w:ascii="宋体" w:hAnsi="宋体" w:eastAsia="宋体" w:cs="Calibri"/>
          <w:color w:val="auto"/>
          <w:szCs w:val="21"/>
          <w:highlight w:val="none"/>
        </w:rPr>
        <w:t>）供应商必须就所竞标的分标的单项内容作唯一报价。</w:t>
      </w:r>
    </w:p>
    <w:p w14:paraId="633FFE70">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15.3.</w:t>
      </w:r>
      <w:r>
        <w:rPr>
          <w:rFonts w:ascii="宋体" w:hAnsi="宋体" w:eastAsia="宋体" w:cs="Calibri"/>
          <w:color w:val="auto"/>
          <w:szCs w:val="21"/>
          <w:highlight w:val="none"/>
        </w:rPr>
        <w:t>2</w:t>
      </w:r>
      <w:r>
        <w:rPr>
          <w:rFonts w:hint="eastAsia" w:ascii="宋体" w:hAnsi="宋体" w:eastAsia="宋体" w:cs="Calibri"/>
          <w:color w:val="auto"/>
          <w:szCs w:val="21"/>
          <w:highlight w:val="none"/>
        </w:rPr>
        <w:t>竞标报价（包含首次报价、最后报价）超过所竞标分标规定的采购预算金额或者最高限价的，其响应文件将按无效处理。</w:t>
      </w:r>
    </w:p>
    <w:p w14:paraId="2910F63D">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15.3.</w:t>
      </w:r>
      <w:r>
        <w:rPr>
          <w:rFonts w:ascii="宋体" w:hAnsi="宋体" w:eastAsia="宋体" w:cs="Calibri"/>
          <w:color w:val="auto"/>
          <w:szCs w:val="21"/>
          <w:highlight w:val="none"/>
        </w:rPr>
        <w:t>3</w:t>
      </w:r>
      <w:bookmarkStart w:id="26" w:name="_Hlk42592874"/>
      <w:r>
        <w:rPr>
          <w:rFonts w:hint="eastAsia" w:ascii="宋体" w:hAnsi="宋体" w:eastAsia="宋体" w:cs="Calibri"/>
          <w:color w:val="auto"/>
          <w:szCs w:val="21"/>
          <w:highlight w:val="none"/>
        </w:rPr>
        <w:t>竞标报价（包含首次报价、最后报价）超过分项采购预算金额或者最高限价的，其响应文件将按无效处理。</w:t>
      </w:r>
    </w:p>
    <w:bookmarkEnd w:id="26"/>
    <w:p w14:paraId="0AC35D0D">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16.竞标有效期</w:t>
      </w:r>
    </w:p>
    <w:p w14:paraId="03D57BDE">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FFD9358">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16.2 竞标有效期应由供应商按“供应商须知前附表”规定的期限作出响应。</w:t>
      </w:r>
    </w:p>
    <w:p w14:paraId="2E0A6A71">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16.3供应商的响应文件在竞标有效期内均保持有效。</w:t>
      </w:r>
    </w:p>
    <w:p w14:paraId="60A231DD">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17.磋商保证金</w:t>
      </w:r>
    </w:p>
    <w:p w14:paraId="495FC9B2">
      <w:pPr>
        <w:keepNext w:val="0"/>
        <w:keepLines w:val="0"/>
        <w:pageBreakBefore w:val="0"/>
        <w:widowControl w:val="0"/>
        <w:kinsoku/>
        <w:wordWrap/>
        <w:overflowPunct/>
        <w:topLinePunct w:val="0"/>
        <w:autoSpaceDE/>
        <w:autoSpaceDN/>
        <w:bidi w:val="0"/>
        <w:adjustRightInd/>
        <w:spacing w:after="0" w:line="360" w:lineRule="auto"/>
        <w:ind w:left="0" w:leftChars="0"/>
        <w:rPr>
          <w:rFonts w:ascii="宋体" w:hAnsi="宋体" w:eastAsia="宋体" w:cs="Calibri"/>
          <w:color w:val="auto"/>
          <w:szCs w:val="21"/>
          <w:highlight w:val="none"/>
        </w:rPr>
      </w:pPr>
      <w:r>
        <w:rPr>
          <w:rFonts w:hint="eastAsia" w:ascii="宋体" w:hAnsi="宋体" w:eastAsia="宋体" w:cs="Calibri"/>
          <w:color w:val="auto"/>
          <w:szCs w:val="21"/>
          <w:highlight w:val="none"/>
        </w:rPr>
        <w:t>17.1供应商须按“供应商须知前附表”的规定提交磋商保证金。</w:t>
      </w:r>
    </w:p>
    <w:p w14:paraId="7AC98668">
      <w:pPr>
        <w:keepNext w:val="0"/>
        <w:keepLines w:val="0"/>
        <w:pageBreakBefore w:val="0"/>
        <w:widowControl w:val="0"/>
        <w:kinsoku/>
        <w:wordWrap/>
        <w:overflowPunct/>
        <w:topLinePunct w:val="0"/>
        <w:autoSpaceDE/>
        <w:autoSpaceDN/>
        <w:bidi w:val="0"/>
        <w:adjustRightInd/>
        <w:spacing w:after="0" w:line="360" w:lineRule="auto"/>
        <w:ind w:left="0" w:leftChars="0"/>
        <w:rPr>
          <w:rFonts w:ascii="宋体" w:hAnsi="宋体" w:eastAsia="宋体" w:cs="Calibri"/>
          <w:color w:val="auto"/>
          <w:szCs w:val="21"/>
          <w:highlight w:val="none"/>
        </w:rPr>
      </w:pPr>
      <w:r>
        <w:rPr>
          <w:rFonts w:hint="eastAsia" w:ascii="宋体" w:hAnsi="宋体" w:eastAsia="宋体" w:cs="Calibri"/>
          <w:color w:val="auto"/>
          <w:szCs w:val="21"/>
          <w:highlight w:val="none"/>
        </w:rPr>
        <w:t>17.2磋商保证金的退还</w:t>
      </w:r>
    </w:p>
    <w:p w14:paraId="20362E55">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bookmarkStart w:id="27" w:name="_Hlk66782243"/>
      <w:r>
        <w:rPr>
          <w:rFonts w:hint="eastAsia" w:ascii="宋体" w:hAnsi="宋体" w:eastAsia="宋体" w:cs="Calibri"/>
          <w:color w:val="auto"/>
          <w:szCs w:val="21"/>
          <w:highlight w:val="none"/>
        </w:rPr>
        <w:t>未</w:t>
      </w:r>
      <w:r>
        <w:rPr>
          <w:rFonts w:hint="eastAsia" w:ascii="宋体" w:hAnsi="宋体" w:eastAsia="宋体" w:cs="Calibri"/>
          <w:color w:val="auto"/>
          <w:spacing w:val="-6"/>
          <w:szCs w:val="21"/>
          <w:highlight w:val="none"/>
        </w:rPr>
        <w:t>成交供应商的竞标保证金自成交通知书发出之日起</w:t>
      </w:r>
      <w:r>
        <w:rPr>
          <w:rFonts w:ascii="宋体" w:hAnsi="宋体" w:eastAsia="宋体" w:cs="Calibri"/>
          <w:color w:val="auto"/>
          <w:spacing w:val="-6"/>
          <w:szCs w:val="21"/>
          <w:highlight w:val="none"/>
        </w:rPr>
        <w:t>5</w:t>
      </w:r>
      <w:r>
        <w:rPr>
          <w:rFonts w:hint="eastAsia" w:ascii="宋体" w:hAnsi="宋体" w:eastAsia="宋体" w:cs="Calibri"/>
          <w:color w:val="auto"/>
          <w:spacing w:val="-6"/>
          <w:szCs w:val="21"/>
          <w:highlight w:val="none"/>
        </w:rPr>
        <w:t>个工作日内退还；</w:t>
      </w:r>
      <w:r>
        <w:rPr>
          <w:rFonts w:hint="eastAsia" w:ascii="宋体" w:hAnsi="宋体" w:eastAsia="宋体" w:cs="Calibri"/>
          <w:color w:val="auto"/>
          <w:szCs w:val="21"/>
          <w:highlight w:val="none"/>
        </w:rPr>
        <w:t>成交供应商的磋商保证金自签订合同之日起</w:t>
      </w:r>
      <w:r>
        <w:rPr>
          <w:rFonts w:ascii="宋体" w:hAnsi="宋体" w:eastAsia="宋体" w:cs="Calibri"/>
          <w:color w:val="auto"/>
          <w:szCs w:val="21"/>
          <w:highlight w:val="none"/>
        </w:rPr>
        <w:t>5</w:t>
      </w:r>
      <w:r>
        <w:rPr>
          <w:rFonts w:hint="eastAsia" w:ascii="宋体" w:hAnsi="宋体" w:eastAsia="宋体" w:cs="Calibri"/>
          <w:color w:val="auto"/>
          <w:szCs w:val="21"/>
          <w:highlight w:val="none"/>
        </w:rPr>
        <w:t>个工作日内退还。</w:t>
      </w:r>
      <w:bookmarkEnd w:id="27"/>
      <w:r>
        <w:rPr>
          <w:rFonts w:hint="eastAsia" w:ascii="宋体" w:hAnsi="宋体" w:eastAsia="宋体" w:cs="Calibri"/>
          <w:color w:val="auto"/>
          <w:szCs w:val="21"/>
          <w:highlight w:val="none"/>
        </w:rPr>
        <w:t xml:space="preserve"> </w:t>
      </w:r>
    </w:p>
    <w:p w14:paraId="599C31BE">
      <w:pPr>
        <w:keepNext w:val="0"/>
        <w:keepLines w:val="0"/>
        <w:pageBreakBefore w:val="0"/>
        <w:widowControl w:val="0"/>
        <w:kinsoku/>
        <w:wordWrap/>
        <w:overflowPunct/>
        <w:topLinePunct w:val="0"/>
        <w:autoSpaceDE/>
        <w:autoSpaceDN/>
        <w:bidi w:val="0"/>
        <w:adjustRightInd/>
        <w:spacing w:after="0" w:line="360" w:lineRule="auto"/>
        <w:ind w:left="0" w:leftChars="0"/>
        <w:rPr>
          <w:rFonts w:ascii="宋体" w:hAnsi="宋体" w:eastAsia="宋体" w:cs="Calibri"/>
          <w:color w:val="auto"/>
          <w:szCs w:val="21"/>
          <w:highlight w:val="none"/>
        </w:rPr>
      </w:pPr>
      <w:r>
        <w:rPr>
          <w:rFonts w:hint="eastAsia" w:ascii="宋体" w:hAnsi="宋体" w:eastAsia="宋体" w:cs="Calibri"/>
          <w:color w:val="auto"/>
          <w:szCs w:val="21"/>
          <w:highlight w:val="none"/>
        </w:rPr>
        <w:t>17.3磋商保证金不计息。</w:t>
      </w:r>
    </w:p>
    <w:p w14:paraId="582D2F12">
      <w:pPr>
        <w:keepNext w:val="0"/>
        <w:keepLines w:val="0"/>
        <w:pageBreakBefore w:val="0"/>
        <w:widowControl w:val="0"/>
        <w:kinsoku/>
        <w:wordWrap/>
        <w:overflowPunct/>
        <w:topLinePunct w:val="0"/>
        <w:autoSpaceDE/>
        <w:autoSpaceDN/>
        <w:bidi w:val="0"/>
        <w:adjustRightInd/>
        <w:spacing w:after="0" w:line="360" w:lineRule="auto"/>
        <w:ind w:left="0" w:leftChars="0"/>
        <w:rPr>
          <w:rFonts w:ascii="宋体" w:hAnsi="宋体" w:eastAsia="宋体" w:cs="Calibri"/>
          <w:color w:val="auto"/>
          <w:szCs w:val="21"/>
          <w:highlight w:val="none"/>
        </w:rPr>
      </w:pPr>
      <w:r>
        <w:rPr>
          <w:rFonts w:hint="eastAsia" w:ascii="宋体" w:hAnsi="宋体" w:eastAsia="宋体" w:cs="Calibri"/>
          <w:color w:val="auto"/>
          <w:szCs w:val="21"/>
          <w:highlight w:val="none"/>
        </w:rPr>
        <w:t xml:space="preserve">17.4供应商有下列情形之一的，磋商保证金将不予退还： </w:t>
      </w:r>
    </w:p>
    <w:p w14:paraId="5873B8B4">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（1）供应商在提交响应文件截止时间后撤回响应文件的；</w:t>
      </w:r>
    </w:p>
    <w:p w14:paraId="6A81B232">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olor w:val="auto"/>
          <w:szCs w:val="21"/>
          <w:highlight w:val="none"/>
        </w:rPr>
        <w:t>（2）未按规定提交履约保证金的；</w:t>
      </w:r>
    </w:p>
    <w:p w14:paraId="0C9E1C15">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（3）供应商在响应文件中提供虚假材料的；</w:t>
      </w:r>
    </w:p>
    <w:p w14:paraId="28A80508">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（4）除因不可抗力或者磋商文件认可的情形以外，成交供应商不与采购人签订合同的；</w:t>
      </w:r>
    </w:p>
    <w:p w14:paraId="50D5CE9C">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（5）供应商与采购人、其他供应商或者采购代理机构恶意串通的；</w:t>
      </w:r>
    </w:p>
    <w:p w14:paraId="3564142F">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（6）法律法规规定的其他情形。</w:t>
      </w:r>
    </w:p>
    <w:p w14:paraId="5B671CEC">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18.响应文件编制的要求</w:t>
      </w:r>
    </w:p>
    <w:p w14:paraId="1DCD7F60">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6F9C4017">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5853B7BA">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18.3响应文件须由供应商在规定位置签字、盖章（具体以供应商须知前附表或响应文件格式规定为准），否则按无效响应处理。</w:t>
      </w:r>
    </w:p>
    <w:p w14:paraId="1EBC40B3">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370ADC9C">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6BE0E63">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olor w:val="auto"/>
          <w:sz w:val="24"/>
          <w:highlight w:val="none"/>
        </w:rPr>
      </w:pPr>
      <w:r>
        <w:rPr>
          <w:rFonts w:hint="eastAsia" w:ascii="宋体" w:hAnsi="宋体" w:eastAsia="宋体" w:cs="Calibri"/>
          <w:b/>
          <w:bCs/>
          <w:color w:val="auto"/>
          <w:sz w:val="24"/>
          <w:highlight w:val="none"/>
        </w:rPr>
        <w:t>19.电子</w:t>
      </w:r>
      <w:r>
        <w:rPr>
          <w:rFonts w:hint="eastAsia" w:ascii="宋体" w:hAnsi="宋体" w:eastAsia="宋体"/>
          <w:b/>
          <w:color w:val="auto"/>
          <w:sz w:val="24"/>
          <w:highlight w:val="none"/>
        </w:rPr>
        <w:t>备份响应文件</w:t>
      </w:r>
    </w:p>
    <w:p w14:paraId="343AAAE8">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olor w:val="auto"/>
          <w:highlight w:val="none"/>
        </w:rPr>
        <w:t>电子备份响应文件是指通过“广西政府采购云平台</w:t>
      </w:r>
      <w:r>
        <w:rPr>
          <w:rStyle w:val="64"/>
          <w:rFonts w:ascii="宋体" w:hAnsi="宋体" w:eastAsia="宋体"/>
          <w:color w:val="auto"/>
          <w:highlight w:val="none"/>
        </w:rPr>
        <w:footnoteReference w:id="0"/>
      </w:r>
      <w:r>
        <w:rPr>
          <w:rFonts w:hint="eastAsia" w:ascii="宋体" w:hAnsi="宋体" w:eastAsia="宋体"/>
          <w:color w:val="auto"/>
          <w:highlight w:val="none"/>
        </w:rPr>
        <w:t>电子投标客户端”在线编制生成且后缀名为“</w:t>
      </w:r>
      <w:r>
        <w:rPr>
          <w:rFonts w:ascii="宋体" w:hAnsi="宋体" w:eastAsia="宋体"/>
          <w:color w:val="auto"/>
          <w:highlight w:val="none"/>
        </w:rPr>
        <w:t>bfbs</w:t>
      </w:r>
      <w:r>
        <w:rPr>
          <w:rFonts w:hint="eastAsia" w:ascii="宋体" w:hAnsi="宋体" w:eastAsia="宋体"/>
          <w:color w:val="auto"/>
          <w:highlight w:val="none"/>
        </w:rPr>
        <w:t>”的文件，是否接受电子备份响应文件</w:t>
      </w:r>
      <w:r>
        <w:rPr>
          <w:rFonts w:hint="eastAsia" w:ascii="宋体" w:hAnsi="宋体" w:eastAsia="宋体"/>
          <w:bCs/>
          <w:color w:val="auto"/>
          <w:szCs w:val="21"/>
          <w:highlight w:val="none"/>
        </w:rPr>
        <w:t>详见在“供应商须知前附表”。</w:t>
      </w:r>
    </w:p>
    <w:p w14:paraId="49BB4FEF">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20.响应文件的提交</w:t>
      </w:r>
    </w:p>
    <w:p w14:paraId="31F672DE">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b/>
          <w:color w:val="auto"/>
          <w:highlight w:val="none"/>
        </w:rPr>
      </w:pPr>
      <w:r>
        <w:rPr>
          <w:rFonts w:hint="eastAsia" w:ascii="宋体" w:hAnsi="宋体" w:eastAsia="宋体"/>
          <w:bCs/>
          <w:color w:val="auto"/>
          <w:szCs w:val="21"/>
          <w:highlight w:val="none"/>
        </w:rPr>
        <w:t>20.1供应商必须按“供应商须知前附表”规定的</w:t>
      </w:r>
      <w:r>
        <w:rPr>
          <w:rFonts w:hint="eastAsia" w:ascii="宋体" w:hAnsi="宋体" w:eastAsia="宋体" w:cs="Calibri"/>
          <w:color w:val="auto"/>
          <w:szCs w:val="21"/>
          <w:highlight w:val="none"/>
        </w:rPr>
        <w:t>时间</w:t>
      </w:r>
      <w:r>
        <w:rPr>
          <w:rFonts w:hint="eastAsia" w:ascii="宋体" w:hAnsi="宋体" w:eastAsia="宋体"/>
          <w:color w:val="auto"/>
          <w:szCs w:val="21"/>
          <w:highlight w:val="none"/>
        </w:rPr>
        <w:t>及</w:t>
      </w:r>
      <w:r>
        <w:rPr>
          <w:rFonts w:hint="eastAsia" w:ascii="宋体" w:hAnsi="宋体" w:eastAsia="宋体"/>
          <w:bCs/>
          <w:color w:val="auto"/>
          <w:szCs w:val="21"/>
          <w:highlight w:val="none"/>
        </w:rPr>
        <w:t>地点提交响应文件。电子响应文件应在制作完成后，</w:t>
      </w:r>
      <w:r>
        <w:rPr>
          <w:rFonts w:ascii="宋体" w:hAnsi="宋体" w:eastAsia="宋体"/>
          <w:bCs/>
          <w:color w:val="auto"/>
          <w:szCs w:val="21"/>
          <w:highlight w:val="none"/>
        </w:rPr>
        <w:t>在</w:t>
      </w:r>
      <w:r>
        <w:rPr>
          <w:rFonts w:hint="eastAsia" w:ascii="宋体" w:hAnsi="宋体" w:eastAsia="宋体"/>
          <w:bCs/>
          <w:color w:val="auto"/>
          <w:szCs w:val="21"/>
          <w:highlight w:val="none"/>
        </w:rPr>
        <w:t>提交响应文件截止</w:t>
      </w:r>
      <w:r>
        <w:rPr>
          <w:rFonts w:ascii="宋体" w:hAnsi="宋体" w:eastAsia="宋体"/>
          <w:bCs/>
          <w:color w:val="auto"/>
          <w:szCs w:val="21"/>
          <w:highlight w:val="none"/>
        </w:rPr>
        <w:t>时间前</w:t>
      </w:r>
      <w:r>
        <w:rPr>
          <w:rFonts w:hint="eastAsia" w:ascii="宋体" w:hAnsi="宋体" w:eastAsia="宋体"/>
          <w:bCs/>
          <w:color w:val="auto"/>
          <w:szCs w:val="21"/>
          <w:highlight w:val="none"/>
        </w:rPr>
        <w:t>通过有效数字证书（CA认证锁）进行电子签章、加密，然后通过网络将加密的电子响应文件提交至</w:t>
      </w:r>
      <w:r>
        <w:rPr>
          <w:rFonts w:hint="eastAsia" w:ascii="宋体" w:hAnsi="宋体" w:eastAsia="宋体"/>
          <w:color w:val="auto"/>
          <w:szCs w:val="21"/>
          <w:highlight w:val="none"/>
        </w:rPr>
        <w:t>广西政府采购云平台</w:t>
      </w:r>
      <w:r>
        <w:rPr>
          <w:rFonts w:hint="eastAsia" w:ascii="宋体" w:hAnsi="宋体" w:eastAsia="宋体"/>
          <w:bCs/>
          <w:color w:val="auto"/>
          <w:szCs w:val="21"/>
          <w:highlight w:val="none"/>
        </w:rPr>
        <w:t xml:space="preserve">。 </w:t>
      </w:r>
      <w:r>
        <w:rPr>
          <w:rFonts w:hint="eastAsia" w:ascii="宋体" w:hAnsi="宋体" w:eastAsia="宋体"/>
          <w:b/>
          <w:color w:val="auto"/>
          <w:highlight w:val="none"/>
        </w:rPr>
        <w:t xml:space="preserve"> </w:t>
      </w:r>
    </w:p>
    <w:p w14:paraId="56A18FD4">
      <w:pPr>
        <w:keepNext w:val="0"/>
        <w:keepLines w:val="0"/>
        <w:pageBreakBefore w:val="0"/>
        <w:widowControl w:val="0"/>
        <w:kinsoku/>
        <w:wordWrap/>
        <w:overflowPunct/>
        <w:topLinePunct w:val="0"/>
        <w:autoSpaceDE/>
        <w:autoSpaceDN/>
        <w:bidi w:val="0"/>
        <w:adjustRightInd/>
        <w:spacing w:after="0" w:line="360" w:lineRule="auto"/>
        <w:ind w:left="0" w:leftChars="0" w:firstLine="422" w:firstLineChars="200"/>
        <w:rPr>
          <w:rFonts w:ascii="宋体" w:hAnsi="宋体" w:eastAsia="宋体" w:cs="Calibri"/>
          <w:color w:val="auto"/>
          <w:szCs w:val="21"/>
          <w:highlight w:val="none"/>
        </w:rPr>
      </w:pPr>
      <w:r>
        <w:rPr>
          <w:rFonts w:hint="eastAsia" w:ascii="宋体" w:hAnsi="宋体" w:eastAsia="宋体"/>
          <w:b/>
          <w:color w:val="auto"/>
          <w:szCs w:val="21"/>
          <w:highlight w:val="none"/>
        </w:rPr>
        <w:t>20.</w:t>
      </w:r>
      <w:r>
        <w:rPr>
          <w:rFonts w:ascii="宋体" w:hAnsi="宋体" w:eastAsia="宋体"/>
          <w:b/>
          <w:color w:val="auto"/>
          <w:szCs w:val="21"/>
          <w:highlight w:val="none"/>
        </w:rPr>
        <w:t>2</w:t>
      </w:r>
      <w:r>
        <w:rPr>
          <w:rFonts w:hint="eastAsia" w:ascii="宋体" w:hAnsi="宋体" w:eastAsia="宋体"/>
          <w:b/>
          <w:color w:val="auto"/>
          <w:szCs w:val="21"/>
          <w:highlight w:val="none"/>
        </w:rPr>
        <w:t>未在规定时间内提交或者未按照磋商文件要求加密的电子响应文件，广西政府采购云平台将拒收。</w:t>
      </w:r>
    </w:p>
    <w:p w14:paraId="0F17A869">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21.首次响应文件的补充、修改与撤回</w:t>
      </w:r>
    </w:p>
    <w:p w14:paraId="19A4894E">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20"/>
        <w:jc w:val="left"/>
        <w:rPr>
          <w:rFonts w:hint="eastAsia" w:ascii="宋体" w:hAnsi="宋体" w:eastAsia="宋体"/>
          <w:bCs/>
          <w:color w:val="auto"/>
          <w:szCs w:val="21"/>
          <w:highlight w:val="none"/>
        </w:rPr>
      </w:pPr>
      <w:bookmarkStart w:id="28" w:name="_Toc254970684"/>
      <w:bookmarkStart w:id="29" w:name="_Toc254970543"/>
      <w:r>
        <w:rPr>
          <w:rFonts w:ascii="宋体" w:hAnsi="宋体" w:eastAsia="宋体" w:cs="Calibri"/>
          <w:color w:val="auto"/>
          <w:szCs w:val="21"/>
          <w:highlight w:val="none"/>
        </w:rPr>
        <w:t>2</w:t>
      </w:r>
      <w:r>
        <w:rPr>
          <w:rFonts w:hint="eastAsia" w:ascii="宋体" w:hAnsi="宋体" w:eastAsia="宋体" w:cs="Calibri"/>
          <w:color w:val="auto"/>
          <w:szCs w:val="21"/>
          <w:highlight w:val="none"/>
        </w:rPr>
        <w:t>1.1</w:t>
      </w:r>
      <w:r>
        <w:rPr>
          <w:rFonts w:hint="eastAsia" w:ascii="宋体" w:hAnsi="宋体" w:eastAsia="宋体"/>
          <w:bCs/>
          <w:color w:val="auto"/>
          <w:szCs w:val="21"/>
          <w:highlight w:val="none"/>
        </w:rPr>
        <w:t>供应商应当在提交响应文件截止</w:t>
      </w:r>
      <w:r>
        <w:rPr>
          <w:rFonts w:ascii="宋体" w:hAnsi="宋体" w:eastAsia="宋体"/>
          <w:bCs/>
          <w:color w:val="auto"/>
          <w:szCs w:val="21"/>
          <w:highlight w:val="none"/>
        </w:rPr>
        <w:t>时间</w:t>
      </w:r>
      <w:r>
        <w:rPr>
          <w:rFonts w:hint="eastAsia" w:ascii="宋体" w:hAnsi="宋体" w:eastAsia="宋体"/>
          <w:bCs/>
          <w:color w:val="auto"/>
          <w:szCs w:val="21"/>
          <w:highlight w:val="none"/>
        </w:rPr>
        <w:t>前完成电子响应文件的提交（上传），提交响应文件截止</w:t>
      </w:r>
      <w:r>
        <w:rPr>
          <w:rFonts w:ascii="宋体" w:hAnsi="宋体" w:eastAsia="宋体"/>
          <w:bCs/>
          <w:color w:val="auto"/>
          <w:szCs w:val="21"/>
          <w:highlight w:val="none"/>
        </w:rPr>
        <w:t>时间</w:t>
      </w:r>
      <w:r>
        <w:rPr>
          <w:rFonts w:hint="eastAsia" w:ascii="宋体" w:hAnsi="宋体" w:eastAsia="宋体"/>
          <w:bCs/>
          <w:color w:val="auto"/>
          <w:szCs w:val="21"/>
          <w:highlight w:val="none"/>
        </w:rPr>
        <w:t>前可以补充、修改或者撤回响应文件。补充或者修改响应文件的，应当先行撤回原响应文件，补充、修改后重新提交（上传），提交响应文件截止</w:t>
      </w:r>
      <w:r>
        <w:rPr>
          <w:rFonts w:ascii="宋体" w:hAnsi="宋体" w:eastAsia="宋体"/>
          <w:bCs/>
          <w:color w:val="auto"/>
          <w:szCs w:val="21"/>
          <w:highlight w:val="none"/>
        </w:rPr>
        <w:t>时间</w:t>
      </w:r>
      <w:r>
        <w:rPr>
          <w:rFonts w:hint="eastAsia" w:ascii="宋体" w:hAnsi="宋体" w:eastAsia="宋体"/>
          <w:bCs/>
          <w:color w:val="auto"/>
          <w:szCs w:val="21"/>
          <w:highlight w:val="none"/>
        </w:rPr>
        <w:t>前未完成提交（上传）的，视为撤回响应文件。提交响应文件截止</w:t>
      </w:r>
      <w:r>
        <w:rPr>
          <w:rFonts w:ascii="宋体" w:hAnsi="宋体" w:eastAsia="宋体"/>
          <w:bCs/>
          <w:color w:val="auto"/>
          <w:szCs w:val="21"/>
          <w:highlight w:val="none"/>
        </w:rPr>
        <w:t>时间</w:t>
      </w:r>
      <w:r>
        <w:rPr>
          <w:rFonts w:hint="eastAsia" w:ascii="宋体" w:hAnsi="宋体" w:eastAsia="宋体"/>
          <w:bCs/>
          <w:color w:val="auto"/>
          <w:szCs w:val="21"/>
          <w:highlight w:val="none"/>
        </w:rPr>
        <w:t>以后提交（上传）的响应文件，广西政府采购云平台将予以拒收。</w:t>
      </w:r>
      <w:r>
        <w:rPr>
          <w:rFonts w:hint="eastAsia" w:ascii="宋体" w:hAnsi="宋体" w:eastAsia="宋体" w:cs="Calibri"/>
          <w:color w:val="auto"/>
          <w:szCs w:val="21"/>
          <w:highlight w:val="none"/>
        </w:rPr>
        <w:t>（补充、修改或者撤回方式可</w:t>
      </w:r>
      <w:r>
        <w:rPr>
          <w:rFonts w:hint="eastAsia" w:ascii="宋体" w:hAnsi="宋体" w:eastAsia="宋体"/>
          <w:color w:val="auto"/>
          <w:szCs w:val="21"/>
          <w:highlight w:val="none"/>
        </w:rPr>
        <w:t>登陆</w:t>
      </w:r>
      <w:r>
        <w:rPr>
          <w:rFonts w:hint="eastAsia" w:ascii="宋体" w:hAnsi="宋体" w:eastAsia="宋体" w:cs="Calibri"/>
          <w:color w:val="auto"/>
          <w:kern w:val="0"/>
          <w:szCs w:val="21"/>
          <w:highlight w:val="none"/>
        </w:rPr>
        <w:t>广西政府采购云平台，</w:t>
      </w:r>
      <w:r>
        <w:rPr>
          <w:rFonts w:hint="eastAsia" w:ascii="宋体" w:hAnsi="宋体" w:eastAsia="宋体"/>
          <w:color w:val="auto"/>
          <w:szCs w:val="21"/>
          <w:highlight w:val="none"/>
        </w:rPr>
        <w:t>进入“服务中心”中查看</w:t>
      </w:r>
      <w:r>
        <w:rPr>
          <w:rFonts w:hint="eastAsia" w:ascii="宋体" w:hAnsi="宋体" w:eastAsia="宋体" w:cs="Calibri"/>
          <w:color w:val="auto"/>
          <w:szCs w:val="21"/>
          <w:highlight w:val="none"/>
        </w:rPr>
        <w:t xml:space="preserve"> “电子投标文件制</w:t>
      </w:r>
      <w:r>
        <w:rPr>
          <w:rFonts w:hint="eastAsia" w:ascii="宋体" w:hAnsi="宋体" w:eastAsia="宋体"/>
          <w:bCs/>
          <w:color w:val="auto"/>
          <w:szCs w:val="21"/>
          <w:highlight w:val="none"/>
        </w:rPr>
        <w:t>作与投送教程”）</w:t>
      </w:r>
    </w:p>
    <w:bookmarkEnd w:id="28"/>
    <w:bookmarkEnd w:id="29"/>
    <w:p w14:paraId="583441E9">
      <w:pPr>
        <w:keepNext w:val="0"/>
        <w:keepLines w:val="0"/>
        <w:pageBreakBefore w:val="0"/>
        <w:widowControl w:val="0"/>
        <w:kinsoku/>
        <w:wordWrap/>
        <w:overflowPunct/>
        <w:topLinePunct w:val="0"/>
        <w:autoSpaceDE/>
        <w:autoSpaceDN/>
        <w:bidi w:val="0"/>
        <w:adjustRightInd/>
        <w:snapToGrid w:val="0"/>
        <w:spacing w:after="0" w:line="360" w:lineRule="auto"/>
        <w:ind w:left="0" w:leftChars="0" w:firstLine="420"/>
        <w:jc w:val="left"/>
        <w:rPr>
          <w:rFonts w:ascii="宋体" w:hAnsi="宋体" w:eastAsia="宋体" w:cs="Calibri"/>
          <w:color w:val="auto"/>
          <w:sz w:val="21"/>
          <w:szCs w:val="21"/>
          <w:highlight w:val="none"/>
        </w:rPr>
      </w:pPr>
      <w:r>
        <w:rPr>
          <w:rFonts w:hint="eastAsia" w:ascii="宋体" w:hAnsi="宋体" w:eastAsia="宋体"/>
          <w:bCs/>
          <w:color w:val="auto"/>
          <w:szCs w:val="21"/>
          <w:highlight w:val="none"/>
        </w:rPr>
        <w:t>21.2在提交响应文件截止时间前，</w:t>
      </w:r>
      <w:r>
        <w:rPr>
          <w:rFonts w:hint="eastAsia" w:ascii="宋体" w:hAnsi="宋体" w:eastAsia="宋体" w:cs="Calibri"/>
          <w:color w:val="auto"/>
          <w:sz w:val="21"/>
          <w:szCs w:val="21"/>
          <w:highlight w:val="none"/>
        </w:rPr>
        <w:t>除供应商补充、修改或者撤回响应文件外，任何单位和个人不得解密或提取响应文件。</w:t>
      </w:r>
    </w:p>
    <w:p w14:paraId="67D179E8">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bookmarkStart w:id="30" w:name="_Hlk45702405"/>
      <w:r>
        <w:rPr>
          <w:rFonts w:hint="eastAsia" w:ascii="宋体" w:hAnsi="宋体" w:eastAsia="宋体" w:cs="Calibri"/>
          <w:b/>
          <w:bCs/>
          <w:color w:val="auto"/>
          <w:sz w:val="24"/>
          <w:highlight w:val="none"/>
        </w:rPr>
        <w:t>22.响应文件的退回</w:t>
      </w:r>
    </w:p>
    <w:p w14:paraId="6A3EB98E">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采购人和采购代理机构对已提交的响应文件概不退回。</w:t>
      </w:r>
    </w:p>
    <w:p w14:paraId="52384069">
      <w:pPr>
        <w:keepNext w:val="0"/>
        <w:keepLines w:val="0"/>
        <w:pageBreakBefore w:val="0"/>
        <w:widowControl w:val="0"/>
        <w:numPr>
          <w:ilvl w:val="0"/>
          <w:numId w:val="3"/>
        </w:numPr>
        <w:kinsoku/>
        <w:wordWrap/>
        <w:overflowPunct/>
        <w:topLinePunct w:val="0"/>
        <w:autoSpaceDE/>
        <w:autoSpaceDN/>
        <w:bidi w:val="0"/>
        <w:adjustRightInd/>
        <w:spacing w:after="0" w:line="360" w:lineRule="auto"/>
        <w:ind w:left="0" w:leftChars="0" w:firstLine="482" w:firstLineChars="200"/>
        <w:rPr>
          <w:rFonts w:hint="eastAsia" w:ascii="宋体" w:hAnsi="宋体" w:eastAsia="宋体" w:cs="Calibri"/>
          <w:b/>
          <w:bCs/>
          <w:color w:val="auto"/>
          <w:sz w:val="24"/>
          <w:highlight w:val="none"/>
        </w:rPr>
      </w:pPr>
      <w:r>
        <w:rPr>
          <w:rFonts w:hint="eastAsia" w:ascii="宋体" w:hAnsi="宋体" w:eastAsia="宋体" w:cs="Calibri"/>
          <w:b/>
          <w:bCs/>
          <w:color w:val="auto"/>
          <w:sz w:val="24"/>
          <w:highlight w:val="none"/>
        </w:rPr>
        <w:t>截止时间后的撤回</w:t>
      </w:r>
    </w:p>
    <w:p w14:paraId="4DCF2520">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供应商在响应文件提交截止时间后向采购人、采购代理机构书面申请撤回响应文件的，将根据本须知正文17.4的规定不予退还其磋商保证金。</w:t>
      </w:r>
    </w:p>
    <w:bookmarkEnd w:id="30"/>
    <w:p w14:paraId="2E4B784D">
      <w:pPr>
        <w:keepNext w:val="0"/>
        <w:keepLines w:val="0"/>
        <w:pageBreakBefore w:val="0"/>
        <w:widowControl w:val="0"/>
        <w:kinsoku/>
        <w:wordWrap/>
        <w:overflowPunct/>
        <w:topLinePunct w:val="0"/>
        <w:autoSpaceDE/>
        <w:autoSpaceDN/>
        <w:bidi w:val="0"/>
        <w:adjustRightInd/>
        <w:spacing w:after="0" w:line="360" w:lineRule="auto"/>
        <w:ind w:left="0" w:leftChars="0" w:firstLine="420"/>
        <w:jc w:val="center"/>
        <w:rPr>
          <w:rFonts w:ascii="宋体" w:hAnsi="宋体" w:eastAsia="宋体"/>
          <w:b/>
          <w:bCs/>
          <w:color w:val="auto"/>
          <w:sz w:val="32"/>
          <w:szCs w:val="32"/>
          <w:highlight w:val="none"/>
        </w:rPr>
      </w:pPr>
      <w:r>
        <w:rPr>
          <w:rFonts w:hint="eastAsia" w:ascii="宋体" w:hAnsi="宋体" w:eastAsia="宋体"/>
          <w:b/>
          <w:bCs/>
          <w:color w:val="auto"/>
          <w:sz w:val="32"/>
          <w:szCs w:val="32"/>
          <w:highlight w:val="none"/>
        </w:rPr>
        <w:t>四、评审及磋商</w:t>
      </w:r>
    </w:p>
    <w:p w14:paraId="2B28A583">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24.磋商小组成立</w:t>
      </w:r>
    </w:p>
    <w:p w14:paraId="51625580">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476F135">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21052B3">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24.3</w:t>
      </w:r>
      <w:r>
        <w:rPr>
          <w:rFonts w:hint="eastAsia" w:ascii="宋体" w:hAnsi="宋体" w:eastAsia="宋体"/>
          <w:bCs/>
          <w:color w:val="auto"/>
          <w:szCs w:val="21"/>
          <w:highlight w:val="none"/>
        </w:rPr>
        <w:t>采购代理机构</w:t>
      </w:r>
      <w:r>
        <w:rPr>
          <w:rFonts w:hint="eastAsia" w:ascii="宋体" w:hAnsi="宋体" w:eastAsia="宋体"/>
          <w:bCs/>
          <w:color w:val="auto"/>
          <w:highlight w:val="none"/>
        </w:rPr>
        <w:t>应当</w:t>
      </w:r>
      <w:r>
        <w:rPr>
          <w:rFonts w:hint="eastAsia" w:ascii="宋体" w:hAnsi="宋体" w:eastAsia="宋体"/>
          <w:bCs/>
          <w:color w:val="auto"/>
          <w:szCs w:val="21"/>
          <w:highlight w:val="none"/>
        </w:rPr>
        <w:t>基于广西政府采购云平台</w:t>
      </w:r>
      <w:r>
        <w:rPr>
          <w:rFonts w:hint="eastAsia" w:ascii="宋体" w:hAnsi="宋体" w:eastAsia="宋体"/>
          <w:bCs/>
          <w:color w:val="auto"/>
          <w:highlight w:val="none"/>
        </w:rPr>
        <w:t>抽（选）取</w:t>
      </w:r>
      <w:r>
        <w:rPr>
          <w:rFonts w:hint="eastAsia" w:ascii="宋体" w:hAnsi="宋体" w:eastAsia="宋体"/>
          <w:bCs/>
          <w:color w:val="auto"/>
          <w:szCs w:val="21"/>
          <w:highlight w:val="none"/>
        </w:rPr>
        <w:t>评审专家。</w:t>
      </w:r>
    </w:p>
    <w:p w14:paraId="67416BB3">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ascii="宋体" w:hAnsi="宋体" w:eastAsia="宋体" w:cs="Calibri"/>
          <w:b/>
          <w:bCs/>
          <w:color w:val="auto"/>
          <w:sz w:val="24"/>
          <w:highlight w:val="none"/>
        </w:rPr>
        <w:t>25.</w:t>
      </w:r>
      <w:r>
        <w:rPr>
          <w:rFonts w:hint="eastAsia" w:ascii="宋体" w:hAnsi="宋体" w:eastAsia="宋体" w:cs="Calibri"/>
          <w:b/>
          <w:bCs/>
          <w:color w:val="auto"/>
          <w:sz w:val="24"/>
          <w:highlight w:val="none"/>
        </w:rPr>
        <w:t>首次响应文件的开启和解密</w:t>
      </w:r>
    </w:p>
    <w:p w14:paraId="53CDA797">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bCs/>
          <w:color w:val="auto"/>
          <w:highlight w:val="none"/>
        </w:rPr>
        <w:t>采购代理机构将在“供应商须知前附表”规定的时</w:t>
      </w:r>
      <w:r>
        <w:rPr>
          <w:rFonts w:hint="eastAsia" w:ascii="宋体" w:hAnsi="宋体" w:eastAsia="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hint="eastAsia" w:ascii="宋体" w:hAnsi="宋体" w:eastAsia="宋体"/>
          <w:bCs/>
          <w:color w:val="auto"/>
          <w:szCs w:val="21"/>
          <w:highlight w:val="none"/>
        </w:rPr>
        <w:t>“供应商须知前附表”</w:t>
      </w:r>
      <w:r>
        <w:rPr>
          <w:rFonts w:hint="eastAsia" w:ascii="宋体" w:hAnsi="宋体" w:eastAsia="宋体"/>
          <w:color w:val="auto"/>
          <w:highlight w:val="none"/>
        </w:rPr>
        <w:t>规定的时间内自行进行响应文件解密。</w:t>
      </w:r>
      <w:r>
        <w:rPr>
          <w:rFonts w:hint="eastAsia" w:ascii="宋体" w:hAnsi="宋体" w:eastAsia="宋体"/>
          <w:b/>
          <w:color w:val="auto"/>
          <w:highlight w:val="none"/>
        </w:rPr>
        <w:t>供应商未在</w:t>
      </w:r>
      <w:r>
        <w:rPr>
          <w:rFonts w:ascii="宋体" w:hAnsi="宋体" w:eastAsia="宋体"/>
          <w:b/>
          <w:color w:val="auto"/>
          <w:highlight w:val="none"/>
        </w:rPr>
        <w:t>规定的时间内解密</w:t>
      </w:r>
      <w:r>
        <w:rPr>
          <w:rFonts w:hint="eastAsia" w:ascii="宋体" w:hAnsi="宋体" w:eastAsia="宋体"/>
          <w:b/>
          <w:color w:val="auto"/>
          <w:highlight w:val="none"/>
        </w:rPr>
        <w:t>响应文件</w:t>
      </w:r>
      <w:r>
        <w:rPr>
          <w:rFonts w:ascii="宋体" w:hAnsi="宋体" w:eastAsia="宋体"/>
          <w:b/>
          <w:color w:val="auto"/>
          <w:highlight w:val="none"/>
        </w:rPr>
        <w:t>或</w:t>
      </w:r>
      <w:r>
        <w:rPr>
          <w:rFonts w:hint="eastAsia" w:ascii="宋体" w:hAnsi="宋体" w:eastAsia="宋体"/>
          <w:b/>
          <w:color w:val="auto"/>
          <w:highlight w:val="none"/>
        </w:rPr>
        <w:t>者</w:t>
      </w:r>
      <w:r>
        <w:rPr>
          <w:rFonts w:ascii="宋体" w:hAnsi="宋体" w:eastAsia="宋体"/>
          <w:b/>
          <w:color w:val="auto"/>
          <w:highlight w:val="none"/>
        </w:rPr>
        <w:t>解密失败的</w:t>
      </w:r>
      <w:r>
        <w:rPr>
          <w:rFonts w:hint="eastAsia" w:ascii="宋体" w:hAnsi="宋体" w:eastAsia="宋体"/>
          <w:b/>
          <w:color w:val="auto"/>
          <w:highlight w:val="none"/>
        </w:rPr>
        <w:t>，供应商</w:t>
      </w:r>
      <w:r>
        <w:rPr>
          <w:rFonts w:hint="eastAsia" w:ascii="宋体" w:hAnsi="宋体" w:eastAsia="宋体"/>
          <w:b/>
          <w:color w:val="auto"/>
          <w:szCs w:val="21"/>
          <w:highlight w:val="none"/>
        </w:rPr>
        <w:t>的响应文件作无效处理</w:t>
      </w:r>
      <w:r>
        <w:rPr>
          <w:rFonts w:ascii="宋体" w:hAnsi="宋体" w:eastAsia="宋体"/>
          <w:b/>
          <w:color w:val="auto"/>
          <w:highlight w:val="none"/>
        </w:rPr>
        <w:t>。</w:t>
      </w:r>
    </w:p>
    <w:p w14:paraId="13A32579">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ascii="宋体" w:hAnsi="宋体" w:eastAsia="宋体" w:cs="Calibri"/>
          <w:b/>
          <w:bCs/>
          <w:color w:val="auto"/>
          <w:sz w:val="24"/>
          <w:highlight w:val="none"/>
        </w:rPr>
        <w:t>26</w:t>
      </w:r>
      <w:r>
        <w:rPr>
          <w:rFonts w:hint="eastAsia" w:ascii="宋体" w:hAnsi="宋体" w:eastAsia="宋体" w:cs="Calibri"/>
          <w:b/>
          <w:bCs/>
          <w:color w:val="auto"/>
          <w:sz w:val="24"/>
          <w:highlight w:val="none"/>
        </w:rPr>
        <w:t>.评审程序、评审方法和评审标准</w:t>
      </w:r>
    </w:p>
    <w:p w14:paraId="74E14FB9">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2</w:t>
      </w:r>
      <w:r>
        <w:rPr>
          <w:rFonts w:ascii="宋体" w:hAnsi="宋体" w:eastAsia="宋体" w:cs="Calibri"/>
          <w:color w:val="auto"/>
          <w:szCs w:val="21"/>
          <w:highlight w:val="none"/>
        </w:rPr>
        <w:t>6</w:t>
      </w:r>
      <w:r>
        <w:rPr>
          <w:rFonts w:hint="eastAsia" w:ascii="宋体" w:hAnsi="宋体" w:eastAsia="宋体" w:cs="Calibri"/>
          <w:color w:val="auto"/>
          <w:szCs w:val="21"/>
          <w:highlight w:val="none"/>
        </w:rPr>
        <w:t>.1本项目的评审方法为综合评分法。</w:t>
      </w:r>
    </w:p>
    <w:p w14:paraId="02BC51F7">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26.2</w:t>
      </w:r>
      <w:r>
        <w:rPr>
          <w:rFonts w:hint="eastAsia" w:ascii="宋体" w:hAnsi="宋体" w:eastAsia="宋体" w:cs="Calibri"/>
          <w:color w:val="auto"/>
          <w:szCs w:val="21"/>
          <w:highlight w:val="none"/>
        </w:rPr>
        <w:t>磋商小组</w:t>
      </w:r>
      <w:r>
        <w:rPr>
          <w:rFonts w:ascii="宋体" w:hAnsi="宋体" w:eastAsia="宋体" w:cs="Calibri"/>
          <w:color w:val="auto"/>
          <w:szCs w:val="21"/>
          <w:highlight w:val="none"/>
        </w:rPr>
        <w:t>按照</w:t>
      </w:r>
      <w:r>
        <w:rPr>
          <w:rFonts w:hint="eastAsia" w:ascii="宋体" w:hAnsi="宋体" w:eastAsia="宋体" w:cs="Calibri"/>
          <w:color w:val="auto"/>
          <w:szCs w:val="21"/>
          <w:highlight w:val="none"/>
        </w:rPr>
        <w:t>“第四章 评审程序、评审方法和评审标准”</w:t>
      </w:r>
      <w:r>
        <w:rPr>
          <w:rFonts w:ascii="宋体" w:hAnsi="宋体" w:eastAsia="宋体" w:cs="Calibri"/>
          <w:color w:val="auto"/>
          <w:szCs w:val="21"/>
          <w:highlight w:val="none"/>
        </w:rPr>
        <w:t>规定的方法、评审因素、标准和程序对</w:t>
      </w:r>
      <w:r>
        <w:rPr>
          <w:rFonts w:hint="eastAsia" w:ascii="宋体" w:hAnsi="宋体" w:eastAsia="宋体" w:cs="Calibri"/>
          <w:color w:val="auto"/>
          <w:szCs w:val="21"/>
          <w:highlight w:val="none"/>
        </w:rPr>
        <w:t>响应</w:t>
      </w:r>
      <w:r>
        <w:rPr>
          <w:rFonts w:ascii="宋体" w:hAnsi="宋体" w:eastAsia="宋体" w:cs="Calibri"/>
          <w:color w:val="auto"/>
          <w:szCs w:val="21"/>
          <w:highlight w:val="none"/>
        </w:rPr>
        <w:t>文件进行评审。</w:t>
      </w:r>
    </w:p>
    <w:p w14:paraId="0DA1179F">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olor w:val="auto"/>
          <w:szCs w:val="21"/>
          <w:highlight w:val="none"/>
        </w:rPr>
        <w:t xml:space="preserve">6.3 </w:t>
      </w:r>
      <w:r>
        <w:rPr>
          <w:rFonts w:hint="eastAsia" w:ascii="宋体" w:hAnsi="宋体" w:eastAsia="宋体"/>
          <w:color w:val="auto"/>
          <w:szCs w:val="21"/>
          <w:highlight w:val="none"/>
        </w:rPr>
        <w:t>商务/技术要求允许负偏离的条款数详见“供应商须知前附表”。</w:t>
      </w:r>
    </w:p>
    <w:p w14:paraId="7813ECA7">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olor w:val="auto"/>
          <w:szCs w:val="21"/>
          <w:highlight w:val="none"/>
        </w:rPr>
      </w:pPr>
      <w:r>
        <w:rPr>
          <w:rFonts w:hint="eastAsia" w:ascii="宋体" w:hAnsi="宋体" w:eastAsia="宋体" w:cs="Calibri"/>
          <w:color w:val="auto"/>
          <w:highlight w:val="none"/>
        </w:rPr>
        <w:t>26.</w:t>
      </w:r>
      <w:r>
        <w:rPr>
          <w:rFonts w:ascii="宋体" w:hAnsi="宋体" w:eastAsia="宋体" w:cs="Calibri"/>
          <w:color w:val="auto"/>
          <w:highlight w:val="none"/>
        </w:rPr>
        <w:t>4</w:t>
      </w:r>
      <w:r>
        <w:rPr>
          <w:rFonts w:hint="eastAsia" w:ascii="宋体" w:hAnsi="宋体" w:eastAsia="宋体" w:cs="Calibri"/>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F6AB4DC">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olor w:val="auto"/>
          <w:highlight w:val="none"/>
        </w:rPr>
      </w:pPr>
      <w:r>
        <w:rPr>
          <w:rFonts w:hint="eastAsia" w:ascii="宋体" w:hAnsi="宋体" w:eastAsia="宋体" w:cs="Calibri"/>
          <w:color w:val="auto"/>
          <w:highlight w:val="none"/>
        </w:rPr>
        <w:t>2</w:t>
      </w:r>
      <w:r>
        <w:rPr>
          <w:rFonts w:ascii="宋体" w:hAnsi="宋体" w:eastAsia="宋体" w:cs="Calibri"/>
          <w:color w:val="auto"/>
          <w:highlight w:val="none"/>
        </w:rPr>
        <w:t>6.5</w:t>
      </w:r>
      <w:r>
        <w:rPr>
          <w:rFonts w:hint="eastAsia" w:ascii="宋体" w:hAnsi="宋体" w:eastAsia="宋体"/>
          <w:color w:val="auto"/>
          <w:highlight w:val="none"/>
        </w:rPr>
        <w:t>电子交易活动的中止。采购过程中出现以下情形，导致电子交易平台无法正常运行，或者无法保证电子交易的公平、公正和安全时，采购机构可中止电子交易活动：</w:t>
      </w:r>
    </w:p>
    <w:p w14:paraId="2BA92EDE">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olor w:val="auto"/>
          <w:highlight w:val="none"/>
        </w:rPr>
      </w:pPr>
      <w:r>
        <w:rPr>
          <w:rFonts w:hint="eastAsia" w:ascii="宋体" w:hAnsi="宋体" w:eastAsia="宋体"/>
          <w:color w:val="auto"/>
          <w:highlight w:val="none"/>
        </w:rPr>
        <w:t xml:space="preserve">（1）电子交易平台发生故障而无法登录访问的； </w:t>
      </w:r>
    </w:p>
    <w:p w14:paraId="1477D76A">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olor w:val="auto"/>
          <w:highlight w:val="none"/>
        </w:rPr>
      </w:pPr>
      <w:r>
        <w:rPr>
          <w:rFonts w:hint="eastAsia" w:ascii="宋体" w:hAnsi="宋体" w:eastAsia="宋体"/>
          <w:color w:val="auto"/>
          <w:highlight w:val="none"/>
        </w:rPr>
        <w:t>（2）电子交易平台应用或数据库出现错误，不能进行正常操作的；</w:t>
      </w:r>
    </w:p>
    <w:p w14:paraId="548FAC0A">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olor w:val="auto"/>
          <w:highlight w:val="none"/>
        </w:rPr>
      </w:pPr>
      <w:r>
        <w:rPr>
          <w:rFonts w:hint="eastAsia" w:ascii="宋体" w:hAnsi="宋体" w:eastAsia="宋体"/>
          <w:color w:val="auto"/>
          <w:highlight w:val="none"/>
        </w:rPr>
        <w:t>（3）电子交易平台发现严重安全漏洞，有潜在泄密危险的；</w:t>
      </w:r>
    </w:p>
    <w:p w14:paraId="26C7CDC2">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olor w:val="auto"/>
          <w:highlight w:val="none"/>
        </w:rPr>
      </w:pPr>
      <w:r>
        <w:rPr>
          <w:rFonts w:hint="eastAsia" w:ascii="宋体" w:hAnsi="宋体" w:eastAsia="宋体"/>
          <w:color w:val="auto"/>
          <w:highlight w:val="none"/>
        </w:rPr>
        <w:t xml:space="preserve">（4）病毒发作导致不能进行正常操作的； </w:t>
      </w:r>
    </w:p>
    <w:p w14:paraId="5A2D41F3">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olor w:val="auto"/>
          <w:highlight w:val="none"/>
        </w:rPr>
      </w:pPr>
      <w:r>
        <w:rPr>
          <w:rFonts w:hint="eastAsia" w:ascii="宋体" w:hAnsi="宋体" w:eastAsia="宋体"/>
          <w:color w:val="auto"/>
          <w:highlight w:val="none"/>
        </w:rPr>
        <w:t>（5）其他无法保证电子交易的公平、公正和安全的情况。</w:t>
      </w:r>
    </w:p>
    <w:p w14:paraId="1547E324">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olor w:val="auto"/>
          <w:highlight w:val="none"/>
        </w:rPr>
        <w:t>26.</w:t>
      </w:r>
      <w:r>
        <w:rPr>
          <w:rFonts w:ascii="宋体" w:hAnsi="宋体" w:eastAsia="宋体"/>
          <w:color w:val="auto"/>
          <w:highlight w:val="none"/>
        </w:rPr>
        <w:t>6</w:t>
      </w:r>
      <w:r>
        <w:rPr>
          <w:rFonts w:hint="eastAsia" w:ascii="宋体" w:hAnsi="宋体" w:eastAsia="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1E1AA15">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ascii="宋体" w:hAnsi="宋体" w:eastAsia="宋体" w:cs="Calibri"/>
          <w:b/>
          <w:bCs/>
          <w:color w:val="auto"/>
          <w:sz w:val="24"/>
          <w:highlight w:val="none"/>
        </w:rPr>
        <w:t>27</w:t>
      </w:r>
      <w:r>
        <w:rPr>
          <w:rFonts w:hint="eastAsia" w:ascii="宋体" w:hAnsi="宋体" w:eastAsia="宋体" w:cs="Calibri"/>
          <w:b/>
          <w:bCs/>
          <w:color w:val="auto"/>
          <w:sz w:val="24"/>
          <w:highlight w:val="none"/>
        </w:rPr>
        <w:t>.确定成交供应商及结果公告</w:t>
      </w:r>
    </w:p>
    <w:p w14:paraId="49469E7A">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27</w:t>
      </w:r>
      <w:r>
        <w:rPr>
          <w:rFonts w:hint="eastAsia" w:ascii="宋体" w:hAnsi="宋体" w:eastAsia="宋体" w:cs="Calibri"/>
          <w:color w:val="auto"/>
          <w:szCs w:val="21"/>
          <w:highlight w:val="none"/>
        </w:rPr>
        <w:t>.1</w:t>
      </w:r>
      <w:r>
        <w:rPr>
          <w:rFonts w:hint="eastAsia" w:ascii="宋体" w:hAnsi="宋体" w:eastAsia="宋体" w:cs="Calibri"/>
          <w:color w:val="auto"/>
          <w:kern w:val="0"/>
          <w:szCs w:val="21"/>
          <w:highlight w:val="none"/>
        </w:rPr>
        <w:t xml:space="preserve"> </w:t>
      </w:r>
      <w:r>
        <w:rPr>
          <w:rFonts w:hint="eastAsia" w:ascii="宋体" w:hAnsi="宋体" w:eastAsia="宋体" w:cs="Calibri"/>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53A86AA">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mbria"/>
          <w:color w:val="auto"/>
          <w:szCs w:val="21"/>
          <w:highlight w:val="none"/>
        </w:rPr>
      </w:pPr>
      <w:r>
        <w:rPr>
          <w:rFonts w:ascii="宋体" w:hAnsi="宋体" w:eastAsia="宋体" w:cs="Calibri"/>
          <w:color w:val="auto"/>
          <w:szCs w:val="21"/>
          <w:highlight w:val="none"/>
        </w:rPr>
        <w:t>27</w:t>
      </w:r>
      <w:r>
        <w:rPr>
          <w:rFonts w:hint="eastAsia" w:ascii="宋体" w:hAnsi="宋体" w:eastAsia="宋体" w:cs="Calibri"/>
          <w:color w:val="auto"/>
          <w:szCs w:val="21"/>
          <w:highlight w:val="none"/>
        </w:rPr>
        <w:t>.2采购代理机构应当在</w:t>
      </w:r>
      <w:r>
        <w:rPr>
          <w:rFonts w:hint="eastAsia" w:ascii="宋体" w:hAnsi="宋体" w:eastAsia="宋体" w:cs="Calibri"/>
          <w:color w:val="auto"/>
          <w:kern w:val="0"/>
          <w:szCs w:val="21"/>
          <w:highlight w:val="none"/>
        </w:rPr>
        <w:t>成交</w:t>
      </w:r>
      <w:r>
        <w:rPr>
          <w:rFonts w:hint="eastAsia" w:ascii="宋体" w:hAnsi="宋体" w:eastAsia="宋体" w:cs="Calibri"/>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31" w:name="_Hlk66782294"/>
      <w:r>
        <w:rPr>
          <w:rFonts w:hint="eastAsia" w:ascii="宋体" w:hAnsi="宋体" w:eastAsia="宋体" w:cs="Cambria"/>
          <w:color w:val="auto"/>
          <w:szCs w:val="21"/>
          <w:highlight w:val="none"/>
        </w:rPr>
        <w:t>成交供应商享受</w:t>
      </w:r>
      <w:r>
        <w:rPr>
          <w:rFonts w:hint="eastAsia" w:ascii="宋体" w:hAnsi="宋体" w:eastAsia="宋体"/>
          <w:color w:val="auto"/>
          <w:szCs w:val="21"/>
          <w:highlight w:val="none"/>
        </w:rPr>
        <w:t>《政府采购促进中小企业发展管理办法》（财库〔2020〕46号）规定的中小企业扶持</w:t>
      </w:r>
      <w:r>
        <w:rPr>
          <w:rFonts w:hint="eastAsia" w:ascii="宋体" w:hAnsi="宋体" w:eastAsia="宋体" w:cs="Cambria"/>
          <w:color w:val="auto"/>
          <w:szCs w:val="21"/>
          <w:highlight w:val="none"/>
        </w:rPr>
        <w:t>政策的，采购人、采购代理机构应当随成交结果公开成交供应商的《中小企业声明函》。</w:t>
      </w:r>
      <w:bookmarkEnd w:id="31"/>
    </w:p>
    <w:p w14:paraId="214CF828">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mbria"/>
          <w:color w:val="auto"/>
          <w:szCs w:val="21"/>
          <w:highlight w:val="none"/>
        </w:rPr>
      </w:pPr>
      <w:r>
        <w:rPr>
          <w:rFonts w:hint="eastAsia" w:ascii="宋体" w:hAnsi="宋体" w:eastAsia="宋体" w:cs="Cambria"/>
          <w:color w:val="auto"/>
          <w:szCs w:val="21"/>
          <w:highlight w:val="none"/>
        </w:rPr>
        <w:t>27.3出现下列情形之一的，采购人或者采购代理机构应当终止竞争性磋商采购活动，发布项目终止公告并说明原因，重新开展采购活动：</w:t>
      </w:r>
    </w:p>
    <w:p w14:paraId="20D8EC8D">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mbria"/>
          <w:color w:val="auto"/>
          <w:szCs w:val="21"/>
          <w:highlight w:val="none"/>
        </w:rPr>
      </w:pPr>
      <w:r>
        <w:rPr>
          <w:rFonts w:hint="eastAsia" w:ascii="宋体" w:hAnsi="宋体" w:eastAsia="宋体" w:cs="Cambria"/>
          <w:color w:val="auto"/>
          <w:szCs w:val="21"/>
          <w:highlight w:val="none"/>
        </w:rPr>
        <w:t>（1）因情况变化，不再符合规定的竞争性磋商采购方式适用情形的；</w:t>
      </w:r>
    </w:p>
    <w:p w14:paraId="3CF7A4C8">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mbria"/>
          <w:color w:val="auto"/>
          <w:szCs w:val="21"/>
          <w:highlight w:val="none"/>
        </w:rPr>
      </w:pPr>
      <w:r>
        <w:rPr>
          <w:rFonts w:hint="eastAsia" w:ascii="宋体" w:hAnsi="宋体" w:eastAsia="宋体" w:cs="Cambria"/>
          <w:color w:val="auto"/>
          <w:szCs w:val="21"/>
          <w:highlight w:val="none"/>
        </w:rPr>
        <w:t>（2）出现影响采购公正的违法、违规行为的；</w:t>
      </w:r>
    </w:p>
    <w:p w14:paraId="0379520B">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mbria"/>
          <w:color w:val="auto"/>
          <w:szCs w:val="21"/>
          <w:highlight w:val="none"/>
        </w:rPr>
      </w:pPr>
      <w:r>
        <w:rPr>
          <w:rFonts w:hint="eastAsia" w:ascii="宋体" w:hAnsi="宋体" w:eastAsia="宋体" w:cs="Cambria"/>
          <w:color w:val="auto"/>
          <w:szCs w:val="21"/>
          <w:highlight w:val="none"/>
        </w:rPr>
        <w:t>（3）除“第四章 评审程序、评审方法和评审标准”第4.3条规定的情形外，在采购过程中符合要求的供应商或者报价未超过采购预算的供应商不足3家的。</w:t>
      </w:r>
    </w:p>
    <w:p w14:paraId="604D2B1D">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mbria"/>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0B7BDD71">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ascii="宋体" w:hAnsi="宋体" w:eastAsia="宋体" w:cs="Calibri"/>
          <w:b/>
          <w:bCs/>
          <w:color w:val="auto"/>
          <w:sz w:val="24"/>
          <w:highlight w:val="none"/>
        </w:rPr>
        <w:t>28</w:t>
      </w:r>
      <w:r>
        <w:rPr>
          <w:rFonts w:hint="eastAsia" w:ascii="宋体" w:hAnsi="宋体" w:eastAsia="宋体" w:cs="Calibri"/>
          <w:b/>
          <w:bCs/>
          <w:color w:val="auto"/>
          <w:sz w:val="24"/>
          <w:highlight w:val="none"/>
        </w:rPr>
        <w:t>.履约保证金</w:t>
      </w:r>
    </w:p>
    <w:p w14:paraId="29EAECBA">
      <w:pPr>
        <w:keepNext w:val="0"/>
        <w:keepLines w:val="0"/>
        <w:pageBreakBefore w:val="0"/>
        <w:widowControl w:val="0"/>
        <w:kinsoku/>
        <w:wordWrap/>
        <w:overflowPunct/>
        <w:topLinePunct w:val="0"/>
        <w:autoSpaceDE/>
        <w:autoSpaceDN/>
        <w:bidi w:val="0"/>
        <w:adjustRightInd/>
        <w:spacing w:after="0" w:line="360" w:lineRule="auto"/>
        <w:ind w:left="0" w:leftChars="0" w:firstLine="424" w:firstLineChars="202"/>
        <w:rPr>
          <w:rFonts w:ascii="宋体" w:hAnsi="宋体" w:eastAsia="宋体" w:cs="Calibri"/>
          <w:color w:val="auto"/>
          <w:szCs w:val="21"/>
          <w:highlight w:val="none"/>
        </w:rPr>
      </w:pPr>
      <w:r>
        <w:rPr>
          <w:rFonts w:ascii="宋体" w:hAnsi="宋体" w:eastAsia="宋体" w:cs="Calibri"/>
          <w:color w:val="auto"/>
          <w:szCs w:val="21"/>
          <w:highlight w:val="none"/>
        </w:rPr>
        <w:t>28</w:t>
      </w:r>
      <w:r>
        <w:rPr>
          <w:rFonts w:hint="eastAsia" w:ascii="宋体" w:hAnsi="宋体" w:eastAsia="宋体" w:cs="Calibri"/>
          <w:color w:val="auto"/>
          <w:szCs w:val="21"/>
          <w:highlight w:val="none"/>
        </w:rPr>
        <w:t>.1</w:t>
      </w:r>
      <w:r>
        <w:rPr>
          <w:rFonts w:ascii="宋体" w:hAnsi="宋体" w:eastAsia="宋体" w:cs="Calibri"/>
          <w:color w:val="auto"/>
          <w:szCs w:val="21"/>
          <w:highlight w:val="none"/>
        </w:rPr>
        <w:t xml:space="preserve"> </w:t>
      </w:r>
      <w:r>
        <w:rPr>
          <w:rFonts w:hint="eastAsia" w:ascii="宋体" w:hAnsi="宋体" w:eastAsia="宋体" w:cs="Calibri"/>
          <w:color w:val="auto"/>
          <w:szCs w:val="21"/>
          <w:highlight w:val="none"/>
        </w:rPr>
        <w:t>履约保证金的金额、提交方式、退付的时间和条件详见 “供应商须知前附表”。成交供应商未按规定提交履约保证金的，视为拒绝</w:t>
      </w:r>
      <w:r>
        <w:rPr>
          <w:rFonts w:ascii="宋体" w:hAnsi="宋体" w:eastAsia="宋体"/>
          <w:color w:val="auto"/>
          <w:highlight w:val="none"/>
        </w:rPr>
        <w:t>与采购人</w:t>
      </w:r>
      <w:r>
        <w:rPr>
          <w:rFonts w:hint="eastAsia" w:ascii="宋体" w:hAnsi="宋体" w:eastAsia="宋体" w:cs="Calibri"/>
          <w:color w:val="auto"/>
          <w:szCs w:val="21"/>
          <w:highlight w:val="none"/>
        </w:rPr>
        <w:t>签订合同。</w:t>
      </w:r>
    </w:p>
    <w:p w14:paraId="348869A6">
      <w:pPr>
        <w:keepNext w:val="0"/>
        <w:keepLines w:val="0"/>
        <w:pageBreakBefore w:val="0"/>
        <w:widowControl w:val="0"/>
        <w:kinsoku/>
        <w:wordWrap/>
        <w:overflowPunct/>
        <w:topLinePunct w:val="0"/>
        <w:autoSpaceDE/>
        <w:autoSpaceDN/>
        <w:bidi w:val="0"/>
        <w:adjustRightInd/>
        <w:spacing w:after="0" w:line="360" w:lineRule="auto"/>
        <w:ind w:left="0" w:leftChars="0" w:firstLine="424" w:firstLineChars="202"/>
        <w:rPr>
          <w:rFonts w:ascii="宋体" w:hAnsi="宋体" w:eastAsia="宋体" w:cs="Calibri"/>
          <w:color w:val="auto"/>
          <w:szCs w:val="21"/>
          <w:highlight w:val="none"/>
        </w:rPr>
      </w:pPr>
      <w:r>
        <w:rPr>
          <w:rFonts w:ascii="宋体" w:hAnsi="宋体" w:eastAsia="宋体" w:cs="Calibri"/>
          <w:color w:val="auto"/>
          <w:szCs w:val="21"/>
          <w:highlight w:val="none"/>
        </w:rPr>
        <w:t>28</w:t>
      </w:r>
      <w:r>
        <w:rPr>
          <w:rFonts w:hint="eastAsia" w:ascii="宋体" w:hAnsi="宋体" w:eastAsia="宋体" w:cs="Calibri"/>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7049C31E">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ascii="宋体" w:hAnsi="宋体" w:eastAsia="宋体" w:cs="Calibri"/>
          <w:b/>
          <w:bCs/>
          <w:color w:val="auto"/>
          <w:sz w:val="24"/>
          <w:highlight w:val="none"/>
        </w:rPr>
        <w:t>29</w:t>
      </w:r>
      <w:r>
        <w:rPr>
          <w:rFonts w:hint="eastAsia" w:ascii="宋体" w:hAnsi="宋体" w:eastAsia="宋体" w:cs="Calibri"/>
          <w:b/>
          <w:bCs/>
          <w:color w:val="auto"/>
          <w:sz w:val="24"/>
          <w:highlight w:val="none"/>
        </w:rPr>
        <w:t>.签订合同</w:t>
      </w:r>
    </w:p>
    <w:p w14:paraId="58CF507B">
      <w:pPr>
        <w:keepNext w:val="0"/>
        <w:keepLines w:val="0"/>
        <w:pageBreakBefore w:val="0"/>
        <w:widowControl w:val="0"/>
        <w:kinsoku/>
        <w:wordWrap/>
        <w:overflowPunct/>
        <w:topLinePunct w:val="0"/>
        <w:autoSpaceDE/>
        <w:autoSpaceDN/>
        <w:bidi w:val="0"/>
        <w:adjustRightInd/>
        <w:spacing w:after="0" w:line="360" w:lineRule="auto"/>
        <w:ind w:left="0" w:leftChars="0" w:firstLine="424" w:firstLineChars="202"/>
        <w:rPr>
          <w:rFonts w:ascii="宋体" w:hAnsi="宋体" w:eastAsia="宋体" w:cs="Calibri"/>
          <w:color w:val="auto"/>
          <w:szCs w:val="21"/>
          <w:highlight w:val="none"/>
        </w:rPr>
      </w:pPr>
      <w:r>
        <w:rPr>
          <w:rFonts w:hint="eastAsia" w:ascii="宋体" w:hAnsi="宋体" w:eastAsia="宋体" w:cs="Calibri"/>
          <w:color w:val="auto"/>
          <w:szCs w:val="21"/>
          <w:highlight w:val="none"/>
        </w:rPr>
        <w:t>29.1签订电子采购合同：成交供应商领取电子成交通知书后，在</w:t>
      </w:r>
      <w:r>
        <w:rPr>
          <w:rFonts w:hint="eastAsia" w:ascii="宋体" w:hAnsi="宋体" w:eastAsia="宋体" w:cs="Calibri"/>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244F5ED2">
      <w:pPr>
        <w:keepNext w:val="0"/>
        <w:keepLines w:val="0"/>
        <w:pageBreakBefore w:val="0"/>
        <w:widowControl w:val="0"/>
        <w:kinsoku/>
        <w:wordWrap/>
        <w:overflowPunct/>
        <w:topLinePunct w:val="0"/>
        <w:autoSpaceDE/>
        <w:autoSpaceDN/>
        <w:bidi w:val="0"/>
        <w:adjustRightInd/>
        <w:spacing w:after="0" w:line="360" w:lineRule="auto"/>
        <w:ind w:left="0" w:leftChars="0" w:firstLine="424" w:firstLineChars="202"/>
        <w:rPr>
          <w:rFonts w:ascii="宋体" w:hAnsi="宋体" w:eastAsia="宋体" w:cs="Calibri"/>
          <w:color w:val="auto"/>
          <w:szCs w:val="21"/>
          <w:highlight w:val="none"/>
        </w:rPr>
      </w:pPr>
      <w:r>
        <w:rPr>
          <w:rFonts w:hint="eastAsia" w:ascii="宋体" w:hAnsi="宋体" w:eastAsia="宋体" w:cs="Calibri"/>
          <w:color w:val="auto"/>
          <w:szCs w:val="21"/>
          <w:highlight w:val="none"/>
        </w:rPr>
        <w:t>线下签订纸质合同：供应商领取成交通知书后，按“供应商须知前附表”规定向采购人出示相关证明材料，经采购人核验合格后方可签订合同。</w:t>
      </w:r>
    </w:p>
    <w:p w14:paraId="13F5537E">
      <w:pPr>
        <w:keepNext w:val="0"/>
        <w:keepLines w:val="0"/>
        <w:pageBreakBefore w:val="0"/>
        <w:widowControl w:val="0"/>
        <w:kinsoku/>
        <w:wordWrap/>
        <w:overflowPunct/>
        <w:topLinePunct w:val="0"/>
        <w:autoSpaceDE/>
        <w:autoSpaceDN/>
        <w:bidi w:val="0"/>
        <w:adjustRightInd/>
        <w:spacing w:after="0" w:line="360" w:lineRule="auto"/>
        <w:ind w:left="0" w:leftChars="0" w:firstLine="424" w:firstLineChars="202"/>
        <w:rPr>
          <w:rFonts w:ascii="宋体" w:hAnsi="宋体" w:eastAsia="宋体" w:cs="Calibri"/>
          <w:color w:val="auto"/>
          <w:szCs w:val="21"/>
          <w:highlight w:val="none"/>
        </w:rPr>
      </w:pPr>
      <w:r>
        <w:rPr>
          <w:rFonts w:hint="eastAsia" w:ascii="宋体" w:hAnsi="宋体" w:eastAsia="宋体" w:cs="Calibri"/>
          <w:color w:val="auto"/>
          <w:szCs w:val="21"/>
          <w:highlight w:val="none"/>
        </w:rPr>
        <w:t>29.2签订合同时间：按成交通知书规定的时间与采购人签订合同。</w:t>
      </w:r>
    </w:p>
    <w:p w14:paraId="4590BAE7">
      <w:pPr>
        <w:keepNext w:val="0"/>
        <w:keepLines w:val="0"/>
        <w:pageBreakBefore w:val="0"/>
        <w:widowControl w:val="0"/>
        <w:kinsoku/>
        <w:wordWrap/>
        <w:overflowPunct/>
        <w:topLinePunct w:val="0"/>
        <w:autoSpaceDE/>
        <w:autoSpaceDN/>
        <w:bidi w:val="0"/>
        <w:adjustRightInd/>
        <w:spacing w:after="0" w:line="360" w:lineRule="auto"/>
        <w:ind w:left="0" w:leftChars="0" w:firstLine="424" w:firstLineChars="202"/>
        <w:rPr>
          <w:rFonts w:ascii="宋体" w:hAnsi="宋体" w:eastAsia="宋体" w:cs="Calibri"/>
          <w:color w:val="auto"/>
          <w:szCs w:val="21"/>
          <w:highlight w:val="none"/>
        </w:rPr>
      </w:pPr>
      <w:r>
        <w:rPr>
          <w:rFonts w:hint="eastAsia" w:ascii="宋体" w:hAnsi="宋体" w:eastAsia="宋体" w:cs="Calibri"/>
          <w:color w:val="auto"/>
          <w:szCs w:val="21"/>
          <w:highlight w:val="none"/>
        </w:rPr>
        <w:t>29.</w:t>
      </w:r>
      <w:r>
        <w:rPr>
          <w:rFonts w:ascii="宋体" w:hAnsi="宋体" w:eastAsia="宋体" w:cs="Calibri"/>
          <w:color w:val="auto"/>
          <w:szCs w:val="21"/>
          <w:highlight w:val="none"/>
        </w:rPr>
        <w:t>3</w:t>
      </w:r>
      <w:r>
        <w:rPr>
          <w:rFonts w:hint="eastAsia" w:ascii="宋体" w:hAnsi="宋体" w:eastAsia="宋体" w:cs="Calibri"/>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5C5EF740">
      <w:pPr>
        <w:keepNext w:val="0"/>
        <w:keepLines w:val="0"/>
        <w:pageBreakBefore w:val="0"/>
        <w:widowControl w:val="0"/>
        <w:kinsoku/>
        <w:wordWrap/>
        <w:overflowPunct/>
        <w:topLinePunct w:val="0"/>
        <w:autoSpaceDE/>
        <w:autoSpaceDN/>
        <w:bidi w:val="0"/>
        <w:adjustRightInd/>
        <w:spacing w:after="0" w:line="360" w:lineRule="auto"/>
        <w:ind w:left="0" w:leftChars="0" w:firstLine="424" w:firstLineChars="202"/>
        <w:rPr>
          <w:rFonts w:ascii="宋体" w:hAnsi="宋体" w:eastAsia="宋体" w:cs="Calibri"/>
          <w:color w:val="auto"/>
          <w:szCs w:val="21"/>
          <w:highlight w:val="none"/>
        </w:rPr>
      </w:pPr>
      <w:r>
        <w:rPr>
          <w:rFonts w:hint="eastAsia" w:ascii="宋体" w:hAnsi="宋体" w:eastAsia="宋体" w:cs="Calibri"/>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2402918">
      <w:pPr>
        <w:keepNext w:val="0"/>
        <w:keepLines w:val="0"/>
        <w:pageBreakBefore w:val="0"/>
        <w:widowControl w:val="0"/>
        <w:kinsoku/>
        <w:wordWrap/>
        <w:overflowPunct/>
        <w:topLinePunct w:val="0"/>
        <w:autoSpaceDE/>
        <w:autoSpaceDN/>
        <w:bidi w:val="0"/>
        <w:adjustRightInd/>
        <w:spacing w:after="0" w:line="360" w:lineRule="auto"/>
        <w:ind w:left="0" w:leftChars="0" w:firstLine="424" w:firstLineChars="202"/>
        <w:rPr>
          <w:rFonts w:ascii="宋体" w:hAnsi="宋体" w:eastAsia="宋体" w:cs="Calibri"/>
          <w:color w:val="auto"/>
          <w:szCs w:val="21"/>
          <w:highlight w:val="none"/>
        </w:rPr>
      </w:pPr>
      <w:r>
        <w:rPr>
          <w:rFonts w:hint="eastAsia" w:ascii="宋体" w:hAnsi="宋体" w:eastAsia="宋体" w:cs="Calibri"/>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32754534">
      <w:pPr>
        <w:keepNext w:val="0"/>
        <w:keepLines w:val="0"/>
        <w:pageBreakBefore w:val="0"/>
        <w:widowControl w:val="0"/>
        <w:kinsoku/>
        <w:wordWrap/>
        <w:overflowPunct/>
        <w:topLinePunct w:val="0"/>
        <w:autoSpaceDE/>
        <w:autoSpaceDN/>
        <w:bidi w:val="0"/>
        <w:adjustRightInd/>
        <w:spacing w:after="0" w:line="360" w:lineRule="auto"/>
        <w:ind w:left="0" w:leftChars="0" w:firstLine="424" w:firstLineChars="202"/>
        <w:rPr>
          <w:rFonts w:ascii="宋体" w:hAnsi="宋体" w:eastAsia="宋体" w:cs="Calibri"/>
          <w:color w:val="auto"/>
          <w:szCs w:val="21"/>
          <w:highlight w:val="none"/>
        </w:rPr>
      </w:pPr>
      <w:r>
        <w:rPr>
          <w:rFonts w:hint="eastAsia" w:ascii="宋体" w:hAnsi="宋体" w:eastAsia="宋体" w:cs="Calibri"/>
          <w:color w:val="auto"/>
          <w:szCs w:val="21"/>
          <w:highlight w:val="none"/>
        </w:rPr>
        <w:t>29.6如签订合同并生效后，供应商无故拒绝或延期，除按照合同条款处理外，将承担相应的法律责任。</w:t>
      </w:r>
    </w:p>
    <w:p w14:paraId="57EC9A4E">
      <w:pPr>
        <w:keepNext w:val="0"/>
        <w:keepLines w:val="0"/>
        <w:pageBreakBefore w:val="0"/>
        <w:widowControl w:val="0"/>
        <w:kinsoku/>
        <w:wordWrap/>
        <w:overflowPunct/>
        <w:topLinePunct w:val="0"/>
        <w:autoSpaceDE/>
        <w:autoSpaceDN/>
        <w:bidi w:val="0"/>
        <w:adjustRightInd/>
        <w:spacing w:after="0" w:line="360" w:lineRule="auto"/>
        <w:ind w:left="0" w:leftChars="0" w:firstLine="424" w:firstLineChars="202"/>
        <w:rPr>
          <w:rFonts w:ascii="宋体" w:hAnsi="宋体" w:eastAsia="宋体" w:cs="Calibri"/>
          <w:color w:val="auto"/>
          <w:szCs w:val="21"/>
          <w:highlight w:val="none"/>
        </w:rPr>
      </w:pPr>
      <w:r>
        <w:rPr>
          <w:rFonts w:hint="eastAsia" w:ascii="宋体" w:hAnsi="宋体" w:eastAsia="宋体" w:cs="Calibri"/>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2AE887F1">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ascii="宋体" w:hAnsi="宋体" w:eastAsia="宋体" w:cs="Calibri"/>
          <w:b/>
          <w:bCs/>
          <w:color w:val="auto"/>
          <w:sz w:val="24"/>
          <w:highlight w:val="none"/>
        </w:rPr>
        <w:t>30</w:t>
      </w:r>
      <w:r>
        <w:rPr>
          <w:rFonts w:hint="eastAsia" w:ascii="宋体" w:hAnsi="宋体" w:eastAsia="宋体" w:cs="Calibri"/>
          <w:b/>
          <w:bCs/>
          <w:color w:val="auto"/>
          <w:sz w:val="24"/>
          <w:highlight w:val="none"/>
        </w:rPr>
        <w:t>.政府采购合同公告</w:t>
      </w:r>
    </w:p>
    <w:p w14:paraId="35B3E7B7">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hint="eastAsia" w:ascii="宋体" w:hAnsi="宋体" w:eastAsia="宋体" w:cs="Calibri"/>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1CD360A">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ascii="宋体" w:hAnsi="宋体" w:eastAsia="宋体" w:cs="Calibri"/>
          <w:b/>
          <w:bCs/>
          <w:color w:val="auto"/>
          <w:sz w:val="24"/>
          <w:highlight w:val="none"/>
        </w:rPr>
        <w:t>31</w:t>
      </w:r>
      <w:r>
        <w:rPr>
          <w:rFonts w:hint="eastAsia" w:ascii="宋体" w:hAnsi="宋体" w:eastAsia="宋体" w:cs="Calibri"/>
          <w:b/>
          <w:bCs/>
          <w:color w:val="auto"/>
          <w:sz w:val="24"/>
          <w:highlight w:val="none"/>
        </w:rPr>
        <w:t>. 询问、质疑和投诉</w:t>
      </w:r>
    </w:p>
    <w:p w14:paraId="489F0050">
      <w:pPr>
        <w:pStyle w:val="7"/>
        <w:keepNext w:val="0"/>
        <w:keepLines w:val="0"/>
        <w:pageBreakBefore w:val="0"/>
        <w:widowControl w:val="0"/>
        <w:kinsoku/>
        <w:wordWrap/>
        <w:overflowPunct/>
        <w:topLinePunct w:val="0"/>
        <w:autoSpaceDE/>
        <w:autoSpaceDN/>
        <w:bidi w:val="0"/>
        <w:adjustRightInd/>
        <w:spacing w:after="0" w:line="360" w:lineRule="auto"/>
        <w:ind w:left="0" w:leftChars="0"/>
        <w:rPr>
          <w:rFonts w:ascii="宋体" w:hAnsi="宋体" w:eastAsia="宋体"/>
          <w:color w:val="auto"/>
          <w:szCs w:val="21"/>
          <w:highlight w:val="none"/>
        </w:rPr>
      </w:pPr>
      <w:r>
        <w:rPr>
          <w:rFonts w:hint="eastAsia" w:ascii="宋体" w:hAnsi="宋体" w:eastAsia="宋体" w:cs="Calibri"/>
          <w:color w:val="auto"/>
          <w:highlight w:val="none"/>
        </w:rPr>
        <w:t>3</w:t>
      </w:r>
      <w:r>
        <w:rPr>
          <w:rFonts w:ascii="宋体" w:hAnsi="宋体" w:eastAsia="宋体" w:cs="Calibri"/>
          <w:color w:val="auto"/>
          <w:highlight w:val="none"/>
        </w:rPr>
        <w:t>1</w:t>
      </w:r>
      <w:r>
        <w:rPr>
          <w:rFonts w:hint="eastAsia" w:ascii="宋体" w:hAnsi="宋体" w:eastAsia="宋体" w:cs="Calibri"/>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olor w:val="auto"/>
          <w:szCs w:val="21"/>
          <w:highlight w:val="none"/>
        </w:rPr>
        <w:t>但答复的内容不得涉及商业秘密</w:t>
      </w:r>
      <w:r>
        <w:rPr>
          <w:rFonts w:hint="eastAsia" w:ascii="宋体" w:hAnsi="宋体" w:eastAsia="宋体" w:cs="Calibri"/>
          <w:color w:val="auto"/>
          <w:highlight w:val="none"/>
        </w:rPr>
        <w:t>。</w:t>
      </w:r>
    </w:p>
    <w:p w14:paraId="16DBDF5F">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hint="eastAsia" w:ascii="宋体" w:hAnsi="宋体" w:eastAsia="宋体" w:cs="Calibri"/>
          <w:color w:val="auto"/>
          <w:highlight w:val="none"/>
        </w:rPr>
        <w:t>3</w:t>
      </w:r>
      <w:r>
        <w:rPr>
          <w:rFonts w:ascii="宋体" w:hAnsi="宋体" w:eastAsia="宋体" w:cs="Calibri"/>
          <w:color w:val="auto"/>
          <w:highlight w:val="none"/>
        </w:rPr>
        <w:t>1</w:t>
      </w:r>
      <w:r>
        <w:rPr>
          <w:rFonts w:hint="eastAsia" w:ascii="宋体" w:hAnsi="宋体" w:eastAsia="宋体" w:cs="Calibri"/>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eastAsia="宋体" w:cs="等线 Light"/>
          <w:color w:val="auto"/>
          <w:highlight w:val="none"/>
          <w:shd w:val="clear" w:color="auto" w:fill="FFFFFF"/>
        </w:rPr>
        <w:t>接收质疑函的方式、联系部门、联系电话和通讯地址等信息</w:t>
      </w:r>
      <w:r>
        <w:rPr>
          <w:rFonts w:hint="eastAsia" w:ascii="宋体" w:hAnsi="宋体" w:eastAsia="宋体" w:cs="等线 Light"/>
          <w:color w:val="auto"/>
          <w:highlight w:val="none"/>
          <w:shd w:val="clear" w:color="auto" w:fill="FFFFFF"/>
        </w:rPr>
        <w:t>详见</w:t>
      </w:r>
      <w:r>
        <w:rPr>
          <w:rFonts w:hint="eastAsia" w:ascii="宋体" w:hAnsi="宋体" w:eastAsia="宋体" w:cs="Calibri"/>
          <w:color w:val="auto"/>
          <w:szCs w:val="21"/>
          <w:highlight w:val="none"/>
        </w:rPr>
        <w:t>“供应商须知前附表”</w:t>
      </w:r>
      <w:r>
        <w:rPr>
          <w:rFonts w:hint="eastAsia" w:ascii="宋体" w:hAnsi="宋体" w:eastAsia="宋体" w:cs="Calibri"/>
          <w:color w:val="auto"/>
          <w:highlight w:val="none"/>
        </w:rPr>
        <w:t>。具体质疑起算时间如下：</w:t>
      </w:r>
    </w:p>
    <w:p w14:paraId="0C14FEFB">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hint="eastAsia" w:ascii="宋体" w:hAnsi="宋体" w:eastAsia="宋体" w:cs="Calibri"/>
          <w:color w:val="auto"/>
          <w:highlight w:val="none"/>
        </w:rPr>
        <w:t>（1）对可以质疑的磋商文件提出质疑的，为收到磋商文件之日或者</w:t>
      </w:r>
      <w:r>
        <w:rPr>
          <w:rFonts w:hint="eastAsia" w:ascii="宋体" w:hAnsi="宋体" w:eastAsia="宋体"/>
          <w:color w:val="auto"/>
          <w:highlight w:val="none"/>
        </w:rPr>
        <w:t>竞争性磋商公告期限届满之日</w:t>
      </w:r>
      <w:r>
        <w:rPr>
          <w:rFonts w:hint="eastAsia" w:ascii="宋体" w:hAnsi="宋体" w:eastAsia="宋体" w:cs="Calibri"/>
          <w:color w:val="auto"/>
          <w:highlight w:val="none"/>
        </w:rPr>
        <w:t>；</w:t>
      </w:r>
    </w:p>
    <w:p w14:paraId="1C8690E4">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hint="eastAsia" w:ascii="宋体" w:hAnsi="宋体" w:eastAsia="宋体" w:cs="Calibri"/>
          <w:color w:val="auto"/>
          <w:highlight w:val="none"/>
        </w:rPr>
        <w:t>（2）对采购过程提出质疑的，为各采购程序环节结束之日；</w:t>
      </w:r>
    </w:p>
    <w:p w14:paraId="71714D06">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hint="eastAsia" w:ascii="宋体" w:hAnsi="宋体" w:eastAsia="宋体" w:cs="Calibri"/>
          <w:color w:val="auto"/>
          <w:highlight w:val="none"/>
        </w:rPr>
        <w:t>（3）对成交结果提出质疑的，为成交结果公告期限届满之日。</w:t>
      </w:r>
    </w:p>
    <w:p w14:paraId="22A4C2FC">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hint="eastAsia" w:ascii="宋体" w:hAnsi="宋体" w:eastAsia="宋体" w:cs="Calibri"/>
          <w:color w:val="auto"/>
          <w:highlight w:val="none"/>
        </w:rPr>
        <w:t>3</w:t>
      </w:r>
      <w:r>
        <w:rPr>
          <w:rFonts w:ascii="宋体" w:hAnsi="宋体" w:eastAsia="宋体" w:cs="Calibri"/>
          <w:color w:val="auto"/>
          <w:highlight w:val="none"/>
        </w:rPr>
        <w:t>1</w:t>
      </w:r>
      <w:r>
        <w:rPr>
          <w:rFonts w:hint="eastAsia" w:ascii="宋体" w:hAnsi="宋体" w:eastAsia="宋体" w:cs="Calibri"/>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5D9154A">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hint="eastAsia" w:ascii="宋体" w:hAnsi="宋体" w:eastAsia="宋体" w:cs="Calibri"/>
          <w:color w:val="auto"/>
          <w:highlight w:val="none"/>
        </w:rPr>
        <w:t>3</w:t>
      </w:r>
      <w:r>
        <w:rPr>
          <w:rFonts w:ascii="宋体" w:hAnsi="宋体" w:eastAsia="宋体" w:cs="Calibri"/>
          <w:color w:val="auto"/>
          <w:highlight w:val="none"/>
        </w:rPr>
        <w:t>1</w:t>
      </w:r>
      <w:r>
        <w:rPr>
          <w:rFonts w:hint="eastAsia" w:ascii="宋体" w:hAnsi="宋体" w:eastAsia="宋体" w:cs="Calibri"/>
          <w:color w:val="auto"/>
          <w:highlight w:val="none"/>
        </w:rPr>
        <w:t>.4 供应商提出质疑应当提交质疑函和必要的证明材料，针对同一采购程序环节的质疑必须在法定质疑期内一次性提出。质疑函应当包括下列内容</w:t>
      </w:r>
      <w:r>
        <w:rPr>
          <w:rFonts w:hint="eastAsia" w:ascii="宋体" w:hAnsi="宋体" w:eastAsia="宋体"/>
          <w:bCs/>
          <w:color w:val="auto"/>
          <w:highlight w:val="none"/>
        </w:rPr>
        <w:t>（质疑函格式后附）</w:t>
      </w:r>
      <w:r>
        <w:rPr>
          <w:rFonts w:hint="eastAsia" w:ascii="宋体" w:hAnsi="宋体" w:eastAsia="宋体" w:cs="Calibri"/>
          <w:color w:val="auto"/>
          <w:highlight w:val="none"/>
        </w:rPr>
        <w:t>：</w:t>
      </w:r>
    </w:p>
    <w:p w14:paraId="14128643">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hint="eastAsia" w:ascii="宋体" w:hAnsi="宋体" w:eastAsia="宋体" w:cs="Calibri"/>
          <w:color w:val="auto"/>
          <w:highlight w:val="none"/>
        </w:rPr>
        <w:t>（1）供应商的姓名或者名称、地址、邮编、联系人及联系电话；</w:t>
      </w:r>
    </w:p>
    <w:p w14:paraId="25B56BAB">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hint="eastAsia" w:ascii="宋体" w:hAnsi="宋体" w:eastAsia="宋体" w:cs="Calibri"/>
          <w:color w:val="auto"/>
          <w:highlight w:val="none"/>
        </w:rPr>
        <w:t>（2）质疑项目的名称、编号；</w:t>
      </w:r>
    </w:p>
    <w:p w14:paraId="3BF042DB">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hint="eastAsia" w:ascii="宋体" w:hAnsi="宋体" w:eastAsia="宋体" w:cs="Calibri"/>
          <w:color w:val="auto"/>
          <w:highlight w:val="none"/>
        </w:rPr>
        <w:t>（3）具体、明确的质疑事项和与质疑事项相关的请求；</w:t>
      </w:r>
    </w:p>
    <w:p w14:paraId="0B41AD32">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hint="eastAsia" w:ascii="宋体" w:hAnsi="宋体" w:eastAsia="宋体" w:cs="Calibri"/>
          <w:color w:val="auto"/>
          <w:highlight w:val="none"/>
        </w:rPr>
        <w:t>（4）事实依据；</w:t>
      </w:r>
    </w:p>
    <w:p w14:paraId="719DFE46">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hint="eastAsia" w:ascii="宋体" w:hAnsi="宋体" w:eastAsia="宋体" w:cs="Calibri"/>
          <w:color w:val="auto"/>
          <w:highlight w:val="none"/>
        </w:rPr>
        <w:t>（5）必要的法律依据；</w:t>
      </w:r>
    </w:p>
    <w:p w14:paraId="5530BC96">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hint="eastAsia" w:ascii="宋体" w:hAnsi="宋体" w:eastAsia="宋体" w:cs="Calibri"/>
          <w:color w:val="auto"/>
          <w:highlight w:val="none"/>
        </w:rPr>
        <w:t>（6）提出质疑的日期。</w:t>
      </w:r>
    </w:p>
    <w:p w14:paraId="49BFBBC1">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hint="eastAsia" w:ascii="宋体" w:hAnsi="宋体" w:eastAsia="宋体" w:cs="Calibri"/>
          <w:color w:val="auto"/>
          <w:highlight w:val="none"/>
        </w:rPr>
        <w:t>供应商为自然人的，应当由本人签字；供应商为法人或者其他组织的，应当由法定代表人、主要负责人，或者其委托代理人签字或者盖章，并加盖公章。</w:t>
      </w:r>
    </w:p>
    <w:p w14:paraId="5B92BF37">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hint="eastAsia" w:ascii="宋体" w:hAnsi="宋体" w:eastAsia="宋体" w:cs="Calibri"/>
          <w:color w:val="auto"/>
          <w:highlight w:val="none"/>
        </w:rPr>
        <w:t>3</w:t>
      </w:r>
      <w:r>
        <w:rPr>
          <w:rFonts w:ascii="宋体" w:hAnsi="宋体" w:eastAsia="宋体" w:cs="Calibri"/>
          <w:color w:val="auto"/>
          <w:highlight w:val="none"/>
        </w:rPr>
        <w:t>1.5</w:t>
      </w:r>
      <w:r>
        <w:rPr>
          <w:rFonts w:hint="eastAsia" w:ascii="宋体" w:hAnsi="宋体" w:eastAsia="宋体" w:cs="Calibri"/>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27BE9499">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hint="eastAsia" w:ascii="宋体" w:hAnsi="宋体" w:eastAsia="宋体" w:cs="Calibri"/>
          <w:color w:val="auto"/>
          <w:highlight w:val="none"/>
        </w:rPr>
        <w:t>（一）对采购文件提出的质疑，依法通过澄清或者修改可以继续开展采购活动的，澄清或者修改采购文件后继续开展采购活动；否则应当修改采购文件后重新开展采购活动。</w:t>
      </w:r>
    </w:p>
    <w:p w14:paraId="55576F79">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hint="eastAsia" w:ascii="宋体" w:hAnsi="宋体" w:eastAsia="宋体" w:cs="Calibri"/>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65C5026">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hint="eastAsia" w:ascii="宋体" w:hAnsi="宋体" w:eastAsia="宋体" w:cs="Calibri"/>
          <w:color w:val="auto"/>
          <w:highlight w:val="none"/>
        </w:rPr>
        <w:t>质疑答复导致成交结果改变的，采购人或者采购代理机构应当将有关情况书面报告本级财政部门。</w:t>
      </w:r>
    </w:p>
    <w:p w14:paraId="6E7B7773">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ascii="宋体" w:hAnsi="宋体" w:eastAsia="宋体" w:cs="Calibri"/>
          <w:color w:val="auto"/>
          <w:highlight w:val="none"/>
        </w:rPr>
        <w:t>31</w:t>
      </w:r>
      <w:r>
        <w:rPr>
          <w:rFonts w:hint="eastAsia" w:ascii="宋体" w:hAnsi="宋体" w:eastAsia="宋体" w:cs="Calibri"/>
          <w:color w:val="auto"/>
          <w:highlight w:val="none"/>
        </w:rPr>
        <w:t>.</w:t>
      </w:r>
      <w:r>
        <w:rPr>
          <w:rFonts w:ascii="宋体" w:hAnsi="宋体" w:eastAsia="宋体" w:cs="Calibri"/>
          <w:color w:val="auto"/>
          <w:highlight w:val="none"/>
        </w:rPr>
        <w:t>6</w:t>
      </w:r>
      <w:r>
        <w:rPr>
          <w:rFonts w:hint="eastAsia" w:ascii="宋体" w:hAnsi="宋体" w:eastAsia="宋体" w:cs="Calibri"/>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1A27915">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hint="eastAsia" w:ascii="宋体" w:hAnsi="宋体" w:eastAsia="宋体" w:cs="Calibri"/>
          <w:color w:val="auto"/>
          <w:highlight w:val="none"/>
        </w:rPr>
        <w:t>31.6.1供应商应明确知悉投诉可能产生的后果并承担相应的责任：</w:t>
      </w:r>
    </w:p>
    <w:p w14:paraId="210BC950">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hint="eastAsia" w:ascii="宋体" w:hAnsi="宋体" w:eastAsia="宋体" w:cs="Calibri"/>
          <w:color w:val="auto"/>
          <w:highlight w:val="none"/>
        </w:rPr>
        <w:t>按照《政府采购质疑和投诉办法》（中华人民共和国财政部令第94号）第三十七条：投诉人在全国范围12个月内三次以上投诉查无实据的，由财政部门列入不良行为记录名单。</w:t>
      </w:r>
    </w:p>
    <w:p w14:paraId="5C36BBC2">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hint="eastAsia" w:ascii="宋体" w:hAnsi="宋体" w:eastAsia="宋体" w:cs="Calibri"/>
          <w:color w:val="auto"/>
          <w:highlight w:val="none"/>
        </w:rPr>
        <w:t>投诉人有下列行为之一的，属于虚假、恶意投诉，由财政部门列入不良行为记录名单，禁止其1至3年内参加政府采购活动：</w:t>
      </w:r>
    </w:p>
    <w:p w14:paraId="3ACDD612">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hint="eastAsia" w:ascii="宋体" w:hAnsi="宋体" w:eastAsia="宋体" w:cs="Calibri"/>
          <w:color w:val="auto"/>
          <w:highlight w:val="none"/>
        </w:rPr>
        <w:t>（一）捏造事实；</w:t>
      </w:r>
    </w:p>
    <w:p w14:paraId="059A4D28">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hint="eastAsia" w:ascii="宋体" w:hAnsi="宋体" w:eastAsia="宋体" w:cs="Calibri"/>
          <w:color w:val="auto"/>
          <w:highlight w:val="none"/>
        </w:rPr>
        <w:t>（二）提供虚假材料；</w:t>
      </w:r>
    </w:p>
    <w:p w14:paraId="0B8E9821">
      <w:pPr>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highlight w:val="none"/>
        </w:rPr>
      </w:pPr>
      <w:r>
        <w:rPr>
          <w:rFonts w:hint="eastAsia" w:ascii="宋体" w:hAnsi="宋体" w:eastAsia="宋体" w:cs="Calibri"/>
          <w:color w:val="auto"/>
          <w:highlight w:val="none"/>
        </w:rPr>
        <w:t>（三）以非法手段取得证明材料。证据来源的合法性存在明显疑问，投诉人无法证明其取得方式合法的，视为以非法手段取得证明材料。</w:t>
      </w:r>
    </w:p>
    <w:p w14:paraId="50470EFF">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ascii="宋体" w:hAnsi="宋体" w:eastAsia="宋体" w:cs="Calibri"/>
          <w:b/>
          <w:bCs/>
          <w:color w:val="auto"/>
          <w:sz w:val="24"/>
          <w:highlight w:val="none"/>
        </w:rPr>
        <w:t>32</w:t>
      </w:r>
      <w:r>
        <w:rPr>
          <w:rFonts w:hint="eastAsia" w:ascii="宋体" w:hAnsi="宋体" w:eastAsia="宋体" w:cs="Calibri"/>
          <w:b/>
          <w:bCs/>
          <w:color w:val="auto"/>
          <w:sz w:val="24"/>
          <w:highlight w:val="none"/>
        </w:rPr>
        <w:t>.其他内容</w:t>
      </w:r>
    </w:p>
    <w:p w14:paraId="51172F9E">
      <w:pPr>
        <w:keepNext w:val="0"/>
        <w:keepLines w:val="0"/>
        <w:pageBreakBefore w:val="0"/>
        <w:widowControl w:val="0"/>
        <w:tabs>
          <w:tab w:val="left" w:pos="2835"/>
        </w:tabs>
        <w:kinsoku/>
        <w:wordWrap/>
        <w:overflowPunct/>
        <w:topLinePunct w:val="0"/>
        <w:autoSpaceDE/>
        <w:autoSpaceDN/>
        <w:bidi w:val="0"/>
        <w:adjustRightInd/>
        <w:spacing w:after="0" w:line="360" w:lineRule="auto"/>
        <w:ind w:left="0" w:leftChars="0" w:firstLine="420" w:firstLineChars="200"/>
        <w:rPr>
          <w:rFonts w:ascii="宋体" w:hAnsi="宋体" w:eastAsia="宋体" w:cs="Calibri"/>
          <w:color w:val="auto"/>
          <w:szCs w:val="21"/>
          <w:highlight w:val="none"/>
        </w:rPr>
      </w:pPr>
      <w:r>
        <w:rPr>
          <w:rFonts w:ascii="宋体" w:hAnsi="宋体" w:eastAsia="宋体" w:cs="Calibri"/>
          <w:color w:val="auto"/>
          <w:szCs w:val="21"/>
          <w:highlight w:val="none"/>
        </w:rPr>
        <w:t>32</w:t>
      </w:r>
      <w:r>
        <w:rPr>
          <w:rFonts w:hint="eastAsia" w:ascii="宋体" w:hAnsi="宋体" w:eastAsia="宋体" w:cs="Calibri"/>
          <w:color w:val="auto"/>
          <w:szCs w:val="21"/>
          <w:highlight w:val="none"/>
        </w:rPr>
        <w:t>.1代理服务收取标准及缴费账户详见“供应商须知前附表”，供应商为联合体的，可以由联合体中的一方或者多方共同交纳代理服务费。</w:t>
      </w:r>
    </w:p>
    <w:p w14:paraId="018A9838">
      <w:pPr>
        <w:keepNext w:val="0"/>
        <w:keepLines w:val="0"/>
        <w:pageBreakBefore w:val="0"/>
        <w:widowControl w:val="0"/>
        <w:tabs>
          <w:tab w:val="left" w:pos="2835"/>
        </w:tabs>
        <w:kinsoku/>
        <w:wordWrap/>
        <w:overflowPunct/>
        <w:topLinePunct w:val="0"/>
        <w:autoSpaceDE/>
        <w:autoSpaceDN/>
        <w:bidi w:val="0"/>
        <w:adjustRightInd/>
        <w:spacing w:after="0" w:line="360" w:lineRule="auto"/>
        <w:ind w:left="0" w:leftChars="0" w:firstLine="420" w:firstLineChars="200"/>
        <w:rPr>
          <w:rFonts w:hint="eastAsia" w:ascii="宋体" w:hAnsi="宋体" w:eastAsia="宋体" w:cs="Calibri"/>
          <w:color w:val="auto"/>
          <w:szCs w:val="21"/>
          <w:highlight w:val="none"/>
        </w:rPr>
      </w:pPr>
      <w:r>
        <w:rPr>
          <w:rFonts w:ascii="宋体" w:hAnsi="宋体" w:eastAsia="宋体" w:cs="Calibri"/>
          <w:color w:val="auto"/>
          <w:szCs w:val="21"/>
          <w:highlight w:val="none"/>
        </w:rPr>
        <w:t>32.2</w:t>
      </w:r>
      <w:r>
        <w:rPr>
          <w:rFonts w:hint="eastAsia" w:ascii="宋体" w:hAnsi="宋体" w:eastAsia="宋体" w:cs="Calibri"/>
          <w:color w:val="auto"/>
          <w:szCs w:val="21"/>
          <w:highlight w:val="none"/>
        </w:rPr>
        <w:t>代理服务费收费计算标准：</w:t>
      </w:r>
    </w:p>
    <w:tbl>
      <w:tblPr>
        <w:tblStyle w:val="49"/>
        <w:tblW w:w="88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7"/>
        <w:gridCol w:w="1790"/>
        <w:gridCol w:w="1653"/>
        <w:gridCol w:w="1668"/>
      </w:tblGrid>
      <w:tr w14:paraId="7418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747" w:type="dxa"/>
            <w:tcBorders>
              <w:tl2br w:val="single" w:color="auto" w:sz="4" w:space="0"/>
            </w:tcBorders>
          </w:tcPr>
          <w:p w14:paraId="09D4215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1429D5B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790" w:type="dxa"/>
            <w:vAlign w:val="center"/>
          </w:tcPr>
          <w:p w14:paraId="6BBCCDE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653" w:type="dxa"/>
            <w:vAlign w:val="center"/>
          </w:tcPr>
          <w:p w14:paraId="50E6ED3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668" w:type="dxa"/>
            <w:vAlign w:val="center"/>
          </w:tcPr>
          <w:p w14:paraId="7A3FBB7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4F21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7" w:type="dxa"/>
          </w:tcPr>
          <w:p w14:paraId="5D1B780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790" w:type="dxa"/>
          </w:tcPr>
          <w:p w14:paraId="657695F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53" w:type="dxa"/>
          </w:tcPr>
          <w:p w14:paraId="2CB413F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68" w:type="dxa"/>
          </w:tcPr>
          <w:p w14:paraId="337B882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3AD1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7" w:type="dxa"/>
          </w:tcPr>
          <w:p w14:paraId="35F3309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790" w:type="dxa"/>
          </w:tcPr>
          <w:p w14:paraId="29B6C11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53" w:type="dxa"/>
          </w:tcPr>
          <w:p w14:paraId="1D09778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68" w:type="dxa"/>
          </w:tcPr>
          <w:p w14:paraId="0E450F1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28DE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7" w:type="dxa"/>
          </w:tcPr>
          <w:p w14:paraId="1E35F8E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790" w:type="dxa"/>
          </w:tcPr>
          <w:p w14:paraId="559947E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53" w:type="dxa"/>
          </w:tcPr>
          <w:p w14:paraId="26ED0EF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68" w:type="dxa"/>
          </w:tcPr>
          <w:p w14:paraId="523353B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77E3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7" w:type="dxa"/>
          </w:tcPr>
          <w:p w14:paraId="6466ECA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790" w:type="dxa"/>
          </w:tcPr>
          <w:p w14:paraId="7BD0275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53" w:type="dxa"/>
          </w:tcPr>
          <w:p w14:paraId="6A421DF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68" w:type="dxa"/>
          </w:tcPr>
          <w:p w14:paraId="4D77DF0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43E3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7" w:type="dxa"/>
          </w:tcPr>
          <w:p w14:paraId="306968F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790" w:type="dxa"/>
          </w:tcPr>
          <w:p w14:paraId="21A7115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53" w:type="dxa"/>
          </w:tcPr>
          <w:p w14:paraId="2788501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68" w:type="dxa"/>
          </w:tcPr>
          <w:p w14:paraId="0DA75C4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7321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7" w:type="dxa"/>
          </w:tcPr>
          <w:p w14:paraId="048DF14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790" w:type="dxa"/>
          </w:tcPr>
          <w:p w14:paraId="0C93E28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53" w:type="dxa"/>
          </w:tcPr>
          <w:p w14:paraId="7F705E4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68" w:type="dxa"/>
          </w:tcPr>
          <w:p w14:paraId="78A6438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7990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7" w:type="dxa"/>
          </w:tcPr>
          <w:p w14:paraId="0A548E1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790" w:type="dxa"/>
          </w:tcPr>
          <w:p w14:paraId="7AEB30A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53" w:type="dxa"/>
          </w:tcPr>
          <w:p w14:paraId="3042F51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68" w:type="dxa"/>
          </w:tcPr>
          <w:p w14:paraId="6F8DDBA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3C35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7" w:type="dxa"/>
          </w:tcPr>
          <w:p w14:paraId="787B2E7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790" w:type="dxa"/>
          </w:tcPr>
          <w:p w14:paraId="25FD993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3" w:type="dxa"/>
          </w:tcPr>
          <w:p w14:paraId="27EC036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68" w:type="dxa"/>
          </w:tcPr>
          <w:p w14:paraId="266FE0A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6A6B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7" w:type="dxa"/>
          </w:tcPr>
          <w:p w14:paraId="5B3E661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790" w:type="dxa"/>
          </w:tcPr>
          <w:p w14:paraId="767906C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53" w:type="dxa"/>
          </w:tcPr>
          <w:p w14:paraId="237BB8F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68" w:type="dxa"/>
          </w:tcPr>
          <w:p w14:paraId="7A79931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6735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47" w:type="dxa"/>
          </w:tcPr>
          <w:p w14:paraId="1BE6855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790" w:type="dxa"/>
          </w:tcPr>
          <w:p w14:paraId="15CAE5F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53" w:type="dxa"/>
          </w:tcPr>
          <w:p w14:paraId="1722FB0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68" w:type="dxa"/>
          </w:tcPr>
          <w:p w14:paraId="4F0F170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17388155">
      <w:pPr>
        <w:pStyle w:val="28"/>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textAlignment w:val="center"/>
        <w:rPr>
          <w:rFonts w:hint="eastAsia" w:ascii="宋体" w:hAnsi="宋体" w:eastAsia="宋体" w:cs="Calibri"/>
          <w:color w:val="auto"/>
          <w:kern w:val="2"/>
          <w:sz w:val="21"/>
          <w:highlight w:val="none"/>
        </w:rPr>
      </w:pPr>
      <w:r>
        <w:rPr>
          <w:rFonts w:hint="eastAsia" w:ascii="宋体" w:hAnsi="宋体" w:eastAsia="宋体" w:cs="Calibri"/>
          <w:color w:val="auto"/>
          <w:kern w:val="2"/>
          <w:sz w:val="21"/>
          <w:highlight w:val="none"/>
        </w:rPr>
        <w:t>注：</w:t>
      </w:r>
    </w:p>
    <w:p w14:paraId="6DC6493B">
      <w:pPr>
        <w:pStyle w:val="28"/>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textAlignment w:val="center"/>
        <w:rPr>
          <w:rFonts w:hint="eastAsia" w:ascii="宋体" w:hAnsi="宋体" w:eastAsia="宋体" w:cs="Calibri"/>
          <w:color w:val="auto"/>
          <w:kern w:val="2"/>
          <w:sz w:val="21"/>
          <w:highlight w:val="none"/>
        </w:rPr>
      </w:pPr>
      <w:r>
        <w:rPr>
          <w:rFonts w:hint="eastAsia" w:ascii="宋体" w:hAnsi="宋体" w:eastAsia="宋体" w:cs="Calibri"/>
          <w:color w:val="auto"/>
          <w:kern w:val="2"/>
          <w:sz w:val="21"/>
          <w:highlight w:val="none"/>
        </w:rPr>
        <w:t>（1）按本表费率计算的收费为采购代理的收费基准价格；</w:t>
      </w:r>
    </w:p>
    <w:p w14:paraId="6AF454D7">
      <w:pPr>
        <w:pStyle w:val="28"/>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textAlignment w:val="center"/>
        <w:rPr>
          <w:rFonts w:hint="eastAsia" w:ascii="宋体" w:hAnsi="宋体" w:eastAsia="宋体" w:cs="Calibri"/>
          <w:color w:val="auto"/>
          <w:kern w:val="2"/>
          <w:sz w:val="21"/>
          <w:highlight w:val="none"/>
        </w:rPr>
      </w:pPr>
      <w:r>
        <w:rPr>
          <w:rFonts w:hint="eastAsia" w:ascii="宋体" w:hAnsi="宋体" w:eastAsia="宋体" w:cs="Calibri"/>
          <w:color w:val="auto"/>
          <w:kern w:val="2"/>
          <w:sz w:val="21"/>
          <w:highlight w:val="none"/>
        </w:rPr>
        <w:t>（2）采购代理收费按差额定率累进法计算。</w:t>
      </w:r>
    </w:p>
    <w:p w14:paraId="3A67B86A">
      <w:pPr>
        <w:pStyle w:val="28"/>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textAlignment w:val="center"/>
        <w:rPr>
          <w:rFonts w:hint="eastAsia" w:ascii="宋体" w:hAnsi="宋体" w:eastAsia="宋体" w:cs="Calibri"/>
          <w:color w:val="auto"/>
          <w:kern w:val="2"/>
          <w:sz w:val="21"/>
          <w:highlight w:val="none"/>
        </w:rPr>
      </w:pPr>
      <w:r>
        <w:rPr>
          <w:rFonts w:hint="eastAsia" w:ascii="宋体" w:hAnsi="宋体" w:eastAsia="宋体" w:cs="Calibri"/>
          <w:color w:val="auto"/>
          <w:kern w:val="2"/>
          <w:sz w:val="21"/>
          <w:highlight w:val="none"/>
        </w:rPr>
        <w:t>例如：某服务采购代理业务成交金额为</w:t>
      </w:r>
      <w:r>
        <w:rPr>
          <w:rFonts w:hint="eastAsia" w:ascii="宋体" w:hAnsi="宋体" w:eastAsia="宋体" w:cs="Calibri"/>
          <w:color w:val="auto"/>
          <w:kern w:val="2"/>
          <w:sz w:val="21"/>
          <w:highlight w:val="none"/>
          <w:lang w:val="en-US" w:eastAsia="zh-CN"/>
        </w:rPr>
        <w:t>200</w:t>
      </w:r>
      <w:r>
        <w:rPr>
          <w:rFonts w:hint="eastAsia" w:ascii="宋体" w:hAnsi="宋体" w:eastAsia="宋体" w:cs="Calibri"/>
          <w:color w:val="auto"/>
          <w:kern w:val="2"/>
          <w:sz w:val="21"/>
          <w:highlight w:val="none"/>
        </w:rPr>
        <w:t>万元，计算采购代理收费额如下：</w:t>
      </w:r>
    </w:p>
    <w:p w14:paraId="381A7B2C">
      <w:pPr>
        <w:pStyle w:val="28"/>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textAlignment w:val="center"/>
        <w:rPr>
          <w:rFonts w:hint="eastAsia" w:ascii="宋体" w:hAnsi="宋体" w:eastAsia="宋体" w:cs="Calibri"/>
          <w:color w:val="auto"/>
          <w:kern w:val="2"/>
          <w:sz w:val="21"/>
          <w:highlight w:val="none"/>
        </w:rPr>
      </w:pPr>
      <w:r>
        <w:rPr>
          <w:rFonts w:hint="eastAsia" w:ascii="宋体" w:hAnsi="宋体" w:eastAsia="宋体" w:cs="Calibri"/>
          <w:color w:val="auto"/>
          <w:kern w:val="2"/>
          <w:sz w:val="21"/>
          <w:highlight w:val="none"/>
        </w:rPr>
        <w:t>100 万元 ×l.5 %＝ 1.5 万元</w:t>
      </w:r>
    </w:p>
    <w:p w14:paraId="6AF41774">
      <w:pPr>
        <w:pStyle w:val="28"/>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textAlignment w:val="center"/>
        <w:rPr>
          <w:rFonts w:hint="eastAsia" w:ascii="宋体" w:hAnsi="宋体" w:eastAsia="宋体" w:cs="Calibri"/>
          <w:color w:val="auto"/>
          <w:kern w:val="2"/>
          <w:sz w:val="21"/>
          <w:highlight w:val="none"/>
        </w:rPr>
      </w:pPr>
      <w:r>
        <w:rPr>
          <w:rFonts w:hint="eastAsia" w:ascii="宋体" w:hAnsi="宋体" w:eastAsia="宋体" w:cs="Calibri"/>
          <w:color w:val="auto"/>
          <w:kern w:val="2"/>
          <w:sz w:val="21"/>
          <w:highlight w:val="none"/>
        </w:rPr>
        <w:t>（</w:t>
      </w:r>
      <w:r>
        <w:rPr>
          <w:rFonts w:hint="eastAsia" w:ascii="宋体" w:hAnsi="宋体" w:eastAsia="宋体" w:cs="Calibri"/>
          <w:color w:val="auto"/>
          <w:kern w:val="2"/>
          <w:sz w:val="21"/>
          <w:highlight w:val="none"/>
          <w:lang w:val="en-US" w:eastAsia="zh-CN"/>
        </w:rPr>
        <w:t>200</w:t>
      </w:r>
      <w:r>
        <w:rPr>
          <w:rFonts w:hint="eastAsia" w:ascii="宋体" w:hAnsi="宋体" w:eastAsia="宋体" w:cs="Calibri"/>
          <w:color w:val="auto"/>
          <w:kern w:val="2"/>
          <w:sz w:val="21"/>
          <w:highlight w:val="none"/>
        </w:rPr>
        <w:t>－ 100）万元 ×0.8%＝ 0.</w:t>
      </w:r>
      <w:r>
        <w:rPr>
          <w:rFonts w:hint="eastAsia" w:ascii="宋体" w:hAnsi="宋体" w:eastAsia="宋体" w:cs="Calibri"/>
          <w:color w:val="auto"/>
          <w:kern w:val="2"/>
          <w:sz w:val="21"/>
          <w:highlight w:val="none"/>
          <w:lang w:val="en-US" w:eastAsia="zh-CN"/>
        </w:rPr>
        <w:t>8</w:t>
      </w:r>
      <w:r>
        <w:rPr>
          <w:rFonts w:hint="eastAsia" w:ascii="宋体" w:hAnsi="宋体" w:eastAsia="宋体" w:cs="Calibri"/>
          <w:color w:val="auto"/>
          <w:kern w:val="2"/>
          <w:sz w:val="21"/>
          <w:highlight w:val="none"/>
        </w:rPr>
        <w:t>万元</w:t>
      </w:r>
    </w:p>
    <w:p w14:paraId="3134C07E">
      <w:pPr>
        <w:pStyle w:val="28"/>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textAlignment w:val="center"/>
        <w:rPr>
          <w:rFonts w:hint="eastAsia" w:ascii="宋体" w:hAnsi="宋体" w:eastAsia="宋体" w:cs="Calibri"/>
          <w:color w:val="auto"/>
          <w:kern w:val="2"/>
          <w:sz w:val="21"/>
          <w:highlight w:val="none"/>
        </w:rPr>
      </w:pPr>
      <w:r>
        <w:rPr>
          <w:rFonts w:hint="eastAsia" w:ascii="宋体" w:hAnsi="宋体" w:eastAsia="宋体" w:cs="Calibri"/>
          <w:color w:val="auto"/>
          <w:kern w:val="2"/>
          <w:sz w:val="21"/>
          <w:highlight w:val="none"/>
        </w:rPr>
        <w:t>合计收费＝ 1.5 ＋ 0.</w:t>
      </w:r>
      <w:r>
        <w:rPr>
          <w:rFonts w:hint="eastAsia" w:ascii="宋体" w:hAnsi="宋体" w:eastAsia="宋体" w:cs="Calibri"/>
          <w:color w:val="auto"/>
          <w:kern w:val="2"/>
          <w:sz w:val="21"/>
          <w:highlight w:val="none"/>
          <w:lang w:val="en-US" w:eastAsia="zh-CN"/>
        </w:rPr>
        <w:t>8</w:t>
      </w:r>
      <w:r>
        <w:rPr>
          <w:rFonts w:hint="eastAsia" w:ascii="宋体" w:hAnsi="宋体" w:eastAsia="宋体" w:cs="Calibri"/>
          <w:color w:val="auto"/>
          <w:kern w:val="2"/>
          <w:sz w:val="21"/>
          <w:highlight w:val="none"/>
        </w:rPr>
        <w:t xml:space="preserve">＝ </w:t>
      </w:r>
      <w:r>
        <w:rPr>
          <w:rFonts w:hint="eastAsia" w:ascii="宋体" w:hAnsi="宋体" w:eastAsia="宋体" w:cs="Calibri"/>
          <w:color w:val="auto"/>
          <w:kern w:val="2"/>
          <w:sz w:val="21"/>
          <w:highlight w:val="none"/>
          <w:lang w:val="en-US" w:eastAsia="zh-CN"/>
        </w:rPr>
        <w:t>2.3</w:t>
      </w:r>
      <w:r>
        <w:rPr>
          <w:rFonts w:hint="eastAsia" w:ascii="宋体" w:hAnsi="宋体" w:eastAsia="宋体" w:cs="Calibri"/>
          <w:color w:val="auto"/>
          <w:kern w:val="2"/>
          <w:sz w:val="21"/>
          <w:highlight w:val="none"/>
        </w:rPr>
        <w:t xml:space="preserve"> 万元</w:t>
      </w:r>
    </w:p>
    <w:p w14:paraId="4FC96548">
      <w:pPr>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rPr>
          <w:rFonts w:ascii="宋体" w:hAnsi="宋体" w:eastAsia="宋体" w:cs="Calibri"/>
          <w:b/>
          <w:bCs/>
          <w:color w:val="auto"/>
          <w:sz w:val="24"/>
          <w:highlight w:val="none"/>
        </w:rPr>
      </w:pPr>
      <w:r>
        <w:rPr>
          <w:rFonts w:hint="eastAsia" w:ascii="宋体" w:hAnsi="宋体" w:eastAsia="宋体" w:cs="Calibri"/>
          <w:b/>
          <w:bCs/>
          <w:color w:val="auto"/>
          <w:sz w:val="24"/>
          <w:highlight w:val="none"/>
        </w:rPr>
        <w:t>3</w:t>
      </w:r>
      <w:r>
        <w:rPr>
          <w:rFonts w:ascii="宋体" w:hAnsi="宋体" w:eastAsia="宋体" w:cs="Calibri"/>
          <w:b/>
          <w:bCs/>
          <w:color w:val="auto"/>
          <w:sz w:val="24"/>
          <w:highlight w:val="none"/>
        </w:rPr>
        <w:t>3.需要补充的其他内容</w:t>
      </w:r>
    </w:p>
    <w:p w14:paraId="7C3F6E3E">
      <w:pPr>
        <w:pStyle w:val="28"/>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textAlignment w:val="center"/>
        <w:rPr>
          <w:rFonts w:ascii="宋体" w:hAnsi="宋体" w:eastAsia="宋体" w:cs="Calibri"/>
          <w:color w:val="auto"/>
          <w:kern w:val="2"/>
          <w:sz w:val="21"/>
          <w:highlight w:val="none"/>
        </w:rPr>
      </w:pPr>
      <w:r>
        <w:rPr>
          <w:rFonts w:hint="eastAsia" w:ascii="宋体" w:hAnsi="宋体" w:eastAsia="宋体" w:cs="Calibri"/>
          <w:color w:val="auto"/>
          <w:kern w:val="2"/>
          <w:sz w:val="21"/>
          <w:highlight w:val="none"/>
        </w:rPr>
        <w:t>3</w:t>
      </w:r>
      <w:r>
        <w:rPr>
          <w:rFonts w:ascii="宋体" w:hAnsi="宋体" w:eastAsia="宋体" w:cs="Calibri"/>
          <w:color w:val="auto"/>
          <w:kern w:val="2"/>
          <w:sz w:val="21"/>
          <w:highlight w:val="none"/>
        </w:rPr>
        <w:t>3.1</w:t>
      </w:r>
      <w:r>
        <w:rPr>
          <w:rFonts w:hint="eastAsia" w:ascii="宋体" w:hAnsi="宋体" w:eastAsia="宋体" w:cs="Calibri"/>
          <w:color w:val="auto"/>
          <w:kern w:val="2"/>
          <w:sz w:val="21"/>
          <w:highlight w:val="none"/>
        </w:rPr>
        <w:t>本磋商文件解释规则详见“供应商须知前附表”。</w:t>
      </w:r>
    </w:p>
    <w:p w14:paraId="287540BA">
      <w:pPr>
        <w:pStyle w:val="28"/>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textAlignment w:val="center"/>
        <w:rPr>
          <w:rFonts w:ascii="宋体" w:hAnsi="宋体" w:eastAsia="宋体" w:cs="Calibri"/>
          <w:color w:val="auto"/>
          <w:kern w:val="2"/>
          <w:sz w:val="21"/>
          <w:highlight w:val="none"/>
        </w:rPr>
      </w:pPr>
      <w:r>
        <w:rPr>
          <w:rFonts w:ascii="宋体" w:hAnsi="宋体" w:eastAsia="宋体" w:cs="Calibri"/>
          <w:color w:val="auto"/>
          <w:kern w:val="2"/>
          <w:sz w:val="21"/>
          <w:highlight w:val="none"/>
        </w:rPr>
        <w:t>33.2</w:t>
      </w:r>
      <w:r>
        <w:rPr>
          <w:rFonts w:hint="eastAsia" w:ascii="宋体" w:hAnsi="宋体" w:eastAsia="宋体" w:cs="Calibri"/>
          <w:color w:val="auto"/>
          <w:kern w:val="2"/>
          <w:sz w:val="21"/>
          <w:highlight w:val="none"/>
        </w:rPr>
        <w:t xml:space="preserve"> 其他事项详见“供应商须知前附表”。</w:t>
      </w:r>
    </w:p>
    <w:p w14:paraId="3540F151">
      <w:pPr>
        <w:pStyle w:val="28"/>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textAlignment w:val="center"/>
        <w:rPr>
          <w:rFonts w:ascii="宋体" w:hAnsi="宋体" w:eastAsia="宋体" w:cs="Calibri"/>
          <w:color w:val="auto"/>
          <w:kern w:val="2"/>
          <w:sz w:val="21"/>
          <w:highlight w:val="none"/>
        </w:rPr>
      </w:pPr>
      <w:r>
        <w:rPr>
          <w:rFonts w:hint="eastAsia" w:ascii="宋体" w:hAnsi="宋体" w:eastAsia="宋体" w:cs="Calibri"/>
          <w:color w:val="auto"/>
          <w:kern w:val="2"/>
          <w:sz w:val="21"/>
          <w:highlight w:val="none"/>
        </w:rPr>
        <w:t>3</w:t>
      </w:r>
      <w:r>
        <w:rPr>
          <w:rFonts w:ascii="宋体" w:hAnsi="宋体" w:eastAsia="宋体" w:cs="Calibri"/>
          <w:color w:val="auto"/>
          <w:kern w:val="2"/>
          <w:sz w:val="21"/>
          <w:highlight w:val="none"/>
        </w:rPr>
        <w:t>3.3</w:t>
      </w:r>
      <w:r>
        <w:rPr>
          <w:rFonts w:hint="eastAsia" w:ascii="宋体" w:hAnsi="宋体" w:eastAsia="宋体" w:cs="Calibri"/>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177690C9">
      <w:pPr>
        <w:pStyle w:val="28"/>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contextualSpacing/>
        <w:rPr>
          <w:rFonts w:ascii="宋体" w:hAnsi="宋体" w:eastAsia="宋体"/>
          <w:color w:val="auto"/>
          <w:sz w:val="21"/>
          <w:highlight w:val="none"/>
        </w:rPr>
      </w:pPr>
      <w:r>
        <w:rPr>
          <w:rFonts w:hint="eastAsia" w:ascii="宋体" w:hAnsi="宋体" w:eastAsia="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3A9D3920">
      <w:pPr>
        <w:pStyle w:val="28"/>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contextualSpacing/>
        <w:rPr>
          <w:rFonts w:ascii="宋体" w:hAnsi="宋体" w:eastAsia="宋体"/>
          <w:color w:val="auto"/>
          <w:sz w:val="21"/>
          <w:highlight w:val="none"/>
        </w:rPr>
      </w:pPr>
      <w:r>
        <w:rPr>
          <w:rFonts w:hint="eastAsia" w:ascii="宋体" w:hAnsi="宋体" w:eastAsia="宋体"/>
          <w:color w:val="auto"/>
          <w:sz w:val="21"/>
          <w:highlight w:val="none"/>
        </w:rPr>
        <w:t>（2）在工程采购项目中，工程由中小企业承建，即工程施工单位为中小企业，不对其中涉及的货物的制造商和服务的承接商作出要求；</w:t>
      </w:r>
    </w:p>
    <w:p w14:paraId="3CA54CC1">
      <w:pPr>
        <w:pStyle w:val="28"/>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contextualSpacing/>
        <w:rPr>
          <w:rFonts w:ascii="宋体" w:hAnsi="宋体" w:eastAsia="宋体"/>
          <w:color w:val="auto"/>
          <w:sz w:val="21"/>
          <w:highlight w:val="none"/>
        </w:rPr>
      </w:pPr>
      <w:r>
        <w:rPr>
          <w:rFonts w:hint="eastAsia" w:ascii="宋体" w:hAnsi="宋体" w:eastAsia="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C7E5092">
      <w:pPr>
        <w:pStyle w:val="28"/>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textAlignment w:val="center"/>
        <w:rPr>
          <w:rFonts w:ascii="宋体" w:hAnsi="宋体" w:eastAsia="宋体" w:cs="Calibri"/>
          <w:color w:val="auto"/>
          <w:kern w:val="2"/>
          <w:sz w:val="21"/>
          <w:highlight w:val="none"/>
        </w:rPr>
      </w:pPr>
      <w:r>
        <w:rPr>
          <w:rFonts w:hint="eastAsia" w:ascii="宋体" w:hAnsi="宋体" w:eastAsia="宋体" w:cs="Calibri"/>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4E5BD52">
      <w:pPr>
        <w:pStyle w:val="28"/>
        <w:keepNext w:val="0"/>
        <w:keepLines w:val="0"/>
        <w:pageBreakBefore w:val="0"/>
        <w:widowControl w:val="0"/>
        <w:kinsoku/>
        <w:wordWrap/>
        <w:overflowPunct/>
        <w:topLinePunct w:val="0"/>
        <w:autoSpaceDE/>
        <w:autoSpaceDN/>
        <w:bidi w:val="0"/>
        <w:adjustRightInd/>
        <w:spacing w:after="0" w:line="360" w:lineRule="auto"/>
        <w:ind w:left="0" w:leftChars="0" w:firstLine="420" w:firstLineChars="200"/>
        <w:textAlignment w:val="center"/>
        <w:rPr>
          <w:rFonts w:ascii="宋体" w:hAnsi="宋体" w:eastAsia="宋体"/>
          <w:b/>
          <w:color w:val="auto"/>
          <w:sz w:val="32"/>
          <w:szCs w:val="32"/>
          <w:highlight w:val="none"/>
        </w:rPr>
      </w:pPr>
      <w:r>
        <w:rPr>
          <w:rFonts w:hint="eastAsia" w:ascii="宋体" w:hAnsi="宋体" w:eastAsia="宋体" w:cs="Calibri"/>
          <w:color w:val="auto"/>
          <w:kern w:val="2"/>
          <w:sz w:val="21"/>
          <w:highlight w:val="none"/>
        </w:rPr>
        <w:t>依据本磋商文件规定享受扶持政策获得政府采购合同的，小微企业不得将合同分包给大中型企业，中型企业不得将合同分包给大型企业。</w:t>
      </w:r>
      <w:r>
        <w:rPr>
          <w:rFonts w:ascii="宋体" w:hAnsi="宋体" w:eastAsia="宋体"/>
          <w:b/>
          <w:color w:val="auto"/>
          <w:highlight w:val="none"/>
        </w:rPr>
        <w:br w:type="page"/>
      </w:r>
    </w:p>
    <w:p w14:paraId="7C9CA2D1">
      <w:pPr>
        <w:pStyle w:val="2"/>
        <w:spacing w:line="240" w:lineRule="auto"/>
        <w:jc w:val="center"/>
        <w:rPr>
          <w:rFonts w:ascii="宋体" w:hAnsi="宋体" w:eastAsia="宋体"/>
          <w:color w:val="auto"/>
          <w:highlight w:val="none"/>
        </w:rPr>
      </w:pPr>
      <w:bookmarkStart w:id="32" w:name="_Toc20221"/>
      <w:r>
        <w:rPr>
          <w:rFonts w:hint="eastAsia" w:ascii="宋体" w:hAnsi="宋体" w:eastAsia="宋体"/>
          <w:color w:val="auto"/>
          <w:highlight w:val="none"/>
        </w:rPr>
        <w:t>第三章 采购需求</w:t>
      </w:r>
      <w:bookmarkEnd w:id="32"/>
    </w:p>
    <w:p w14:paraId="63A8454B">
      <w:pPr>
        <w:keepNext w:val="0"/>
        <w:keepLines w:val="0"/>
        <w:pageBreakBefore w:val="0"/>
        <w:widowControl w:val="0"/>
        <w:kinsoku/>
        <w:wordWrap/>
        <w:overflowPunct/>
        <w:topLinePunct w:val="0"/>
        <w:autoSpaceDE/>
        <w:autoSpaceDN/>
        <w:bidi w:val="0"/>
        <w:adjustRightInd/>
        <w:snapToGrid/>
        <w:spacing w:line="340" w:lineRule="atLeast"/>
        <w:jc w:val="left"/>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说明：</w:t>
      </w:r>
    </w:p>
    <w:p w14:paraId="4977319A">
      <w:pPr>
        <w:keepNext w:val="0"/>
        <w:keepLines w:val="0"/>
        <w:pageBreakBefore w:val="0"/>
        <w:widowControl w:val="0"/>
        <w:kinsoku/>
        <w:wordWrap/>
        <w:overflowPunct/>
        <w:topLinePunct w:val="0"/>
        <w:autoSpaceDE/>
        <w:autoSpaceDN/>
        <w:bidi w:val="0"/>
        <w:adjustRightInd/>
        <w:snapToGrid/>
        <w:spacing w:line="340" w:lineRule="atLeast"/>
        <w:ind w:firstLine="420" w:firstLineChars="200"/>
        <w:jc w:val="left"/>
        <w:textAlignment w:val="auto"/>
        <w:rPr>
          <w:rFonts w:ascii="宋体" w:hAnsi="宋体" w:eastAsia="宋体" w:cs="Calibri"/>
          <w:color w:val="auto"/>
          <w:szCs w:val="21"/>
          <w:highlight w:val="none"/>
        </w:rPr>
      </w:pPr>
      <w:r>
        <w:rPr>
          <w:rFonts w:hint="eastAsia" w:ascii="宋体" w:hAnsi="宋体" w:eastAsia="宋体"/>
          <w:color w:val="auto"/>
          <w:highlight w:val="none"/>
        </w:rPr>
        <w:t>1. 为落实政府采购政策需满足的要求</w:t>
      </w:r>
    </w:p>
    <w:p w14:paraId="7CB6B53C">
      <w:pPr>
        <w:keepNext w:val="0"/>
        <w:keepLines w:val="0"/>
        <w:pageBreakBefore w:val="0"/>
        <w:widowControl w:val="0"/>
        <w:kinsoku/>
        <w:wordWrap/>
        <w:overflowPunct/>
        <w:topLinePunct w:val="0"/>
        <w:autoSpaceDE/>
        <w:autoSpaceDN/>
        <w:bidi w:val="0"/>
        <w:adjustRightInd/>
        <w:snapToGrid/>
        <w:spacing w:line="340" w:lineRule="atLeast"/>
        <w:ind w:firstLine="420" w:firstLineChars="200"/>
        <w:jc w:val="left"/>
        <w:textAlignment w:val="auto"/>
        <w:rPr>
          <w:rFonts w:hint="eastAsia" w:ascii="宋体" w:hAnsi="宋体" w:eastAsia="宋体" w:cs="Calibri"/>
          <w:color w:val="auto"/>
          <w:szCs w:val="21"/>
          <w:highlight w:val="none"/>
        </w:rPr>
      </w:pPr>
      <w:r>
        <w:rPr>
          <w:rFonts w:hint="eastAsia" w:ascii="宋体" w:hAnsi="宋体" w:eastAsia="宋体" w:cs="Calibri"/>
          <w:color w:val="auto"/>
          <w:szCs w:val="21"/>
          <w:highlight w:val="none"/>
        </w:rPr>
        <w:t>（1）本竞争性磋商采购文件所称中小企业必须符合《政府采购促进中小企业发展管理办法》（财库〔2020〕46号）的规定。</w:t>
      </w:r>
    </w:p>
    <w:p w14:paraId="0853CC44">
      <w:pPr>
        <w:keepNext w:val="0"/>
        <w:keepLines w:val="0"/>
        <w:pageBreakBefore w:val="0"/>
        <w:widowControl w:val="0"/>
        <w:kinsoku/>
        <w:wordWrap/>
        <w:overflowPunct/>
        <w:topLinePunct w:val="0"/>
        <w:autoSpaceDE/>
        <w:autoSpaceDN/>
        <w:bidi w:val="0"/>
        <w:adjustRightInd/>
        <w:snapToGrid/>
        <w:spacing w:line="340" w:lineRule="atLeast"/>
        <w:ind w:firstLine="424" w:firstLineChars="202"/>
        <w:jc w:val="left"/>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 xml:space="preserve">2. </w:t>
      </w:r>
      <w:r>
        <w:rPr>
          <w:rFonts w:hint="eastAsia" w:ascii="宋体" w:hAnsi="宋体" w:eastAsia="宋体" w:cs="Calibri"/>
          <w:b/>
          <w:bCs/>
          <w:color w:val="auto"/>
          <w:szCs w:val="21"/>
          <w:highlight w:val="none"/>
        </w:rPr>
        <w:t>“实质性要求”是指采购需求中带“▲”的条款或者不能负偏离的条款或者已经指明不满足按响应文件按无效处理的条款。</w:t>
      </w:r>
    </w:p>
    <w:p w14:paraId="11CFFDC9">
      <w:pPr>
        <w:keepNext w:val="0"/>
        <w:keepLines w:val="0"/>
        <w:pageBreakBefore w:val="0"/>
        <w:widowControl w:val="0"/>
        <w:kinsoku/>
        <w:wordWrap/>
        <w:overflowPunct/>
        <w:topLinePunct w:val="0"/>
        <w:autoSpaceDE/>
        <w:autoSpaceDN/>
        <w:bidi w:val="0"/>
        <w:adjustRightInd/>
        <w:snapToGrid/>
        <w:spacing w:line="340" w:lineRule="atLeast"/>
        <w:ind w:firstLine="424" w:firstLineChars="202"/>
        <w:jc w:val="left"/>
        <w:textAlignment w:val="auto"/>
        <w:rPr>
          <w:rFonts w:hint="eastAsia" w:ascii="宋体" w:hAnsi="宋体" w:eastAsia="宋体"/>
          <w:color w:val="auto"/>
          <w:highlight w:val="none"/>
        </w:rPr>
      </w:pPr>
      <w:r>
        <w:rPr>
          <w:rFonts w:ascii="宋体" w:hAnsi="宋体" w:eastAsia="宋体" w:cs="Calibri"/>
          <w:color w:val="auto"/>
          <w:szCs w:val="21"/>
          <w:highlight w:val="none"/>
        </w:rPr>
        <w:t>3</w:t>
      </w:r>
      <w:r>
        <w:rPr>
          <w:rFonts w:hint="eastAsia" w:ascii="宋体" w:hAnsi="宋体" w:eastAsia="宋体" w:cs="Calibri"/>
          <w:color w:val="auto"/>
          <w:szCs w:val="21"/>
          <w:highlight w:val="none"/>
        </w:rPr>
        <w:t>.</w:t>
      </w:r>
      <w:r>
        <w:rPr>
          <w:rFonts w:hint="eastAsia" w:ascii="宋体" w:hAnsi="宋体" w:eastAsia="宋体"/>
          <w:color w:val="auto"/>
          <w:highlight w:val="none"/>
        </w:rPr>
        <w:t>供应商必须自行为其竞标产品侵犯他人的知识产权或者专利成果的行为承担相应法律责任。</w:t>
      </w:r>
    </w:p>
    <w:p w14:paraId="7F882BEB">
      <w:pPr>
        <w:keepNext w:val="0"/>
        <w:keepLines w:val="0"/>
        <w:pageBreakBefore w:val="0"/>
        <w:widowControl w:val="0"/>
        <w:kinsoku/>
        <w:wordWrap/>
        <w:overflowPunct/>
        <w:topLinePunct w:val="0"/>
        <w:autoSpaceDE/>
        <w:autoSpaceDN/>
        <w:bidi w:val="0"/>
        <w:adjustRightInd/>
        <w:snapToGrid/>
        <w:spacing w:line="340" w:lineRule="atLeast"/>
        <w:ind w:firstLine="424" w:firstLineChars="202"/>
        <w:jc w:val="left"/>
        <w:textAlignment w:val="auto"/>
        <w:rPr>
          <w:color w:val="auto"/>
          <w:highlight w:val="none"/>
        </w:rPr>
      </w:pPr>
      <w:r>
        <w:rPr>
          <w:rFonts w:hint="eastAsia" w:ascii="宋体" w:hAnsi="宋体" w:eastAsia="宋体"/>
          <w:color w:val="auto"/>
          <w:highlight w:val="none"/>
        </w:rPr>
        <w:t>4.所属行业：</w:t>
      </w:r>
      <w:r>
        <w:rPr>
          <w:rFonts w:hint="eastAsia" w:ascii="宋体" w:hAnsi="宋体" w:eastAsia="宋体"/>
          <w:b/>
          <w:color w:val="auto"/>
          <w:highlight w:val="none"/>
          <w:u w:val="single"/>
        </w:rPr>
        <w:t>其他未列明行业</w:t>
      </w:r>
      <w:r>
        <w:rPr>
          <w:rFonts w:hint="eastAsia" w:ascii="宋体" w:hAnsi="宋体" w:eastAsia="宋体"/>
          <w:b/>
          <w:bCs/>
          <w:color w:val="auto"/>
          <w:highlight w:val="none"/>
        </w:rPr>
        <w:t>。</w:t>
      </w:r>
    </w:p>
    <w:tbl>
      <w:tblPr>
        <w:tblStyle w:val="49"/>
        <w:tblpPr w:leftFromText="180" w:rightFromText="180" w:vertAnchor="text" w:horzAnchor="page" w:tblpX="972" w:tblpY="568"/>
        <w:tblOverlap w:val="never"/>
        <w:tblW w:w="973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27"/>
        <w:gridCol w:w="945"/>
        <w:gridCol w:w="788"/>
        <w:gridCol w:w="7374"/>
      </w:tblGrid>
      <w:tr w14:paraId="3CFDB6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9" w:hRule="atLeast"/>
        </w:trPr>
        <w:tc>
          <w:tcPr>
            <w:tcW w:w="627" w:type="dxa"/>
            <w:shd w:val="clear" w:color="auto" w:fill="auto"/>
            <w:vAlign w:val="center"/>
          </w:tcPr>
          <w:p w14:paraId="6EC869D5">
            <w:pPr>
              <w:keepNext w:val="0"/>
              <w:keepLines w:val="0"/>
              <w:suppressLineNumbers w:val="0"/>
              <w:bidi w:val="0"/>
              <w:spacing w:before="0" w:beforeAutospacing="0" w:afterAutospacing="0" w:line="240" w:lineRule="auto"/>
              <w:ind w:left="0" w:right="0"/>
              <w:jc w:val="center"/>
              <w:rPr>
                <w:rFonts w:hint="eastAsia" w:ascii="宋体" w:hAnsi="宋体" w:eastAsia="宋体" w:cs="宋体"/>
                <w:b/>
                <w:bCs/>
                <w:color w:val="auto"/>
                <w:sz w:val="21"/>
                <w:szCs w:val="21"/>
                <w:highlight w:val="none"/>
              </w:rPr>
            </w:pPr>
            <w:bookmarkStart w:id="33" w:name="_Hlk172209442"/>
            <w:r>
              <w:rPr>
                <w:rFonts w:hint="eastAsia" w:ascii="宋体" w:hAnsi="宋体" w:eastAsia="宋体" w:cs="宋体"/>
                <w:b/>
                <w:bCs/>
                <w:color w:val="auto"/>
                <w:sz w:val="21"/>
                <w:szCs w:val="21"/>
                <w:highlight w:val="none"/>
              </w:rPr>
              <w:t>序号</w:t>
            </w:r>
          </w:p>
        </w:tc>
        <w:tc>
          <w:tcPr>
            <w:tcW w:w="945" w:type="dxa"/>
            <w:shd w:val="clear" w:color="auto" w:fill="auto"/>
            <w:vAlign w:val="center"/>
          </w:tcPr>
          <w:p w14:paraId="4AF3A81A">
            <w:pPr>
              <w:keepNext w:val="0"/>
              <w:keepLines w:val="0"/>
              <w:suppressLineNumbers w:val="0"/>
              <w:bidi w:val="0"/>
              <w:spacing w:before="0" w:beforeAutospacing="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标的（服务）名称</w:t>
            </w:r>
          </w:p>
        </w:tc>
        <w:tc>
          <w:tcPr>
            <w:tcW w:w="788" w:type="dxa"/>
            <w:shd w:val="clear" w:color="auto" w:fill="auto"/>
            <w:vAlign w:val="center"/>
          </w:tcPr>
          <w:p w14:paraId="7FDB1996">
            <w:pPr>
              <w:keepNext w:val="0"/>
              <w:keepLines w:val="0"/>
              <w:suppressLineNumbers w:val="0"/>
              <w:bidi w:val="0"/>
              <w:spacing w:before="0" w:beforeAutospacing="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tc>
        <w:tc>
          <w:tcPr>
            <w:tcW w:w="7374" w:type="dxa"/>
            <w:shd w:val="clear" w:color="auto" w:fill="auto"/>
            <w:vAlign w:val="center"/>
          </w:tcPr>
          <w:p w14:paraId="5523B208">
            <w:pPr>
              <w:keepNext w:val="0"/>
              <w:keepLines w:val="0"/>
              <w:suppressLineNumbers w:val="0"/>
              <w:bidi w:val="0"/>
              <w:spacing w:before="0" w:beforeAutospacing="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服务内容及要求</w:t>
            </w:r>
          </w:p>
        </w:tc>
      </w:tr>
      <w:tr w14:paraId="628F06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42" w:hRule="atLeast"/>
        </w:trPr>
        <w:tc>
          <w:tcPr>
            <w:tcW w:w="627" w:type="dxa"/>
            <w:shd w:val="clear" w:color="auto" w:fill="auto"/>
            <w:vAlign w:val="center"/>
          </w:tcPr>
          <w:p w14:paraId="2CCAA8A4">
            <w:pPr>
              <w:keepNext w:val="0"/>
              <w:keepLines w:val="0"/>
              <w:suppressLineNumbers w:val="0"/>
              <w:bidi w:val="0"/>
              <w:spacing w:before="0" w:beforeAutospacing="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45" w:type="dxa"/>
            <w:shd w:val="clear" w:color="auto" w:fill="auto"/>
            <w:vAlign w:val="center"/>
          </w:tcPr>
          <w:p w14:paraId="09B4D6E5">
            <w:pPr>
              <w:keepNext w:val="0"/>
              <w:keepLines w:val="0"/>
              <w:suppressLineNumbers w:val="0"/>
              <w:bidi w:val="0"/>
              <w:spacing w:before="0" w:beforeAutospacing="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人工智能发展与合作活动项目</w:t>
            </w:r>
          </w:p>
        </w:tc>
        <w:tc>
          <w:tcPr>
            <w:tcW w:w="788" w:type="dxa"/>
            <w:shd w:val="clear" w:color="auto" w:fill="auto"/>
            <w:vAlign w:val="center"/>
          </w:tcPr>
          <w:p w14:paraId="2FAAD3EA">
            <w:pPr>
              <w:keepNext w:val="0"/>
              <w:keepLines w:val="0"/>
              <w:suppressLineNumbers w:val="0"/>
              <w:bidi w:val="0"/>
              <w:spacing w:before="0" w:beforeAutospacing="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7374" w:type="dxa"/>
            <w:shd w:val="clear" w:color="auto" w:fill="auto"/>
            <w:vAlign w:val="center"/>
          </w:tcPr>
          <w:p w14:paraId="7EE35ECF">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一、项目概况</w:t>
            </w:r>
          </w:p>
          <w:p w14:paraId="4244914D">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firstLine="420" w:firstLineChars="20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广西正加快落实国家“人工智能+”行动部署，围绕打造面向东盟的人工智能合作高地，持续推进数字产业国际化布局。东盟国家在智慧城市、智慧制造、数字政府等领域对人工智能应用需求强劲，与广西在地缘、人文和产业协同方面具有天然互补优势。为推动技术、项目和场景加速跨境流动，广西亟需构建系统化、常态化的中国—东盟人工智能合作机制，通过政府、高校、产业园区及头部企业多层次对接，促进跨国项目落地与示范应用拓展。</w:t>
            </w:r>
          </w:p>
          <w:p w14:paraId="29AA068E">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firstLine="420" w:firstLineChars="20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本项目通过在东盟国家组织调研交流、合作签约、成果推介等活动，将有效提升区域人工智能合作的组织化程度，促进广西企业“走出去”和东盟优质资源“引进来”，加快形成具有示范意义的国际合作体系，为广西培育新质生产力、推进数字经济高质量发展提供坚实支撑。</w:t>
            </w:r>
          </w:p>
          <w:p w14:paraId="0BFE4307">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二、服务内容及要求</w:t>
            </w:r>
          </w:p>
          <w:tbl>
            <w:tblPr>
              <w:tblStyle w:val="50"/>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395"/>
              <w:gridCol w:w="5040"/>
            </w:tblGrid>
            <w:tr w14:paraId="173B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345E29D4">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序号</w:t>
                  </w:r>
                </w:p>
              </w:tc>
              <w:tc>
                <w:tcPr>
                  <w:tcW w:w="1395" w:type="dxa"/>
                  <w:vAlign w:val="center"/>
                </w:tcPr>
                <w:p w14:paraId="1B776C08">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活动地点</w:t>
                  </w:r>
                </w:p>
              </w:tc>
              <w:tc>
                <w:tcPr>
                  <w:tcW w:w="5040" w:type="dxa"/>
                  <w:vAlign w:val="center"/>
                </w:tcPr>
                <w:p w14:paraId="4EF13997">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服务内容及要求</w:t>
                  </w:r>
                </w:p>
              </w:tc>
            </w:tr>
            <w:tr w14:paraId="2433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60" w:type="dxa"/>
                  <w:vAlign w:val="center"/>
                </w:tcPr>
                <w:p w14:paraId="58088A26">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w:t>
                  </w:r>
                </w:p>
              </w:tc>
              <w:tc>
                <w:tcPr>
                  <w:tcW w:w="1395" w:type="dxa"/>
                  <w:vAlign w:val="center"/>
                </w:tcPr>
                <w:p w14:paraId="5AA8BE80">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东盟十一国</w:t>
                  </w:r>
                </w:p>
              </w:tc>
              <w:tc>
                <w:tcPr>
                  <w:tcW w:w="5040" w:type="dxa"/>
                </w:tcPr>
                <w:p w14:paraId="3F75C5D3">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以座谈、拜会、推介等形式在东盟国家举办至少21场活动，协助推动与东盟国家人工智能领域的合作。</w:t>
                  </w:r>
                </w:p>
              </w:tc>
            </w:tr>
            <w:tr w14:paraId="32D0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AED575B">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w:t>
                  </w:r>
                </w:p>
              </w:tc>
              <w:tc>
                <w:tcPr>
                  <w:tcW w:w="1395" w:type="dxa"/>
                  <w:vAlign w:val="center"/>
                </w:tcPr>
                <w:p w14:paraId="1E3CF848">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中国</w:t>
                  </w:r>
                </w:p>
              </w:tc>
              <w:tc>
                <w:tcPr>
                  <w:tcW w:w="5040" w:type="dxa"/>
                </w:tcPr>
                <w:p w14:paraId="38F8909A">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组织东盟国家人工智能领域专家、学者、政府或企业代表到国内参加至少7场活动，包含但不限于展览、会议、论坛等活动，推动人工智能领域务实合作。</w:t>
                  </w:r>
                </w:p>
              </w:tc>
            </w:tr>
          </w:tbl>
          <w:p w14:paraId="0577276D">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三、实施要求</w:t>
            </w:r>
          </w:p>
          <w:p w14:paraId="473038CB">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（一）项目人员要求</w:t>
            </w:r>
          </w:p>
          <w:p w14:paraId="0A6EBBDD">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firstLine="210" w:firstLineChars="10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1.项目人员：项目负责人和团队人员要求参与组织过在外国举办的展览、考察、会议或论坛等活动，在中国组织过面向外国的展览、考察、会议或论坛等活动，具有中国与东盟合作资源。</w:t>
            </w:r>
          </w:p>
          <w:p w14:paraId="5E4F980F">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firstLine="210" w:firstLineChars="10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2.成交供应商须配备专人提供即时沟通与综合支持服务，保障考察活动与相关会议正常进行。</w:t>
            </w:r>
          </w:p>
          <w:p w14:paraId="023DD4C0">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firstLine="210" w:firstLineChars="10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3.项目实施期内，列出实施人员名单，人员变动须经采购方同意方可进行。</w:t>
            </w:r>
          </w:p>
          <w:p w14:paraId="45D1EED6">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（二）成果要求</w:t>
            </w:r>
          </w:p>
          <w:p w14:paraId="2874F2D6">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firstLine="210" w:firstLineChars="100"/>
              <w:contextualSpacing/>
              <w:jc w:val="left"/>
              <w:rPr>
                <w:rFonts w:hint="eastAsia" w:ascii="宋体" w:hAnsi="宋体" w:eastAsia="宋体" w:cs="宋体"/>
                <w:color w:val="auto"/>
                <w:sz w:val="21"/>
                <w:szCs w:val="21"/>
                <w:highlight w:val="none"/>
              </w:rPr>
            </w:pPr>
            <w:r>
              <w:rPr>
                <w:rFonts w:hint="eastAsia" w:ascii="宋体" w:hAnsi="宋体" w:eastAsia="宋体"/>
                <w:color w:val="auto"/>
                <w:highlight w:val="none"/>
                <w:lang w:val="en-US" w:eastAsia="zh-CN"/>
              </w:rPr>
              <w:t>人工智能发展与合作活动项目过程材料（包括但不限于文字、照片、视频等）以及总结报告。</w:t>
            </w:r>
          </w:p>
        </w:tc>
      </w:tr>
      <w:tr w14:paraId="61F7AE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9734" w:type="dxa"/>
            <w:gridSpan w:val="4"/>
            <w:shd w:val="clear" w:color="auto" w:fill="auto"/>
            <w:vAlign w:val="center"/>
          </w:tcPr>
          <w:p w14:paraId="218F8128">
            <w:pPr>
              <w:keepNext w:val="0"/>
              <w:keepLines w:val="0"/>
              <w:suppressLineNumbers w:val="0"/>
              <w:bidi w:val="0"/>
              <w:spacing w:before="0" w:beforeAutospacing="0" w:afterAutospacing="0" w:line="360" w:lineRule="auto"/>
              <w:ind w:left="0" w:right="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一、商务要求</w:t>
            </w:r>
          </w:p>
        </w:tc>
      </w:tr>
      <w:tr w14:paraId="63B166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5" w:hRule="atLeast"/>
        </w:trPr>
        <w:tc>
          <w:tcPr>
            <w:tcW w:w="1572" w:type="dxa"/>
            <w:gridSpan w:val="2"/>
            <w:shd w:val="clear" w:color="auto" w:fill="auto"/>
            <w:vAlign w:val="center"/>
          </w:tcPr>
          <w:p w14:paraId="67FCE492">
            <w:pPr>
              <w:keepNext w:val="0"/>
              <w:keepLines w:val="0"/>
              <w:suppressLineNumbers w:val="0"/>
              <w:bidi w:val="0"/>
              <w:spacing w:before="0" w:beforeAutospacing="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w:t>
            </w:r>
          </w:p>
        </w:tc>
        <w:tc>
          <w:tcPr>
            <w:tcW w:w="8162" w:type="dxa"/>
            <w:gridSpan w:val="2"/>
            <w:shd w:val="clear" w:color="auto" w:fill="auto"/>
            <w:vAlign w:val="center"/>
          </w:tcPr>
          <w:p w14:paraId="345786D6">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rPr>
              <w:t>自成交通知书发出之日起7个工作日内。</w:t>
            </w:r>
          </w:p>
        </w:tc>
      </w:tr>
      <w:tr w14:paraId="5730A9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8" w:hRule="atLeast"/>
        </w:trPr>
        <w:tc>
          <w:tcPr>
            <w:tcW w:w="1572" w:type="dxa"/>
            <w:gridSpan w:val="2"/>
            <w:shd w:val="clear" w:color="auto" w:fill="auto"/>
            <w:vAlign w:val="center"/>
          </w:tcPr>
          <w:p w14:paraId="0B9EC4EE">
            <w:pPr>
              <w:keepNext w:val="0"/>
              <w:keepLines w:val="0"/>
              <w:suppressLineNumbers w:val="0"/>
              <w:bidi w:val="0"/>
              <w:spacing w:before="0" w:beforeAutospacing="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服务时间及服务地点、工期要求</w:t>
            </w:r>
          </w:p>
        </w:tc>
        <w:tc>
          <w:tcPr>
            <w:tcW w:w="8162" w:type="dxa"/>
            <w:gridSpan w:val="2"/>
            <w:shd w:val="clear" w:color="auto" w:fill="auto"/>
            <w:vAlign w:val="center"/>
          </w:tcPr>
          <w:p w14:paraId="3962A310">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1.服务期限：2年（自项目合同签订之日起，至项目验收完成并提供后续保障服务止）。</w:t>
            </w:r>
          </w:p>
          <w:p w14:paraId="4CDC8AB9">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2.服务地点：东盟十一国、中国（采购方指定地点）。</w:t>
            </w:r>
          </w:p>
          <w:p w14:paraId="32DE0041">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default"/>
                <w:color w:val="auto"/>
                <w:highlight w:val="none"/>
                <w:lang w:val="en-US" w:eastAsia="zh-CN"/>
              </w:rPr>
            </w:pPr>
            <w:r>
              <w:rPr>
                <w:rFonts w:hint="eastAsia" w:ascii="宋体" w:hAnsi="宋体" w:eastAsia="宋体"/>
                <w:color w:val="auto"/>
                <w:highlight w:val="none"/>
                <w:lang w:val="en-US" w:eastAsia="zh-CN"/>
              </w:rPr>
              <w:t>3.工期要求：按照采购人在指定时间内完成活动组织筹备与实施服务。</w:t>
            </w:r>
          </w:p>
        </w:tc>
      </w:tr>
      <w:tr w14:paraId="552F90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8" w:hRule="atLeast"/>
        </w:trPr>
        <w:tc>
          <w:tcPr>
            <w:tcW w:w="1572" w:type="dxa"/>
            <w:gridSpan w:val="2"/>
            <w:shd w:val="clear" w:color="auto" w:fill="auto"/>
            <w:vAlign w:val="center"/>
          </w:tcPr>
          <w:p w14:paraId="02AC90A0">
            <w:pPr>
              <w:keepNext w:val="0"/>
              <w:keepLines w:val="0"/>
              <w:suppressLineNumbers w:val="0"/>
              <w:bidi w:val="0"/>
              <w:spacing w:before="0" w:beforeAutospacing="0" w:afterAutospacing="0" w:line="360" w:lineRule="auto"/>
              <w:ind w:left="0" w:right="0"/>
              <w:jc w:val="center"/>
              <w:rPr>
                <w:rFonts w:hint="eastAsia" w:ascii="Calibri" w:hAnsi="宋体" w:eastAsia="Calibri" w:cs="宋体"/>
                <w:color w:val="auto"/>
                <w:kern w:val="2"/>
                <w:sz w:val="24"/>
                <w:szCs w:val="24"/>
                <w:highlight w:val="none"/>
                <w:lang w:val="en-US" w:eastAsia="zh-CN" w:bidi="ar-SA"/>
              </w:rPr>
            </w:pPr>
            <w:r>
              <w:rPr>
                <w:rFonts w:hint="eastAsia" w:ascii="宋体" w:hAnsi="宋体" w:eastAsia="宋体" w:cs="宋体"/>
                <w:color w:val="auto"/>
                <w:sz w:val="21"/>
                <w:szCs w:val="21"/>
                <w:highlight w:val="none"/>
                <w:lang w:val="en-US" w:eastAsia="zh-CN"/>
              </w:rPr>
              <w:t>售后服务要求</w:t>
            </w:r>
          </w:p>
        </w:tc>
        <w:tc>
          <w:tcPr>
            <w:tcW w:w="8162" w:type="dxa"/>
            <w:gridSpan w:val="2"/>
            <w:shd w:val="clear" w:color="auto" w:fill="auto"/>
            <w:vAlign w:val="center"/>
          </w:tcPr>
          <w:p w14:paraId="3582BB66">
            <w:pPr>
              <w:keepNext w:val="0"/>
              <w:keepLines w:val="0"/>
              <w:pageBreakBefore w:val="0"/>
              <w:widowControl w:val="0"/>
              <w:numPr>
                <w:ilvl w:val="0"/>
                <w:numId w:val="4"/>
              </w:numPr>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质量保证期2年(至项目验收完成并提供后续保障服务止)</w:t>
            </w:r>
          </w:p>
          <w:p w14:paraId="64D45C8D">
            <w:pPr>
              <w:keepNext w:val="0"/>
              <w:keepLines w:val="0"/>
              <w:pageBreakBefore w:val="0"/>
              <w:widowControl w:val="0"/>
              <w:numPr>
                <w:ilvl w:val="0"/>
                <w:numId w:val="4"/>
              </w:numPr>
              <w:suppressLineNumbers w:val="0"/>
              <w:kinsoku/>
              <w:wordWrap/>
              <w:overflowPunct/>
              <w:topLinePunct w:val="0"/>
              <w:bidi w:val="0"/>
              <w:adjustRightInd/>
              <w:spacing w:before="0" w:beforeAutospacing="0" w:after="0" w:afterAutospacing="0" w:line="360" w:lineRule="auto"/>
              <w:ind w:left="0" w:leftChars="0" w:right="0" w:rightChars="0" w:firstLine="0" w:firstLineChars="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响应与故障处理服务:设立专属服务热线与对接人，紧急事项1小时內响应;一般问题6小时內解决，重大故障48小时内提出解决方案，72小时内处置完毕;建立应急处置预案，确保活动期间不因技术或服务问题中断。</w:t>
            </w:r>
          </w:p>
          <w:p w14:paraId="6792A1F0">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360" w:lineRule="auto"/>
              <w:ind w:left="0" w:leftChars="0" w:right="0" w:rightChars="0"/>
              <w:contextualSpacing/>
              <w:jc w:val="left"/>
              <w:rPr>
                <w:rFonts w:hint="default"/>
                <w:color w:val="auto"/>
                <w:highlight w:val="none"/>
                <w:lang w:val="en-US" w:eastAsia="zh-CN"/>
              </w:rPr>
            </w:pPr>
            <w:r>
              <w:rPr>
                <w:rFonts w:hint="eastAsia" w:ascii="宋体" w:hAnsi="宋体" w:eastAsia="宋体"/>
                <w:color w:val="auto"/>
                <w:highlight w:val="none"/>
                <w:lang w:val="en-US" w:eastAsia="zh-CN"/>
              </w:rPr>
              <w:t>3.培训与指导服务:对采购方工作人员进行操作培训、活动流程培训。</w:t>
            </w:r>
          </w:p>
        </w:tc>
      </w:tr>
      <w:tr w14:paraId="3069E0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8" w:hRule="atLeast"/>
        </w:trPr>
        <w:tc>
          <w:tcPr>
            <w:tcW w:w="1572" w:type="dxa"/>
            <w:gridSpan w:val="2"/>
            <w:shd w:val="clear" w:color="auto" w:fill="auto"/>
            <w:vAlign w:val="center"/>
          </w:tcPr>
          <w:p w14:paraId="26015E69">
            <w:pPr>
              <w:keepNext w:val="0"/>
              <w:keepLines w:val="0"/>
              <w:suppressLineNumbers w:val="0"/>
              <w:bidi w:val="0"/>
              <w:spacing w:before="0" w:beforeAutospacing="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项目质量要求</w:t>
            </w:r>
          </w:p>
        </w:tc>
        <w:tc>
          <w:tcPr>
            <w:tcW w:w="8162" w:type="dxa"/>
            <w:gridSpan w:val="2"/>
            <w:shd w:val="clear" w:color="auto" w:fill="auto"/>
            <w:vAlign w:val="center"/>
          </w:tcPr>
          <w:p w14:paraId="605AE10E">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zh-CN" w:eastAsia="zh-CN"/>
              </w:rPr>
            </w:pPr>
            <w:r>
              <w:rPr>
                <w:rFonts w:hint="eastAsia" w:ascii="宋体" w:hAnsi="宋体" w:eastAsia="宋体"/>
                <w:color w:val="auto"/>
                <w:highlight w:val="none"/>
                <w:lang w:val="zh-CN" w:eastAsia="zh-CN"/>
              </w:rPr>
              <w:t>1.合同签订后，成交供应商应在约定的时间节点前提交活动执行方案，在各项活动开始前完成相关接待与会务准备工作，并在活动结束后提交活动总结材料。</w:t>
            </w:r>
          </w:p>
          <w:p w14:paraId="62AEC9AF">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zh-CN" w:eastAsia="zh-CN"/>
              </w:rPr>
              <w:t>2.为较好地为采购人服务，竞标人应具备相应的本地执行能力和资源协调能力。</w:t>
            </w:r>
          </w:p>
        </w:tc>
      </w:tr>
      <w:tr w14:paraId="29A717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19" w:hRule="atLeast"/>
        </w:trPr>
        <w:tc>
          <w:tcPr>
            <w:tcW w:w="1572" w:type="dxa"/>
            <w:gridSpan w:val="2"/>
            <w:shd w:val="clear" w:color="auto" w:fill="auto"/>
            <w:vAlign w:val="center"/>
          </w:tcPr>
          <w:p w14:paraId="3577C20C">
            <w:pPr>
              <w:keepNext w:val="0"/>
              <w:keepLines w:val="0"/>
              <w:suppressLineNumbers w:val="0"/>
              <w:bidi w:val="0"/>
              <w:spacing w:before="0" w:beforeAutospacing="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付款条件</w:t>
            </w:r>
          </w:p>
        </w:tc>
        <w:tc>
          <w:tcPr>
            <w:tcW w:w="8162" w:type="dxa"/>
            <w:gridSpan w:val="2"/>
            <w:shd w:val="clear" w:color="auto" w:fill="auto"/>
            <w:vAlign w:val="center"/>
          </w:tcPr>
          <w:p w14:paraId="3182820C">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firstLine="210" w:firstLineChars="10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zh-CN" w:eastAsia="zh-CN"/>
              </w:rPr>
              <w:t>合同签订后10个工作日内，采购人向成交供应商支付合同总金额的</w:t>
            </w:r>
            <w:r>
              <w:rPr>
                <w:rFonts w:hint="eastAsia" w:ascii="宋体" w:hAnsi="宋体" w:eastAsia="宋体"/>
                <w:color w:val="auto"/>
                <w:highlight w:val="none"/>
                <w:lang w:val="en-US" w:eastAsia="zh-CN"/>
              </w:rPr>
              <w:t>50</w:t>
            </w:r>
            <w:r>
              <w:rPr>
                <w:rFonts w:hint="eastAsia" w:ascii="宋体" w:hAnsi="宋体" w:eastAsia="宋体"/>
                <w:color w:val="auto"/>
                <w:highlight w:val="none"/>
                <w:lang w:val="zh-CN" w:eastAsia="zh-CN"/>
              </w:rPr>
              <w:t>%作为项目首款；在项目执行周期内，成交供应商完成60%任务（即以座谈、拜会、</w:t>
            </w:r>
            <w:r>
              <w:rPr>
                <w:rFonts w:hint="eastAsia" w:ascii="宋体" w:hAnsi="宋体" w:eastAsia="宋体"/>
                <w:color w:val="auto"/>
                <w:highlight w:val="none"/>
                <w:lang w:val="en-US" w:eastAsia="zh-CN"/>
              </w:rPr>
              <w:t>推介</w:t>
            </w:r>
            <w:r>
              <w:rPr>
                <w:rFonts w:hint="eastAsia" w:ascii="宋体" w:hAnsi="宋体" w:eastAsia="宋体"/>
                <w:color w:val="auto"/>
                <w:highlight w:val="none"/>
                <w:lang w:val="zh-CN" w:eastAsia="zh-CN"/>
              </w:rPr>
              <w:t>等形式</w:t>
            </w:r>
            <w:r>
              <w:rPr>
                <w:rFonts w:hint="eastAsia" w:ascii="宋体" w:hAnsi="宋体" w:eastAsia="宋体"/>
                <w:color w:val="auto"/>
                <w:highlight w:val="none"/>
                <w:lang w:val="en-US" w:eastAsia="zh-CN"/>
              </w:rPr>
              <w:t>在东盟国家举办至少14场活动，或与此持平的完成情况。</w:t>
            </w:r>
            <w:r>
              <w:rPr>
                <w:rFonts w:hint="eastAsia" w:ascii="宋体" w:hAnsi="宋体" w:eastAsia="宋体"/>
                <w:color w:val="auto"/>
                <w:highlight w:val="none"/>
                <w:lang w:val="zh-CN" w:eastAsia="zh-CN"/>
              </w:rPr>
              <w:t>）并经采购人确认后，采购人支付合同总金额的</w:t>
            </w:r>
            <w:r>
              <w:rPr>
                <w:rFonts w:hint="eastAsia" w:ascii="宋体" w:hAnsi="宋体" w:eastAsia="宋体"/>
                <w:color w:val="auto"/>
                <w:highlight w:val="none"/>
                <w:lang w:val="en-US" w:eastAsia="zh-CN"/>
              </w:rPr>
              <w:t>3</w:t>
            </w:r>
            <w:r>
              <w:rPr>
                <w:rFonts w:hint="eastAsia" w:ascii="宋体" w:hAnsi="宋体" w:eastAsia="宋体"/>
                <w:color w:val="auto"/>
                <w:highlight w:val="none"/>
                <w:lang w:val="zh-CN" w:eastAsia="zh-CN"/>
              </w:rPr>
              <w:t>0%；全部活动完成并通过最终验收后10个工作日内，采购人向成交供应商支付剩余合同总金额的20%。每次付款前，成交供应商必须提供请款函和等额正规合法发票。</w:t>
            </w:r>
          </w:p>
        </w:tc>
      </w:tr>
      <w:tr w14:paraId="2B2147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59" w:hRule="atLeast"/>
        </w:trPr>
        <w:tc>
          <w:tcPr>
            <w:tcW w:w="1572" w:type="dxa"/>
            <w:gridSpan w:val="2"/>
            <w:shd w:val="clear" w:color="auto" w:fill="auto"/>
            <w:vAlign w:val="center"/>
          </w:tcPr>
          <w:p w14:paraId="20CDD7A7">
            <w:pPr>
              <w:keepNext w:val="0"/>
              <w:keepLines w:val="0"/>
              <w:suppressLineNumbers w:val="0"/>
              <w:bidi w:val="0"/>
              <w:spacing w:before="0" w:beforeAutospacing="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报价要求</w:t>
            </w:r>
          </w:p>
        </w:tc>
        <w:tc>
          <w:tcPr>
            <w:tcW w:w="8162" w:type="dxa"/>
            <w:gridSpan w:val="2"/>
            <w:shd w:val="clear" w:color="auto" w:fill="auto"/>
            <w:vAlign w:val="center"/>
          </w:tcPr>
          <w:p w14:paraId="4FD58983">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本项目实行总承包报价，报价为采购人指定服务范围内的全部价格，至少包括：</w:t>
            </w:r>
          </w:p>
          <w:p w14:paraId="065B4168">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（1）服务的价格；</w:t>
            </w:r>
          </w:p>
          <w:p w14:paraId="0FD605B1">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（2）必要的保险费用和各项税金；</w:t>
            </w:r>
          </w:p>
          <w:p w14:paraId="6909541B">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（3）其他：</w:t>
            </w:r>
            <w:r>
              <w:rPr>
                <w:rFonts w:hint="eastAsia" w:ascii="宋体" w:hAnsi="宋体" w:eastAsia="宋体" w:cs="宋体"/>
                <w:color w:val="auto"/>
                <w:sz w:val="21"/>
                <w:szCs w:val="21"/>
                <w:highlight w:val="none"/>
              </w:rPr>
              <w:t>包含但不限于</w:t>
            </w:r>
            <w:r>
              <w:rPr>
                <w:rFonts w:hint="eastAsia" w:ascii="宋体" w:hAnsi="宋体" w:eastAsia="宋体"/>
                <w:color w:val="auto"/>
                <w:highlight w:val="none"/>
                <w:lang w:val="zh-CN" w:eastAsia="zh-CN"/>
              </w:rPr>
              <w:t>人工、差旅、评审</w:t>
            </w:r>
            <w:r>
              <w:rPr>
                <w:rFonts w:hint="eastAsia" w:ascii="宋体" w:hAnsi="宋体" w:eastAsia="宋体" w:cs="宋体"/>
                <w:color w:val="auto"/>
                <w:sz w:val="21"/>
                <w:szCs w:val="21"/>
                <w:highlight w:val="none"/>
              </w:rPr>
              <w:t>等乙方为履行合同义务而发生的所有费用总和，乙方承诺不再向甲方收取其他任何费用</w:t>
            </w:r>
            <w:r>
              <w:rPr>
                <w:rFonts w:hint="eastAsia" w:ascii="宋体" w:hAnsi="宋体" w:eastAsia="宋体"/>
                <w:color w:val="auto"/>
                <w:highlight w:val="none"/>
                <w:lang w:val="en-US" w:eastAsia="zh-CN"/>
              </w:rPr>
              <w:t>。</w:t>
            </w:r>
          </w:p>
        </w:tc>
      </w:tr>
      <w:tr w14:paraId="5B1B9C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95" w:hRule="atLeast"/>
        </w:trPr>
        <w:tc>
          <w:tcPr>
            <w:tcW w:w="1572" w:type="dxa"/>
            <w:gridSpan w:val="2"/>
            <w:shd w:val="clear" w:color="auto" w:fill="auto"/>
            <w:vAlign w:val="center"/>
          </w:tcPr>
          <w:p w14:paraId="4D7C99F4">
            <w:pPr>
              <w:keepNext w:val="0"/>
              <w:keepLines w:val="0"/>
              <w:suppressLineNumbers w:val="0"/>
              <w:bidi w:val="0"/>
              <w:spacing w:before="0" w:beforeAutospacing="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验收标准</w:t>
            </w:r>
          </w:p>
        </w:tc>
        <w:tc>
          <w:tcPr>
            <w:tcW w:w="8162" w:type="dxa"/>
            <w:gridSpan w:val="2"/>
            <w:shd w:val="clear" w:color="auto" w:fill="auto"/>
            <w:vAlign w:val="center"/>
          </w:tcPr>
          <w:p w14:paraId="27FD12D0">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1.采购人按照《关于印发广西壮族自治区政府采购项目履约验收管理办法的通知》[桂财采〔2015〕22号]）规定组织对成交供应商履约的验收。验收方成员应当在验收书上签字，并承担相应的法律责任。</w:t>
            </w:r>
          </w:p>
          <w:p w14:paraId="02F36F80">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严格按照采购合同开展履约验收。未进行相应约定的，应当符合国家强制性规定、政策要求、安全标准、行业或企业有关标准等。采购人成立验收小组，按照采购合同的约定对成交供应商履约情况进行验收，验收时，按照采购合同的约定对每一项技术、服务、安全标准的履约情况进行确认，出具验收报告并经验收小组全体成员签字。采购人根据验收报告形成验收意见并经采购人与成交供应商签字盖章生效。履约验收的各项资料应当存档备查。</w:t>
            </w:r>
          </w:p>
          <w:p w14:paraId="3A8E4F73">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3.采购合同的履行、违约责任和解决争议的方式等适用《中华人民共和国民法典》，并按照《合同书》约定执行。</w:t>
            </w:r>
          </w:p>
          <w:p w14:paraId="6A408A52">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4.其他未尽事宜应严格按照《关于印发广西壮族自治区政府采购项目履约验收管理办法的通知》[桂财采〔2015〕22号]以及《财政部关于进一步加强政府采购需求和履约验收管理的指导意见》[财库〔2016〕205号]规定执行。</w:t>
            </w:r>
          </w:p>
          <w:p w14:paraId="0C972F27">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5.验收产生的费用由成交供应商负责。</w:t>
            </w:r>
          </w:p>
        </w:tc>
      </w:tr>
      <w:tr w14:paraId="50DE0A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5" w:hRule="atLeast"/>
        </w:trPr>
        <w:tc>
          <w:tcPr>
            <w:tcW w:w="1572" w:type="dxa"/>
            <w:gridSpan w:val="2"/>
            <w:shd w:val="clear" w:color="auto" w:fill="auto"/>
            <w:vAlign w:val="center"/>
          </w:tcPr>
          <w:p w14:paraId="46CAE015">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保密要求</w:t>
            </w:r>
          </w:p>
          <w:p w14:paraId="148A325F">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p>
        </w:tc>
        <w:tc>
          <w:tcPr>
            <w:tcW w:w="8162" w:type="dxa"/>
            <w:gridSpan w:val="2"/>
            <w:shd w:val="clear" w:color="auto" w:fill="auto"/>
            <w:vAlign w:val="center"/>
          </w:tcPr>
          <w:p w14:paraId="700362E9">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供应商应保证对本项目的服务所涉及的知识产权和所提供的相关技术资料是合法取得，并享有完整的知识产权，不会因为采购人的使用而被责令停止使用、追偿或要求赔偿损失，如出现此情况，一切经济和法律责任均由投标人承担。</w:t>
            </w:r>
          </w:p>
          <w:p w14:paraId="2F90E19C">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2.本项目成果及其相关知识产权权利归采购人所有。</w:t>
            </w:r>
          </w:p>
        </w:tc>
      </w:tr>
      <w:tr w14:paraId="1D8D30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0" w:hRule="atLeast"/>
        </w:trPr>
        <w:tc>
          <w:tcPr>
            <w:tcW w:w="9734" w:type="dxa"/>
            <w:gridSpan w:val="4"/>
            <w:shd w:val="clear" w:color="auto" w:fill="auto"/>
            <w:vAlign w:val="center"/>
          </w:tcPr>
          <w:p w14:paraId="15D6BF10">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b/>
                <w:bCs/>
                <w:color w:val="auto"/>
                <w:highlight w:val="none"/>
                <w:lang w:val="en-US" w:eastAsia="zh-CN"/>
              </w:rPr>
              <w:t>二、采购人对项目的特殊要求及说明</w:t>
            </w:r>
          </w:p>
        </w:tc>
      </w:tr>
      <w:tr w14:paraId="6510B8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8" w:hRule="atLeast"/>
        </w:trPr>
        <w:tc>
          <w:tcPr>
            <w:tcW w:w="9734" w:type="dxa"/>
            <w:gridSpan w:val="4"/>
            <w:shd w:val="clear" w:color="auto" w:fill="auto"/>
            <w:vAlign w:val="center"/>
          </w:tcPr>
          <w:p w14:paraId="2FA32D75">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供应商根据采购需求以及评分标准在响应文件中提供对项目理解、项目实施方案、风险防控措施与应急预案、服务团队人员配置、项目经验等内容。</w:t>
            </w:r>
          </w:p>
        </w:tc>
      </w:tr>
      <w:tr w14:paraId="0E4527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8" w:hRule="atLeast"/>
        </w:trPr>
        <w:tc>
          <w:tcPr>
            <w:tcW w:w="9734" w:type="dxa"/>
            <w:gridSpan w:val="4"/>
            <w:shd w:val="clear" w:color="auto" w:fill="auto"/>
            <w:vAlign w:val="center"/>
          </w:tcPr>
          <w:p w14:paraId="61B44225">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b/>
                <w:bCs/>
                <w:color w:val="auto"/>
                <w:highlight w:val="none"/>
                <w:lang w:val="en-US" w:eastAsia="zh-CN"/>
              </w:rPr>
              <w:t>三、政策性加分条件</w:t>
            </w:r>
          </w:p>
        </w:tc>
      </w:tr>
      <w:tr w14:paraId="58C38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3" w:hRule="atLeast"/>
        </w:trPr>
        <w:tc>
          <w:tcPr>
            <w:tcW w:w="1572" w:type="dxa"/>
            <w:gridSpan w:val="2"/>
            <w:shd w:val="clear" w:color="auto" w:fill="auto"/>
            <w:vAlign w:val="center"/>
          </w:tcPr>
          <w:p w14:paraId="76838574">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政策性加分条件</w:t>
            </w:r>
          </w:p>
        </w:tc>
        <w:tc>
          <w:tcPr>
            <w:tcW w:w="8162" w:type="dxa"/>
            <w:gridSpan w:val="2"/>
            <w:shd w:val="clear" w:color="auto" w:fill="auto"/>
            <w:vAlign w:val="center"/>
          </w:tcPr>
          <w:p w14:paraId="249E9099">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本项目为专门面向中小企业采购，报价不再做政策加分。</w:t>
            </w:r>
          </w:p>
        </w:tc>
      </w:tr>
      <w:tr w14:paraId="75A609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trPr>
        <w:tc>
          <w:tcPr>
            <w:tcW w:w="9734" w:type="dxa"/>
            <w:gridSpan w:val="4"/>
            <w:shd w:val="clear" w:color="auto" w:fill="auto"/>
            <w:vAlign w:val="center"/>
          </w:tcPr>
          <w:p w14:paraId="1F4AC676">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b/>
                <w:bCs/>
                <w:color w:val="auto"/>
                <w:highlight w:val="none"/>
                <w:lang w:val="en-US" w:eastAsia="zh-CN"/>
              </w:rPr>
              <w:t>四、其他</w:t>
            </w:r>
          </w:p>
        </w:tc>
      </w:tr>
      <w:tr w14:paraId="6A34EE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572" w:type="dxa"/>
            <w:gridSpan w:val="2"/>
            <w:vMerge w:val="restart"/>
            <w:shd w:val="clear" w:color="auto" w:fill="auto"/>
            <w:vAlign w:val="center"/>
          </w:tcPr>
          <w:p w14:paraId="0FA32C9F">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其他说明</w:t>
            </w:r>
          </w:p>
        </w:tc>
        <w:tc>
          <w:tcPr>
            <w:tcW w:w="8162" w:type="dxa"/>
            <w:gridSpan w:val="2"/>
            <w:shd w:val="clear" w:color="auto" w:fill="auto"/>
            <w:vAlign w:val="center"/>
          </w:tcPr>
          <w:p w14:paraId="6D13C637">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本项目为服务类项目，不涉及进口产品及核心产品。</w:t>
            </w:r>
          </w:p>
        </w:tc>
      </w:tr>
      <w:tr w14:paraId="16E8A3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572" w:type="dxa"/>
            <w:gridSpan w:val="2"/>
            <w:vMerge w:val="continue"/>
            <w:shd w:val="clear" w:color="auto" w:fill="auto"/>
            <w:vAlign w:val="center"/>
          </w:tcPr>
          <w:p w14:paraId="5C7B6015">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p>
        </w:tc>
        <w:tc>
          <w:tcPr>
            <w:tcW w:w="8162" w:type="dxa"/>
            <w:gridSpan w:val="2"/>
            <w:shd w:val="clear" w:color="auto" w:fill="auto"/>
            <w:vAlign w:val="center"/>
          </w:tcPr>
          <w:p w14:paraId="6A131E9C">
            <w:pPr>
              <w:keepNext w:val="0"/>
              <w:keepLines w:val="0"/>
              <w:pageBreakBefore w:val="0"/>
              <w:widowControl w:val="0"/>
              <w:suppressLineNumbers w:val="0"/>
              <w:kinsoku/>
              <w:wordWrap/>
              <w:overflowPunct/>
              <w:topLinePunct w:val="0"/>
              <w:bidi w:val="0"/>
              <w:adjustRightInd/>
              <w:spacing w:before="0" w:beforeAutospacing="0" w:after="0" w:afterAutospacing="0" w:line="360" w:lineRule="auto"/>
              <w:ind w:left="0" w:right="0"/>
              <w:contextualSpacing/>
              <w:jc w:val="left"/>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根据《关于推动解决政府采购异常低价问题的通知》（财库〔2026〕2号）的规定，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p>
        </w:tc>
      </w:tr>
      <w:bookmarkEnd w:id="33"/>
    </w:tbl>
    <w:p w14:paraId="7AB196E0">
      <w:pPr>
        <w:pStyle w:val="48"/>
        <w:ind w:left="0" w:leftChars="0" w:firstLine="0" w:firstLineChars="0"/>
        <w:rPr>
          <w:rFonts w:hint="eastAsia"/>
          <w:color w:val="auto"/>
          <w:highlight w:val="none"/>
        </w:rPr>
      </w:pPr>
    </w:p>
    <w:p w14:paraId="645FB7F2">
      <w:pPr>
        <w:rPr>
          <w:color w:val="auto"/>
          <w:highlight w:val="none"/>
        </w:rPr>
      </w:pPr>
      <w:r>
        <w:rPr>
          <w:rFonts w:hint="eastAsia"/>
          <w:color w:val="auto"/>
          <w:highlight w:val="none"/>
        </w:rPr>
        <w:br w:type="page"/>
      </w:r>
    </w:p>
    <w:p w14:paraId="605167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213458B9">
      <w:pPr>
        <w:keepNext w:val="0"/>
        <w:keepLines w:val="0"/>
        <w:pageBreakBefore w:val="0"/>
        <w:kinsoku/>
        <w:wordWrap/>
        <w:overflowPunct/>
        <w:topLinePunct w:val="0"/>
        <w:autoSpaceDE/>
        <w:autoSpaceDN/>
        <w:bidi w:val="0"/>
        <w:adjustRightInd/>
        <w:snapToGrid/>
        <w:spacing w:line="240" w:lineRule="auto"/>
        <w:ind w:left="1871" w:firstLine="1081" w:firstLineChars="300"/>
        <w:textAlignment w:val="auto"/>
        <w:rPr>
          <w:rFonts w:hint="eastAsia" w:ascii="Arial Unicode MS" w:hAnsi="Arial Unicode MS" w:eastAsia="Arial Unicode MS" w:cs="Arial Unicode MS"/>
          <w:b/>
          <w:bCs/>
          <w:color w:val="auto"/>
          <w:sz w:val="36"/>
          <w:szCs w:val="36"/>
          <w:highlight w:val="none"/>
        </w:rPr>
      </w:pPr>
      <w:r>
        <w:rPr>
          <w:rFonts w:hint="eastAsia" w:ascii="Arial Unicode MS" w:hAnsi="Arial Unicode MS" w:eastAsia="Arial Unicode MS" w:cs="Arial Unicode MS"/>
          <w:b/>
          <w:bCs/>
          <w:color w:val="auto"/>
          <w:sz w:val="36"/>
          <w:szCs w:val="36"/>
          <w:highlight w:val="none"/>
        </w:rPr>
        <w:t>中小微企业划型标准</w:t>
      </w:r>
    </w:p>
    <w:tbl>
      <w:tblPr>
        <w:tblStyle w:val="49"/>
        <w:tblW w:w="9277" w:type="dxa"/>
        <w:tblInd w:w="250" w:type="dxa"/>
        <w:tblLayout w:type="fixed"/>
        <w:tblCellMar>
          <w:top w:w="0" w:type="dxa"/>
          <w:left w:w="108" w:type="dxa"/>
          <w:bottom w:w="0" w:type="dxa"/>
          <w:right w:w="108" w:type="dxa"/>
        </w:tblCellMar>
      </w:tblPr>
      <w:tblGrid>
        <w:gridCol w:w="1724"/>
        <w:gridCol w:w="1717"/>
        <w:gridCol w:w="1267"/>
        <w:gridCol w:w="1799"/>
        <w:gridCol w:w="1662"/>
        <w:gridCol w:w="1108"/>
      </w:tblGrid>
      <w:tr w14:paraId="51A2C5CA">
        <w:tblPrEx>
          <w:tblCellMar>
            <w:top w:w="0" w:type="dxa"/>
            <w:left w:w="108" w:type="dxa"/>
            <w:bottom w:w="0" w:type="dxa"/>
            <w:right w:w="108" w:type="dxa"/>
          </w:tblCellMar>
        </w:tblPrEx>
        <w:trPr>
          <w:trHeight w:val="473" w:hRule="atLeast"/>
        </w:trPr>
        <w:tc>
          <w:tcPr>
            <w:tcW w:w="1724" w:type="dxa"/>
            <w:tcBorders>
              <w:top w:val="single" w:color="auto" w:sz="4" w:space="0"/>
              <w:left w:val="single" w:color="auto" w:sz="4" w:space="0"/>
              <w:bottom w:val="single" w:color="auto" w:sz="4" w:space="0"/>
              <w:right w:val="single" w:color="auto" w:sz="4" w:space="0"/>
            </w:tcBorders>
            <w:noWrap w:val="0"/>
            <w:vAlign w:val="center"/>
          </w:tcPr>
          <w:p w14:paraId="64F808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行业名称</w:t>
            </w:r>
          </w:p>
        </w:tc>
        <w:tc>
          <w:tcPr>
            <w:tcW w:w="1717" w:type="dxa"/>
            <w:tcBorders>
              <w:top w:val="single" w:color="auto" w:sz="4" w:space="0"/>
              <w:left w:val="nil"/>
              <w:bottom w:val="single" w:color="auto" w:sz="4" w:space="0"/>
              <w:right w:val="single" w:color="auto" w:sz="4" w:space="0"/>
            </w:tcBorders>
            <w:noWrap w:val="0"/>
            <w:vAlign w:val="center"/>
          </w:tcPr>
          <w:p w14:paraId="7728A3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指标名称</w:t>
            </w:r>
          </w:p>
        </w:tc>
        <w:tc>
          <w:tcPr>
            <w:tcW w:w="1267" w:type="dxa"/>
            <w:tcBorders>
              <w:top w:val="single" w:color="auto" w:sz="4" w:space="0"/>
              <w:left w:val="nil"/>
              <w:bottom w:val="single" w:color="auto" w:sz="4" w:space="0"/>
              <w:right w:val="single" w:color="auto" w:sz="4" w:space="0"/>
            </w:tcBorders>
            <w:noWrap w:val="0"/>
            <w:vAlign w:val="center"/>
          </w:tcPr>
          <w:p w14:paraId="078F18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计量单位</w:t>
            </w:r>
          </w:p>
        </w:tc>
        <w:tc>
          <w:tcPr>
            <w:tcW w:w="1799" w:type="dxa"/>
            <w:tcBorders>
              <w:top w:val="single" w:color="auto" w:sz="4" w:space="0"/>
              <w:left w:val="nil"/>
              <w:bottom w:val="single" w:color="auto" w:sz="4" w:space="0"/>
              <w:right w:val="single" w:color="auto" w:sz="4" w:space="0"/>
            </w:tcBorders>
            <w:noWrap w:val="0"/>
            <w:vAlign w:val="center"/>
          </w:tcPr>
          <w:p w14:paraId="49E0A7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中型</w:t>
            </w:r>
          </w:p>
        </w:tc>
        <w:tc>
          <w:tcPr>
            <w:tcW w:w="1662" w:type="dxa"/>
            <w:tcBorders>
              <w:top w:val="single" w:color="auto" w:sz="4" w:space="0"/>
              <w:left w:val="nil"/>
              <w:bottom w:val="single" w:color="auto" w:sz="4" w:space="0"/>
              <w:right w:val="single" w:color="auto" w:sz="4" w:space="0"/>
            </w:tcBorders>
            <w:noWrap w:val="0"/>
            <w:vAlign w:val="center"/>
          </w:tcPr>
          <w:p w14:paraId="4FC70F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小型</w:t>
            </w:r>
          </w:p>
        </w:tc>
        <w:tc>
          <w:tcPr>
            <w:tcW w:w="1108" w:type="dxa"/>
            <w:tcBorders>
              <w:top w:val="single" w:color="auto" w:sz="4" w:space="0"/>
              <w:left w:val="nil"/>
              <w:bottom w:val="single" w:color="auto" w:sz="4" w:space="0"/>
              <w:right w:val="single" w:color="auto" w:sz="4" w:space="0"/>
            </w:tcBorders>
            <w:noWrap w:val="0"/>
            <w:vAlign w:val="center"/>
          </w:tcPr>
          <w:p w14:paraId="36CAC0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微型</w:t>
            </w:r>
          </w:p>
        </w:tc>
      </w:tr>
      <w:tr w14:paraId="3B2332BD">
        <w:tblPrEx>
          <w:tblCellMar>
            <w:top w:w="0" w:type="dxa"/>
            <w:left w:w="108" w:type="dxa"/>
            <w:bottom w:w="0" w:type="dxa"/>
            <w:right w:w="108" w:type="dxa"/>
          </w:tblCellMar>
        </w:tblPrEx>
        <w:trPr>
          <w:trHeight w:val="225" w:hRule="atLeast"/>
        </w:trPr>
        <w:tc>
          <w:tcPr>
            <w:tcW w:w="1724" w:type="dxa"/>
            <w:tcBorders>
              <w:top w:val="nil"/>
              <w:left w:val="single" w:color="auto" w:sz="4" w:space="0"/>
              <w:bottom w:val="single" w:color="auto" w:sz="4" w:space="0"/>
              <w:right w:val="single" w:color="auto" w:sz="4" w:space="0"/>
            </w:tcBorders>
            <w:noWrap w:val="0"/>
            <w:vAlign w:val="center"/>
          </w:tcPr>
          <w:p w14:paraId="4A890A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农、林、牧、渔</w:t>
            </w:r>
          </w:p>
        </w:tc>
        <w:tc>
          <w:tcPr>
            <w:tcW w:w="1717" w:type="dxa"/>
            <w:tcBorders>
              <w:top w:val="nil"/>
              <w:left w:val="nil"/>
              <w:bottom w:val="single" w:color="auto" w:sz="4" w:space="0"/>
              <w:right w:val="single" w:color="auto" w:sz="4" w:space="0"/>
            </w:tcBorders>
            <w:noWrap w:val="0"/>
            <w:vAlign w:val="center"/>
          </w:tcPr>
          <w:p w14:paraId="7C3464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045828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14020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500≤Y＜20000</w:t>
            </w:r>
          </w:p>
        </w:tc>
        <w:tc>
          <w:tcPr>
            <w:tcW w:w="1662" w:type="dxa"/>
            <w:tcBorders>
              <w:top w:val="nil"/>
              <w:left w:val="nil"/>
              <w:bottom w:val="single" w:color="auto" w:sz="4" w:space="0"/>
              <w:right w:val="single" w:color="auto" w:sz="4" w:space="0"/>
            </w:tcBorders>
            <w:noWrap w:val="0"/>
            <w:vAlign w:val="center"/>
          </w:tcPr>
          <w:p w14:paraId="2639BB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50≤Y＜500</w:t>
            </w:r>
          </w:p>
        </w:tc>
        <w:tc>
          <w:tcPr>
            <w:tcW w:w="1108" w:type="dxa"/>
            <w:tcBorders>
              <w:top w:val="nil"/>
              <w:left w:val="nil"/>
              <w:bottom w:val="single" w:color="auto" w:sz="4" w:space="0"/>
              <w:right w:val="single" w:color="auto" w:sz="4" w:space="0"/>
            </w:tcBorders>
            <w:noWrap w:val="0"/>
            <w:vAlign w:val="center"/>
          </w:tcPr>
          <w:p w14:paraId="747676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Y＜50</w:t>
            </w:r>
          </w:p>
        </w:tc>
      </w:tr>
      <w:tr w14:paraId="1B1D2C09">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3E2F9C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工业</w:t>
            </w:r>
          </w:p>
        </w:tc>
        <w:tc>
          <w:tcPr>
            <w:tcW w:w="1717" w:type="dxa"/>
            <w:tcBorders>
              <w:top w:val="nil"/>
              <w:left w:val="nil"/>
              <w:bottom w:val="single" w:color="auto" w:sz="4" w:space="0"/>
              <w:right w:val="single" w:color="auto" w:sz="4" w:space="0"/>
            </w:tcBorders>
            <w:noWrap w:val="0"/>
            <w:vAlign w:val="center"/>
          </w:tcPr>
          <w:p w14:paraId="04DE1F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5A132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128B59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300≤X＜1000</w:t>
            </w:r>
          </w:p>
        </w:tc>
        <w:tc>
          <w:tcPr>
            <w:tcW w:w="1662" w:type="dxa"/>
            <w:tcBorders>
              <w:top w:val="nil"/>
              <w:left w:val="nil"/>
              <w:bottom w:val="single" w:color="auto" w:sz="4" w:space="0"/>
              <w:right w:val="single" w:color="auto" w:sz="4" w:space="0"/>
            </w:tcBorders>
            <w:noWrap w:val="0"/>
            <w:vAlign w:val="center"/>
          </w:tcPr>
          <w:p w14:paraId="28AC8D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20≤X＜300</w:t>
            </w:r>
          </w:p>
        </w:tc>
        <w:tc>
          <w:tcPr>
            <w:tcW w:w="1108" w:type="dxa"/>
            <w:tcBorders>
              <w:top w:val="nil"/>
              <w:left w:val="nil"/>
              <w:bottom w:val="single" w:color="auto" w:sz="4" w:space="0"/>
              <w:right w:val="single" w:color="auto" w:sz="4" w:space="0"/>
            </w:tcBorders>
            <w:noWrap w:val="0"/>
            <w:vAlign w:val="center"/>
          </w:tcPr>
          <w:p w14:paraId="7C69A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X＜20</w:t>
            </w:r>
          </w:p>
        </w:tc>
      </w:tr>
      <w:tr w14:paraId="5DBAEFD1">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6159DB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7370AA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0FDD04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4B7DC6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2000≤Y＜40000</w:t>
            </w:r>
          </w:p>
        </w:tc>
        <w:tc>
          <w:tcPr>
            <w:tcW w:w="1662" w:type="dxa"/>
            <w:tcBorders>
              <w:top w:val="nil"/>
              <w:left w:val="nil"/>
              <w:bottom w:val="single" w:color="auto" w:sz="4" w:space="0"/>
              <w:right w:val="single" w:color="auto" w:sz="4" w:space="0"/>
            </w:tcBorders>
            <w:noWrap w:val="0"/>
            <w:vAlign w:val="center"/>
          </w:tcPr>
          <w:p w14:paraId="475C7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300≤Y＜2000</w:t>
            </w:r>
          </w:p>
        </w:tc>
        <w:tc>
          <w:tcPr>
            <w:tcW w:w="1108" w:type="dxa"/>
            <w:tcBorders>
              <w:top w:val="nil"/>
              <w:left w:val="nil"/>
              <w:bottom w:val="single" w:color="auto" w:sz="4" w:space="0"/>
              <w:right w:val="single" w:color="auto" w:sz="4" w:space="0"/>
            </w:tcBorders>
            <w:noWrap w:val="0"/>
            <w:vAlign w:val="center"/>
          </w:tcPr>
          <w:p w14:paraId="544BE8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Y＜300</w:t>
            </w:r>
          </w:p>
        </w:tc>
      </w:tr>
      <w:tr w14:paraId="208F87FE">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457596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建筑业</w:t>
            </w:r>
          </w:p>
        </w:tc>
        <w:tc>
          <w:tcPr>
            <w:tcW w:w="1717" w:type="dxa"/>
            <w:tcBorders>
              <w:top w:val="nil"/>
              <w:left w:val="nil"/>
              <w:bottom w:val="single" w:color="auto" w:sz="4" w:space="0"/>
              <w:right w:val="single" w:color="auto" w:sz="4" w:space="0"/>
            </w:tcBorders>
            <w:noWrap w:val="0"/>
            <w:vAlign w:val="center"/>
          </w:tcPr>
          <w:p w14:paraId="761AEB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0AF69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3A6C6D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6000≤Y＜80000</w:t>
            </w:r>
          </w:p>
        </w:tc>
        <w:tc>
          <w:tcPr>
            <w:tcW w:w="1662" w:type="dxa"/>
            <w:tcBorders>
              <w:top w:val="nil"/>
              <w:left w:val="nil"/>
              <w:bottom w:val="single" w:color="auto" w:sz="4" w:space="0"/>
              <w:right w:val="single" w:color="auto" w:sz="4" w:space="0"/>
            </w:tcBorders>
            <w:noWrap w:val="0"/>
            <w:vAlign w:val="center"/>
          </w:tcPr>
          <w:p w14:paraId="38FCAD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300≤Y＜6000</w:t>
            </w:r>
          </w:p>
        </w:tc>
        <w:tc>
          <w:tcPr>
            <w:tcW w:w="1108" w:type="dxa"/>
            <w:tcBorders>
              <w:top w:val="nil"/>
              <w:left w:val="nil"/>
              <w:bottom w:val="single" w:color="auto" w:sz="4" w:space="0"/>
              <w:right w:val="single" w:color="auto" w:sz="4" w:space="0"/>
            </w:tcBorders>
            <w:noWrap w:val="0"/>
            <w:vAlign w:val="center"/>
          </w:tcPr>
          <w:p w14:paraId="700820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Y＜300</w:t>
            </w:r>
          </w:p>
        </w:tc>
      </w:tr>
      <w:tr w14:paraId="7B0BA498">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06B189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700F1E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资产总额（Z）</w:t>
            </w:r>
          </w:p>
        </w:tc>
        <w:tc>
          <w:tcPr>
            <w:tcW w:w="1267" w:type="dxa"/>
            <w:tcBorders>
              <w:top w:val="nil"/>
              <w:left w:val="nil"/>
              <w:bottom w:val="single" w:color="auto" w:sz="4" w:space="0"/>
              <w:right w:val="single" w:color="auto" w:sz="4" w:space="0"/>
            </w:tcBorders>
            <w:noWrap w:val="0"/>
            <w:vAlign w:val="center"/>
          </w:tcPr>
          <w:p w14:paraId="647CCF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2921D7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5000≤Z＜80000</w:t>
            </w:r>
          </w:p>
        </w:tc>
        <w:tc>
          <w:tcPr>
            <w:tcW w:w="1662" w:type="dxa"/>
            <w:tcBorders>
              <w:top w:val="nil"/>
              <w:left w:val="nil"/>
              <w:bottom w:val="single" w:color="auto" w:sz="4" w:space="0"/>
              <w:right w:val="single" w:color="auto" w:sz="4" w:space="0"/>
            </w:tcBorders>
            <w:noWrap w:val="0"/>
            <w:vAlign w:val="center"/>
          </w:tcPr>
          <w:p w14:paraId="14B3AF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300≤Z＜5000</w:t>
            </w:r>
          </w:p>
        </w:tc>
        <w:tc>
          <w:tcPr>
            <w:tcW w:w="1108" w:type="dxa"/>
            <w:tcBorders>
              <w:top w:val="nil"/>
              <w:left w:val="nil"/>
              <w:bottom w:val="single" w:color="auto" w:sz="4" w:space="0"/>
              <w:right w:val="single" w:color="auto" w:sz="4" w:space="0"/>
            </w:tcBorders>
            <w:noWrap w:val="0"/>
            <w:vAlign w:val="center"/>
          </w:tcPr>
          <w:p w14:paraId="1D229D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Z＜300</w:t>
            </w:r>
          </w:p>
        </w:tc>
      </w:tr>
      <w:tr w14:paraId="2A1A6785">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12B9B4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批发业</w:t>
            </w:r>
          </w:p>
        </w:tc>
        <w:tc>
          <w:tcPr>
            <w:tcW w:w="1717" w:type="dxa"/>
            <w:tcBorders>
              <w:top w:val="nil"/>
              <w:left w:val="nil"/>
              <w:bottom w:val="single" w:color="auto" w:sz="4" w:space="0"/>
              <w:right w:val="single" w:color="auto" w:sz="4" w:space="0"/>
            </w:tcBorders>
            <w:noWrap w:val="0"/>
            <w:vAlign w:val="center"/>
          </w:tcPr>
          <w:p w14:paraId="2943DD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6B1515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153BC2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20≤X＜200</w:t>
            </w:r>
          </w:p>
        </w:tc>
        <w:tc>
          <w:tcPr>
            <w:tcW w:w="1662" w:type="dxa"/>
            <w:tcBorders>
              <w:top w:val="nil"/>
              <w:left w:val="nil"/>
              <w:bottom w:val="single" w:color="auto" w:sz="4" w:space="0"/>
              <w:right w:val="single" w:color="auto" w:sz="4" w:space="0"/>
            </w:tcBorders>
            <w:noWrap w:val="0"/>
            <w:vAlign w:val="center"/>
          </w:tcPr>
          <w:p w14:paraId="12B7EE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5≤X＜20</w:t>
            </w:r>
          </w:p>
        </w:tc>
        <w:tc>
          <w:tcPr>
            <w:tcW w:w="1108" w:type="dxa"/>
            <w:tcBorders>
              <w:top w:val="nil"/>
              <w:left w:val="nil"/>
              <w:bottom w:val="single" w:color="auto" w:sz="4" w:space="0"/>
              <w:right w:val="single" w:color="auto" w:sz="4" w:space="0"/>
            </w:tcBorders>
            <w:noWrap w:val="0"/>
            <w:vAlign w:val="center"/>
          </w:tcPr>
          <w:p w14:paraId="62E035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X＜5</w:t>
            </w:r>
          </w:p>
        </w:tc>
      </w:tr>
      <w:tr w14:paraId="731A62AB">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64D256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7D79FD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6C6556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5F9D98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5000≤Y＜40000</w:t>
            </w:r>
          </w:p>
        </w:tc>
        <w:tc>
          <w:tcPr>
            <w:tcW w:w="1662" w:type="dxa"/>
            <w:tcBorders>
              <w:top w:val="nil"/>
              <w:left w:val="nil"/>
              <w:bottom w:val="single" w:color="auto" w:sz="4" w:space="0"/>
              <w:right w:val="single" w:color="auto" w:sz="4" w:space="0"/>
            </w:tcBorders>
            <w:noWrap w:val="0"/>
            <w:vAlign w:val="center"/>
          </w:tcPr>
          <w:p w14:paraId="7EB78E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1000≤Y＜5000</w:t>
            </w:r>
          </w:p>
        </w:tc>
        <w:tc>
          <w:tcPr>
            <w:tcW w:w="1108" w:type="dxa"/>
            <w:tcBorders>
              <w:top w:val="nil"/>
              <w:left w:val="nil"/>
              <w:bottom w:val="single" w:color="auto" w:sz="4" w:space="0"/>
              <w:right w:val="single" w:color="auto" w:sz="4" w:space="0"/>
            </w:tcBorders>
            <w:noWrap w:val="0"/>
            <w:vAlign w:val="center"/>
          </w:tcPr>
          <w:p w14:paraId="2B22A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Y＜1000</w:t>
            </w:r>
          </w:p>
        </w:tc>
      </w:tr>
      <w:tr w14:paraId="27E0DA76">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6B0C93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零售业</w:t>
            </w:r>
          </w:p>
        </w:tc>
        <w:tc>
          <w:tcPr>
            <w:tcW w:w="1717" w:type="dxa"/>
            <w:tcBorders>
              <w:top w:val="nil"/>
              <w:left w:val="nil"/>
              <w:bottom w:val="single" w:color="auto" w:sz="4" w:space="0"/>
              <w:right w:val="single" w:color="auto" w:sz="4" w:space="0"/>
            </w:tcBorders>
            <w:noWrap w:val="0"/>
            <w:vAlign w:val="center"/>
          </w:tcPr>
          <w:p w14:paraId="3AB1DB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33C2AB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105D34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50≤X＜300</w:t>
            </w:r>
          </w:p>
        </w:tc>
        <w:tc>
          <w:tcPr>
            <w:tcW w:w="1662" w:type="dxa"/>
            <w:tcBorders>
              <w:top w:val="nil"/>
              <w:left w:val="nil"/>
              <w:bottom w:val="single" w:color="auto" w:sz="4" w:space="0"/>
              <w:right w:val="single" w:color="auto" w:sz="4" w:space="0"/>
            </w:tcBorders>
            <w:noWrap w:val="0"/>
            <w:vAlign w:val="center"/>
          </w:tcPr>
          <w:p w14:paraId="044AA1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10≤X＜50</w:t>
            </w:r>
          </w:p>
        </w:tc>
        <w:tc>
          <w:tcPr>
            <w:tcW w:w="1108" w:type="dxa"/>
            <w:tcBorders>
              <w:top w:val="nil"/>
              <w:left w:val="nil"/>
              <w:bottom w:val="single" w:color="auto" w:sz="4" w:space="0"/>
              <w:right w:val="single" w:color="auto" w:sz="4" w:space="0"/>
            </w:tcBorders>
            <w:noWrap w:val="0"/>
            <w:vAlign w:val="center"/>
          </w:tcPr>
          <w:p w14:paraId="54CB98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X＜10</w:t>
            </w:r>
          </w:p>
        </w:tc>
      </w:tr>
      <w:tr w14:paraId="71F88BBB">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2277B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6F769B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3E070B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34D500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500≤Y＜20000</w:t>
            </w:r>
          </w:p>
        </w:tc>
        <w:tc>
          <w:tcPr>
            <w:tcW w:w="1662" w:type="dxa"/>
            <w:tcBorders>
              <w:top w:val="nil"/>
              <w:left w:val="nil"/>
              <w:bottom w:val="single" w:color="auto" w:sz="4" w:space="0"/>
              <w:right w:val="single" w:color="auto" w:sz="4" w:space="0"/>
            </w:tcBorders>
            <w:noWrap w:val="0"/>
            <w:vAlign w:val="center"/>
          </w:tcPr>
          <w:p w14:paraId="0ADC41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100≤Y＜500</w:t>
            </w:r>
          </w:p>
        </w:tc>
        <w:tc>
          <w:tcPr>
            <w:tcW w:w="1108" w:type="dxa"/>
            <w:tcBorders>
              <w:top w:val="nil"/>
              <w:left w:val="nil"/>
              <w:bottom w:val="single" w:color="auto" w:sz="4" w:space="0"/>
              <w:right w:val="single" w:color="auto" w:sz="4" w:space="0"/>
            </w:tcBorders>
            <w:noWrap w:val="0"/>
            <w:vAlign w:val="center"/>
          </w:tcPr>
          <w:p w14:paraId="5A4BBE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Y＜100</w:t>
            </w:r>
          </w:p>
        </w:tc>
      </w:tr>
      <w:tr w14:paraId="72829F6E">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013797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交通运输业</w:t>
            </w:r>
          </w:p>
        </w:tc>
        <w:tc>
          <w:tcPr>
            <w:tcW w:w="1717" w:type="dxa"/>
            <w:tcBorders>
              <w:top w:val="nil"/>
              <w:left w:val="nil"/>
              <w:bottom w:val="single" w:color="auto" w:sz="4" w:space="0"/>
              <w:right w:val="single" w:color="auto" w:sz="4" w:space="0"/>
            </w:tcBorders>
            <w:noWrap w:val="0"/>
            <w:vAlign w:val="center"/>
          </w:tcPr>
          <w:p w14:paraId="1A77E0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3E76E1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7CE03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300≤X＜1000</w:t>
            </w:r>
          </w:p>
        </w:tc>
        <w:tc>
          <w:tcPr>
            <w:tcW w:w="1662" w:type="dxa"/>
            <w:tcBorders>
              <w:top w:val="nil"/>
              <w:left w:val="nil"/>
              <w:bottom w:val="single" w:color="auto" w:sz="4" w:space="0"/>
              <w:right w:val="single" w:color="auto" w:sz="4" w:space="0"/>
            </w:tcBorders>
            <w:noWrap w:val="0"/>
            <w:vAlign w:val="center"/>
          </w:tcPr>
          <w:p w14:paraId="442920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20≤X＜300</w:t>
            </w:r>
          </w:p>
        </w:tc>
        <w:tc>
          <w:tcPr>
            <w:tcW w:w="1108" w:type="dxa"/>
            <w:tcBorders>
              <w:top w:val="nil"/>
              <w:left w:val="nil"/>
              <w:bottom w:val="single" w:color="auto" w:sz="4" w:space="0"/>
              <w:right w:val="single" w:color="auto" w:sz="4" w:space="0"/>
            </w:tcBorders>
            <w:noWrap w:val="0"/>
            <w:vAlign w:val="center"/>
          </w:tcPr>
          <w:p w14:paraId="3148A4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X＜20</w:t>
            </w:r>
          </w:p>
        </w:tc>
      </w:tr>
      <w:tr w14:paraId="13082A4E">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62E26C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0C7E7D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624D1A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494B4E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3000≤Y＜30000</w:t>
            </w:r>
          </w:p>
        </w:tc>
        <w:tc>
          <w:tcPr>
            <w:tcW w:w="1662" w:type="dxa"/>
            <w:tcBorders>
              <w:top w:val="nil"/>
              <w:left w:val="nil"/>
              <w:bottom w:val="single" w:color="auto" w:sz="4" w:space="0"/>
              <w:right w:val="single" w:color="auto" w:sz="4" w:space="0"/>
            </w:tcBorders>
            <w:noWrap w:val="0"/>
            <w:vAlign w:val="center"/>
          </w:tcPr>
          <w:p w14:paraId="4CAFA2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200≤Y＜3000</w:t>
            </w:r>
          </w:p>
        </w:tc>
        <w:tc>
          <w:tcPr>
            <w:tcW w:w="1108" w:type="dxa"/>
            <w:tcBorders>
              <w:top w:val="nil"/>
              <w:left w:val="nil"/>
              <w:bottom w:val="single" w:color="auto" w:sz="4" w:space="0"/>
              <w:right w:val="single" w:color="auto" w:sz="4" w:space="0"/>
            </w:tcBorders>
            <w:noWrap w:val="0"/>
            <w:vAlign w:val="center"/>
          </w:tcPr>
          <w:p w14:paraId="790A98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Y＜200</w:t>
            </w:r>
          </w:p>
        </w:tc>
      </w:tr>
      <w:tr w14:paraId="687F94FA">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7BF774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仓储业</w:t>
            </w:r>
          </w:p>
        </w:tc>
        <w:tc>
          <w:tcPr>
            <w:tcW w:w="1717" w:type="dxa"/>
            <w:tcBorders>
              <w:top w:val="nil"/>
              <w:left w:val="nil"/>
              <w:bottom w:val="single" w:color="auto" w:sz="4" w:space="0"/>
              <w:right w:val="single" w:color="auto" w:sz="4" w:space="0"/>
            </w:tcBorders>
            <w:noWrap w:val="0"/>
            <w:vAlign w:val="center"/>
          </w:tcPr>
          <w:p w14:paraId="0EA662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457960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29852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100≤X＜200</w:t>
            </w:r>
          </w:p>
        </w:tc>
        <w:tc>
          <w:tcPr>
            <w:tcW w:w="1662" w:type="dxa"/>
            <w:tcBorders>
              <w:top w:val="nil"/>
              <w:left w:val="nil"/>
              <w:bottom w:val="single" w:color="auto" w:sz="4" w:space="0"/>
              <w:right w:val="single" w:color="auto" w:sz="4" w:space="0"/>
            </w:tcBorders>
            <w:noWrap w:val="0"/>
            <w:vAlign w:val="center"/>
          </w:tcPr>
          <w:p w14:paraId="549104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20≤X＜100</w:t>
            </w:r>
          </w:p>
        </w:tc>
        <w:tc>
          <w:tcPr>
            <w:tcW w:w="1108" w:type="dxa"/>
            <w:tcBorders>
              <w:top w:val="nil"/>
              <w:left w:val="nil"/>
              <w:bottom w:val="single" w:color="auto" w:sz="4" w:space="0"/>
              <w:right w:val="single" w:color="auto" w:sz="4" w:space="0"/>
            </w:tcBorders>
            <w:noWrap w:val="0"/>
            <w:vAlign w:val="center"/>
          </w:tcPr>
          <w:p w14:paraId="3226A1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X＜20</w:t>
            </w:r>
          </w:p>
        </w:tc>
      </w:tr>
      <w:tr w14:paraId="5ED89A67">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3DFAD4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5AF52F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568E02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364E98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1000≤Y＜30000</w:t>
            </w:r>
          </w:p>
        </w:tc>
        <w:tc>
          <w:tcPr>
            <w:tcW w:w="1662" w:type="dxa"/>
            <w:tcBorders>
              <w:top w:val="nil"/>
              <w:left w:val="nil"/>
              <w:bottom w:val="single" w:color="auto" w:sz="4" w:space="0"/>
              <w:right w:val="single" w:color="auto" w:sz="4" w:space="0"/>
            </w:tcBorders>
            <w:noWrap w:val="0"/>
            <w:vAlign w:val="center"/>
          </w:tcPr>
          <w:p w14:paraId="0187D3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100≤Y＜1000</w:t>
            </w:r>
          </w:p>
        </w:tc>
        <w:tc>
          <w:tcPr>
            <w:tcW w:w="1108" w:type="dxa"/>
            <w:tcBorders>
              <w:top w:val="nil"/>
              <w:left w:val="nil"/>
              <w:bottom w:val="single" w:color="auto" w:sz="4" w:space="0"/>
              <w:right w:val="single" w:color="auto" w:sz="4" w:space="0"/>
            </w:tcBorders>
            <w:noWrap w:val="0"/>
            <w:vAlign w:val="center"/>
          </w:tcPr>
          <w:p w14:paraId="6F1237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Y＜100</w:t>
            </w:r>
          </w:p>
        </w:tc>
      </w:tr>
      <w:tr w14:paraId="29E4D51C">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38D105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邮政业</w:t>
            </w:r>
          </w:p>
        </w:tc>
        <w:tc>
          <w:tcPr>
            <w:tcW w:w="1717" w:type="dxa"/>
            <w:tcBorders>
              <w:top w:val="nil"/>
              <w:left w:val="nil"/>
              <w:bottom w:val="single" w:color="auto" w:sz="4" w:space="0"/>
              <w:right w:val="single" w:color="auto" w:sz="4" w:space="0"/>
            </w:tcBorders>
            <w:noWrap w:val="0"/>
            <w:vAlign w:val="center"/>
          </w:tcPr>
          <w:p w14:paraId="21E745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29DF6B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7A314E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300≤X＜1000</w:t>
            </w:r>
          </w:p>
        </w:tc>
        <w:tc>
          <w:tcPr>
            <w:tcW w:w="1662" w:type="dxa"/>
            <w:tcBorders>
              <w:top w:val="nil"/>
              <w:left w:val="nil"/>
              <w:bottom w:val="single" w:color="auto" w:sz="4" w:space="0"/>
              <w:right w:val="single" w:color="auto" w:sz="4" w:space="0"/>
            </w:tcBorders>
            <w:noWrap w:val="0"/>
            <w:vAlign w:val="center"/>
          </w:tcPr>
          <w:p w14:paraId="410C49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20≤X＜300</w:t>
            </w:r>
          </w:p>
        </w:tc>
        <w:tc>
          <w:tcPr>
            <w:tcW w:w="1108" w:type="dxa"/>
            <w:tcBorders>
              <w:top w:val="nil"/>
              <w:left w:val="nil"/>
              <w:bottom w:val="single" w:color="auto" w:sz="4" w:space="0"/>
              <w:right w:val="single" w:color="auto" w:sz="4" w:space="0"/>
            </w:tcBorders>
            <w:noWrap w:val="0"/>
            <w:vAlign w:val="center"/>
          </w:tcPr>
          <w:p w14:paraId="179A42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X＜20</w:t>
            </w:r>
          </w:p>
        </w:tc>
      </w:tr>
      <w:tr w14:paraId="71B046C4">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219B5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540CF9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3EEAA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48FC19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2000≤Y＜30000</w:t>
            </w:r>
          </w:p>
        </w:tc>
        <w:tc>
          <w:tcPr>
            <w:tcW w:w="1662" w:type="dxa"/>
            <w:tcBorders>
              <w:top w:val="nil"/>
              <w:left w:val="nil"/>
              <w:bottom w:val="single" w:color="auto" w:sz="4" w:space="0"/>
              <w:right w:val="single" w:color="auto" w:sz="4" w:space="0"/>
            </w:tcBorders>
            <w:noWrap w:val="0"/>
            <w:vAlign w:val="center"/>
          </w:tcPr>
          <w:p w14:paraId="6DA3A9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100≤Y＜2000</w:t>
            </w:r>
          </w:p>
        </w:tc>
        <w:tc>
          <w:tcPr>
            <w:tcW w:w="1108" w:type="dxa"/>
            <w:tcBorders>
              <w:top w:val="nil"/>
              <w:left w:val="nil"/>
              <w:bottom w:val="single" w:color="auto" w:sz="4" w:space="0"/>
              <w:right w:val="single" w:color="auto" w:sz="4" w:space="0"/>
            </w:tcBorders>
            <w:noWrap w:val="0"/>
            <w:vAlign w:val="center"/>
          </w:tcPr>
          <w:p w14:paraId="25B7F0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Y＜100</w:t>
            </w:r>
          </w:p>
        </w:tc>
      </w:tr>
      <w:tr w14:paraId="78764167">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5704B4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住宿业</w:t>
            </w:r>
          </w:p>
        </w:tc>
        <w:tc>
          <w:tcPr>
            <w:tcW w:w="1717" w:type="dxa"/>
            <w:tcBorders>
              <w:top w:val="nil"/>
              <w:left w:val="nil"/>
              <w:bottom w:val="single" w:color="auto" w:sz="4" w:space="0"/>
              <w:right w:val="single" w:color="auto" w:sz="4" w:space="0"/>
            </w:tcBorders>
            <w:noWrap w:val="0"/>
            <w:vAlign w:val="center"/>
          </w:tcPr>
          <w:p w14:paraId="0042DC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2C7741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107C00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100≤X＜300</w:t>
            </w:r>
          </w:p>
        </w:tc>
        <w:tc>
          <w:tcPr>
            <w:tcW w:w="1662" w:type="dxa"/>
            <w:tcBorders>
              <w:top w:val="nil"/>
              <w:left w:val="nil"/>
              <w:bottom w:val="single" w:color="auto" w:sz="4" w:space="0"/>
              <w:right w:val="single" w:color="auto" w:sz="4" w:space="0"/>
            </w:tcBorders>
            <w:noWrap w:val="0"/>
            <w:vAlign w:val="center"/>
          </w:tcPr>
          <w:p w14:paraId="31317C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10≤X＜100</w:t>
            </w:r>
          </w:p>
        </w:tc>
        <w:tc>
          <w:tcPr>
            <w:tcW w:w="1108" w:type="dxa"/>
            <w:tcBorders>
              <w:top w:val="nil"/>
              <w:left w:val="nil"/>
              <w:bottom w:val="single" w:color="auto" w:sz="4" w:space="0"/>
              <w:right w:val="single" w:color="auto" w:sz="4" w:space="0"/>
            </w:tcBorders>
            <w:noWrap w:val="0"/>
            <w:vAlign w:val="center"/>
          </w:tcPr>
          <w:p w14:paraId="68528D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X＜10</w:t>
            </w:r>
          </w:p>
        </w:tc>
      </w:tr>
      <w:tr w14:paraId="06501990">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68BBE1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643049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0E75D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361544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2000≤Y＜10000</w:t>
            </w:r>
          </w:p>
        </w:tc>
        <w:tc>
          <w:tcPr>
            <w:tcW w:w="1662" w:type="dxa"/>
            <w:tcBorders>
              <w:top w:val="nil"/>
              <w:left w:val="nil"/>
              <w:bottom w:val="single" w:color="auto" w:sz="4" w:space="0"/>
              <w:right w:val="single" w:color="auto" w:sz="4" w:space="0"/>
            </w:tcBorders>
            <w:noWrap w:val="0"/>
            <w:vAlign w:val="center"/>
          </w:tcPr>
          <w:p w14:paraId="5F6A0D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100≤Y＜2000</w:t>
            </w:r>
          </w:p>
        </w:tc>
        <w:tc>
          <w:tcPr>
            <w:tcW w:w="1108" w:type="dxa"/>
            <w:tcBorders>
              <w:top w:val="nil"/>
              <w:left w:val="nil"/>
              <w:bottom w:val="single" w:color="auto" w:sz="4" w:space="0"/>
              <w:right w:val="single" w:color="auto" w:sz="4" w:space="0"/>
            </w:tcBorders>
            <w:noWrap w:val="0"/>
            <w:vAlign w:val="center"/>
          </w:tcPr>
          <w:p w14:paraId="4F5C0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Y＜100</w:t>
            </w:r>
          </w:p>
        </w:tc>
      </w:tr>
      <w:tr w14:paraId="01C9DB30">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4B36DA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餐饮业</w:t>
            </w:r>
          </w:p>
        </w:tc>
        <w:tc>
          <w:tcPr>
            <w:tcW w:w="1717" w:type="dxa"/>
            <w:tcBorders>
              <w:top w:val="nil"/>
              <w:left w:val="nil"/>
              <w:bottom w:val="single" w:color="auto" w:sz="4" w:space="0"/>
              <w:right w:val="single" w:color="auto" w:sz="4" w:space="0"/>
            </w:tcBorders>
            <w:noWrap w:val="0"/>
            <w:vAlign w:val="center"/>
          </w:tcPr>
          <w:p w14:paraId="40F472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65F05F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399D19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100≤X＜300</w:t>
            </w:r>
          </w:p>
        </w:tc>
        <w:tc>
          <w:tcPr>
            <w:tcW w:w="1662" w:type="dxa"/>
            <w:tcBorders>
              <w:top w:val="nil"/>
              <w:left w:val="nil"/>
              <w:bottom w:val="single" w:color="auto" w:sz="4" w:space="0"/>
              <w:right w:val="single" w:color="auto" w:sz="4" w:space="0"/>
            </w:tcBorders>
            <w:noWrap w:val="0"/>
            <w:vAlign w:val="center"/>
          </w:tcPr>
          <w:p w14:paraId="628BE7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10≤X＜100</w:t>
            </w:r>
          </w:p>
        </w:tc>
        <w:tc>
          <w:tcPr>
            <w:tcW w:w="1108" w:type="dxa"/>
            <w:tcBorders>
              <w:top w:val="nil"/>
              <w:left w:val="nil"/>
              <w:bottom w:val="single" w:color="auto" w:sz="4" w:space="0"/>
              <w:right w:val="single" w:color="auto" w:sz="4" w:space="0"/>
            </w:tcBorders>
            <w:noWrap w:val="0"/>
            <w:vAlign w:val="center"/>
          </w:tcPr>
          <w:p w14:paraId="2FB206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X＜10</w:t>
            </w:r>
          </w:p>
        </w:tc>
      </w:tr>
      <w:tr w14:paraId="413334F5">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53621F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42591A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4BC7CF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467565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2000≤Y＜10000</w:t>
            </w:r>
          </w:p>
        </w:tc>
        <w:tc>
          <w:tcPr>
            <w:tcW w:w="1662" w:type="dxa"/>
            <w:tcBorders>
              <w:top w:val="nil"/>
              <w:left w:val="nil"/>
              <w:bottom w:val="single" w:color="auto" w:sz="4" w:space="0"/>
              <w:right w:val="single" w:color="auto" w:sz="4" w:space="0"/>
            </w:tcBorders>
            <w:noWrap w:val="0"/>
            <w:vAlign w:val="center"/>
          </w:tcPr>
          <w:p w14:paraId="6B5875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100≤Y＜2000</w:t>
            </w:r>
          </w:p>
        </w:tc>
        <w:tc>
          <w:tcPr>
            <w:tcW w:w="1108" w:type="dxa"/>
            <w:tcBorders>
              <w:top w:val="nil"/>
              <w:left w:val="nil"/>
              <w:bottom w:val="single" w:color="auto" w:sz="4" w:space="0"/>
              <w:right w:val="single" w:color="auto" w:sz="4" w:space="0"/>
            </w:tcBorders>
            <w:noWrap w:val="0"/>
            <w:vAlign w:val="center"/>
          </w:tcPr>
          <w:p w14:paraId="760088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Y＜100</w:t>
            </w:r>
          </w:p>
        </w:tc>
      </w:tr>
      <w:tr w14:paraId="6D16D56B">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7E34B6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信息传输业</w:t>
            </w:r>
          </w:p>
        </w:tc>
        <w:tc>
          <w:tcPr>
            <w:tcW w:w="1717" w:type="dxa"/>
            <w:tcBorders>
              <w:top w:val="nil"/>
              <w:left w:val="nil"/>
              <w:bottom w:val="single" w:color="auto" w:sz="4" w:space="0"/>
              <w:right w:val="single" w:color="auto" w:sz="4" w:space="0"/>
            </w:tcBorders>
            <w:noWrap w:val="0"/>
            <w:vAlign w:val="center"/>
          </w:tcPr>
          <w:p w14:paraId="22B8A1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53618D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0ABC63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100≤X＜2000</w:t>
            </w:r>
          </w:p>
        </w:tc>
        <w:tc>
          <w:tcPr>
            <w:tcW w:w="1662" w:type="dxa"/>
            <w:tcBorders>
              <w:top w:val="nil"/>
              <w:left w:val="nil"/>
              <w:bottom w:val="single" w:color="auto" w:sz="4" w:space="0"/>
              <w:right w:val="single" w:color="auto" w:sz="4" w:space="0"/>
            </w:tcBorders>
            <w:noWrap w:val="0"/>
            <w:vAlign w:val="center"/>
          </w:tcPr>
          <w:p w14:paraId="4C5DBF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10≤X＜100</w:t>
            </w:r>
          </w:p>
        </w:tc>
        <w:tc>
          <w:tcPr>
            <w:tcW w:w="1108" w:type="dxa"/>
            <w:tcBorders>
              <w:top w:val="nil"/>
              <w:left w:val="nil"/>
              <w:bottom w:val="single" w:color="auto" w:sz="4" w:space="0"/>
              <w:right w:val="single" w:color="auto" w:sz="4" w:space="0"/>
            </w:tcBorders>
            <w:noWrap w:val="0"/>
            <w:vAlign w:val="center"/>
          </w:tcPr>
          <w:p w14:paraId="29C64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X＜10</w:t>
            </w:r>
          </w:p>
        </w:tc>
      </w:tr>
      <w:tr w14:paraId="43AFF472">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09F7A6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24407A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7E8E4D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14FCBB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1000≤Y＜100000</w:t>
            </w:r>
          </w:p>
        </w:tc>
        <w:tc>
          <w:tcPr>
            <w:tcW w:w="1662" w:type="dxa"/>
            <w:tcBorders>
              <w:top w:val="nil"/>
              <w:left w:val="nil"/>
              <w:bottom w:val="single" w:color="auto" w:sz="4" w:space="0"/>
              <w:right w:val="single" w:color="auto" w:sz="4" w:space="0"/>
            </w:tcBorders>
            <w:noWrap w:val="0"/>
            <w:vAlign w:val="center"/>
          </w:tcPr>
          <w:p w14:paraId="5908DA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100≤Y＜1000</w:t>
            </w:r>
          </w:p>
        </w:tc>
        <w:tc>
          <w:tcPr>
            <w:tcW w:w="1108" w:type="dxa"/>
            <w:tcBorders>
              <w:top w:val="nil"/>
              <w:left w:val="nil"/>
              <w:bottom w:val="single" w:color="auto" w:sz="4" w:space="0"/>
              <w:right w:val="single" w:color="auto" w:sz="4" w:space="0"/>
            </w:tcBorders>
            <w:noWrap w:val="0"/>
            <w:vAlign w:val="center"/>
          </w:tcPr>
          <w:p w14:paraId="75DBD6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Y＜100</w:t>
            </w:r>
          </w:p>
        </w:tc>
      </w:tr>
      <w:tr w14:paraId="6DD28B9C">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40753D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软件和信息技术服务业</w:t>
            </w:r>
          </w:p>
        </w:tc>
        <w:tc>
          <w:tcPr>
            <w:tcW w:w="1717" w:type="dxa"/>
            <w:tcBorders>
              <w:top w:val="nil"/>
              <w:left w:val="nil"/>
              <w:bottom w:val="single" w:color="auto" w:sz="4" w:space="0"/>
              <w:right w:val="single" w:color="auto" w:sz="4" w:space="0"/>
            </w:tcBorders>
            <w:noWrap w:val="0"/>
            <w:vAlign w:val="center"/>
          </w:tcPr>
          <w:p w14:paraId="3FC6ED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4850C8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28C30F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100≤X＜300</w:t>
            </w:r>
          </w:p>
        </w:tc>
        <w:tc>
          <w:tcPr>
            <w:tcW w:w="1662" w:type="dxa"/>
            <w:tcBorders>
              <w:top w:val="nil"/>
              <w:left w:val="nil"/>
              <w:bottom w:val="single" w:color="auto" w:sz="4" w:space="0"/>
              <w:right w:val="single" w:color="auto" w:sz="4" w:space="0"/>
            </w:tcBorders>
            <w:noWrap w:val="0"/>
            <w:vAlign w:val="center"/>
          </w:tcPr>
          <w:p w14:paraId="659E67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10≤X＜100</w:t>
            </w:r>
          </w:p>
        </w:tc>
        <w:tc>
          <w:tcPr>
            <w:tcW w:w="1108" w:type="dxa"/>
            <w:tcBorders>
              <w:top w:val="nil"/>
              <w:left w:val="nil"/>
              <w:bottom w:val="single" w:color="auto" w:sz="4" w:space="0"/>
              <w:right w:val="single" w:color="auto" w:sz="4" w:space="0"/>
            </w:tcBorders>
            <w:noWrap w:val="0"/>
            <w:vAlign w:val="center"/>
          </w:tcPr>
          <w:p w14:paraId="5529B3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X＜10</w:t>
            </w:r>
          </w:p>
        </w:tc>
      </w:tr>
      <w:tr w14:paraId="2F8E83FA">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5D5B33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45CB2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15B58D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1E7901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1000≤Y＜10000</w:t>
            </w:r>
          </w:p>
        </w:tc>
        <w:tc>
          <w:tcPr>
            <w:tcW w:w="1662" w:type="dxa"/>
            <w:tcBorders>
              <w:top w:val="nil"/>
              <w:left w:val="nil"/>
              <w:bottom w:val="single" w:color="auto" w:sz="4" w:space="0"/>
              <w:right w:val="single" w:color="auto" w:sz="4" w:space="0"/>
            </w:tcBorders>
            <w:noWrap w:val="0"/>
            <w:vAlign w:val="center"/>
          </w:tcPr>
          <w:p w14:paraId="5D183B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50≤Y＜1000</w:t>
            </w:r>
          </w:p>
        </w:tc>
        <w:tc>
          <w:tcPr>
            <w:tcW w:w="1108" w:type="dxa"/>
            <w:tcBorders>
              <w:top w:val="nil"/>
              <w:left w:val="nil"/>
              <w:bottom w:val="single" w:color="auto" w:sz="4" w:space="0"/>
              <w:right w:val="single" w:color="auto" w:sz="4" w:space="0"/>
            </w:tcBorders>
            <w:noWrap w:val="0"/>
            <w:vAlign w:val="center"/>
          </w:tcPr>
          <w:p w14:paraId="27A8A2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Y＜50</w:t>
            </w:r>
          </w:p>
        </w:tc>
      </w:tr>
      <w:tr w14:paraId="2C414109">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33C8D9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房地产开发经营</w:t>
            </w:r>
          </w:p>
        </w:tc>
        <w:tc>
          <w:tcPr>
            <w:tcW w:w="1717" w:type="dxa"/>
            <w:tcBorders>
              <w:top w:val="nil"/>
              <w:left w:val="nil"/>
              <w:bottom w:val="single" w:color="auto" w:sz="4" w:space="0"/>
              <w:right w:val="single" w:color="auto" w:sz="4" w:space="0"/>
            </w:tcBorders>
            <w:noWrap w:val="0"/>
            <w:vAlign w:val="center"/>
          </w:tcPr>
          <w:p w14:paraId="1641B5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17CA03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753A7C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1000≤Y＜200000</w:t>
            </w:r>
          </w:p>
        </w:tc>
        <w:tc>
          <w:tcPr>
            <w:tcW w:w="1662" w:type="dxa"/>
            <w:tcBorders>
              <w:top w:val="nil"/>
              <w:left w:val="nil"/>
              <w:bottom w:val="single" w:color="auto" w:sz="4" w:space="0"/>
              <w:right w:val="single" w:color="auto" w:sz="4" w:space="0"/>
            </w:tcBorders>
            <w:noWrap w:val="0"/>
            <w:vAlign w:val="center"/>
          </w:tcPr>
          <w:p w14:paraId="5CB635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100≤X＜1000</w:t>
            </w:r>
          </w:p>
        </w:tc>
        <w:tc>
          <w:tcPr>
            <w:tcW w:w="1108" w:type="dxa"/>
            <w:tcBorders>
              <w:top w:val="nil"/>
              <w:left w:val="nil"/>
              <w:bottom w:val="single" w:color="auto" w:sz="4" w:space="0"/>
              <w:right w:val="single" w:color="auto" w:sz="4" w:space="0"/>
            </w:tcBorders>
            <w:noWrap w:val="0"/>
            <w:vAlign w:val="center"/>
          </w:tcPr>
          <w:p w14:paraId="3D9D6D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X＜100</w:t>
            </w:r>
          </w:p>
        </w:tc>
      </w:tr>
      <w:tr w14:paraId="6CB1E590">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4F6C2F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5389D7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资产总额（Z）</w:t>
            </w:r>
          </w:p>
        </w:tc>
        <w:tc>
          <w:tcPr>
            <w:tcW w:w="1267" w:type="dxa"/>
            <w:tcBorders>
              <w:top w:val="nil"/>
              <w:left w:val="nil"/>
              <w:bottom w:val="single" w:color="auto" w:sz="4" w:space="0"/>
              <w:right w:val="single" w:color="auto" w:sz="4" w:space="0"/>
            </w:tcBorders>
            <w:noWrap w:val="0"/>
            <w:vAlign w:val="center"/>
          </w:tcPr>
          <w:p w14:paraId="2CB4C6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428C11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5000≤Z＜10000</w:t>
            </w:r>
          </w:p>
        </w:tc>
        <w:tc>
          <w:tcPr>
            <w:tcW w:w="1662" w:type="dxa"/>
            <w:tcBorders>
              <w:top w:val="nil"/>
              <w:left w:val="nil"/>
              <w:bottom w:val="single" w:color="auto" w:sz="4" w:space="0"/>
              <w:right w:val="single" w:color="auto" w:sz="4" w:space="0"/>
            </w:tcBorders>
            <w:noWrap w:val="0"/>
            <w:vAlign w:val="center"/>
          </w:tcPr>
          <w:p w14:paraId="57C35F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2000≤Y＜5000</w:t>
            </w:r>
          </w:p>
        </w:tc>
        <w:tc>
          <w:tcPr>
            <w:tcW w:w="1108" w:type="dxa"/>
            <w:tcBorders>
              <w:top w:val="nil"/>
              <w:left w:val="nil"/>
              <w:bottom w:val="single" w:color="auto" w:sz="4" w:space="0"/>
              <w:right w:val="single" w:color="auto" w:sz="4" w:space="0"/>
            </w:tcBorders>
            <w:noWrap w:val="0"/>
            <w:vAlign w:val="center"/>
          </w:tcPr>
          <w:p w14:paraId="60DE95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Y＜2000</w:t>
            </w:r>
          </w:p>
        </w:tc>
      </w:tr>
      <w:tr w14:paraId="211CF91E">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24390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物业管理</w:t>
            </w:r>
          </w:p>
        </w:tc>
        <w:tc>
          <w:tcPr>
            <w:tcW w:w="1717" w:type="dxa"/>
            <w:tcBorders>
              <w:top w:val="nil"/>
              <w:left w:val="nil"/>
              <w:bottom w:val="single" w:color="auto" w:sz="4" w:space="0"/>
              <w:right w:val="single" w:color="auto" w:sz="4" w:space="0"/>
            </w:tcBorders>
            <w:noWrap w:val="0"/>
            <w:vAlign w:val="center"/>
          </w:tcPr>
          <w:p w14:paraId="568E49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10D39A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246ACA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300≤X＜1000</w:t>
            </w:r>
          </w:p>
        </w:tc>
        <w:tc>
          <w:tcPr>
            <w:tcW w:w="1662" w:type="dxa"/>
            <w:tcBorders>
              <w:top w:val="nil"/>
              <w:left w:val="nil"/>
              <w:bottom w:val="single" w:color="auto" w:sz="4" w:space="0"/>
              <w:right w:val="single" w:color="auto" w:sz="4" w:space="0"/>
            </w:tcBorders>
            <w:noWrap w:val="0"/>
            <w:vAlign w:val="center"/>
          </w:tcPr>
          <w:p w14:paraId="3C9B7A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100≤X＜300</w:t>
            </w:r>
          </w:p>
        </w:tc>
        <w:tc>
          <w:tcPr>
            <w:tcW w:w="1108" w:type="dxa"/>
            <w:tcBorders>
              <w:top w:val="nil"/>
              <w:left w:val="nil"/>
              <w:bottom w:val="single" w:color="auto" w:sz="4" w:space="0"/>
              <w:right w:val="single" w:color="auto" w:sz="4" w:space="0"/>
            </w:tcBorders>
            <w:noWrap w:val="0"/>
            <w:vAlign w:val="center"/>
          </w:tcPr>
          <w:p w14:paraId="65681F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X＜100</w:t>
            </w:r>
          </w:p>
        </w:tc>
      </w:tr>
      <w:tr w14:paraId="41BEF713">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490717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3C2B45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营业收入（Y）</w:t>
            </w:r>
          </w:p>
        </w:tc>
        <w:tc>
          <w:tcPr>
            <w:tcW w:w="1267" w:type="dxa"/>
            <w:tcBorders>
              <w:top w:val="nil"/>
              <w:left w:val="nil"/>
              <w:bottom w:val="single" w:color="auto" w:sz="4" w:space="0"/>
              <w:right w:val="single" w:color="auto" w:sz="4" w:space="0"/>
            </w:tcBorders>
            <w:noWrap w:val="0"/>
            <w:vAlign w:val="center"/>
          </w:tcPr>
          <w:p w14:paraId="0584D6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50ACD8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1000≤Y＜5000</w:t>
            </w:r>
          </w:p>
        </w:tc>
        <w:tc>
          <w:tcPr>
            <w:tcW w:w="1662" w:type="dxa"/>
            <w:tcBorders>
              <w:top w:val="nil"/>
              <w:left w:val="nil"/>
              <w:bottom w:val="single" w:color="auto" w:sz="4" w:space="0"/>
              <w:right w:val="single" w:color="auto" w:sz="4" w:space="0"/>
            </w:tcBorders>
            <w:noWrap w:val="0"/>
            <w:vAlign w:val="center"/>
          </w:tcPr>
          <w:p w14:paraId="7E1447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500≤Y＜1000</w:t>
            </w:r>
          </w:p>
        </w:tc>
        <w:tc>
          <w:tcPr>
            <w:tcW w:w="1108" w:type="dxa"/>
            <w:tcBorders>
              <w:top w:val="nil"/>
              <w:left w:val="nil"/>
              <w:bottom w:val="single" w:color="auto" w:sz="4" w:space="0"/>
              <w:right w:val="single" w:color="auto" w:sz="4" w:space="0"/>
            </w:tcBorders>
            <w:noWrap w:val="0"/>
            <w:vAlign w:val="center"/>
          </w:tcPr>
          <w:p w14:paraId="307F89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Y＜500</w:t>
            </w:r>
          </w:p>
        </w:tc>
      </w:tr>
      <w:tr w14:paraId="0E0BC5F4">
        <w:tblPrEx>
          <w:tblCellMar>
            <w:top w:w="0" w:type="dxa"/>
            <w:left w:w="108" w:type="dxa"/>
            <w:bottom w:w="0" w:type="dxa"/>
            <w:right w:w="108" w:type="dxa"/>
          </w:tblCellMar>
        </w:tblPrEx>
        <w:trPr>
          <w:trHeight w:val="225" w:hRule="atLeast"/>
        </w:trPr>
        <w:tc>
          <w:tcPr>
            <w:tcW w:w="1724" w:type="dxa"/>
            <w:vMerge w:val="restart"/>
            <w:tcBorders>
              <w:top w:val="nil"/>
              <w:left w:val="single" w:color="auto" w:sz="4" w:space="0"/>
              <w:bottom w:val="single" w:color="auto" w:sz="4" w:space="0"/>
              <w:right w:val="single" w:color="auto" w:sz="4" w:space="0"/>
            </w:tcBorders>
            <w:noWrap w:val="0"/>
            <w:vAlign w:val="center"/>
          </w:tcPr>
          <w:p w14:paraId="3FA8AA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center"/>
              <w:textAlignment w:val="auto"/>
              <w:rPr>
                <w:rFonts w:hint="eastAsia" w:ascii="仿宋" w:hAnsi="仿宋" w:eastAsia="仿宋" w:cs="仿宋"/>
                <w:b/>
                <w:bCs/>
                <w:color w:val="auto"/>
                <w:sz w:val="20"/>
                <w:szCs w:val="22"/>
                <w:highlight w:val="none"/>
                <w:lang w:val="en-US" w:eastAsia="zh-CN"/>
              </w:rPr>
            </w:pPr>
            <w:r>
              <w:rPr>
                <w:rFonts w:hint="eastAsia" w:ascii="仿宋" w:hAnsi="仿宋" w:eastAsia="仿宋" w:cs="仿宋"/>
                <w:b/>
                <w:bCs/>
                <w:color w:val="auto"/>
                <w:sz w:val="20"/>
                <w:szCs w:val="22"/>
                <w:highlight w:val="none"/>
                <w:lang w:val="en-US" w:eastAsia="zh-CN"/>
              </w:rPr>
              <w:t>租赁和商务服务业</w:t>
            </w:r>
          </w:p>
        </w:tc>
        <w:tc>
          <w:tcPr>
            <w:tcW w:w="1717" w:type="dxa"/>
            <w:tcBorders>
              <w:top w:val="nil"/>
              <w:left w:val="nil"/>
              <w:bottom w:val="single" w:color="auto" w:sz="4" w:space="0"/>
              <w:right w:val="single" w:color="auto" w:sz="4" w:space="0"/>
            </w:tcBorders>
            <w:noWrap w:val="0"/>
            <w:vAlign w:val="center"/>
          </w:tcPr>
          <w:p w14:paraId="512EFB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461CD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778FBC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100≤X＜300</w:t>
            </w:r>
          </w:p>
        </w:tc>
        <w:tc>
          <w:tcPr>
            <w:tcW w:w="1662" w:type="dxa"/>
            <w:tcBorders>
              <w:top w:val="nil"/>
              <w:left w:val="nil"/>
              <w:bottom w:val="single" w:color="auto" w:sz="4" w:space="0"/>
              <w:right w:val="single" w:color="auto" w:sz="4" w:space="0"/>
            </w:tcBorders>
            <w:noWrap w:val="0"/>
            <w:vAlign w:val="center"/>
          </w:tcPr>
          <w:p w14:paraId="446C5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10≤X＜100</w:t>
            </w:r>
          </w:p>
        </w:tc>
        <w:tc>
          <w:tcPr>
            <w:tcW w:w="1108" w:type="dxa"/>
            <w:tcBorders>
              <w:top w:val="nil"/>
              <w:left w:val="nil"/>
              <w:bottom w:val="single" w:color="auto" w:sz="4" w:space="0"/>
              <w:right w:val="single" w:color="auto" w:sz="4" w:space="0"/>
            </w:tcBorders>
            <w:noWrap w:val="0"/>
            <w:vAlign w:val="center"/>
          </w:tcPr>
          <w:p w14:paraId="022080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X＜10</w:t>
            </w:r>
          </w:p>
        </w:tc>
      </w:tr>
      <w:tr w14:paraId="16AEC4FF">
        <w:tblPrEx>
          <w:tblCellMar>
            <w:top w:w="0" w:type="dxa"/>
            <w:left w:w="108" w:type="dxa"/>
            <w:bottom w:w="0" w:type="dxa"/>
            <w:right w:w="108" w:type="dxa"/>
          </w:tblCellMar>
        </w:tblPrEx>
        <w:trPr>
          <w:trHeight w:val="225" w:hRule="atLeast"/>
        </w:trPr>
        <w:tc>
          <w:tcPr>
            <w:tcW w:w="1724" w:type="dxa"/>
            <w:vMerge w:val="continue"/>
            <w:tcBorders>
              <w:top w:val="nil"/>
              <w:left w:val="single" w:color="auto" w:sz="4" w:space="0"/>
              <w:bottom w:val="single" w:color="auto" w:sz="4" w:space="0"/>
              <w:right w:val="single" w:color="auto" w:sz="4" w:space="0"/>
            </w:tcBorders>
            <w:noWrap w:val="0"/>
            <w:vAlign w:val="center"/>
          </w:tcPr>
          <w:p w14:paraId="69E5EC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p>
        </w:tc>
        <w:tc>
          <w:tcPr>
            <w:tcW w:w="1717" w:type="dxa"/>
            <w:tcBorders>
              <w:top w:val="nil"/>
              <w:left w:val="nil"/>
              <w:bottom w:val="single" w:color="auto" w:sz="4" w:space="0"/>
              <w:right w:val="single" w:color="auto" w:sz="4" w:space="0"/>
            </w:tcBorders>
            <w:noWrap w:val="0"/>
            <w:vAlign w:val="center"/>
          </w:tcPr>
          <w:p w14:paraId="0569D7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资产总额（Z）</w:t>
            </w:r>
          </w:p>
        </w:tc>
        <w:tc>
          <w:tcPr>
            <w:tcW w:w="1267" w:type="dxa"/>
            <w:tcBorders>
              <w:top w:val="nil"/>
              <w:left w:val="nil"/>
              <w:bottom w:val="single" w:color="auto" w:sz="4" w:space="0"/>
              <w:right w:val="single" w:color="auto" w:sz="4" w:space="0"/>
            </w:tcBorders>
            <w:noWrap w:val="0"/>
            <w:vAlign w:val="center"/>
          </w:tcPr>
          <w:p w14:paraId="2D78B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万元</w:t>
            </w:r>
          </w:p>
        </w:tc>
        <w:tc>
          <w:tcPr>
            <w:tcW w:w="1799" w:type="dxa"/>
            <w:tcBorders>
              <w:top w:val="nil"/>
              <w:left w:val="nil"/>
              <w:bottom w:val="single" w:color="auto" w:sz="4" w:space="0"/>
              <w:right w:val="single" w:color="auto" w:sz="4" w:space="0"/>
            </w:tcBorders>
            <w:noWrap w:val="0"/>
            <w:vAlign w:val="center"/>
          </w:tcPr>
          <w:p w14:paraId="475398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8000≤Z＜120000</w:t>
            </w:r>
          </w:p>
        </w:tc>
        <w:tc>
          <w:tcPr>
            <w:tcW w:w="1662" w:type="dxa"/>
            <w:tcBorders>
              <w:top w:val="nil"/>
              <w:left w:val="nil"/>
              <w:bottom w:val="single" w:color="auto" w:sz="4" w:space="0"/>
              <w:right w:val="single" w:color="auto" w:sz="4" w:space="0"/>
            </w:tcBorders>
            <w:noWrap w:val="0"/>
            <w:vAlign w:val="center"/>
          </w:tcPr>
          <w:p w14:paraId="78B799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100≤Z＜8000</w:t>
            </w:r>
          </w:p>
        </w:tc>
        <w:tc>
          <w:tcPr>
            <w:tcW w:w="1108" w:type="dxa"/>
            <w:tcBorders>
              <w:top w:val="nil"/>
              <w:left w:val="nil"/>
              <w:bottom w:val="single" w:color="auto" w:sz="4" w:space="0"/>
              <w:right w:val="single" w:color="auto" w:sz="4" w:space="0"/>
            </w:tcBorders>
            <w:noWrap w:val="0"/>
            <w:vAlign w:val="center"/>
          </w:tcPr>
          <w:p w14:paraId="3AEEBF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Y＜100</w:t>
            </w:r>
          </w:p>
        </w:tc>
      </w:tr>
      <w:tr w14:paraId="160B5B10">
        <w:tblPrEx>
          <w:tblCellMar>
            <w:top w:w="0" w:type="dxa"/>
            <w:left w:w="108" w:type="dxa"/>
            <w:bottom w:w="0" w:type="dxa"/>
            <w:right w:w="108" w:type="dxa"/>
          </w:tblCellMar>
        </w:tblPrEx>
        <w:trPr>
          <w:trHeight w:val="225" w:hRule="atLeast"/>
        </w:trPr>
        <w:tc>
          <w:tcPr>
            <w:tcW w:w="1724" w:type="dxa"/>
            <w:tcBorders>
              <w:top w:val="nil"/>
              <w:left w:val="single" w:color="auto" w:sz="4" w:space="0"/>
              <w:bottom w:val="single" w:color="auto" w:sz="4" w:space="0"/>
              <w:right w:val="single" w:color="auto" w:sz="4" w:space="0"/>
            </w:tcBorders>
            <w:noWrap w:val="0"/>
            <w:vAlign w:val="center"/>
          </w:tcPr>
          <w:p w14:paraId="6A50E0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其他未列明行业</w:t>
            </w:r>
          </w:p>
        </w:tc>
        <w:tc>
          <w:tcPr>
            <w:tcW w:w="1717" w:type="dxa"/>
            <w:tcBorders>
              <w:top w:val="nil"/>
              <w:left w:val="nil"/>
              <w:bottom w:val="single" w:color="auto" w:sz="4" w:space="0"/>
              <w:right w:val="single" w:color="auto" w:sz="4" w:space="0"/>
            </w:tcBorders>
            <w:noWrap w:val="0"/>
            <w:vAlign w:val="center"/>
          </w:tcPr>
          <w:p w14:paraId="650FC2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从业人员（X）</w:t>
            </w:r>
          </w:p>
        </w:tc>
        <w:tc>
          <w:tcPr>
            <w:tcW w:w="1267" w:type="dxa"/>
            <w:tcBorders>
              <w:top w:val="nil"/>
              <w:left w:val="nil"/>
              <w:bottom w:val="single" w:color="auto" w:sz="4" w:space="0"/>
              <w:right w:val="single" w:color="auto" w:sz="4" w:space="0"/>
            </w:tcBorders>
            <w:noWrap w:val="0"/>
            <w:vAlign w:val="center"/>
          </w:tcPr>
          <w:p w14:paraId="38CA3A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人</w:t>
            </w:r>
          </w:p>
        </w:tc>
        <w:tc>
          <w:tcPr>
            <w:tcW w:w="1799" w:type="dxa"/>
            <w:tcBorders>
              <w:top w:val="nil"/>
              <w:left w:val="nil"/>
              <w:bottom w:val="single" w:color="auto" w:sz="4" w:space="0"/>
              <w:right w:val="single" w:color="auto" w:sz="4" w:space="0"/>
            </w:tcBorders>
            <w:noWrap w:val="0"/>
            <w:vAlign w:val="center"/>
          </w:tcPr>
          <w:p w14:paraId="732137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100≤X＜300</w:t>
            </w:r>
          </w:p>
        </w:tc>
        <w:tc>
          <w:tcPr>
            <w:tcW w:w="1662" w:type="dxa"/>
            <w:tcBorders>
              <w:top w:val="nil"/>
              <w:left w:val="nil"/>
              <w:bottom w:val="single" w:color="auto" w:sz="4" w:space="0"/>
              <w:right w:val="single" w:color="auto" w:sz="4" w:space="0"/>
            </w:tcBorders>
            <w:noWrap w:val="0"/>
            <w:vAlign w:val="center"/>
          </w:tcPr>
          <w:p w14:paraId="69BDA0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10≤X＜100</w:t>
            </w:r>
          </w:p>
        </w:tc>
        <w:tc>
          <w:tcPr>
            <w:tcW w:w="1108" w:type="dxa"/>
            <w:tcBorders>
              <w:top w:val="nil"/>
              <w:left w:val="nil"/>
              <w:bottom w:val="single" w:color="auto" w:sz="4" w:space="0"/>
              <w:right w:val="single" w:color="auto" w:sz="4" w:space="0"/>
            </w:tcBorders>
            <w:noWrap w:val="0"/>
            <w:vAlign w:val="center"/>
          </w:tcPr>
          <w:p w14:paraId="717CDB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contextualSpacing/>
              <w:jc w:val="left"/>
              <w:textAlignment w:val="auto"/>
              <w:rPr>
                <w:rFonts w:hint="eastAsia" w:ascii="仿宋" w:hAnsi="仿宋" w:eastAsia="仿宋" w:cs="仿宋"/>
                <w:color w:val="auto"/>
                <w:sz w:val="20"/>
                <w:szCs w:val="22"/>
                <w:highlight w:val="none"/>
                <w:lang w:val="en-US" w:eastAsia="zh-CN"/>
              </w:rPr>
            </w:pPr>
            <w:r>
              <w:rPr>
                <w:rFonts w:hint="eastAsia" w:ascii="仿宋" w:hAnsi="仿宋" w:eastAsia="仿宋" w:cs="仿宋"/>
                <w:color w:val="auto"/>
                <w:sz w:val="20"/>
                <w:szCs w:val="22"/>
                <w:highlight w:val="none"/>
                <w:lang w:val="en-US" w:eastAsia="zh-CN"/>
              </w:rPr>
              <w:t>X＜10</w:t>
            </w:r>
          </w:p>
        </w:tc>
      </w:tr>
    </w:tbl>
    <w:p w14:paraId="4DD44FA1">
      <w:pPr>
        <w:spacing w:line="360" w:lineRule="auto"/>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5B1A0B7">
      <w:pPr>
        <w:rPr>
          <w:rFonts w:ascii="宋体" w:hAnsi="宋体" w:cs="宋体"/>
          <w:color w:val="auto"/>
          <w:sz w:val="20"/>
          <w:szCs w:val="20"/>
          <w:highlight w:val="none"/>
        </w:rPr>
      </w:pPr>
    </w:p>
    <w:p w14:paraId="0192C716">
      <w:pPr>
        <w:widowControl/>
        <w:jc w:val="left"/>
        <w:rPr>
          <w:rFonts w:ascii="宋体" w:hAnsi="宋体" w:eastAsia="宋体"/>
          <w:b/>
          <w:bCs/>
          <w:color w:val="auto"/>
          <w:kern w:val="44"/>
          <w:sz w:val="44"/>
          <w:szCs w:val="44"/>
          <w:highlight w:val="none"/>
        </w:rPr>
      </w:pPr>
      <w:r>
        <w:rPr>
          <w:rFonts w:ascii="宋体" w:hAnsi="宋体" w:eastAsia="宋体"/>
          <w:b/>
          <w:bCs/>
          <w:color w:val="auto"/>
          <w:kern w:val="44"/>
          <w:sz w:val="44"/>
          <w:szCs w:val="44"/>
          <w:highlight w:val="none"/>
        </w:rPr>
        <w:br w:type="page"/>
      </w:r>
    </w:p>
    <w:p w14:paraId="6C6A7C6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eastAsia="宋体"/>
          <w:b/>
          <w:bCs/>
          <w:color w:val="auto"/>
          <w:kern w:val="44"/>
          <w:sz w:val="44"/>
          <w:szCs w:val="44"/>
          <w:highlight w:val="none"/>
        </w:rPr>
      </w:pPr>
      <w:bookmarkStart w:id="34" w:name="_Toc31186"/>
      <w:r>
        <w:rPr>
          <w:rFonts w:hint="eastAsia" w:ascii="宋体" w:hAnsi="宋体" w:eastAsia="宋体"/>
          <w:b/>
          <w:bCs/>
          <w:color w:val="auto"/>
          <w:kern w:val="44"/>
          <w:sz w:val="44"/>
          <w:szCs w:val="44"/>
          <w:highlight w:val="none"/>
        </w:rPr>
        <w:t>第四章  评审程序、评审方法和评审标准</w:t>
      </w:r>
      <w:bookmarkEnd w:id="34"/>
    </w:p>
    <w:p w14:paraId="4C33BC6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ascii="宋体" w:hAnsi="宋体" w:eastAsia="宋体"/>
          <w:b/>
          <w:color w:val="auto"/>
          <w:sz w:val="32"/>
          <w:szCs w:val="32"/>
          <w:highlight w:val="none"/>
        </w:rPr>
      </w:pPr>
      <w:bookmarkStart w:id="35" w:name="_Toc4069"/>
      <w:r>
        <w:rPr>
          <w:rFonts w:hint="eastAsia" w:ascii="宋体" w:hAnsi="宋体" w:eastAsia="宋体"/>
          <w:b/>
          <w:color w:val="auto"/>
          <w:sz w:val="32"/>
          <w:szCs w:val="32"/>
          <w:highlight w:val="none"/>
        </w:rPr>
        <w:t>一、评审程序和评审方法</w:t>
      </w:r>
      <w:bookmarkEnd w:id="35"/>
    </w:p>
    <w:p w14:paraId="77D0C490">
      <w:pPr>
        <w:keepNext w:val="0"/>
        <w:keepLines w:val="0"/>
        <w:pageBreakBefore w:val="0"/>
        <w:kinsoku/>
        <w:wordWrap/>
        <w:overflowPunct/>
        <w:topLinePunct w:val="0"/>
        <w:autoSpaceDE/>
        <w:autoSpaceDN/>
        <w:bidi w:val="0"/>
        <w:adjustRightInd/>
        <w:spacing w:after="0" w:line="360" w:lineRule="auto"/>
        <w:ind w:firstLine="482" w:firstLineChars="200"/>
        <w:textAlignment w:val="auto"/>
        <w:rPr>
          <w:rFonts w:ascii="宋体" w:hAnsi="宋体" w:eastAsia="宋体" w:cs="Calibri"/>
          <w:b/>
          <w:bCs/>
          <w:color w:val="auto"/>
          <w:sz w:val="24"/>
          <w:highlight w:val="none"/>
        </w:rPr>
      </w:pPr>
      <w:r>
        <w:rPr>
          <w:rFonts w:ascii="宋体" w:hAnsi="宋体" w:eastAsia="宋体" w:cs="Calibri"/>
          <w:b/>
          <w:bCs/>
          <w:color w:val="auto"/>
          <w:sz w:val="24"/>
          <w:highlight w:val="none"/>
        </w:rPr>
        <w:t>1</w:t>
      </w:r>
      <w:r>
        <w:rPr>
          <w:rFonts w:hint="eastAsia" w:ascii="宋体" w:hAnsi="宋体" w:eastAsia="宋体" w:cs="Calibri"/>
          <w:b/>
          <w:bCs/>
          <w:color w:val="auto"/>
          <w:sz w:val="24"/>
          <w:highlight w:val="none"/>
        </w:rPr>
        <w:t>.资格审查</w:t>
      </w:r>
    </w:p>
    <w:p w14:paraId="1F11CB24">
      <w:pPr>
        <w:keepNext w:val="0"/>
        <w:keepLines w:val="0"/>
        <w:pageBreakBefore w:val="0"/>
        <w:kinsoku/>
        <w:wordWrap/>
        <w:overflowPunct/>
        <w:topLinePunct w:val="0"/>
        <w:autoSpaceDE/>
        <w:autoSpaceDN/>
        <w:bidi w:val="0"/>
        <w:adjustRightInd/>
        <w:snapToGrid w:val="0"/>
        <w:spacing w:after="0" w:line="360" w:lineRule="auto"/>
        <w:ind w:firstLine="420" w:firstLineChars="200"/>
        <w:textAlignment w:val="auto"/>
        <w:rPr>
          <w:rFonts w:ascii="宋体" w:hAnsi="宋体" w:eastAsia="宋体"/>
          <w:color w:val="auto"/>
          <w:szCs w:val="21"/>
          <w:highlight w:val="none"/>
        </w:rPr>
      </w:pPr>
      <w:r>
        <w:rPr>
          <w:rFonts w:ascii="宋体" w:hAnsi="宋体" w:eastAsia="宋体" w:cs="Calibri"/>
          <w:color w:val="auto"/>
          <w:szCs w:val="21"/>
          <w:highlight w:val="none"/>
        </w:rPr>
        <w:t>1</w:t>
      </w:r>
      <w:r>
        <w:rPr>
          <w:rFonts w:hint="eastAsia" w:ascii="宋体" w:hAnsi="宋体" w:eastAsia="宋体" w:cs="Calibri"/>
          <w:color w:val="auto"/>
          <w:szCs w:val="21"/>
          <w:highlight w:val="none"/>
        </w:rPr>
        <w:t>.1</w:t>
      </w:r>
      <w:r>
        <w:rPr>
          <w:rFonts w:hint="eastAsia" w:ascii="宋体" w:hAnsi="宋体" w:eastAsia="宋体"/>
          <w:color w:val="auto"/>
          <w:szCs w:val="21"/>
          <w:highlight w:val="none"/>
        </w:rPr>
        <w:t>响应文件开启后，磋商小组依法对供应商的资格证明文件进行审查。</w:t>
      </w:r>
    </w:p>
    <w:p w14:paraId="08AADD41">
      <w:pPr>
        <w:keepNext w:val="0"/>
        <w:keepLines w:val="0"/>
        <w:pageBreakBefore w:val="0"/>
        <w:kinsoku/>
        <w:wordWrap/>
        <w:overflowPunct/>
        <w:topLinePunct w:val="0"/>
        <w:autoSpaceDE/>
        <w:autoSpaceDN/>
        <w:bidi w:val="0"/>
        <w:adjustRightInd/>
        <w:snapToGrid w:val="0"/>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注：</w:t>
      </w:r>
      <w:r>
        <w:rPr>
          <w:rFonts w:hint="eastAsia" w:ascii="宋体" w:hAnsi="宋体" w:eastAsia="宋体"/>
          <w:color w:val="auto"/>
          <w:highlight w:val="none"/>
        </w:rPr>
        <w:t>磋商小组</w:t>
      </w:r>
      <w:r>
        <w:rPr>
          <w:rFonts w:hint="eastAsia" w:ascii="宋体" w:hAnsi="宋体" w:eastAsia="宋体" w:cs="Calibri"/>
          <w:color w:val="auto"/>
          <w:szCs w:val="21"/>
          <w:highlight w:val="none"/>
        </w:rPr>
        <w:t>在资格审查结束前，对供应商进行信用查询。</w:t>
      </w:r>
    </w:p>
    <w:p w14:paraId="1DF6AA6E">
      <w:pPr>
        <w:keepNext w:val="0"/>
        <w:keepLines w:val="0"/>
        <w:pageBreakBefore w:val="0"/>
        <w:kinsoku/>
        <w:wordWrap/>
        <w:overflowPunct/>
        <w:topLinePunct w:val="0"/>
        <w:autoSpaceDE/>
        <w:autoSpaceDN/>
        <w:bidi w:val="0"/>
        <w:adjustRightInd/>
        <w:snapToGrid w:val="0"/>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（1）查询渠道：广西政府采购云平台“信用中国”网站(</w:t>
      </w:r>
      <w:bookmarkStart w:id="36" w:name="OLE_LINK1"/>
      <w:r>
        <w:rPr>
          <w:rFonts w:hint="eastAsia" w:ascii="宋体" w:hAnsi="宋体" w:eastAsia="宋体" w:cs="Calibri"/>
          <w:color w:val="auto"/>
          <w:szCs w:val="21"/>
          <w:highlight w:val="none"/>
        </w:rPr>
        <w:t>www.creditchina.gov.cn</w:t>
      </w:r>
      <w:bookmarkEnd w:id="36"/>
      <w:r>
        <w:rPr>
          <w:rFonts w:hint="eastAsia" w:ascii="宋体" w:hAnsi="宋体" w:eastAsia="宋体" w:cs="Calibri"/>
          <w:color w:val="auto"/>
          <w:szCs w:val="21"/>
          <w:highlight w:val="none"/>
        </w:rPr>
        <w:t>)、中国政府采购网(www.ccgp.gov.cn)链接入口。</w:t>
      </w:r>
    </w:p>
    <w:p w14:paraId="1AF5110F">
      <w:pPr>
        <w:keepNext w:val="0"/>
        <w:keepLines w:val="0"/>
        <w:pageBreakBefore w:val="0"/>
        <w:kinsoku/>
        <w:wordWrap/>
        <w:overflowPunct/>
        <w:topLinePunct w:val="0"/>
        <w:autoSpaceDE/>
        <w:autoSpaceDN/>
        <w:bidi w:val="0"/>
        <w:adjustRightInd/>
        <w:snapToGrid w:val="0"/>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（2）信用查询截止时点：资格审查结束前。</w:t>
      </w:r>
    </w:p>
    <w:p w14:paraId="469C30C9">
      <w:pPr>
        <w:keepNext w:val="0"/>
        <w:keepLines w:val="0"/>
        <w:pageBreakBefore w:val="0"/>
        <w:kinsoku/>
        <w:wordWrap/>
        <w:overflowPunct/>
        <w:topLinePunct w:val="0"/>
        <w:autoSpaceDE/>
        <w:autoSpaceDN/>
        <w:bidi w:val="0"/>
        <w:adjustRightInd/>
        <w:snapToGrid w:val="0"/>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（3）查询记录和证据留存方式：在查询网站中直接查询，截图另存为电子文档作为评审资料保存。</w:t>
      </w:r>
    </w:p>
    <w:p w14:paraId="71085BAB">
      <w:pPr>
        <w:keepNext w:val="0"/>
        <w:keepLines w:val="0"/>
        <w:pageBreakBefore w:val="0"/>
        <w:kinsoku/>
        <w:wordWrap/>
        <w:overflowPunct/>
        <w:topLinePunct w:val="0"/>
        <w:autoSpaceDE/>
        <w:autoSpaceDN/>
        <w:bidi w:val="0"/>
        <w:adjustRightInd/>
        <w:snapToGrid w:val="0"/>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eastAsia="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eastAsia="宋体" w:cs="Calibri"/>
          <w:color w:val="auto"/>
          <w:szCs w:val="21"/>
          <w:highlight w:val="none"/>
        </w:rPr>
        <w:t>。</w:t>
      </w:r>
    </w:p>
    <w:p w14:paraId="68B1A85A">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1</w:t>
      </w:r>
      <w:r>
        <w:rPr>
          <w:rFonts w:hint="eastAsia" w:ascii="宋体" w:hAnsi="宋体" w:eastAsia="宋体" w:cs="Calibri"/>
          <w:color w:val="auto"/>
          <w:szCs w:val="21"/>
          <w:highlight w:val="none"/>
        </w:rPr>
        <w:t>.2资格审查标准为本磋商文件中载明对供应商资格要求的条件。资格审查采用合格制，凡符合磋商文件规定的供应商资格要求的响应文件均通过资格审查。</w:t>
      </w:r>
    </w:p>
    <w:p w14:paraId="02948101">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1</w:t>
      </w:r>
      <w:r>
        <w:rPr>
          <w:rFonts w:hint="eastAsia" w:ascii="宋体" w:hAnsi="宋体" w:eastAsia="宋体" w:cs="Calibri"/>
          <w:color w:val="auto"/>
          <w:szCs w:val="21"/>
          <w:highlight w:val="none"/>
        </w:rPr>
        <w:t>.3供应商有下列情形之一的，资格审查不通过，其响应文件按无效响应处理：</w:t>
      </w:r>
    </w:p>
    <w:p w14:paraId="1625C3F4">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w:t>
      </w:r>
      <w:r>
        <w:rPr>
          <w:rFonts w:ascii="宋体" w:hAnsi="宋体" w:eastAsia="宋体" w:cs="Calibri"/>
          <w:color w:val="auto"/>
          <w:szCs w:val="21"/>
          <w:highlight w:val="none"/>
        </w:rPr>
        <w:t>1</w:t>
      </w:r>
      <w:r>
        <w:rPr>
          <w:rFonts w:hint="eastAsia" w:ascii="宋体" w:hAnsi="宋体" w:eastAsia="宋体" w:cs="Calibri"/>
          <w:color w:val="auto"/>
          <w:szCs w:val="21"/>
          <w:highlight w:val="none"/>
        </w:rPr>
        <w:t>）不具备磋商文件中规定的资格要求的；</w:t>
      </w:r>
    </w:p>
    <w:p w14:paraId="41DB3126">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（2）未按磋商文件规定的方式获取本磋商文件的供应商；</w:t>
      </w:r>
    </w:p>
    <w:p w14:paraId="10F9508E">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w:t>
      </w:r>
      <w:r>
        <w:rPr>
          <w:rFonts w:ascii="宋体" w:hAnsi="宋体" w:eastAsia="宋体" w:cs="Calibri"/>
          <w:color w:val="auto"/>
          <w:szCs w:val="21"/>
          <w:highlight w:val="none"/>
        </w:rPr>
        <w:t>3</w:t>
      </w:r>
      <w:r>
        <w:rPr>
          <w:rFonts w:hint="eastAsia" w:ascii="宋体" w:hAnsi="宋体" w:eastAsia="宋体" w:cs="Calibri"/>
          <w:color w:val="auto"/>
          <w:szCs w:val="21"/>
          <w:highlight w:val="none"/>
        </w:rPr>
        <w:t>）响应文件的资格证明文件缺少任一项“供应商须知前附表”资格证明文件规定的“必须提供”的文件资料的；</w:t>
      </w:r>
    </w:p>
    <w:p w14:paraId="47941195">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w:t>
      </w:r>
      <w:r>
        <w:rPr>
          <w:rFonts w:ascii="宋体" w:hAnsi="宋体" w:eastAsia="宋体" w:cs="Calibri"/>
          <w:color w:val="auto"/>
          <w:szCs w:val="21"/>
          <w:highlight w:val="none"/>
        </w:rPr>
        <w:t>4</w:t>
      </w:r>
      <w:r>
        <w:rPr>
          <w:rFonts w:hint="eastAsia" w:ascii="宋体" w:hAnsi="宋体" w:eastAsia="宋体" w:cs="Calibri"/>
          <w:color w:val="auto"/>
          <w:szCs w:val="21"/>
          <w:highlight w:val="none"/>
        </w:rPr>
        <w:t>）响应文件中的资格证明文件出现任一项不符合“供应商须知前附表”资格证明文件规定的“必须提供”的文件资料要求或者无效的；</w:t>
      </w:r>
    </w:p>
    <w:p w14:paraId="16734B3C">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w:t>
      </w:r>
      <w:r>
        <w:rPr>
          <w:rFonts w:ascii="宋体" w:hAnsi="宋体" w:eastAsia="宋体" w:cs="Calibri"/>
          <w:color w:val="auto"/>
          <w:szCs w:val="21"/>
          <w:highlight w:val="none"/>
        </w:rPr>
        <w:t>5</w:t>
      </w:r>
      <w:r>
        <w:rPr>
          <w:rFonts w:hint="eastAsia" w:ascii="宋体" w:hAnsi="宋体" w:eastAsia="宋体" w:cs="Calibri"/>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601A08EC">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1</w:t>
      </w:r>
      <w:r>
        <w:rPr>
          <w:rFonts w:hint="eastAsia" w:ascii="宋体" w:hAnsi="宋体" w:eastAsia="宋体" w:cs="Calibri"/>
          <w:color w:val="auto"/>
          <w:szCs w:val="21"/>
          <w:highlight w:val="none"/>
        </w:rPr>
        <w:t>.4通过资格审查的合格供应商不足3家的，不得进入符合性审查环节，</w:t>
      </w:r>
      <w:r>
        <w:rPr>
          <w:rFonts w:hint="eastAsia" w:ascii="宋体" w:hAnsi="宋体" w:eastAsia="宋体"/>
          <w:color w:val="auto"/>
          <w:szCs w:val="21"/>
          <w:highlight w:val="none"/>
        </w:rPr>
        <w:t>采购人或者采购代理机构应当重新开展采购活动。</w:t>
      </w:r>
    </w:p>
    <w:p w14:paraId="61D5348D">
      <w:pPr>
        <w:keepNext w:val="0"/>
        <w:keepLines w:val="0"/>
        <w:pageBreakBefore w:val="0"/>
        <w:kinsoku/>
        <w:wordWrap/>
        <w:overflowPunct/>
        <w:topLinePunct w:val="0"/>
        <w:autoSpaceDE/>
        <w:autoSpaceDN/>
        <w:bidi w:val="0"/>
        <w:adjustRightInd/>
        <w:spacing w:after="0" w:line="360" w:lineRule="auto"/>
        <w:ind w:firstLine="482" w:firstLineChars="200"/>
        <w:textAlignment w:val="auto"/>
        <w:rPr>
          <w:rFonts w:ascii="宋体" w:hAnsi="宋体" w:eastAsia="宋体" w:cs="Calibri"/>
          <w:b/>
          <w:bCs/>
          <w:color w:val="auto"/>
          <w:sz w:val="24"/>
          <w:highlight w:val="none"/>
        </w:rPr>
      </w:pPr>
      <w:r>
        <w:rPr>
          <w:rFonts w:ascii="宋体" w:hAnsi="宋体" w:eastAsia="宋体" w:cs="Calibri"/>
          <w:b/>
          <w:bCs/>
          <w:color w:val="auto"/>
          <w:sz w:val="24"/>
          <w:highlight w:val="none"/>
        </w:rPr>
        <w:t>2</w:t>
      </w:r>
      <w:r>
        <w:rPr>
          <w:rFonts w:hint="eastAsia" w:ascii="宋体" w:hAnsi="宋体" w:eastAsia="宋体" w:cs="Calibri"/>
          <w:b/>
          <w:bCs/>
          <w:color w:val="auto"/>
          <w:sz w:val="24"/>
          <w:highlight w:val="none"/>
        </w:rPr>
        <w:t>.符合性审查</w:t>
      </w:r>
    </w:p>
    <w:p w14:paraId="4B4DF7DD">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bookmarkStart w:id="37" w:name="_Hlk42528882"/>
      <w:r>
        <w:rPr>
          <w:rFonts w:ascii="宋体" w:hAnsi="宋体" w:eastAsia="宋体" w:cs="Calibri"/>
          <w:color w:val="auto"/>
          <w:szCs w:val="21"/>
          <w:highlight w:val="none"/>
        </w:rPr>
        <w:t>2.1</w:t>
      </w:r>
      <w:r>
        <w:rPr>
          <w:rFonts w:hint="eastAsia" w:ascii="宋体" w:hAnsi="宋体" w:eastAsia="宋体" w:cs="Calibri"/>
          <w:color w:val="auto"/>
          <w:szCs w:val="21"/>
          <w:highlight w:val="none"/>
        </w:rPr>
        <w:t>由磋商小组对</w:t>
      </w:r>
      <w:r>
        <w:rPr>
          <w:rFonts w:hint="eastAsia" w:ascii="宋体" w:hAnsi="宋体" w:eastAsia="宋体"/>
          <w:color w:val="auto"/>
          <w:szCs w:val="21"/>
          <w:highlight w:val="none"/>
        </w:rPr>
        <w:t>通过资格审查的合格供应商</w:t>
      </w:r>
      <w:r>
        <w:rPr>
          <w:rFonts w:hint="eastAsia" w:ascii="宋体" w:hAnsi="宋体" w:eastAsia="宋体" w:cs="Calibri"/>
          <w:color w:val="auto"/>
          <w:szCs w:val="21"/>
          <w:highlight w:val="none"/>
        </w:rPr>
        <w:t>的响应文件的竞标报价、商务、技术等实质性要求进行符合性审查，以确定其是否满足磋商文件的实质性要求。</w:t>
      </w:r>
    </w:p>
    <w:bookmarkEnd w:id="37"/>
    <w:p w14:paraId="092AAFAE">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2.2</w:t>
      </w:r>
      <w:r>
        <w:rPr>
          <w:rFonts w:hint="eastAsia" w:ascii="宋体" w:hAnsi="宋体" w:eastAsia="宋体" w:cs="Calibri"/>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5A26A3F">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pacing w:val="-6"/>
          <w:szCs w:val="21"/>
          <w:highlight w:val="none"/>
        </w:rPr>
      </w:pPr>
      <w:r>
        <w:rPr>
          <w:rFonts w:ascii="宋体" w:hAnsi="宋体" w:eastAsia="宋体" w:cs="Calibri"/>
          <w:color w:val="auto"/>
          <w:szCs w:val="21"/>
          <w:highlight w:val="none"/>
        </w:rPr>
        <w:t>2</w:t>
      </w:r>
      <w:r>
        <w:rPr>
          <w:rFonts w:hint="eastAsia" w:ascii="宋体" w:hAnsi="宋体" w:eastAsia="宋体" w:cs="Calibri"/>
          <w:color w:val="auto"/>
          <w:szCs w:val="21"/>
          <w:highlight w:val="none"/>
        </w:rPr>
        <w:t>.</w:t>
      </w:r>
      <w:r>
        <w:rPr>
          <w:rFonts w:ascii="宋体" w:hAnsi="宋体" w:eastAsia="宋体" w:cs="Calibri"/>
          <w:color w:val="auto"/>
          <w:szCs w:val="21"/>
          <w:highlight w:val="none"/>
        </w:rPr>
        <w:t>3</w:t>
      </w:r>
      <w:r>
        <w:rPr>
          <w:rFonts w:hint="eastAsia" w:ascii="宋体" w:hAnsi="宋体" w:eastAsia="宋体" w:cs="Calibri"/>
          <w:color w:val="auto"/>
          <w:szCs w:val="21"/>
          <w:highlight w:val="none"/>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eastAsia="宋体"/>
          <w:color w:val="auto"/>
          <w:highlight w:val="none"/>
        </w:rPr>
        <w:t>签章</w:t>
      </w:r>
      <w:r>
        <w:rPr>
          <w:rFonts w:hint="eastAsia" w:ascii="宋体" w:hAnsi="宋体" w:eastAsia="宋体" w:cs="Calibri"/>
          <w:color w:val="auto"/>
          <w:spacing w:val="-6"/>
          <w:szCs w:val="21"/>
          <w:highlight w:val="none"/>
        </w:rPr>
        <w:t>。</w:t>
      </w:r>
    </w:p>
    <w:p w14:paraId="02D2CA08">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pacing w:val="-6"/>
          <w:szCs w:val="21"/>
          <w:highlight w:val="none"/>
        </w:rPr>
      </w:pPr>
      <w:r>
        <w:rPr>
          <w:rFonts w:hint="eastAsia" w:ascii="宋体" w:hAnsi="宋体" w:eastAsia="宋体" w:cs="Cambria"/>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B9D51E5">
      <w:pPr>
        <w:keepNext w:val="0"/>
        <w:keepLines w:val="0"/>
        <w:pageBreakBefore w:val="0"/>
        <w:kinsoku/>
        <w:wordWrap/>
        <w:overflowPunct/>
        <w:topLinePunct w:val="0"/>
        <w:autoSpaceDE/>
        <w:autoSpaceDN/>
        <w:bidi w:val="0"/>
        <w:adjustRightInd/>
        <w:spacing w:after="0" w:line="360" w:lineRule="auto"/>
        <w:ind w:firstLine="396" w:firstLineChars="200"/>
        <w:textAlignment w:val="auto"/>
        <w:rPr>
          <w:rFonts w:ascii="宋体" w:hAnsi="宋体" w:eastAsia="宋体" w:cs="Calibri"/>
          <w:color w:val="auto"/>
          <w:szCs w:val="21"/>
          <w:highlight w:val="none"/>
        </w:rPr>
      </w:pPr>
      <w:r>
        <w:rPr>
          <w:rFonts w:ascii="宋体" w:hAnsi="宋体" w:eastAsia="宋体" w:cs="Calibri"/>
          <w:color w:val="auto"/>
          <w:spacing w:val="-6"/>
          <w:szCs w:val="21"/>
          <w:highlight w:val="none"/>
        </w:rPr>
        <w:t>2.4</w:t>
      </w:r>
      <w:r>
        <w:rPr>
          <w:rFonts w:hint="eastAsia" w:ascii="宋体" w:hAnsi="宋体" w:eastAsia="宋体" w:cs="Calibri"/>
          <w:color w:val="auto"/>
          <w:szCs w:val="21"/>
          <w:highlight w:val="none"/>
        </w:rPr>
        <w:t xml:space="preserve">首次响应文件报价出现前后不一致的，按照下列规定修正： </w:t>
      </w:r>
    </w:p>
    <w:p w14:paraId="0D5BB8DB">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（1）响应文件中报价表内容与响应文件中相应内容不一致的，以报价表为准；</w:t>
      </w:r>
    </w:p>
    <w:p w14:paraId="12CF5AF0">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（2）大写金额和小写金额不一致的，以大写金额为准；</w:t>
      </w:r>
    </w:p>
    <w:p w14:paraId="37E07790">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（3）单价金额小数点或者百分比有明显错位的，以报价表的总价为准，并修改单价；</w:t>
      </w:r>
    </w:p>
    <w:p w14:paraId="3957A901">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（4）总价金额与按单价汇总金额不一致的，以单价金额计算结果为准。</w:t>
      </w:r>
    </w:p>
    <w:p w14:paraId="72FB4F18">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同时出现两种以上不一致的，按照以上（1）-（4）规定的顺序逐条进行修正。修正后的报价经供应商确认后产生约束力，供应商不确认的，其响应文件按无效响应处理。</w:t>
      </w:r>
    </w:p>
    <w:p w14:paraId="2E1653B7">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2</w:t>
      </w:r>
      <w:r>
        <w:rPr>
          <w:rFonts w:hint="eastAsia" w:ascii="宋体" w:hAnsi="宋体" w:eastAsia="宋体" w:cs="Calibri"/>
          <w:color w:val="auto"/>
          <w:szCs w:val="21"/>
          <w:highlight w:val="none"/>
        </w:rPr>
        <w:t>.</w:t>
      </w:r>
      <w:r>
        <w:rPr>
          <w:rFonts w:ascii="宋体" w:hAnsi="宋体" w:eastAsia="宋体" w:cs="Calibri"/>
          <w:color w:val="auto"/>
          <w:szCs w:val="21"/>
          <w:highlight w:val="none"/>
        </w:rPr>
        <w:t>5</w:t>
      </w:r>
      <w:r>
        <w:rPr>
          <w:rFonts w:hint="eastAsia" w:ascii="宋体" w:hAnsi="宋体" w:eastAsia="宋体" w:cs="Calibri"/>
          <w:color w:val="auto"/>
          <w:szCs w:val="21"/>
          <w:highlight w:val="none"/>
        </w:rPr>
        <w:t>商务技术报价评审</w:t>
      </w:r>
    </w:p>
    <w:p w14:paraId="29966108">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在评审时，如发现下列情形之一的，将被视为响应文件无效处理：</w:t>
      </w:r>
    </w:p>
    <w:p w14:paraId="091549AD">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（1）商务技术评审</w:t>
      </w:r>
    </w:p>
    <w:p w14:paraId="10B81631">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1）提供响应文件正、副本数量不足；</w:t>
      </w:r>
    </w:p>
    <w:p w14:paraId="01380CF4">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2）响应文件未按磋商文件要求签署、盖章；</w:t>
      </w:r>
    </w:p>
    <w:p w14:paraId="5E559420">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 xml:space="preserve">3）委托代理人未能出具有效身份证或者出具的身份证与授权委托书中的信息不符的； </w:t>
      </w:r>
    </w:p>
    <w:p w14:paraId="14208544">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4）提交的磋商保证金无效的或者未按照磋商文件的规定提交磋商保证金；</w:t>
      </w:r>
    </w:p>
    <w:p w14:paraId="3EA54763">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5）响应文件未提供任一项“供应商须知前附表”商务技术文件中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5B077F4">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6</w:t>
      </w:r>
      <w:r>
        <w:rPr>
          <w:rFonts w:hint="eastAsia" w:ascii="宋体" w:hAnsi="宋体" w:eastAsia="宋体" w:cs="Calibri"/>
          <w:color w:val="auto"/>
          <w:szCs w:val="21"/>
          <w:highlight w:val="none"/>
        </w:rPr>
        <w:t>）商务要求允许负偏离的条款数超过“供应商须知前附表”规定项数的；</w:t>
      </w:r>
    </w:p>
    <w:p w14:paraId="3DF6C76C">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7</w:t>
      </w:r>
      <w:r>
        <w:rPr>
          <w:rFonts w:hint="eastAsia" w:ascii="宋体" w:hAnsi="宋体" w:eastAsia="宋体" w:cs="Calibri"/>
          <w:color w:val="auto"/>
          <w:szCs w:val="21"/>
          <w:highlight w:val="none"/>
        </w:rPr>
        <w:t>）未对竞标有效期作出响应或者响应文件承诺的竞标有效期不满足磋商文件要求；</w:t>
      </w:r>
    </w:p>
    <w:p w14:paraId="3F4D56C5">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8</w:t>
      </w:r>
      <w:r>
        <w:rPr>
          <w:rFonts w:hint="eastAsia" w:ascii="宋体" w:hAnsi="宋体" w:eastAsia="宋体" w:cs="Calibri"/>
          <w:color w:val="auto"/>
          <w:szCs w:val="21"/>
          <w:highlight w:val="none"/>
        </w:rPr>
        <w:t>）响应文件的实质性内容未使用中文表述、使用计量单位不符合磋商文件要求；</w:t>
      </w:r>
    </w:p>
    <w:p w14:paraId="1506A9EC">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9</w:t>
      </w:r>
      <w:r>
        <w:rPr>
          <w:rFonts w:hint="eastAsia" w:ascii="宋体" w:hAnsi="宋体" w:eastAsia="宋体" w:cs="Calibri"/>
          <w:color w:val="auto"/>
          <w:szCs w:val="21"/>
          <w:highlight w:val="none"/>
        </w:rPr>
        <w:t>）响应文件中的文件资料因填写不齐全或者内容虚假或者出现其他情形而导致被磋商小组认定无效；</w:t>
      </w:r>
    </w:p>
    <w:p w14:paraId="3BB17ADB">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10</w:t>
      </w:r>
      <w:r>
        <w:rPr>
          <w:rFonts w:hint="eastAsia" w:ascii="宋体" w:hAnsi="宋体" w:eastAsia="宋体" w:cs="Calibri"/>
          <w:color w:val="auto"/>
          <w:szCs w:val="21"/>
          <w:highlight w:val="none"/>
        </w:rPr>
        <w:t>）响应文件含有采购人不能接受的附加条件；</w:t>
      </w:r>
    </w:p>
    <w:p w14:paraId="22C2FF46">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1</w:t>
      </w:r>
      <w:r>
        <w:rPr>
          <w:rFonts w:ascii="宋体" w:hAnsi="宋体" w:eastAsia="宋体" w:cs="Calibri"/>
          <w:color w:val="auto"/>
          <w:szCs w:val="21"/>
          <w:highlight w:val="none"/>
        </w:rPr>
        <w:t>1</w:t>
      </w:r>
      <w:r>
        <w:rPr>
          <w:rFonts w:hint="eastAsia" w:ascii="宋体" w:hAnsi="宋体" w:eastAsia="宋体" w:cs="Calibri"/>
          <w:color w:val="auto"/>
          <w:szCs w:val="21"/>
          <w:highlight w:val="none"/>
        </w:rPr>
        <w:t>）属于“供应商须知正文”第7.</w:t>
      </w:r>
      <w:r>
        <w:rPr>
          <w:rFonts w:ascii="宋体" w:hAnsi="宋体" w:eastAsia="宋体" w:cs="Calibri"/>
          <w:color w:val="auto"/>
          <w:szCs w:val="21"/>
          <w:highlight w:val="none"/>
        </w:rPr>
        <w:t>5</w:t>
      </w:r>
      <w:r>
        <w:rPr>
          <w:rFonts w:hint="eastAsia" w:ascii="宋体" w:hAnsi="宋体" w:eastAsia="宋体" w:cs="Calibri"/>
          <w:color w:val="auto"/>
          <w:szCs w:val="21"/>
          <w:highlight w:val="none"/>
        </w:rPr>
        <w:t>条情形；</w:t>
      </w:r>
    </w:p>
    <w:p w14:paraId="2DC7E07F">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1</w:t>
      </w:r>
      <w:r>
        <w:rPr>
          <w:rFonts w:hint="eastAsia" w:ascii="宋体" w:hAnsi="宋体" w:eastAsia="宋体" w:cs="Calibri"/>
          <w:color w:val="auto"/>
          <w:szCs w:val="21"/>
          <w:highlight w:val="none"/>
        </w:rPr>
        <w:t>2）技术要求允许负偏离的条款数超过“供应商须知前附表”规定项数；</w:t>
      </w:r>
    </w:p>
    <w:p w14:paraId="67FC2739">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1</w:t>
      </w:r>
      <w:r>
        <w:rPr>
          <w:rFonts w:hint="eastAsia" w:ascii="宋体" w:hAnsi="宋体" w:eastAsia="宋体" w:cs="Calibri"/>
          <w:color w:val="auto"/>
          <w:szCs w:val="21"/>
          <w:highlight w:val="none"/>
        </w:rPr>
        <w:t>3）虚假竞标，或者出现其他情形而导致被磋商小组认定无效；</w:t>
      </w:r>
    </w:p>
    <w:p w14:paraId="4F79B3A9">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1</w:t>
      </w:r>
      <w:r>
        <w:rPr>
          <w:rFonts w:hint="eastAsia" w:ascii="宋体" w:hAnsi="宋体" w:eastAsia="宋体" w:cs="Calibri"/>
          <w:color w:val="auto"/>
          <w:szCs w:val="21"/>
          <w:highlight w:val="none"/>
        </w:rPr>
        <w:t>4）</w:t>
      </w:r>
      <w:bookmarkStart w:id="38" w:name="_Hlk71704147"/>
      <w:r>
        <w:rPr>
          <w:rFonts w:hint="eastAsia" w:ascii="宋体" w:hAnsi="宋体" w:eastAsia="宋体" w:cs="Calibri"/>
          <w:color w:val="auto"/>
          <w:szCs w:val="21"/>
          <w:highlight w:val="none"/>
        </w:rPr>
        <w:t>磋商文件未载明允许提供备选（替代）竞标方案或明确不允许提供备选（替代）竞标方案时，供应商提供了备选（替代）竞标方案的；</w:t>
      </w:r>
      <w:bookmarkEnd w:id="38"/>
    </w:p>
    <w:p w14:paraId="0AEE4133">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15</w:t>
      </w:r>
      <w:r>
        <w:rPr>
          <w:rFonts w:hint="eastAsia" w:ascii="宋体" w:hAnsi="宋体" w:eastAsia="宋体" w:cs="Calibri"/>
          <w:color w:val="auto"/>
          <w:szCs w:val="21"/>
          <w:highlight w:val="none"/>
        </w:rPr>
        <w:t>）响应文件标注的项目名称或者项目编号与磋商文件标注的项目名称或者项目编号不一致的；</w:t>
      </w:r>
    </w:p>
    <w:p w14:paraId="7147FD18">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1</w:t>
      </w:r>
      <w:r>
        <w:rPr>
          <w:rFonts w:ascii="宋体" w:hAnsi="宋体" w:eastAsia="宋体" w:cs="Calibri"/>
          <w:color w:val="auto"/>
          <w:szCs w:val="21"/>
          <w:highlight w:val="none"/>
        </w:rPr>
        <w:t>6</w:t>
      </w:r>
      <w:r>
        <w:rPr>
          <w:rFonts w:hint="eastAsia" w:ascii="宋体" w:hAnsi="宋体" w:eastAsia="宋体" w:cs="Calibri"/>
          <w:color w:val="auto"/>
          <w:szCs w:val="21"/>
          <w:highlight w:val="none"/>
        </w:rPr>
        <w:t>）</w:t>
      </w:r>
      <w:r>
        <w:rPr>
          <w:rFonts w:hint="eastAsia" w:ascii="宋体" w:hAnsi="宋体" w:eastAsia="宋体"/>
          <w:b/>
          <w:color w:val="auto"/>
          <w:szCs w:val="21"/>
          <w:highlight w:val="none"/>
        </w:rPr>
        <w:t>竞争性磋商文件明确不允许分包，响应文件拟分包的；</w:t>
      </w:r>
    </w:p>
    <w:p w14:paraId="71C56B11">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17</w:t>
      </w:r>
      <w:r>
        <w:rPr>
          <w:rFonts w:hint="eastAsia" w:ascii="宋体" w:hAnsi="宋体" w:eastAsia="宋体" w:cs="Calibri"/>
          <w:color w:val="auto"/>
          <w:szCs w:val="21"/>
          <w:highlight w:val="none"/>
        </w:rPr>
        <w:t>）未响应磋商文件实质性要求；</w:t>
      </w:r>
    </w:p>
    <w:p w14:paraId="3DA95400">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1</w:t>
      </w:r>
      <w:r>
        <w:rPr>
          <w:rFonts w:ascii="宋体" w:hAnsi="宋体" w:eastAsia="宋体" w:cs="Calibri"/>
          <w:color w:val="auto"/>
          <w:szCs w:val="21"/>
          <w:highlight w:val="none"/>
        </w:rPr>
        <w:t>8</w:t>
      </w:r>
      <w:r>
        <w:rPr>
          <w:rFonts w:hint="eastAsia" w:ascii="宋体" w:hAnsi="宋体" w:eastAsia="宋体" w:cs="Calibri"/>
          <w:color w:val="auto"/>
          <w:szCs w:val="21"/>
          <w:highlight w:val="none"/>
        </w:rPr>
        <w:t>）法律、法规和磋商文件规定的其他无效情形。</w:t>
      </w:r>
    </w:p>
    <w:p w14:paraId="24086256">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w:t>
      </w:r>
      <w:r>
        <w:rPr>
          <w:rFonts w:ascii="宋体" w:hAnsi="宋体" w:eastAsia="宋体" w:cs="Calibri"/>
          <w:color w:val="auto"/>
          <w:szCs w:val="21"/>
          <w:highlight w:val="none"/>
        </w:rPr>
        <w:t>2</w:t>
      </w:r>
      <w:r>
        <w:rPr>
          <w:rFonts w:hint="eastAsia" w:ascii="宋体" w:hAnsi="宋体" w:eastAsia="宋体" w:cs="Calibri"/>
          <w:color w:val="auto"/>
          <w:szCs w:val="21"/>
          <w:highlight w:val="none"/>
        </w:rPr>
        <w:t>）报价评审</w:t>
      </w:r>
    </w:p>
    <w:p w14:paraId="70B14B04">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1）</w:t>
      </w:r>
      <w:r>
        <w:rPr>
          <w:rFonts w:ascii="宋体" w:hAnsi="宋体" w:eastAsia="宋体" w:cs="Calibri"/>
          <w:color w:val="auto"/>
          <w:szCs w:val="21"/>
          <w:highlight w:val="none"/>
        </w:rPr>
        <w:t xml:space="preserve"> </w:t>
      </w:r>
      <w:r>
        <w:rPr>
          <w:rFonts w:hint="eastAsia" w:ascii="宋体" w:hAnsi="宋体" w:eastAsia="宋体" w:cs="Calibri"/>
          <w:color w:val="auto"/>
          <w:szCs w:val="21"/>
          <w:highlight w:val="none"/>
        </w:rPr>
        <w:t>响应文件未提供“供应商须知前附表” 报价文件中规定的“竞标报价表”；</w:t>
      </w:r>
    </w:p>
    <w:p w14:paraId="5C97C71F">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2）未采用人民币报价或者未按照磋商文件标明的币种报价；</w:t>
      </w:r>
    </w:p>
    <w:p w14:paraId="45BED50A">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44FFC63C">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4）竞标报价（包含首次报价、最后报价）超过所竞标分标规定的采购预算金额或者最高限价的（如本项目公布了最高限价）；</w:t>
      </w:r>
      <w:bookmarkStart w:id="39" w:name="_Hlk42596405"/>
      <w:r>
        <w:rPr>
          <w:rFonts w:hint="eastAsia" w:ascii="宋体" w:hAnsi="宋体" w:eastAsia="宋体" w:cs="Calibri"/>
          <w:color w:val="auto"/>
          <w:szCs w:val="21"/>
          <w:highlight w:val="none"/>
        </w:rPr>
        <w:t>竞标报价（包含首次报价、最后报价）</w:t>
      </w:r>
      <w:bookmarkEnd w:id="39"/>
      <w:bookmarkStart w:id="40" w:name="_Hlk42596276"/>
      <w:r>
        <w:rPr>
          <w:rFonts w:hint="eastAsia" w:ascii="宋体" w:hAnsi="宋体" w:eastAsia="宋体" w:cs="Calibri"/>
          <w:color w:val="auto"/>
          <w:szCs w:val="21"/>
          <w:highlight w:val="none"/>
        </w:rPr>
        <w:t>超过磋商文件分项采购预算金额或者最高限价的</w:t>
      </w:r>
      <w:bookmarkEnd w:id="40"/>
      <w:r>
        <w:rPr>
          <w:rFonts w:hint="eastAsia" w:ascii="宋体" w:hAnsi="宋体" w:eastAsia="宋体" w:cs="Calibri"/>
          <w:color w:val="auto"/>
          <w:szCs w:val="21"/>
          <w:highlight w:val="none"/>
        </w:rPr>
        <w:t>（如本项目公布了最高限价）；</w:t>
      </w:r>
    </w:p>
    <w:p w14:paraId="2364D154">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6DBF3BB6">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6）</w:t>
      </w:r>
      <w:r>
        <w:rPr>
          <w:rFonts w:hint="eastAsia" w:ascii="宋体" w:hAnsi="宋体" w:eastAsia="宋体"/>
          <w:color w:val="auto"/>
          <w:szCs w:val="21"/>
          <w:highlight w:val="none"/>
        </w:rPr>
        <w:t>响应文件响应的标的数量及单位与竞争性磋商采购文件要求实质性不一致的。</w:t>
      </w:r>
    </w:p>
    <w:p w14:paraId="5C6297CC">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2.6</w:t>
      </w:r>
      <w:r>
        <w:rPr>
          <w:rFonts w:hint="eastAsia" w:ascii="宋体" w:hAnsi="宋体" w:eastAsia="宋体" w:cs="Calibri"/>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D664F7D">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2.7</w:t>
      </w:r>
      <w:r>
        <w:rPr>
          <w:rFonts w:hint="eastAsia" w:ascii="宋体" w:hAnsi="宋体" w:eastAsia="宋体"/>
          <w:color w:val="auto"/>
          <w:szCs w:val="21"/>
          <w:highlight w:val="none"/>
        </w:rPr>
        <w:t>通过符合性审查的合格供应商不足3家的，不得进入磋商环节，采购人或者采购代理机构应当重新开展采购活动。</w:t>
      </w:r>
    </w:p>
    <w:p w14:paraId="69045B34">
      <w:pPr>
        <w:keepNext w:val="0"/>
        <w:keepLines w:val="0"/>
        <w:pageBreakBefore w:val="0"/>
        <w:kinsoku/>
        <w:wordWrap/>
        <w:overflowPunct/>
        <w:topLinePunct w:val="0"/>
        <w:autoSpaceDE/>
        <w:autoSpaceDN/>
        <w:bidi w:val="0"/>
        <w:adjustRightInd/>
        <w:spacing w:after="0" w:line="360" w:lineRule="auto"/>
        <w:ind w:firstLine="482" w:firstLineChars="200"/>
        <w:textAlignment w:val="auto"/>
        <w:rPr>
          <w:rFonts w:ascii="宋体" w:hAnsi="宋体" w:eastAsia="宋体" w:cs="Calibri"/>
          <w:b/>
          <w:bCs/>
          <w:color w:val="auto"/>
          <w:sz w:val="24"/>
          <w:highlight w:val="none"/>
        </w:rPr>
      </w:pPr>
      <w:r>
        <w:rPr>
          <w:rFonts w:ascii="宋体" w:hAnsi="宋体" w:eastAsia="宋体" w:cs="Calibri"/>
          <w:b/>
          <w:bCs/>
          <w:color w:val="auto"/>
          <w:sz w:val="24"/>
          <w:highlight w:val="none"/>
        </w:rPr>
        <w:t>3</w:t>
      </w:r>
      <w:r>
        <w:rPr>
          <w:rFonts w:hint="eastAsia" w:ascii="宋体" w:hAnsi="宋体" w:eastAsia="宋体" w:cs="Calibri"/>
          <w:b/>
          <w:bCs/>
          <w:color w:val="auto"/>
          <w:sz w:val="24"/>
          <w:highlight w:val="none"/>
        </w:rPr>
        <w:t>.磋商程序</w:t>
      </w:r>
    </w:p>
    <w:p w14:paraId="672BD033">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kern w:val="0"/>
          <w:szCs w:val="21"/>
          <w:highlight w:val="none"/>
        </w:rPr>
      </w:pPr>
      <w:r>
        <w:rPr>
          <w:rFonts w:hint="eastAsia" w:ascii="宋体" w:hAnsi="宋体" w:eastAsia="宋体" w:cs="Calibri"/>
          <w:color w:val="auto"/>
          <w:kern w:val="0"/>
          <w:szCs w:val="21"/>
          <w:highlight w:val="none"/>
        </w:rPr>
        <w:t>3</w:t>
      </w:r>
      <w:r>
        <w:rPr>
          <w:rFonts w:ascii="宋体" w:hAnsi="宋体" w:eastAsia="宋体" w:cs="Calibri"/>
          <w:color w:val="auto"/>
          <w:kern w:val="0"/>
          <w:szCs w:val="21"/>
          <w:highlight w:val="none"/>
        </w:rPr>
        <w:t>.1</w:t>
      </w:r>
      <w:r>
        <w:rPr>
          <w:rFonts w:hint="eastAsia" w:ascii="宋体" w:hAnsi="宋体" w:eastAsia="宋体" w:cs="Calibri"/>
          <w:color w:val="auto"/>
          <w:kern w:val="0"/>
          <w:szCs w:val="21"/>
          <w:highlight w:val="none"/>
        </w:rPr>
        <w:t>磋商小组</w:t>
      </w:r>
      <w:r>
        <w:rPr>
          <w:rFonts w:hint="eastAsia" w:ascii="宋体" w:hAnsi="宋体" w:eastAsia="宋体" w:cs="Calibri"/>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6DF2D77">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3.2</w:t>
      </w:r>
      <w:r>
        <w:rPr>
          <w:rFonts w:hint="eastAsia" w:ascii="宋体" w:hAnsi="宋体" w:eastAsia="宋体" w:cs="Calibri"/>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ADFE827">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3.3</w:t>
      </w:r>
      <w:r>
        <w:rPr>
          <w:rFonts w:hint="eastAsia" w:ascii="宋体" w:hAnsi="宋体" w:eastAsia="宋体" w:cs="Calibri"/>
          <w:color w:val="auto"/>
          <w:szCs w:val="21"/>
          <w:highlight w:val="none"/>
        </w:rPr>
        <w:t>对磋商文件作出的实质性变动是磋商文件的有效组成部分，由磋商小组及时以电子澄清函形式同时通知所有参加磋商的供应商。</w:t>
      </w:r>
    </w:p>
    <w:p w14:paraId="4AD9E34E">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3.4</w:t>
      </w:r>
      <w:r>
        <w:rPr>
          <w:rFonts w:hint="eastAsia" w:ascii="宋体" w:hAnsi="宋体" w:eastAsia="宋体" w:cs="Calibri"/>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23F1F796">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3.5</w:t>
      </w:r>
      <w:r>
        <w:rPr>
          <w:rFonts w:hint="eastAsia" w:ascii="宋体" w:hAnsi="宋体" w:eastAsia="宋体" w:cs="Calibri"/>
          <w:color w:val="auto"/>
          <w:szCs w:val="21"/>
          <w:highlight w:val="none"/>
        </w:rPr>
        <w:t>磋商中，</w:t>
      </w:r>
      <w:r>
        <w:rPr>
          <w:rFonts w:hint="eastAsia" w:ascii="宋体" w:hAnsi="宋体" w:eastAsia="宋体" w:cs="Calibri"/>
          <w:color w:val="auto"/>
          <w:spacing w:val="-6"/>
          <w:szCs w:val="21"/>
          <w:highlight w:val="none"/>
        </w:rPr>
        <w:t>磋商的任何一方不得透露与磋商有关的其他供应商的技术资料、价格和其他信息。</w:t>
      </w:r>
    </w:p>
    <w:p w14:paraId="14B3FD94">
      <w:pPr>
        <w:keepNext w:val="0"/>
        <w:keepLines w:val="0"/>
        <w:pageBreakBefore w:val="0"/>
        <w:widowControl/>
        <w:tabs>
          <w:tab w:val="left" w:pos="540"/>
        </w:tabs>
        <w:kinsoku/>
        <w:wordWrap/>
        <w:overflowPunct/>
        <w:topLinePunct w:val="0"/>
        <w:autoSpaceDE/>
        <w:autoSpaceDN/>
        <w:bidi w:val="0"/>
        <w:adjustRightInd/>
        <w:spacing w:after="0" w:line="360" w:lineRule="auto"/>
        <w:ind w:firstLine="420" w:firstLineChars="200"/>
        <w:jc w:val="left"/>
        <w:textAlignment w:val="auto"/>
        <w:rPr>
          <w:rFonts w:ascii="宋体" w:hAnsi="宋体" w:eastAsia="宋体" w:cs="Calibri"/>
          <w:color w:val="auto"/>
          <w:szCs w:val="21"/>
          <w:highlight w:val="none"/>
        </w:rPr>
      </w:pPr>
      <w:r>
        <w:rPr>
          <w:rFonts w:ascii="宋体" w:hAnsi="宋体" w:eastAsia="宋体" w:cs="Calibri"/>
          <w:color w:val="auto"/>
          <w:szCs w:val="21"/>
          <w:highlight w:val="none"/>
        </w:rPr>
        <w:t>3.6</w:t>
      </w:r>
      <w:r>
        <w:rPr>
          <w:rFonts w:hint="eastAsia" w:ascii="宋体" w:hAnsi="宋体" w:eastAsia="宋体" w:cs="Calibri"/>
          <w:color w:val="auto"/>
          <w:szCs w:val="21"/>
          <w:highlight w:val="none"/>
        </w:rPr>
        <w:t>采购代理机构对磋商过程和重要磋商内容进行记录。</w:t>
      </w:r>
    </w:p>
    <w:p w14:paraId="5813C033">
      <w:pPr>
        <w:keepNext w:val="0"/>
        <w:keepLines w:val="0"/>
        <w:pageBreakBefore w:val="0"/>
        <w:widowControl/>
        <w:tabs>
          <w:tab w:val="left" w:pos="540"/>
        </w:tabs>
        <w:kinsoku/>
        <w:wordWrap/>
        <w:overflowPunct/>
        <w:topLinePunct w:val="0"/>
        <w:autoSpaceDE/>
        <w:autoSpaceDN/>
        <w:bidi w:val="0"/>
        <w:adjustRightInd/>
        <w:spacing w:after="0" w:line="360" w:lineRule="auto"/>
        <w:ind w:firstLine="420" w:firstLineChars="200"/>
        <w:jc w:val="left"/>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3</w:t>
      </w:r>
      <w:r>
        <w:rPr>
          <w:rFonts w:ascii="宋体" w:hAnsi="宋体" w:eastAsia="宋体" w:cs="Calibri"/>
          <w:color w:val="auto"/>
          <w:szCs w:val="21"/>
          <w:highlight w:val="none"/>
        </w:rPr>
        <w:t>.7</w:t>
      </w:r>
      <w:r>
        <w:rPr>
          <w:rFonts w:ascii="宋体" w:hAnsi="宋体" w:eastAsia="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8C14F87">
      <w:pPr>
        <w:keepNext w:val="0"/>
        <w:keepLines w:val="0"/>
        <w:pageBreakBefore w:val="0"/>
        <w:tabs>
          <w:tab w:val="left" w:pos="2835"/>
        </w:tabs>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3.8除</w:t>
      </w:r>
      <w:r>
        <w:rPr>
          <w:rFonts w:ascii="宋体" w:hAnsi="宋体" w:eastAsia="宋体"/>
          <w:color w:val="auto"/>
          <w:highlight w:val="none"/>
        </w:rPr>
        <w:t>本章第3.7条情形</w:t>
      </w:r>
      <w:r>
        <w:rPr>
          <w:rFonts w:hint="eastAsia" w:ascii="宋体" w:hAnsi="宋体" w:eastAsia="宋体"/>
          <w:color w:val="auto"/>
          <w:highlight w:val="none"/>
        </w:rPr>
        <w:t>外，</w:t>
      </w:r>
      <w:r>
        <w:rPr>
          <w:rFonts w:hint="eastAsia" w:ascii="宋体" w:hAnsi="宋体" w:eastAsia="宋体"/>
          <w:color w:val="auto"/>
          <w:szCs w:val="21"/>
          <w:highlight w:val="none"/>
        </w:rPr>
        <w:t>对磋商过程提交的响应文件进行有效性、完整性和响应程度审查，通过审查的合格供应商不足3家的，采购人或者采购代理机构应当重新开展采购活动。</w:t>
      </w:r>
    </w:p>
    <w:p w14:paraId="7B14B034">
      <w:pPr>
        <w:keepNext w:val="0"/>
        <w:keepLines w:val="0"/>
        <w:pageBreakBefore w:val="0"/>
        <w:kinsoku/>
        <w:wordWrap/>
        <w:overflowPunct/>
        <w:topLinePunct w:val="0"/>
        <w:autoSpaceDE/>
        <w:autoSpaceDN/>
        <w:bidi w:val="0"/>
        <w:adjustRightInd/>
        <w:spacing w:after="0" w:line="360" w:lineRule="auto"/>
        <w:ind w:firstLine="482" w:firstLineChars="200"/>
        <w:textAlignment w:val="auto"/>
        <w:rPr>
          <w:rFonts w:ascii="宋体" w:hAnsi="宋体" w:eastAsia="宋体" w:cs="Calibri"/>
          <w:color w:val="auto"/>
          <w:szCs w:val="21"/>
          <w:highlight w:val="none"/>
        </w:rPr>
      </w:pPr>
      <w:r>
        <w:rPr>
          <w:rFonts w:ascii="宋体" w:hAnsi="宋体" w:eastAsia="宋体" w:cs="Calibri"/>
          <w:b/>
          <w:bCs/>
          <w:color w:val="auto"/>
          <w:sz w:val="24"/>
          <w:highlight w:val="none"/>
        </w:rPr>
        <w:t>4.</w:t>
      </w:r>
      <w:r>
        <w:rPr>
          <w:rFonts w:hint="eastAsia" w:ascii="宋体" w:hAnsi="宋体" w:eastAsia="宋体" w:cs="Calibri"/>
          <w:b/>
          <w:bCs/>
          <w:color w:val="auto"/>
          <w:sz w:val="24"/>
          <w:highlight w:val="none"/>
        </w:rPr>
        <w:t xml:space="preserve"> 最后报价</w:t>
      </w:r>
    </w:p>
    <w:p w14:paraId="63B8A3A3">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4</w:t>
      </w:r>
      <w:r>
        <w:rPr>
          <w:rFonts w:ascii="宋体" w:hAnsi="宋体" w:eastAsia="宋体" w:cs="Calibri"/>
          <w:color w:val="auto"/>
          <w:szCs w:val="21"/>
          <w:highlight w:val="none"/>
        </w:rPr>
        <w:t>.1</w:t>
      </w:r>
      <w:r>
        <w:rPr>
          <w:rFonts w:hint="eastAsia" w:ascii="宋体" w:hAnsi="宋体" w:eastAsia="宋体" w:cs="Calibri"/>
          <w:color w:val="auto"/>
          <w:szCs w:val="21"/>
          <w:highlight w:val="none"/>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eastAsia="宋体" w:cs="Calibri"/>
          <w:color w:val="auto"/>
          <w:szCs w:val="21"/>
          <w:highlight w:val="none"/>
        </w:rPr>
        <w:t>4.3</w:t>
      </w:r>
      <w:r>
        <w:rPr>
          <w:rFonts w:hint="eastAsia" w:ascii="宋体" w:hAnsi="宋体" w:eastAsia="宋体" w:cs="Calibri"/>
          <w:color w:val="auto"/>
          <w:szCs w:val="21"/>
          <w:highlight w:val="none"/>
        </w:rPr>
        <w:t>条外，提交最后报价的供应商不得少于3家，否则必须重新采购。</w:t>
      </w:r>
    </w:p>
    <w:p w14:paraId="3D6AA205">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4</w:t>
      </w:r>
      <w:r>
        <w:rPr>
          <w:rFonts w:ascii="宋体" w:hAnsi="宋体" w:eastAsia="宋体" w:cs="Calibri"/>
          <w:color w:val="auto"/>
          <w:szCs w:val="21"/>
          <w:highlight w:val="none"/>
        </w:rPr>
        <w:t>.2</w:t>
      </w:r>
      <w:r>
        <w:rPr>
          <w:rFonts w:hint="eastAsia" w:ascii="宋体" w:hAnsi="宋体" w:eastAsia="宋体" w:cs="Calibri"/>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3ED672AF">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4.3</w:t>
      </w:r>
      <w:r>
        <w:rPr>
          <w:rFonts w:hint="eastAsia" w:ascii="宋体" w:hAnsi="宋体" w:eastAsia="宋体" w:cs="Calibri"/>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rFonts w:ascii="宋体" w:hAnsi="宋体" w:eastAsia="宋体"/>
          <w:color w:val="auto"/>
          <w:highlight w:val="none"/>
        </w:rPr>
        <w:t>本章第3.7条情形的，</w:t>
      </w:r>
      <w:r>
        <w:rPr>
          <w:rFonts w:hint="eastAsia" w:ascii="宋体" w:hAnsi="宋体" w:eastAsia="宋体" w:cs="Calibri"/>
          <w:color w:val="auto"/>
          <w:szCs w:val="21"/>
          <w:highlight w:val="none"/>
        </w:rPr>
        <w:t>提交最后报价的供应商可以为2家。</w:t>
      </w:r>
    </w:p>
    <w:p w14:paraId="43FA6762">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4.4</w:t>
      </w:r>
      <w:r>
        <w:rPr>
          <w:rFonts w:hint="eastAsia" w:ascii="宋体" w:hAnsi="宋体" w:eastAsia="宋体" w:cs="Calibri"/>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785D0333">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4.5</w:t>
      </w:r>
      <w:r>
        <w:rPr>
          <w:rFonts w:hint="eastAsia" w:ascii="宋体" w:hAnsi="宋体" w:eastAsia="宋体" w:cs="Calibri"/>
          <w:color w:val="auto"/>
          <w:szCs w:val="21"/>
          <w:highlight w:val="none"/>
        </w:rPr>
        <w:t>供应商未在规定时间内提交最后报价的，视同退出磋商，其响应文件按无效处理。</w:t>
      </w:r>
    </w:p>
    <w:p w14:paraId="2350AB3F">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4.6</w:t>
      </w:r>
      <w:r>
        <w:rPr>
          <w:rFonts w:hint="eastAsia" w:ascii="宋体" w:hAnsi="宋体" w:eastAsia="宋体" w:cs="Calibri"/>
          <w:color w:val="auto"/>
          <w:szCs w:val="21"/>
          <w:highlight w:val="none"/>
        </w:rPr>
        <w:t>最后报价统一开启后，磋商小组对最后报价进行有效性、完整性和响应程度的审查。</w:t>
      </w:r>
    </w:p>
    <w:p w14:paraId="68C66321">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4.7</w:t>
      </w:r>
      <w:r>
        <w:rPr>
          <w:rFonts w:hint="eastAsia" w:ascii="宋体" w:hAnsi="宋体" w:eastAsia="宋体" w:cs="Calibri"/>
          <w:color w:val="auto"/>
          <w:szCs w:val="21"/>
          <w:highlight w:val="none"/>
        </w:rPr>
        <w:t>最后报价出现前后不一致的，按照本章第</w:t>
      </w:r>
      <w:r>
        <w:rPr>
          <w:rFonts w:ascii="宋体" w:hAnsi="宋体" w:eastAsia="宋体" w:cs="Calibri"/>
          <w:color w:val="auto"/>
          <w:szCs w:val="21"/>
          <w:highlight w:val="none"/>
        </w:rPr>
        <w:t>2.4</w:t>
      </w:r>
      <w:r>
        <w:rPr>
          <w:rFonts w:hint="eastAsia" w:ascii="宋体" w:hAnsi="宋体" w:eastAsia="宋体" w:cs="Calibri"/>
          <w:color w:val="auto"/>
          <w:szCs w:val="21"/>
          <w:highlight w:val="none"/>
        </w:rPr>
        <w:t xml:space="preserve">条的规定修正。 </w:t>
      </w:r>
    </w:p>
    <w:p w14:paraId="1DD5E1A0">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4.8</w:t>
      </w:r>
      <w:r>
        <w:rPr>
          <w:rFonts w:hint="eastAsia" w:ascii="宋体" w:hAnsi="宋体" w:eastAsia="宋体" w:cs="Calibri"/>
          <w:color w:val="auto"/>
          <w:szCs w:val="21"/>
          <w:highlight w:val="none"/>
        </w:rPr>
        <w:t>修正后的报价出现下列情形的，按无效响应处理：</w:t>
      </w:r>
    </w:p>
    <w:p w14:paraId="313D7B89">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（1）供应商不确认的（全流程电子化评标采取在线确认）；</w:t>
      </w:r>
    </w:p>
    <w:p w14:paraId="1EB90A64">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（2）经供应商确认修正后的竞标报价（包含首次报价、最后报价）超过所竞标分标规定的采购预算金额或者最高限价的（如本项目公布了最高限价）；</w:t>
      </w:r>
    </w:p>
    <w:p w14:paraId="3BD06D14">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（3）经供应商确认修正后的竞标报价（包含首次报价、最后报价）超过分项采购预算金额或者最高限价的（如本项目公布了最高限价）。</w:t>
      </w:r>
    </w:p>
    <w:p w14:paraId="45F56E6F">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4.9</w:t>
      </w:r>
      <w:r>
        <w:rPr>
          <w:rFonts w:hint="eastAsia" w:ascii="宋体" w:hAnsi="宋体" w:eastAsia="宋体" w:cs="Calibri"/>
          <w:color w:val="auto"/>
          <w:szCs w:val="21"/>
          <w:highlight w:val="none"/>
        </w:rPr>
        <w:t>经供应商确认修正后的最后报价作为评审及签订合同的依据。</w:t>
      </w:r>
    </w:p>
    <w:p w14:paraId="739A6DD1">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4.10供应商出现最后报价按无效响应处理或者响应文件按无效处理时</w:t>
      </w:r>
      <w:r>
        <w:rPr>
          <w:rFonts w:hint="eastAsia" w:ascii="宋体" w:hAnsi="宋体" w:eastAsia="宋体"/>
          <w:color w:val="auto"/>
          <w:sz w:val="22"/>
          <w:szCs w:val="22"/>
          <w:highlight w:val="none"/>
        </w:rPr>
        <w:t>，磋商小组应当告知有关供应商</w:t>
      </w:r>
      <w:r>
        <w:rPr>
          <w:rFonts w:hint="eastAsia" w:ascii="宋体" w:hAnsi="宋体" w:eastAsia="宋体" w:cs="Calibri"/>
          <w:color w:val="auto"/>
          <w:szCs w:val="21"/>
          <w:highlight w:val="none"/>
        </w:rPr>
        <w:t>。</w:t>
      </w:r>
    </w:p>
    <w:p w14:paraId="0673CE6F">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4</w:t>
      </w:r>
      <w:r>
        <w:rPr>
          <w:rFonts w:ascii="宋体" w:hAnsi="宋体" w:eastAsia="宋体" w:cs="Calibri"/>
          <w:color w:val="auto"/>
          <w:szCs w:val="21"/>
          <w:highlight w:val="none"/>
        </w:rPr>
        <w:t>.1</w:t>
      </w:r>
      <w:r>
        <w:rPr>
          <w:rFonts w:hint="eastAsia" w:ascii="宋体" w:hAnsi="宋体" w:eastAsia="宋体" w:cs="Calibri"/>
          <w:color w:val="auto"/>
          <w:szCs w:val="21"/>
          <w:highlight w:val="none"/>
        </w:rPr>
        <w:t>1最后报价结束后，磋商小组不得再与供应商进行任何形式的商谈。</w:t>
      </w:r>
    </w:p>
    <w:p w14:paraId="23C33432">
      <w:pPr>
        <w:keepNext w:val="0"/>
        <w:keepLines w:val="0"/>
        <w:pageBreakBefore w:val="0"/>
        <w:kinsoku/>
        <w:wordWrap/>
        <w:overflowPunct/>
        <w:topLinePunct w:val="0"/>
        <w:autoSpaceDE/>
        <w:autoSpaceDN/>
        <w:bidi w:val="0"/>
        <w:adjustRightInd/>
        <w:spacing w:after="0" w:line="360" w:lineRule="auto"/>
        <w:ind w:firstLine="482" w:firstLineChars="200"/>
        <w:textAlignment w:val="auto"/>
        <w:rPr>
          <w:rFonts w:ascii="宋体" w:hAnsi="宋体" w:eastAsia="宋体" w:cs="Calibri"/>
          <w:b/>
          <w:bCs/>
          <w:color w:val="auto"/>
          <w:sz w:val="24"/>
          <w:highlight w:val="none"/>
        </w:rPr>
      </w:pPr>
      <w:r>
        <w:rPr>
          <w:rFonts w:hint="eastAsia" w:ascii="宋体" w:hAnsi="宋体" w:eastAsia="宋体" w:cs="Calibri"/>
          <w:b/>
          <w:bCs/>
          <w:color w:val="auto"/>
          <w:sz w:val="24"/>
          <w:highlight w:val="none"/>
        </w:rPr>
        <w:t>5</w:t>
      </w:r>
      <w:r>
        <w:rPr>
          <w:rFonts w:ascii="宋体" w:hAnsi="宋体" w:eastAsia="宋体" w:cs="Calibri"/>
          <w:b/>
          <w:bCs/>
          <w:color w:val="auto"/>
          <w:sz w:val="24"/>
          <w:highlight w:val="none"/>
        </w:rPr>
        <w:t>.</w:t>
      </w:r>
      <w:r>
        <w:rPr>
          <w:rFonts w:hint="eastAsia" w:ascii="宋体" w:hAnsi="宋体" w:eastAsia="宋体" w:cs="Calibri"/>
          <w:b/>
          <w:bCs/>
          <w:color w:val="auto"/>
          <w:sz w:val="24"/>
          <w:highlight w:val="none"/>
        </w:rPr>
        <w:t>比较与评价</w:t>
      </w:r>
    </w:p>
    <w:p w14:paraId="12B61AAA">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5.1</w:t>
      </w:r>
      <w:r>
        <w:rPr>
          <w:rFonts w:hint="eastAsia" w:ascii="宋体" w:hAnsi="宋体" w:eastAsia="宋体" w:cs="Calibri"/>
          <w:color w:val="auto"/>
          <w:szCs w:val="21"/>
          <w:highlight w:val="none"/>
        </w:rPr>
        <w:t>评审方法：综合评分法。</w:t>
      </w:r>
    </w:p>
    <w:p w14:paraId="6F299D95">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5.2</w:t>
      </w:r>
      <w:r>
        <w:rPr>
          <w:rFonts w:hint="eastAsia" w:ascii="宋体" w:hAnsi="宋体" w:eastAsia="宋体" w:cs="Calibri"/>
          <w:color w:val="auto"/>
          <w:szCs w:val="21"/>
          <w:highlight w:val="none"/>
        </w:rPr>
        <w:t>经磋商确定最终采购需求和提交最后报价的供应商后，由磋商小组采用综合评分法对提交最后报价的供应商的响应文件和最后报价进行综合评分。</w:t>
      </w:r>
    </w:p>
    <w:p w14:paraId="2A8F5551">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5.3</w:t>
      </w:r>
      <w:r>
        <w:rPr>
          <w:rFonts w:hint="eastAsia" w:ascii="宋体" w:hAnsi="宋体" w:eastAsia="宋体" w:cs="Calibri"/>
          <w:color w:val="auto"/>
          <w:szCs w:val="21"/>
          <w:highlight w:val="none"/>
        </w:rPr>
        <w:t>评审时，磋商小组各成员应当独立对每个有效响应的文件进行评价、打分，然后汇总每个供应商每项评分因素的得分。</w:t>
      </w:r>
    </w:p>
    <w:p w14:paraId="57C8C563">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（1）磋商小组按照磋商文件中规定的评审标准计算各供应商的报价得分。项目评审过程中，不得去掉最后报价中的最高报价和最低报价。</w:t>
      </w:r>
    </w:p>
    <w:p w14:paraId="4C495350">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hint="eastAsia" w:ascii="宋体" w:hAnsi="宋体" w:eastAsia="宋体" w:cs="Calibri"/>
          <w:color w:val="auto"/>
          <w:szCs w:val="21"/>
          <w:highlight w:val="none"/>
        </w:rPr>
        <w:t>（2）各供应商的得分为磋商小组所有成员的有效评分的算术平均数。</w:t>
      </w:r>
    </w:p>
    <w:p w14:paraId="340DF091">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s="Calibri"/>
          <w:color w:val="auto"/>
          <w:szCs w:val="21"/>
          <w:highlight w:val="none"/>
        </w:rPr>
        <w:t>5.4</w:t>
      </w:r>
      <w:r>
        <w:rPr>
          <w:rFonts w:hint="eastAsia" w:ascii="宋体" w:hAnsi="宋体" w:eastAsia="宋体" w:cs="Calibri"/>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15D2AF9D">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olor w:val="auto"/>
          <w:kern w:val="0"/>
          <w:szCs w:val="21"/>
          <w:highlight w:val="none"/>
        </w:rPr>
      </w:pPr>
      <w:r>
        <w:rPr>
          <w:rFonts w:ascii="宋体" w:hAnsi="宋体" w:eastAsia="宋体" w:cs="Calibri"/>
          <w:color w:val="auto"/>
          <w:szCs w:val="21"/>
          <w:highlight w:val="none"/>
        </w:rPr>
        <w:t>5.5</w:t>
      </w:r>
      <w:r>
        <w:rPr>
          <w:rFonts w:hint="eastAsia" w:ascii="宋体" w:hAnsi="宋体" w:eastAsia="宋体" w:cs="Calibri"/>
          <w:color w:val="auto"/>
          <w:szCs w:val="21"/>
          <w:highlight w:val="none"/>
        </w:rPr>
        <w:t>由磋商小组根据综合评分情况，按照评审得分由高到低顺序推荐3名以上成交候选供应商，并编写评</w:t>
      </w:r>
      <w:r>
        <w:rPr>
          <w:rFonts w:hint="eastAsia" w:ascii="宋体" w:hAnsi="宋体" w:eastAsia="宋体"/>
          <w:color w:val="auto"/>
          <w:kern w:val="0"/>
          <w:szCs w:val="21"/>
          <w:highlight w:val="none"/>
        </w:rPr>
        <w:t>审报告。符合本章第</w:t>
      </w:r>
      <w:r>
        <w:rPr>
          <w:rFonts w:ascii="宋体" w:hAnsi="宋体" w:eastAsia="宋体"/>
          <w:color w:val="auto"/>
          <w:kern w:val="0"/>
          <w:szCs w:val="21"/>
          <w:highlight w:val="none"/>
        </w:rPr>
        <w:t>4.3</w:t>
      </w:r>
      <w:r>
        <w:rPr>
          <w:rFonts w:hint="eastAsia" w:ascii="宋体" w:hAnsi="宋体" w:eastAsia="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4EA7D1B5">
      <w:pPr>
        <w:keepNext w:val="0"/>
        <w:keepLines w:val="0"/>
        <w:pageBreakBefore w:val="0"/>
        <w:kinsoku/>
        <w:wordWrap/>
        <w:overflowPunct/>
        <w:topLinePunct w:val="0"/>
        <w:autoSpaceDE/>
        <w:autoSpaceDN/>
        <w:bidi w:val="0"/>
        <w:adjustRightInd/>
        <w:spacing w:after="0" w:line="360" w:lineRule="auto"/>
        <w:ind w:firstLine="420" w:firstLineChars="200"/>
        <w:textAlignment w:val="auto"/>
        <w:rPr>
          <w:rFonts w:ascii="宋体" w:hAnsi="宋体" w:eastAsia="宋体" w:cs="Calibri"/>
          <w:color w:val="auto"/>
          <w:szCs w:val="21"/>
          <w:highlight w:val="none"/>
        </w:rPr>
      </w:pPr>
      <w:r>
        <w:rPr>
          <w:rFonts w:ascii="宋体" w:hAnsi="宋体" w:eastAsia="宋体"/>
          <w:color w:val="auto"/>
          <w:kern w:val="0"/>
          <w:szCs w:val="21"/>
          <w:highlight w:val="none"/>
        </w:rPr>
        <w:t>5.6</w:t>
      </w:r>
      <w:r>
        <w:rPr>
          <w:rFonts w:hint="eastAsia" w:ascii="宋体" w:hAnsi="宋体" w:eastAsia="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CA8FD7B">
      <w:pPr>
        <w:rPr>
          <w:rFonts w:hint="eastAsia" w:ascii="宋体" w:hAnsi="宋体" w:eastAsia="宋体"/>
          <w:b/>
          <w:color w:val="auto"/>
          <w:sz w:val="32"/>
          <w:szCs w:val="32"/>
          <w:highlight w:val="none"/>
        </w:rPr>
      </w:pPr>
      <w:r>
        <w:rPr>
          <w:rFonts w:hint="eastAsia" w:ascii="宋体" w:hAnsi="宋体" w:eastAsia="宋体"/>
          <w:b/>
          <w:color w:val="auto"/>
          <w:sz w:val="32"/>
          <w:szCs w:val="32"/>
          <w:highlight w:val="none"/>
        </w:rPr>
        <w:br w:type="page"/>
      </w:r>
    </w:p>
    <w:p w14:paraId="1724E50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ascii="宋体" w:hAnsi="宋体" w:eastAsia="宋体"/>
          <w:b/>
          <w:color w:val="auto"/>
          <w:sz w:val="32"/>
          <w:szCs w:val="32"/>
          <w:highlight w:val="none"/>
        </w:rPr>
      </w:pPr>
      <w:bookmarkStart w:id="41" w:name="_Toc26986"/>
      <w:bookmarkStart w:id="149" w:name="_GoBack"/>
      <w:bookmarkEnd w:id="149"/>
      <w:r>
        <w:rPr>
          <w:rFonts w:hint="eastAsia" w:ascii="宋体" w:hAnsi="宋体" w:eastAsia="宋体"/>
          <w:b/>
          <w:color w:val="auto"/>
          <w:sz w:val="32"/>
          <w:szCs w:val="32"/>
          <w:highlight w:val="none"/>
        </w:rPr>
        <w:t>二、评审标准</w:t>
      </w:r>
      <w:bookmarkEnd w:id="41"/>
    </w:p>
    <w:p w14:paraId="7D65C0E8">
      <w:pPr>
        <w:spacing w:line="360" w:lineRule="auto"/>
        <w:ind w:firstLine="420" w:firstLineChars="200"/>
        <w:rPr>
          <w:color w:val="auto"/>
          <w:highlight w:val="none"/>
        </w:rPr>
      </w:pPr>
      <w:r>
        <w:rPr>
          <w:rFonts w:hint="eastAsia" w:ascii="宋体" w:hAnsi="宋体" w:eastAsia="宋体"/>
          <w:bCs/>
          <w:color w:val="auto"/>
          <w:szCs w:val="21"/>
          <w:highlight w:val="none"/>
        </w:rPr>
        <w:t>6</w:t>
      </w:r>
      <w:r>
        <w:rPr>
          <w:rFonts w:ascii="宋体" w:hAnsi="宋体" w:eastAsia="宋体"/>
          <w:bCs/>
          <w:color w:val="auto"/>
          <w:szCs w:val="21"/>
          <w:highlight w:val="none"/>
        </w:rPr>
        <w:t>.</w:t>
      </w:r>
      <w:r>
        <w:rPr>
          <w:rFonts w:hint="eastAsia" w:ascii="宋体" w:hAnsi="宋体" w:eastAsia="宋体"/>
          <w:bCs/>
          <w:color w:val="auto"/>
          <w:szCs w:val="21"/>
          <w:highlight w:val="none"/>
        </w:rPr>
        <w:t>评审依据：磋商小组将以磋商响应文件为评审依据，对供应商的报价、技术、商务等方面内容按百分制打分。（计分方法按四舍五入取至百分位）</w:t>
      </w:r>
    </w:p>
    <w:tbl>
      <w:tblPr>
        <w:tblStyle w:val="4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45"/>
        <w:gridCol w:w="1276"/>
        <w:gridCol w:w="6939"/>
      </w:tblGrid>
      <w:tr w14:paraId="46C9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413" w:type="dxa"/>
            <w:gridSpan w:val="2"/>
            <w:tcBorders>
              <w:top w:val="single" w:color="auto" w:sz="4" w:space="0"/>
              <w:left w:val="single" w:color="auto" w:sz="4" w:space="0"/>
              <w:bottom w:val="single" w:color="auto" w:sz="4" w:space="0"/>
              <w:right w:val="single" w:color="auto" w:sz="4" w:space="0"/>
            </w:tcBorders>
            <w:vAlign w:val="center"/>
          </w:tcPr>
          <w:p w14:paraId="37AD22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center"/>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0811E8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center"/>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评审因素</w:t>
            </w:r>
          </w:p>
        </w:tc>
        <w:tc>
          <w:tcPr>
            <w:tcW w:w="6939" w:type="dxa"/>
            <w:tcBorders>
              <w:top w:val="single" w:color="auto" w:sz="4" w:space="0"/>
              <w:left w:val="single" w:color="auto" w:sz="4" w:space="0"/>
              <w:bottom w:val="single" w:color="auto" w:sz="4" w:space="0"/>
              <w:right w:val="single" w:color="auto" w:sz="4" w:space="0"/>
            </w:tcBorders>
            <w:vAlign w:val="center"/>
          </w:tcPr>
          <w:p w14:paraId="320A0E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center"/>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评分标准</w:t>
            </w:r>
          </w:p>
        </w:tc>
      </w:tr>
      <w:tr w14:paraId="0426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14:paraId="3E0D49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1</w:t>
            </w:r>
          </w:p>
        </w:tc>
        <w:tc>
          <w:tcPr>
            <w:tcW w:w="945" w:type="dxa"/>
            <w:tcBorders>
              <w:top w:val="single" w:color="auto" w:sz="4" w:space="0"/>
              <w:left w:val="single" w:color="auto" w:sz="4" w:space="0"/>
              <w:bottom w:val="single" w:color="auto" w:sz="4" w:space="0"/>
              <w:right w:val="single" w:color="auto" w:sz="4" w:space="0"/>
            </w:tcBorders>
            <w:vAlign w:val="center"/>
          </w:tcPr>
          <w:p w14:paraId="1ED6D0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价格分</w:t>
            </w:r>
          </w:p>
          <w:p w14:paraId="320930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（满分30分）</w:t>
            </w:r>
          </w:p>
        </w:tc>
        <w:tc>
          <w:tcPr>
            <w:tcW w:w="1276" w:type="dxa"/>
            <w:tcBorders>
              <w:top w:val="single" w:color="auto" w:sz="4" w:space="0"/>
              <w:left w:val="single" w:color="auto" w:sz="4" w:space="0"/>
              <w:bottom w:val="single" w:color="auto" w:sz="4" w:space="0"/>
              <w:right w:val="single" w:color="auto" w:sz="4" w:space="0"/>
            </w:tcBorders>
            <w:vAlign w:val="center"/>
          </w:tcPr>
          <w:p w14:paraId="258D66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磋商报价</w:t>
            </w:r>
          </w:p>
          <w:p w14:paraId="3CB1DA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（30分）</w:t>
            </w:r>
          </w:p>
        </w:tc>
        <w:tc>
          <w:tcPr>
            <w:tcW w:w="6939" w:type="dxa"/>
            <w:tcBorders>
              <w:top w:val="single" w:color="auto" w:sz="4" w:space="0"/>
              <w:left w:val="single" w:color="auto" w:sz="4" w:space="0"/>
              <w:bottom w:val="single" w:color="auto" w:sz="4" w:space="0"/>
              <w:right w:val="single" w:color="auto" w:sz="4" w:space="0"/>
            </w:tcBorders>
            <w:vAlign w:val="center"/>
          </w:tcPr>
          <w:p w14:paraId="733F33C2">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textAlignment w:val="auto"/>
              <w:rPr>
                <w:rFonts w:hint="eastAsia" w:hAnsi="宋体" w:cs="宋体"/>
                <w:bCs/>
                <w:color w:val="auto"/>
                <w:kern w:val="2"/>
                <w:sz w:val="21"/>
                <w:highlight w:val="none"/>
              </w:rPr>
            </w:pPr>
            <w:r>
              <w:rPr>
                <w:rFonts w:hint="eastAsia" w:hAnsi="宋体" w:cs="宋体"/>
                <w:bCs/>
                <w:color w:val="auto"/>
                <w:kern w:val="2"/>
                <w:sz w:val="21"/>
                <w:highlight w:val="none"/>
              </w:rPr>
              <w:t>（1）按照《政府采购促进中小企业发展管理办法》（财库[2020]46号）及《广西壮族自治区财政厅关于持续优化政府采购营商环境推动高质量发展的通知》（桂财采〔2024〕55号）规定，本项目专门面向中小企业采购。专门面向中小企业采购的项目不再执行价格评审优惠的扶持政策；监狱企业或残疾人福利性单位视同小型、微型企业。评审报价＝</w:t>
            </w:r>
            <w:r>
              <w:rPr>
                <w:rFonts w:hint="eastAsia" w:hAnsi="宋体" w:cs="宋体"/>
                <w:bCs/>
                <w:color w:val="auto"/>
                <w:kern w:val="2"/>
                <w:sz w:val="21"/>
                <w:highlight w:val="none"/>
                <w:lang w:eastAsia="zh-CN"/>
              </w:rPr>
              <w:t>最终</w:t>
            </w:r>
            <w:r>
              <w:rPr>
                <w:rFonts w:hint="eastAsia" w:hAnsi="宋体" w:cs="宋体"/>
                <w:bCs/>
                <w:color w:val="auto"/>
                <w:kern w:val="2"/>
                <w:sz w:val="21"/>
                <w:highlight w:val="none"/>
              </w:rPr>
              <w:t>报价。</w:t>
            </w:r>
          </w:p>
          <w:p w14:paraId="0F2DE241">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textAlignment w:val="auto"/>
              <w:rPr>
                <w:rFonts w:hint="eastAsia" w:hAnsi="宋体" w:cs="宋体"/>
                <w:bCs/>
                <w:color w:val="auto"/>
                <w:kern w:val="2"/>
                <w:sz w:val="21"/>
                <w:highlight w:val="none"/>
              </w:rPr>
            </w:pPr>
            <w:r>
              <w:rPr>
                <w:rFonts w:hint="eastAsia" w:hAnsi="宋体" w:cs="宋体"/>
                <w:bCs/>
                <w:color w:val="auto"/>
                <w:kern w:val="2"/>
                <w:sz w:val="21"/>
                <w:highlight w:val="none"/>
              </w:rPr>
              <w:t>（2）价格分采用低价优先法计算，满足</w:t>
            </w:r>
            <w:r>
              <w:rPr>
                <w:rFonts w:hint="eastAsia" w:hAnsi="宋体" w:cs="宋体"/>
                <w:bCs/>
                <w:color w:val="auto"/>
                <w:kern w:val="2"/>
                <w:sz w:val="21"/>
                <w:highlight w:val="none"/>
                <w:lang w:eastAsia="zh-CN"/>
              </w:rPr>
              <w:t>采购</w:t>
            </w:r>
            <w:r>
              <w:rPr>
                <w:rFonts w:hint="eastAsia" w:hAnsi="宋体" w:cs="宋体"/>
                <w:bCs/>
                <w:color w:val="auto"/>
                <w:kern w:val="2"/>
                <w:sz w:val="21"/>
                <w:highlight w:val="none"/>
              </w:rPr>
              <w:t>文件要求且</w:t>
            </w:r>
            <w:r>
              <w:rPr>
                <w:rFonts w:hint="eastAsia" w:hAnsi="宋体" w:cs="宋体"/>
                <w:bCs/>
                <w:color w:val="auto"/>
                <w:kern w:val="2"/>
                <w:sz w:val="21"/>
                <w:highlight w:val="none"/>
                <w:lang w:eastAsia="zh-CN"/>
              </w:rPr>
              <w:t>最终</w:t>
            </w:r>
            <w:r>
              <w:rPr>
                <w:rFonts w:hint="eastAsia" w:hAnsi="宋体" w:cs="宋体"/>
                <w:bCs/>
                <w:color w:val="auto"/>
                <w:kern w:val="2"/>
                <w:sz w:val="21"/>
                <w:highlight w:val="none"/>
              </w:rPr>
              <w:t>报价最低的有效</w:t>
            </w:r>
            <w:r>
              <w:rPr>
                <w:rFonts w:hint="eastAsia" w:hAnsi="宋体" w:cs="宋体"/>
                <w:bCs/>
                <w:color w:val="auto"/>
                <w:kern w:val="2"/>
                <w:sz w:val="21"/>
                <w:highlight w:val="none"/>
                <w:lang w:eastAsia="zh-CN"/>
              </w:rPr>
              <w:t>供应商</w:t>
            </w:r>
            <w:r>
              <w:rPr>
                <w:rFonts w:hint="eastAsia" w:hAnsi="宋体" w:cs="宋体"/>
                <w:bCs/>
                <w:color w:val="auto"/>
                <w:kern w:val="2"/>
                <w:sz w:val="21"/>
                <w:highlight w:val="none"/>
              </w:rPr>
              <w:t>的报价为评</w:t>
            </w:r>
            <w:r>
              <w:rPr>
                <w:rFonts w:hint="eastAsia" w:hAnsi="宋体" w:cs="宋体"/>
                <w:bCs/>
                <w:color w:val="auto"/>
                <w:kern w:val="2"/>
                <w:sz w:val="21"/>
                <w:highlight w:val="none"/>
                <w:lang w:eastAsia="zh-CN"/>
              </w:rPr>
              <w:t>审</w:t>
            </w:r>
            <w:r>
              <w:rPr>
                <w:rFonts w:hint="eastAsia" w:hAnsi="宋体" w:cs="宋体"/>
                <w:bCs/>
                <w:color w:val="auto"/>
                <w:kern w:val="2"/>
                <w:sz w:val="21"/>
                <w:highlight w:val="none"/>
              </w:rPr>
              <w:t>基准价，其报价分为满分。</w:t>
            </w:r>
          </w:p>
          <w:p w14:paraId="5E7AF630">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textAlignment w:val="auto"/>
              <w:rPr>
                <w:rFonts w:hint="eastAsia" w:hAnsi="宋体" w:cs="宋体"/>
                <w:bCs/>
                <w:color w:val="auto"/>
                <w:kern w:val="2"/>
                <w:sz w:val="21"/>
                <w:highlight w:val="none"/>
              </w:rPr>
            </w:pPr>
            <w:r>
              <w:rPr>
                <w:rFonts w:hint="eastAsia" w:hAnsi="宋体" w:cs="宋体"/>
                <w:bCs/>
                <w:color w:val="auto"/>
                <w:kern w:val="2"/>
                <w:sz w:val="21"/>
                <w:highlight w:val="none"/>
              </w:rPr>
              <w:t>（3）价格分计算公式：</w:t>
            </w:r>
          </w:p>
          <w:p w14:paraId="0C2CC80C">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textAlignment w:val="auto"/>
              <w:rPr>
                <w:rFonts w:hint="eastAsia" w:hAnsi="宋体" w:cs="宋体"/>
                <w:bCs/>
                <w:color w:val="auto"/>
                <w:kern w:val="2"/>
                <w:sz w:val="21"/>
                <w:highlight w:val="none"/>
                <w:lang w:val="en-US" w:eastAsia="zh-CN"/>
              </w:rPr>
            </w:pPr>
            <w:r>
              <w:rPr>
                <w:rFonts w:hint="eastAsia" w:hAnsi="宋体" w:cs="宋体"/>
                <w:bCs/>
                <w:color w:val="auto"/>
                <w:kern w:val="2"/>
                <w:sz w:val="21"/>
                <w:highlight w:val="none"/>
              </w:rPr>
              <w:t>价格分=(评</w:t>
            </w:r>
            <w:r>
              <w:rPr>
                <w:rFonts w:hint="eastAsia" w:hAnsi="宋体" w:cs="宋体"/>
                <w:bCs/>
                <w:color w:val="auto"/>
                <w:kern w:val="2"/>
                <w:sz w:val="21"/>
                <w:highlight w:val="none"/>
                <w:lang w:eastAsia="zh-CN"/>
              </w:rPr>
              <w:t>审</w:t>
            </w:r>
            <w:r>
              <w:rPr>
                <w:rFonts w:hint="eastAsia" w:hAnsi="宋体" w:cs="宋体"/>
                <w:bCs/>
                <w:color w:val="auto"/>
                <w:kern w:val="2"/>
                <w:sz w:val="21"/>
                <w:highlight w:val="none"/>
              </w:rPr>
              <w:t>基准价／</w:t>
            </w:r>
            <w:r>
              <w:rPr>
                <w:rFonts w:hint="eastAsia" w:hAnsi="宋体" w:cs="宋体"/>
                <w:bCs/>
                <w:color w:val="auto"/>
                <w:kern w:val="2"/>
                <w:sz w:val="21"/>
                <w:highlight w:val="none"/>
                <w:lang w:eastAsia="zh-CN"/>
              </w:rPr>
              <w:t>最终</w:t>
            </w:r>
            <w:r>
              <w:rPr>
                <w:rFonts w:hint="eastAsia" w:hAnsi="宋体" w:cs="宋体"/>
                <w:bCs/>
                <w:color w:val="auto"/>
                <w:kern w:val="2"/>
                <w:sz w:val="21"/>
                <w:highlight w:val="none"/>
              </w:rPr>
              <w:t>报价)×</w:t>
            </w:r>
            <w:r>
              <w:rPr>
                <w:rFonts w:hint="eastAsia" w:hAnsi="宋体" w:cs="宋体"/>
                <w:bCs/>
                <w:color w:val="auto"/>
                <w:kern w:val="2"/>
                <w:sz w:val="21"/>
                <w:highlight w:val="none"/>
                <w:lang w:val="en-US" w:eastAsia="zh-CN"/>
              </w:rPr>
              <w:t>30</w:t>
            </w:r>
            <w:r>
              <w:rPr>
                <w:rFonts w:hint="eastAsia" w:hAnsi="宋体" w:cs="宋体"/>
                <w:bCs/>
                <w:color w:val="auto"/>
                <w:kern w:val="2"/>
                <w:sz w:val="21"/>
                <w:highlight w:val="none"/>
              </w:rPr>
              <w:t>分</w:t>
            </w:r>
          </w:p>
          <w:p w14:paraId="37A83605">
            <w:pPr>
              <w:pStyle w:val="22"/>
              <w:keepNext w:val="0"/>
              <w:keepLines w:val="0"/>
              <w:suppressLineNumbers w:val="0"/>
              <w:spacing w:before="0" w:beforeAutospacing="0" w:afterAutospacing="0" w:line="360" w:lineRule="auto"/>
              <w:ind w:left="0" w:right="0" w:firstLine="211" w:firstLineChars="100"/>
              <w:rPr>
                <w:rFonts w:hint="eastAsia"/>
                <w:color w:val="auto"/>
                <w:highlight w:val="none"/>
                <w:lang w:val="en-US" w:eastAsia="zh-CN"/>
              </w:rPr>
            </w:pPr>
            <w:r>
              <w:rPr>
                <w:rFonts w:hint="eastAsia" w:ascii="宋体" w:hAnsi="宋体" w:eastAsia="宋体" w:cs="宋体"/>
                <w:b/>
                <w:bCs w:val="0"/>
                <w:color w:val="auto"/>
                <w:kern w:val="2"/>
                <w:sz w:val="21"/>
                <w:szCs w:val="21"/>
                <w:highlight w:val="none"/>
                <w:u w:val="single"/>
                <w:lang w:val="en-US" w:eastAsia="zh-CN" w:bidi="ar"/>
              </w:rPr>
              <w:t>评审小组认为竞标人的报价明显低于其他通过符合性审查竞标人的报价，有可能影响其服务或产品质量或者不能诚信履约的，应当要求其在评标现场合理的时间内提供书面说明，必要时提交相关证明材料；竞标人不能证明其报价合理性的，评审小组应当将其作为无效竞标处理。</w:t>
            </w:r>
          </w:p>
        </w:tc>
      </w:tr>
      <w:tr w14:paraId="4ADA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restart"/>
            <w:tcBorders>
              <w:top w:val="single" w:color="auto" w:sz="4" w:space="0"/>
              <w:left w:val="single" w:color="auto" w:sz="4" w:space="0"/>
              <w:right w:val="single" w:color="auto" w:sz="4" w:space="0"/>
            </w:tcBorders>
            <w:vAlign w:val="center"/>
          </w:tcPr>
          <w:p w14:paraId="412F47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2</w:t>
            </w:r>
          </w:p>
        </w:tc>
        <w:tc>
          <w:tcPr>
            <w:tcW w:w="945" w:type="dxa"/>
            <w:vMerge w:val="restart"/>
            <w:tcBorders>
              <w:top w:val="single" w:color="auto" w:sz="4" w:space="0"/>
              <w:left w:val="single" w:color="auto" w:sz="4" w:space="0"/>
              <w:right w:val="single" w:color="auto" w:sz="4" w:space="0"/>
            </w:tcBorders>
            <w:vAlign w:val="center"/>
          </w:tcPr>
          <w:p w14:paraId="4DD125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技术分</w:t>
            </w:r>
          </w:p>
          <w:p w14:paraId="6BA9EE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（满分45分）</w:t>
            </w:r>
          </w:p>
        </w:tc>
        <w:tc>
          <w:tcPr>
            <w:tcW w:w="1276" w:type="dxa"/>
            <w:tcBorders>
              <w:top w:val="single" w:color="auto" w:sz="4" w:space="0"/>
              <w:left w:val="single" w:color="auto" w:sz="4" w:space="0"/>
              <w:bottom w:val="single" w:color="auto" w:sz="4" w:space="0"/>
              <w:right w:val="single" w:color="auto" w:sz="4" w:space="0"/>
            </w:tcBorders>
            <w:vAlign w:val="center"/>
          </w:tcPr>
          <w:p w14:paraId="2BD499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项目服务方案（满分30分）</w:t>
            </w:r>
          </w:p>
        </w:tc>
        <w:tc>
          <w:tcPr>
            <w:tcW w:w="6939" w:type="dxa"/>
            <w:tcBorders>
              <w:top w:val="single" w:color="auto" w:sz="4" w:space="0"/>
              <w:left w:val="single" w:color="auto" w:sz="4" w:space="0"/>
              <w:bottom w:val="single" w:color="auto" w:sz="4" w:space="0"/>
              <w:right w:val="single" w:color="auto" w:sz="4" w:space="0"/>
            </w:tcBorders>
            <w:vAlign w:val="top"/>
          </w:tcPr>
          <w:p w14:paraId="0ED922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一档（6分）：方案基本回应项目目标和主要任务要求。有简单项目总体安排、执行路径，具备初步的外方联络及协调安排。</w:t>
            </w:r>
          </w:p>
          <w:p w14:paraId="5776D9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二档（12分）：方案回应项目目标和主要任务要求。对项目总体计划有初步设计，每个场次活动有策划思路并覆盖了主要环节。具备初步的外方联络及协调安排，能体现可行性。</w:t>
            </w:r>
          </w:p>
          <w:p w14:paraId="0D06F9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三档（18分）：方案符合项目需求，对主要任务和阶段安排进行了较为完整的设计。方案内容较为系统，对不同东盟国家的执行思路和活动布局具备一定分析能力，能体现主要流程和资源安排。对合作渠道和组织方式有一定说明。</w:t>
            </w:r>
          </w:p>
          <w:p w14:paraId="1390E3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四档（24分）：项目方案总体策划结构完整、内容较为细致，能够较好地满足项目实施需求，具备一定的可执行性。方案能够阐述项目总体目标；针对不同东盟国家的实施环境与合作重点，制定分国别执行规划，活动策划框架较为清晰。体现与东盟相关的资源网络和一定的涉外活动组织能力。</w:t>
            </w:r>
          </w:p>
          <w:p w14:paraId="1EDE6A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五档（30分）：项目服务方案总体策划结构完整，逻辑清晰且具有较强可执行性。方案能够明确阐述项目总体计划，针对不同东盟国家的实施环境与合作重点进行分析，并能分国别指定执行方案，方案体现差异化策略与针对性举措。活动策划内容完整、流程清晰，涵盖合作背景、流程执行、对外联络、后勤保障、会务设计等主要部分，形成可落地的实施路径。方案既体现与东盟国家相关政府机构、产业园区及重点企业的资源网络，又体现在国内开展涉外活动的组织能力和详细规划。</w:t>
            </w:r>
          </w:p>
          <w:p w14:paraId="0057C7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注：未达到一档要求的不得分。</w:t>
            </w:r>
          </w:p>
        </w:tc>
      </w:tr>
      <w:tr w14:paraId="3895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tcBorders>
              <w:left w:val="single" w:color="auto" w:sz="4" w:space="0"/>
              <w:right w:val="single" w:color="auto" w:sz="4" w:space="0"/>
            </w:tcBorders>
            <w:vAlign w:val="center"/>
          </w:tcPr>
          <w:p w14:paraId="368741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left"/>
              <w:textAlignment w:val="auto"/>
              <w:rPr>
                <w:rFonts w:hint="eastAsia" w:ascii="宋体" w:hAnsi="宋体" w:eastAsia="宋体"/>
                <w:b/>
                <w:bCs/>
                <w:color w:val="auto"/>
                <w:highlight w:val="none"/>
                <w:lang w:val="en-US" w:eastAsia="zh-CN"/>
              </w:rPr>
            </w:pPr>
          </w:p>
        </w:tc>
        <w:tc>
          <w:tcPr>
            <w:tcW w:w="945" w:type="dxa"/>
            <w:vMerge w:val="continue"/>
            <w:tcBorders>
              <w:left w:val="single" w:color="auto" w:sz="4" w:space="0"/>
              <w:right w:val="single" w:color="auto" w:sz="4" w:space="0"/>
            </w:tcBorders>
            <w:vAlign w:val="center"/>
          </w:tcPr>
          <w:p w14:paraId="7DD66F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left"/>
              <w:textAlignment w:val="auto"/>
              <w:rPr>
                <w:rFonts w:hint="eastAsia" w:ascii="宋体" w:hAnsi="宋体" w:eastAsia="宋体"/>
                <w:b/>
                <w:bCs/>
                <w:color w:val="auto"/>
                <w:highlight w:val="none"/>
                <w:lang w:val="en-US"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14:paraId="25AAE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风险防控措施与应急预案（满分15分）</w:t>
            </w:r>
          </w:p>
        </w:tc>
        <w:tc>
          <w:tcPr>
            <w:tcW w:w="6939" w:type="dxa"/>
            <w:tcBorders>
              <w:top w:val="single" w:color="auto" w:sz="4" w:space="0"/>
              <w:left w:val="single" w:color="auto" w:sz="4" w:space="0"/>
              <w:bottom w:val="single" w:color="auto" w:sz="4" w:space="0"/>
              <w:right w:val="single" w:color="auto" w:sz="4" w:space="0"/>
            </w:tcBorders>
            <w:vAlign w:val="top"/>
          </w:tcPr>
          <w:p w14:paraId="713D9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 xml:space="preserve"> 一档（5分）：供应商能提供基础的风险防控措施与应急预案。</w:t>
            </w:r>
          </w:p>
          <w:p w14:paraId="63B376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 xml:space="preserve"> 二档（10分）：供应商提供的风险防控措施与应急预案具有一定可操作性，并能考虑到部分常见的紧急情况，针对紧急情况能提出解决方案。</w:t>
            </w:r>
          </w:p>
          <w:p w14:paraId="76D107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 xml:space="preserve">  三档（15分）：供应商针对不同的活动类型制定相应的风险防控措施与应急方案，内容详实，方案有预见性，可操作性强，并能针对不同的紧急情况提出切实可行的解决方案。</w:t>
            </w:r>
          </w:p>
          <w:p w14:paraId="393DE4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注：未达到一档要求的不得分。</w:t>
            </w:r>
          </w:p>
        </w:tc>
      </w:tr>
      <w:tr w14:paraId="7ACE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restart"/>
            <w:tcBorders>
              <w:top w:val="single" w:color="auto" w:sz="4" w:space="0"/>
              <w:left w:val="single" w:color="auto" w:sz="4" w:space="0"/>
              <w:right w:val="single" w:color="auto" w:sz="4" w:space="0"/>
            </w:tcBorders>
            <w:vAlign w:val="center"/>
          </w:tcPr>
          <w:p w14:paraId="171053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3</w:t>
            </w:r>
          </w:p>
        </w:tc>
        <w:tc>
          <w:tcPr>
            <w:tcW w:w="945" w:type="dxa"/>
            <w:vMerge w:val="restart"/>
            <w:tcBorders>
              <w:left w:val="single" w:color="auto" w:sz="4" w:space="0"/>
              <w:right w:val="single" w:color="auto" w:sz="4" w:space="0"/>
            </w:tcBorders>
            <w:vAlign w:val="center"/>
          </w:tcPr>
          <w:p w14:paraId="686F1F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商务分</w:t>
            </w:r>
          </w:p>
          <w:p w14:paraId="0A0B06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（25分）</w:t>
            </w:r>
          </w:p>
        </w:tc>
        <w:tc>
          <w:tcPr>
            <w:tcW w:w="1276" w:type="dxa"/>
            <w:tcBorders>
              <w:top w:val="single" w:color="auto" w:sz="4" w:space="0"/>
              <w:left w:val="single" w:color="auto" w:sz="4" w:space="0"/>
              <w:bottom w:val="single" w:color="auto" w:sz="4" w:space="0"/>
              <w:right w:val="single" w:color="auto" w:sz="4" w:space="0"/>
            </w:tcBorders>
            <w:vAlign w:val="center"/>
          </w:tcPr>
          <w:p w14:paraId="250C8C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left"/>
              <w:textAlignment w:val="auto"/>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服务团队人员配置（15分）</w:t>
            </w:r>
          </w:p>
        </w:tc>
        <w:tc>
          <w:tcPr>
            <w:tcW w:w="6939" w:type="dxa"/>
            <w:tcBorders>
              <w:top w:val="single" w:color="auto" w:sz="4" w:space="0"/>
              <w:left w:val="single" w:color="auto" w:sz="4" w:space="0"/>
              <w:bottom w:val="single" w:color="auto" w:sz="4" w:space="0"/>
              <w:right w:val="single" w:color="auto" w:sz="4" w:space="0"/>
            </w:tcBorders>
            <w:vAlign w:val="top"/>
          </w:tcPr>
          <w:p w14:paraId="129AFE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一档（5分）：供应商针对本项目，配备有实施团队，能提供项目实施人员一览表。拟投入本项目服务人员＞6人，团队人员无研究生学历。</w:t>
            </w:r>
          </w:p>
          <w:p w14:paraId="202828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二档（10分）：供应商针对本项目，配备的实施团队人员分工基本明确，能提供项目实施人员一览表。拟投入本项目服务人员≥8人，团队人员至少有3名研究生学历。</w:t>
            </w:r>
          </w:p>
          <w:p w14:paraId="07C407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三档（15分）：供应商针对本项目，配备专业的实施团队，团队负责人须具有同类高规格国际国内活动执行、接待经验，团队人员分工较明确，能提供项目实施人员一览表。拟投入本项目服务人员≥10人，团队人员至少有5名研究生学历。</w:t>
            </w:r>
          </w:p>
          <w:p w14:paraId="5E3E6E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注：1）未达到一档要求的不得分；</w:t>
            </w:r>
          </w:p>
          <w:p w14:paraId="58453FF5">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需提供团队负责人参与的相关业务的合同复印件作为证明材料，需包含合同首页、关键内容页和盖章页；</w:t>
            </w:r>
          </w:p>
          <w:p w14:paraId="5B6B07C9">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须提供响应文件递交截止前半年内供应商为团队人员依法缴纳任意一个月的社保缴费凭证复印件，无缴费记录的，应提供由社保部门出具的《依法缴纳或免缴社保费证明》复印件或劳动合同复印件。</w:t>
            </w:r>
          </w:p>
        </w:tc>
      </w:tr>
      <w:tr w14:paraId="42B5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68" w:type="dxa"/>
            <w:vMerge w:val="continue"/>
            <w:tcBorders>
              <w:left w:val="single" w:color="auto" w:sz="4" w:space="0"/>
              <w:right w:val="single" w:color="auto" w:sz="4" w:space="0"/>
            </w:tcBorders>
            <w:vAlign w:val="center"/>
          </w:tcPr>
          <w:p w14:paraId="078DD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left"/>
              <w:textAlignment w:val="auto"/>
              <w:rPr>
                <w:rFonts w:hint="eastAsia" w:ascii="宋体" w:hAnsi="宋体" w:eastAsia="宋体"/>
                <w:b/>
                <w:bCs/>
                <w:color w:val="auto"/>
                <w:highlight w:val="none"/>
                <w:lang w:val="en-US" w:eastAsia="zh-CN"/>
              </w:rPr>
            </w:pPr>
          </w:p>
        </w:tc>
        <w:tc>
          <w:tcPr>
            <w:tcW w:w="945" w:type="dxa"/>
            <w:vMerge w:val="continue"/>
            <w:tcBorders>
              <w:left w:val="single" w:color="auto" w:sz="4" w:space="0"/>
              <w:right w:val="single" w:color="auto" w:sz="4" w:space="0"/>
            </w:tcBorders>
            <w:vAlign w:val="center"/>
          </w:tcPr>
          <w:p w14:paraId="7CA90B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left"/>
              <w:textAlignment w:val="auto"/>
              <w:rPr>
                <w:rFonts w:hint="eastAsia" w:ascii="宋体" w:hAnsi="宋体" w:eastAsia="宋体"/>
                <w:b/>
                <w:bCs/>
                <w:color w:val="auto"/>
                <w:highlight w:val="none"/>
                <w:lang w:val="en-US" w:eastAsia="zh-CN"/>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FA93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left"/>
              <w:textAlignment w:val="auto"/>
              <w:rPr>
                <w:rFonts w:hint="eastAsia" w:ascii="宋体" w:hAnsi="宋体" w:eastAsia="宋体"/>
                <w:color w:val="auto"/>
                <w:highlight w:val="none"/>
                <w:lang w:val="en-US" w:eastAsia="zh-CN"/>
              </w:rPr>
            </w:pPr>
            <w:r>
              <w:rPr>
                <w:rFonts w:hint="eastAsia" w:ascii="宋体" w:hAnsi="宋体" w:eastAsia="宋体"/>
                <w:b/>
                <w:bCs/>
                <w:color w:val="auto"/>
                <w:highlight w:val="none"/>
                <w:lang w:val="en-US" w:eastAsia="zh-CN"/>
              </w:rPr>
              <w:t>项目经验（10分）</w:t>
            </w:r>
          </w:p>
        </w:tc>
        <w:tc>
          <w:tcPr>
            <w:tcW w:w="6939" w:type="dxa"/>
            <w:tcBorders>
              <w:top w:val="single" w:color="auto" w:sz="4" w:space="0"/>
              <w:left w:val="single" w:color="auto" w:sz="4" w:space="0"/>
              <w:bottom w:val="single" w:color="auto" w:sz="4" w:space="0"/>
              <w:right w:val="single" w:color="auto" w:sz="4" w:space="0"/>
            </w:tcBorders>
            <w:shd w:val="clear" w:color="auto" w:fill="auto"/>
            <w:vAlign w:val="top"/>
          </w:tcPr>
          <w:p w14:paraId="7ED284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2019年1月1日至响应文件递交截止日期间，每完成1个在外国举办的展览、考察、会议或论坛计1分，最多计6项（累计满6分）；每完成1个在中国举办的面向外国的展览、考察、会议或论坛计1分，最多计4项（累计满4分）。</w:t>
            </w:r>
          </w:p>
          <w:p w14:paraId="52DD62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contextualSpacing/>
              <w:jc w:val="left"/>
              <w:textAlignment w:val="auto"/>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注：响应文件中提供相应业绩合同扫描件，并加盖供应商公章，否则不得分。</w:t>
            </w:r>
          </w:p>
        </w:tc>
      </w:tr>
      <w:tr w14:paraId="7D8A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4"/>
            <w:tcBorders>
              <w:top w:val="single" w:color="auto" w:sz="4" w:space="0"/>
              <w:left w:val="single" w:color="auto" w:sz="4" w:space="0"/>
              <w:bottom w:val="single" w:color="auto" w:sz="4" w:space="0"/>
              <w:right w:val="single" w:color="auto" w:sz="4" w:space="0"/>
            </w:tcBorders>
            <w:vAlign w:val="center"/>
          </w:tcPr>
          <w:p w14:paraId="67A69A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contextualSpacing/>
              <w:jc w:val="lef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总得分为以上各项评审因素得分合计</w:t>
            </w:r>
          </w:p>
        </w:tc>
      </w:tr>
    </w:tbl>
    <w:p w14:paraId="50B874F2">
      <w:pPr>
        <w:pStyle w:val="28"/>
        <w:spacing w:line="360" w:lineRule="atLeast"/>
        <w:ind w:firstLine="412" w:firstLineChars="196"/>
        <w:rPr>
          <w:rFonts w:hAnsi="宋体"/>
          <w:b/>
          <w:bCs/>
          <w:color w:val="auto"/>
          <w:highlight w:val="none"/>
        </w:rPr>
      </w:pPr>
      <w:r>
        <w:rPr>
          <w:rFonts w:hint="eastAsia" w:hAnsi="宋体"/>
          <w:b/>
          <w:color w:val="auto"/>
          <w:kern w:val="2"/>
          <w:sz w:val="21"/>
          <w:highlight w:val="none"/>
        </w:rPr>
        <w:t>注：</w:t>
      </w:r>
      <w:r>
        <w:rPr>
          <w:rFonts w:hint="eastAsia" w:ascii="微软雅黑" w:hAnsi="微软雅黑" w:eastAsia="微软雅黑" w:cs="微软雅黑"/>
          <w:b/>
          <w:color w:val="auto"/>
          <w:highlight w:val="none"/>
        </w:rPr>
        <w:t>本项目为政府服务类采购，无节能产品、环境标志产品要求。</w:t>
      </w:r>
    </w:p>
    <w:p w14:paraId="4F6B583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eastAsia="宋体" w:cs="Calibri"/>
          <w:color w:val="auto"/>
          <w:highlight w:val="none"/>
        </w:rPr>
      </w:pPr>
      <w:r>
        <w:rPr>
          <w:rFonts w:ascii="宋体" w:hAnsi="宋体" w:eastAsia="宋体" w:cs="Calibri"/>
          <w:bCs/>
          <w:color w:val="auto"/>
          <w:szCs w:val="21"/>
          <w:highlight w:val="none"/>
        </w:rPr>
        <w:t>7.由磋商小组根据综合评分情况，按照评审得分由高到低顺序推荐3名以上成交候选供应商，并编写评审报告，评审报告通过电子交易平台向采购人、采购代理机构提交。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6424B3FC">
      <w:pPr>
        <w:rPr>
          <w:rFonts w:ascii="宋体" w:hAnsi="宋体" w:eastAsia="宋体"/>
          <w:color w:val="auto"/>
          <w:highlight w:val="none"/>
        </w:rPr>
      </w:pPr>
    </w:p>
    <w:p w14:paraId="6F19C19B">
      <w:pPr>
        <w:rPr>
          <w:rFonts w:ascii="宋体" w:hAnsi="宋体" w:eastAsia="宋体"/>
          <w:color w:val="auto"/>
          <w:highlight w:val="none"/>
        </w:rPr>
      </w:pPr>
    </w:p>
    <w:p w14:paraId="0ED65AA7">
      <w:pPr>
        <w:rPr>
          <w:rFonts w:hint="eastAsia" w:ascii="宋体" w:hAnsi="宋体" w:eastAsia="宋体"/>
          <w:color w:val="auto"/>
          <w:highlight w:val="none"/>
        </w:rPr>
      </w:pPr>
      <w:r>
        <w:rPr>
          <w:rFonts w:hint="eastAsia" w:ascii="宋体" w:hAnsi="宋体" w:eastAsia="宋体"/>
          <w:color w:val="auto"/>
          <w:highlight w:val="none"/>
        </w:rPr>
        <w:br w:type="page"/>
      </w:r>
    </w:p>
    <w:p w14:paraId="22515C36">
      <w:pPr>
        <w:pStyle w:val="2"/>
        <w:ind w:left="2209" w:hanging="2209" w:hangingChars="500"/>
        <w:jc w:val="both"/>
        <w:rPr>
          <w:rFonts w:ascii="宋体" w:hAnsi="宋体" w:eastAsia="宋体"/>
          <w:color w:val="auto"/>
          <w:highlight w:val="none"/>
        </w:rPr>
      </w:pPr>
      <w:bookmarkStart w:id="42" w:name="_Toc11093"/>
      <w:r>
        <w:rPr>
          <w:rFonts w:hint="eastAsia" w:ascii="宋体" w:hAnsi="宋体" w:eastAsia="宋体"/>
          <w:color w:val="auto"/>
          <w:highlight w:val="none"/>
        </w:rPr>
        <w:t>第五章 响应文件格式</w:t>
      </w:r>
      <w:r>
        <w:rPr>
          <w:rFonts w:hint="eastAsia" w:ascii="宋体" w:hAnsi="宋体" w:eastAsia="宋体"/>
          <w:color w:val="auto"/>
          <w:highlight w:val="none"/>
        </w:rPr>
        <w:br w:type="textWrapping"/>
      </w:r>
      <w:bookmarkEnd w:id="42"/>
    </w:p>
    <w:p w14:paraId="264B457C">
      <w:pPr>
        <w:spacing w:line="240" w:lineRule="atLeast"/>
        <w:rPr>
          <w:rFonts w:ascii="宋体" w:hAnsi="宋体" w:eastAsia="宋体"/>
          <w:b/>
          <w:color w:val="auto"/>
          <w:sz w:val="32"/>
          <w:szCs w:val="32"/>
          <w:highlight w:val="none"/>
        </w:rPr>
      </w:pPr>
    </w:p>
    <w:p w14:paraId="30B55A33">
      <w:pPr>
        <w:spacing w:line="240" w:lineRule="atLeast"/>
        <w:rPr>
          <w:rFonts w:ascii="宋体" w:hAnsi="宋体" w:eastAsia="宋体"/>
          <w:b/>
          <w:color w:val="auto"/>
          <w:sz w:val="32"/>
          <w:szCs w:val="32"/>
          <w:highlight w:val="none"/>
        </w:rPr>
      </w:pPr>
    </w:p>
    <w:p w14:paraId="0E7C28E0">
      <w:pPr>
        <w:spacing w:line="240" w:lineRule="atLeast"/>
        <w:rPr>
          <w:rFonts w:ascii="宋体" w:hAnsi="宋体" w:eastAsia="宋体"/>
          <w:b/>
          <w:color w:val="auto"/>
          <w:sz w:val="32"/>
          <w:szCs w:val="32"/>
          <w:highlight w:val="none"/>
        </w:rPr>
      </w:pPr>
    </w:p>
    <w:p w14:paraId="51F0819D">
      <w:pPr>
        <w:spacing w:line="240" w:lineRule="atLeast"/>
        <w:rPr>
          <w:rFonts w:ascii="宋体" w:hAnsi="宋体" w:eastAsia="宋体"/>
          <w:b/>
          <w:color w:val="auto"/>
          <w:sz w:val="32"/>
          <w:szCs w:val="32"/>
          <w:highlight w:val="none"/>
        </w:rPr>
      </w:pPr>
    </w:p>
    <w:p w14:paraId="627F4AB1">
      <w:pPr>
        <w:spacing w:line="240" w:lineRule="atLeast"/>
        <w:rPr>
          <w:rFonts w:ascii="宋体" w:hAnsi="宋体" w:eastAsia="宋体"/>
          <w:b/>
          <w:color w:val="auto"/>
          <w:sz w:val="32"/>
          <w:szCs w:val="32"/>
          <w:highlight w:val="none"/>
        </w:rPr>
      </w:pPr>
    </w:p>
    <w:p w14:paraId="0910B1A5">
      <w:pPr>
        <w:spacing w:line="240" w:lineRule="atLeast"/>
        <w:rPr>
          <w:rFonts w:ascii="宋体" w:hAnsi="宋体" w:eastAsia="宋体"/>
          <w:b/>
          <w:color w:val="auto"/>
          <w:sz w:val="32"/>
          <w:szCs w:val="32"/>
          <w:highlight w:val="none"/>
        </w:rPr>
      </w:pPr>
    </w:p>
    <w:p w14:paraId="4114F89E">
      <w:pPr>
        <w:spacing w:line="240" w:lineRule="atLeast"/>
        <w:rPr>
          <w:rFonts w:ascii="宋体" w:hAnsi="宋体" w:eastAsia="宋体"/>
          <w:b/>
          <w:color w:val="auto"/>
          <w:sz w:val="32"/>
          <w:szCs w:val="32"/>
          <w:highlight w:val="none"/>
        </w:rPr>
      </w:pPr>
    </w:p>
    <w:p w14:paraId="7C94BAAD">
      <w:pPr>
        <w:spacing w:line="240" w:lineRule="atLeast"/>
        <w:rPr>
          <w:rFonts w:ascii="宋体" w:hAnsi="宋体" w:eastAsia="宋体"/>
          <w:b/>
          <w:color w:val="auto"/>
          <w:sz w:val="32"/>
          <w:szCs w:val="32"/>
          <w:highlight w:val="none"/>
        </w:rPr>
      </w:pPr>
    </w:p>
    <w:p w14:paraId="1A9E5681">
      <w:pPr>
        <w:spacing w:line="240" w:lineRule="atLeast"/>
        <w:rPr>
          <w:rFonts w:ascii="宋体" w:hAnsi="宋体" w:eastAsia="宋体"/>
          <w:b/>
          <w:color w:val="auto"/>
          <w:sz w:val="32"/>
          <w:szCs w:val="32"/>
          <w:highlight w:val="none"/>
        </w:rPr>
      </w:pPr>
    </w:p>
    <w:p w14:paraId="3953A57B">
      <w:pPr>
        <w:spacing w:line="240" w:lineRule="atLeast"/>
        <w:rPr>
          <w:rFonts w:ascii="宋体" w:hAnsi="宋体" w:eastAsia="宋体"/>
          <w:b/>
          <w:color w:val="auto"/>
          <w:sz w:val="32"/>
          <w:szCs w:val="32"/>
          <w:highlight w:val="none"/>
        </w:rPr>
      </w:pPr>
    </w:p>
    <w:p w14:paraId="04A65450">
      <w:pPr>
        <w:spacing w:line="240" w:lineRule="atLeast"/>
        <w:rPr>
          <w:rFonts w:ascii="宋体" w:hAnsi="宋体" w:eastAsia="宋体"/>
          <w:b/>
          <w:color w:val="auto"/>
          <w:sz w:val="32"/>
          <w:szCs w:val="32"/>
          <w:highlight w:val="none"/>
        </w:rPr>
      </w:pPr>
    </w:p>
    <w:p w14:paraId="649E67B8">
      <w:pPr>
        <w:keepNext/>
        <w:keepLines/>
        <w:pageBreakBefore/>
        <w:widowControl/>
        <w:kinsoku/>
        <w:wordWrap/>
        <w:overflowPunct/>
        <w:topLinePunct w:val="0"/>
        <w:autoSpaceDE/>
        <w:autoSpaceDN/>
        <w:bidi w:val="0"/>
        <w:adjustRightInd/>
        <w:snapToGrid/>
        <w:spacing w:line="279" w:lineRule="auto"/>
        <w:textAlignment w:val="auto"/>
        <w:outlineLvl w:val="1"/>
        <w:rPr>
          <w:rFonts w:ascii="宋体" w:hAnsi="宋体" w:eastAsia="宋体"/>
          <w:b/>
          <w:color w:val="auto"/>
          <w:sz w:val="32"/>
          <w:szCs w:val="32"/>
          <w:highlight w:val="none"/>
        </w:rPr>
      </w:pPr>
      <w:bookmarkStart w:id="43" w:name="_Toc44229899"/>
      <w:bookmarkStart w:id="44" w:name="_Toc35611516"/>
      <w:bookmarkStart w:id="45" w:name="_Toc71366186"/>
      <w:bookmarkStart w:id="46" w:name="_Toc31728084"/>
      <w:bookmarkStart w:id="47" w:name="_Toc35611438"/>
      <w:bookmarkStart w:id="48" w:name="_Toc31723070"/>
      <w:bookmarkStart w:id="49" w:name="_Toc21782"/>
      <w:r>
        <w:rPr>
          <w:rFonts w:hint="eastAsia" w:ascii="宋体" w:hAnsi="宋体" w:eastAsia="宋体"/>
          <w:b/>
          <w:color w:val="auto"/>
          <w:sz w:val="32"/>
          <w:szCs w:val="32"/>
          <w:highlight w:val="none"/>
        </w:rPr>
        <w:t>一、资格证明文件格式</w:t>
      </w:r>
      <w:bookmarkEnd w:id="43"/>
      <w:bookmarkEnd w:id="44"/>
      <w:bookmarkEnd w:id="45"/>
      <w:bookmarkEnd w:id="46"/>
      <w:bookmarkEnd w:id="47"/>
      <w:bookmarkEnd w:id="48"/>
      <w:bookmarkEnd w:id="49"/>
    </w:p>
    <w:p w14:paraId="2BFDF3B5">
      <w:pPr>
        <w:snapToGrid w:val="0"/>
        <w:spacing w:before="120" w:beforeLines="50" w:after="50" w:line="360" w:lineRule="auto"/>
        <w:jc w:val="left"/>
        <w:rPr>
          <w:rFonts w:ascii="宋体" w:hAnsi="宋体" w:eastAsia="宋体"/>
          <w:b/>
          <w:color w:val="auto"/>
          <w:sz w:val="24"/>
          <w:highlight w:val="none"/>
        </w:rPr>
      </w:pPr>
      <w:r>
        <w:rPr>
          <w:rFonts w:hint="eastAsia" w:ascii="宋体" w:hAnsi="宋体" w:eastAsia="宋体"/>
          <w:b/>
          <w:color w:val="auto"/>
          <w:sz w:val="32"/>
          <w:szCs w:val="32"/>
          <w:highlight w:val="none"/>
        </w:rPr>
        <w:t>1.资格证明文件封面格式：</w:t>
      </w:r>
      <w:r>
        <w:rPr>
          <w:rFonts w:hint="eastAsia" w:ascii="宋体" w:hAnsi="宋体" w:eastAsia="宋体"/>
          <w:b/>
          <w:color w:val="auto"/>
          <w:sz w:val="24"/>
          <w:highlight w:val="none"/>
        </w:rPr>
        <w:t xml:space="preserve"> </w:t>
      </w:r>
    </w:p>
    <w:p w14:paraId="487B35E1">
      <w:pPr>
        <w:snapToGrid w:val="0"/>
        <w:spacing w:before="120" w:beforeLines="50" w:after="50"/>
        <w:jc w:val="center"/>
        <w:rPr>
          <w:rFonts w:ascii="宋体" w:hAnsi="宋体" w:eastAsia="宋体"/>
          <w:color w:val="auto"/>
          <w:sz w:val="44"/>
          <w:szCs w:val="44"/>
          <w:highlight w:val="none"/>
        </w:rPr>
      </w:pPr>
    </w:p>
    <w:p w14:paraId="39CECB63">
      <w:pPr>
        <w:snapToGrid w:val="0"/>
        <w:spacing w:before="120" w:beforeLines="50" w:after="50"/>
        <w:jc w:val="center"/>
        <w:rPr>
          <w:rFonts w:ascii="宋体" w:hAnsi="宋体" w:eastAsia="宋体"/>
          <w:color w:val="auto"/>
          <w:sz w:val="44"/>
          <w:szCs w:val="44"/>
          <w:highlight w:val="none"/>
        </w:rPr>
      </w:pPr>
      <w:r>
        <w:rPr>
          <w:rFonts w:hint="eastAsia" w:ascii="宋体" w:hAnsi="宋体" w:eastAsia="宋体"/>
          <w:color w:val="auto"/>
          <w:sz w:val="44"/>
          <w:szCs w:val="44"/>
          <w:highlight w:val="none"/>
        </w:rPr>
        <w:t>电 子 响 应 文 件</w:t>
      </w:r>
    </w:p>
    <w:p w14:paraId="4D5D55DA">
      <w:pPr>
        <w:snapToGrid w:val="0"/>
        <w:spacing w:before="120" w:beforeLines="50" w:after="50"/>
        <w:rPr>
          <w:rFonts w:ascii="宋体" w:hAnsi="宋体" w:eastAsia="宋体"/>
          <w:color w:val="auto"/>
          <w:sz w:val="24"/>
          <w:szCs w:val="20"/>
          <w:highlight w:val="none"/>
        </w:rPr>
      </w:pPr>
    </w:p>
    <w:p w14:paraId="10B37194">
      <w:pPr>
        <w:snapToGrid w:val="0"/>
        <w:spacing w:before="120" w:beforeLines="50" w:after="50"/>
        <w:jc w:val="center"/>
        <w:rPr>
          <w:rFonts w:ascii="宋体" w:hAnsi="宋体" w:eastAsia="宋体" w:cs="Tahoma"/>
          <w:bCs/>
          <w:color w:val="auto"/>
          <w:sz w:val="44"/>
          <w:szCs w:val="44"/>
          <w:highlight w:val="none"/>
        </w:rPr>
      </w:pPr>
      <w:r>
        <w:rPr>
          <w:rFonts w:hint="eastAsia" w:ascii="宋体" w:hAnsi="宋体" w:eastAsia="宋体" w:cs="Tahoma"/>
          <w:bCs/>
          <w:color w:val="auto"/>
          <w:sz w:val="44"/>
          <w:szCs w:val="44"/>
          <w:highlight w:val="none"/>
        </w:rPr>
        <w:t>资  格  证  明  文  件</w:t>
      </w:r>
    </w:p>
    <w:p w14:paraId="4F18E506">
      <w:pPr>
        <w:snapToGrid w:val="0"/>
        <w:spacing w:before="120" w:beforeLines="50" w:after="50"/>
        <w:rPr>
          <w:rFonts w:ascii="宋体" w:hAnsi="宋体" w:eastAsia="宋体"/>
          <w:bCs/>
          <w:color w:val="auto"/>
          <w:sz w:val="24"/>
          <w:szCs w:val="20"/>
          <w:highlight w:val="none"/>
        </w:rPr>
      </w:pPr>
    </w:p>
    <w:p w14:paraId="0917021B">
      <w:pPr>
        <w:snapToGrid w:val="0"/>
        <w:spacing w:before="120" w:beforeLines="50" w:after="50"/>
        <w:rPr>
          <w:rFonts w:ascii="宋体" w:hAnsi="宋体" w:eastAsia="宋体"/>
          <w:bCs/>
          <w:color w:val="auto"/>
          <w:sz w:val="24"/>
          <w:szCs w:val="20"/>
          <w:highlight w:val="none"/>
        </w:rPr>
      </w:pPr>
    </w:p>
    <w:p w14:paraId="52B88100">
      <w:pPr>
        <w:snapToGrid w:val="0"/>
        <w:spacing w:before="120" w:beforeLines="50" w:after="50"/>
        <w:rPr>
          <w:rFonts w:ascii="宋体" w:hAnsi="宋体" w:eastAsia="宋体"/>
          <w:bCs/>
          <w:color w:val="auto"/>
          <w:sz w:val="24"/>
          <w:szCs w:val="20"/>
          <w:highlight w:val="none"/>
        </w:rPr>
      </w:pPr>
    </w:p>
    <w:p w14:paraId="0B39C9E0">
      <w:pPr>
        <w:snapToGrid w:val="0"/>
        <w:spacing w:before="120" w:beforeLines="50" w:after="50"/>
        <w:rPr>
          <w:rFonts w:ascii="宋体" w:hAnsi="宋体" w:eastAsia="宋体"/>
          <w:bCs/>
          <w:color w:val="auto"/>
          <w:sz w:val="24"/>
          <w:szCs w:val="20"/>
          <w:highlight w:val="none"/>
        </w:rPr>
      </w:pPr>
    </w:p>
    <w:p w14:paraId="430246EE">
      <w:pPr>
        <w:snapToGrid w:val="0"/>
        <w:spacing w:before="120" w:beforeLines="50" w:after="50"/>
        <w:rPr>
          <w:rFonts w:ascii="宋体" w:hAnsi="宋体" w:eastAsia="宋体"/>
          <w:bCs/>
          <w:color w:val="auto"/>
          <w:sz w:val="24"/>
          <w:szCs w:val="20"/>
          <w:highlight w:val="none"/>
        </w:rPr>
      </w:pPr>
    </w:p>
    <w:p w14:paraId="4967E6E9">
      <w:pPr>
        <w:snapToGrid w:val="0"/>
        <w:spacing w:before="120" w:beforeLines="50" w:after="50"/>
        <w:ind w:firstLine="640" w:firstLineChars="200"/>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项目名称：</w:t>
      </w:r>
    </w:p>
    <w:p w14:paraId="3212594E">
      <w:pPr>
        <w:snapToGrid w:val="0"/>
        <w:spacing w:before="120" w:beforeLines="50" w:after="50"/>
        <w:ind w:firstLine="720" w:firstLineChars="225"/>
        <w:rPr>
          <w:rFonts w:ascii="宋体" w:hAnsi="宋体" w:eastAsia="宋体" w:cs="Calibri"/>
          <w:bCs/>
          <w:color w:val="auto"/>
          <w:sz w:val="32"/>
          <w:szCs w:val="32"/>
          <w:highlight w:val="none"/>
        </w:rPr>
      </w:pPr>
    </w:p>
    <w:p w14:paraId="04F8C4F4">
      <w:pPr>
        <w:snapToGrid w:val="0"/>
        <w:spacing w:before="120" w:beforeLines="50" w:after="50"/>
        <w:ind w:firstLine="720" w:firstLineChars="225"/>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项目编号：</w:t>
      </w:r>
    </w:p>
    <w:p w14:paraId="56A88048">
      <w:pPr>
        <w:snapToGrid w:val="0"/>
        <w:spacing w:before="120" w:beforeLines="50" w:after="50"/>
        <w:ind w:firstLine="720" w:firstLineChars="225"/>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 xml:space="preserve"> </w:t>
      </w:r>
    </w:p>
    <w:p w14:paraId="194E3A7A">
      <w:pPr>
        <w:snapToGrid w:val="0"/>
        <w:spacing w:before="120" w:beforeLines="50" w:after="50"/>
        <w:ind w:firstLine="720" w:firstLineChars="225"/>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所竞分标（如有则填写，无分标时填写“无”或者留空）：</w:t>
      </w:r>
    </w:p>
    <w:p w14:paraId="69261882">
      <w:pPr>
        <w:snapToGrid w:val="0"/>
        <w:spacing w:before="120" w:beforeLines="50" w:after="50"/>
        <w:ind w:firstLine="720" w:firstLineChars="225"/>
        <w:rPr>
          <w:rFonts w:ascii="宋体" w:hAnsi="宋体" w:eastAsia="宋体" w:cs="Calibri"/>
          <w:bCs/>
          <w:color w:val="auto"/>
          <w:sz w:val="32"/>
          <w:szCs w:val="32"/>
          <w:highlight w:val="none"/>
        </w:rPr>
      </w:pPr>
    </w:p>
    <w:p w14:paraId="75872A49">
      <w:pPr>
        <w:pStyle w:val="7"/>
        <w:snapToGrid w:val="0"/>
        <w:spacing w:before="50" w:after="50"/>
        <w:ind w:firstLine="720" w:firstLineChars="225"/>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供应商名称：</w:t>
      </w:r>
    </w:p>
    <w:p w14:paraId="5D6E2469">
      <w:pPr>
        <w:snapToGrid w:val="0"/>
        <w:spacing w:before="120" w:beforeLines="50" w:after="50"/>
        <w:ind w:firstLine="640" w:firstLineChars="200"/>
        <w:rPr>
          <w:rFonts w:ascii="宋体" w:hAnsi="宋体" w:eastAsia="宋体" w:cs="Calibri"/>
          <w:bCs/>
          <w:color w:val="auto"/>
          <w:sz w:val="32"/>
          <w:szCs w:val="32"/>
          <w:highlight w:val="none"/>
        </w:rPr>
      </w:pPr>
    </w:p>
    <w:p w14:paraId="6577AD94">
      <w:pPr>
        <w:pStyle w:val="7"/>
        <w:snapToGrid w:val="0"/>
        <w:spacing w:before="50" w:after="50"/>
        <w:ind w:firstLine="720" w:firstLineChars="225"/>
        <w:rPr>
          <w:rFonts w:ascii="宋体" w:hAnsi="宋体" w:eastAsia="宋体" w:cs="Calibri"/>
          <w:bCs/>
          <w:color w:val="auto"/>
          <w:sz w:val="32"/>
          <w:szCs w:val="32"/>
          <w:highlight w:val="none"/>
        </w:rPr>
      </w:pPr>
    </w:p>
    <w:p w14:paraId="3B4AF403">
      <w:pPr>
        <w:pStyle w:val="7"/>
        <w:snapToGrid w:val="0"/>
        <w:spacing w:before="50" w:after="50"/>
        <w:ind w:firstLine="720" w:firstLineChars="225"/>
        <w:rPr>
          <w:rFonts w:ascii="宋体" w:hAnsi="宋体" w:eastAsia="宋体" w:cs="Calibri"/>
          <w:bCs/>
          <w:color w:val="auto"/>
          <w:sz w:val="32"/>
          <w:szCs w:val="32"/>
          <w:highlight w:val="none"/>
        </w:rPr>
      </w:pPr>
    </w:p>
    <w:p w14:paraId="457FEA7C">
      <w:pPr>
        <w:pStyle w:val="7"/>
        <w:snapToGrid w:val="0"/>
        <w:spacing w:before="50" w:after="50"/>
        <w:ind w:firstLine="1280" w:firstLineChars="400"/>
        <w:rPr>
          <w:rFonts w:ascii="宋体" w:hAnsi="宋体" w:eastAsia="宋体" w:cs="Calibri"/>
          <w:bCs/>
          <w:color w:val="auto"/>
          <w:sz w:val="32"/>
          <w:szCs w:val="32"/>
          <w:highlight w:val="none"/>
        </w:rPr>
      </w:pPr>
    </w:p>
    <w:p w14:paraId="57537741">
      <w:pPr>
        <w:snapToGrid w:val="0"/>
        <w:spacing w:before="120" w:beforeLines="50" w:after="50"/>
        <w:jc w:val="center"/>
        <w:rPr>
          <w:rFonts w:ascii="宋体" w:hAnsi="宋体" w:eastAsia="宋体" w:cs="Calibri"/>
          <w:color w:val="auto"/>
          <w:sz w:val="32"/>
          <w:szCs w:val="32"/>
          <w:highlight w:val="none"/>
        </w:rPr>
      </w:pPr>
      <w:r>
        <w:rPr>
          <w:rFonts w:hint="eastAsia" w:ascii="宋体" w:hAnsi="宋体" w:eastAsia="宋体" w:cs="Calibri"/>
          <w:color w:val="auto"/>
          <w:sz w:val="32"/>
          <w:szCs w:val="32"/>
          <w:highlight w:val="none"/>
        </w:rPr>
        <w:t>年    月    日</w:t>
      </w:r>
    </w:p>
    <w:p w14:paraId="3812DB25">
      <w:pPr>
        <w:snapToGrid w:val="0"/>
        <w:spacing w:before="120" w:beforeLines="50" w:after="50" w:line="360" w:lineRule="auto"/>
        <w:ind w:left="142"/>
        <w:jc w:val="left"/>
        <w:rPr>
          <w:rFonts w:ascii="宋体" w:hAnsi="宋体" w:eastAsia="宋体"/>
          <w:b/>
          <w:bCs/>
          <w:color w:val="auto"/>
          <w:sz w:val="32"/>
          <w:szCs w:val="32"/>
          <w:highlight w:val="none"/>
        </w:rPr>
      </w:pPr>
      <w:r>
        <w:rPr>
          <w:rFonts w:ascii="宋体" w:hAnsi="宋体" w:eastAsia="宋体"/>
          <w:color w:val="auto"/>
          <w:sz w:val="24"/>
          <w:highlight w:val="none"/>
        </w:rPr>
        <w:br w:type="page"/>
      </w:r>
      <w:r>
        <w:rPr>
          <w:rFonts w:hint="eastAsia" w:ascii="宋体" w:hAnsi="宋体" w:eastAsia="宋体"/>
          <w:b/>
          <w:bCs/>
          <w:color w:val="auto"/>
          <w:sz w:val="32"/>
          <w:szCs w:val="32"/>
          <w:highlight w:val="none"/>
        </w:rPr>
        <w:t>2.资格证明文件目录</w:t>
      </w:r>
    </w:p>
    <w:p w14:paraId="466DEED0">
      <w:pPr>
        <w:snapToGrid w:val="0"/>
        <w:spacing w:before="120" w:beforeLines="50" w:after="50" w:line="360" w:lineRule="auto"/>
        <w:ind w:firstLine="645"/>
        <w:rPr>
          <w:rFonts w:ascii="宋体" w:hAnsi="宋体" w:eastAsia="宋体"/>
          <w:color w:val="auto"/>
          <w:sz w:val="32"/>
          <w:szCs w:val="32"/>
          <w:highlight w:val="none"/>
        </w:rPr>
      </w:pPr>
      <w:r>
        <w:rPr>
          <w:rFonts w:hint="eastAsia" w:ascii="宋体" w:hAnsi="宋体" w:eastAsia="宋体"/>
          <w:color w:val="auto"/>
          <w:sz w:val="32"/>
          <w:szCs w:val="32"/>
          <w:highlight w:val="none"/>
        </w:rPr>
        <w:t>根据磋商文件规定及供应商提供的材料自行编写目录（部分格式后附）。</w:t>
      </w:r>
    </w:p>
    <w:p w14:paraId="026F6946">
      <w:pPr>
        <w:snapToGrid w:val="0"/>
        <w:spacing w:before="120" w:beforeLines="50" w:after="50"/>
        <w:rPr>
          <w:rFonts w:ascii="宋体" w:hAnsi="宋体" w:eastAsia="宋体"/>
          <w:color w:val="auto"/>
          <w:sz w:val="24"/>
          <w:szCs w:val="20"/>
          <w:highlight w:val="none"/>
        </w:rPr>
      </w:pPr>
      <w:r>
        <w:rPr>
          <w:rFonts w:ascii="宋体" w:hAnsi="宋体" w:eastAsia="宋体"/>
          <w:color w:val="auto"/>
          <w:sz w:val="24"/>
          <w:szCs w:val="20"/>
          <w:highlight w:val="none"/>
        </w:rPr>
        <w:t xml:space="preserve"> </w:t>
      </w:r>
    </w:p>
    <w:p w14:paraId="07264F64">
      <w:pPr>
        <w:spacing w:line="300" w:lineRule="auto"/>
        <w:rPr>
          <w:rFonts w:ascii="宋体" w:hAnsi="宋体" w:eastAsia="宋体"/>
          <w:color w:val="auto"/>
          <w:szCs w:val="21"/>
          <w:highlight w:val="none"/>
        </w:rPr>
      </w:pPr>
    </w:p>
    <w:p w14:paraId="63C06234">
      <w:pPr>
        <w:spacing w:line="300" w:lineRule="auto"/>
        <w:rPr>
          <w:rFonts w:ascii="宋体" w:hAnsi="宋体" w:eastAsia="宋体"/>
          <w:color w:val="auto"/>
          <w:szCs w:val="21"/>
          <w:highlight w:val="none"/>
        </w:rPr>
      </w:pPr>
    </w:p>
    <w:p w14:paraId="66846289">
      <w:pPr>
        <w:spacing w:line="300" w:lineRule="auto"/>
        <w:rPr>
          <w:rFonts w:ascii="宋体" w:hAnsi="宋体" w:eastAsia="宋体"/>
          <w:color w:val="auto"/>
          <w:szCs w:val="21"/>
          <w:highlight w:val="none"/>
        </w:rPr>
      </w:pPr>
    </w:p>
    <w:p w14:paraId="7FC503C6">
      <w:pPr>
        <w:spacing w:line="300" w:lineRule="auto"/>
        <w:rPr>
          <w:rFonts w:ascii="宋体" w:hAnsi="宋体" w:eastAsia="宋体"/>
          <w:color w:val="auto"/>
          <w:szCs w:val="21"/>
          <w:highlight w:val="none"/>
        </w:rPr>
      </w:pPr>
    </w:p>
    <w:p w14:paraId="442EB33F">
      <w:pPr>
        <w:spacing w:line="300" w:lineRule="auto"/>
        <w:rPr>
          <w:rFonts w:ascii="宋体" w:hAnsi="宋体" w:eastAsia="宋体"/>
          <w:color w:val="auto"/>
          <w:szCs w:val="21"/>
          <w:highlight w:val="none"/>
        </w:rPr>
      </w:pPr>
    </w:p>
    <w:p w14:paraId="4E9F5C84">
      <w:pPr>
        <w:spacing w:line="300" w:lineRule="auto"/>
        <w:rPr>
          <w:rFonts w:ascii="宋体" w:hAnsi="宋体" w:eastAsia="宋体"/>
          <w:color w:val="auto"/>
          <w:szCs w:val="21"/>
          <w:highlight w:val="none"/>
        </w:rPr>
      </w:pPr>
    </w:p>
    <w:p w14:paraId="52AD0B9E">
      <w:pPr>
        <w:spacing w:line="300" w:lineRule="auto"/>
        <w:rPr>
          <w:rFonts w:ascii="宋体" w:hAnsi="宋体" w:eastAsia="宋体"/>
          <w:color w:val="auto"/>
          <w:szCs w:val="21"/>
          <w:highlight w:val="none"/>
        </w:rPr>
      </w:pPr>
    </w:p>
    <w:p w14:paraId="53A39A2B">
      <w:pPr>
        <w:spacing w:line="300" w:lineRule="auto"/>
        <w:rPr>
          <w:rFonts w:ascii="宋体" w:hAnsi="宋体" w:eastAsia="宋体"/>
          <w:color w:val="auto"/>
          <w:szCs w:val="21"/>
          <w:highlight w:val="none"/>
        </w:rPr>
      </w:pPr>
    </w:p>
    <w:p w14:paraId="465E416E">
      <w:pPr>
        <w:spacing w:line="300" w:lineRule="auto"/>
        <w:rPr>
          <w:rFonts w:ascii="宋体" w:hAnsi="宋体" w:eastAsia="宋体"/>
          <w:color w:val="auto"/>
          <w:szCs w:val="21"/>
          <w:highlight w:val="none"/>
        </w:rPr>
      </w:pPr>
    </w:p>
    <w:p w14:paraId="290102B0">
      <w:pPr>
        <w:spacing w:line="300" w:lineRule="auto"/>
        <w:rPr>
          <w:rFonts w:ascii="宋体" w:hAnsi="宋体" w:eastAsia="宋体"/>
          <w:color w:val="auto"/>
          <w:szCs w:val="21"/>
          <w:highlight w:val="none"/>
        </w:rPr>
      </w:pPr>
    </w:p>
    <w:p w14:paraId="26D0D8BB">
      <w:pPr>
        <w:spacing w:line="300" w:lineRule="auto"/>
        <w:rPr>
          <w:rFonts w:ascii="宋体" w:hAnsi="宋体" w:eastAsia="宋体"/>
          <w:color w:val="auto"/>
          <w:szCs w:val="21"/>
          <w:highlight w:val="none"/>
        </w:rPr>
      </w:pPr>
    </w:p>
    <w:p w14:paraId="351739A7">
      <w:pPr>
        <w:spacing w:line="300" w:lineRule="auto"/>
        <w:rPr>
          <w:rFonts w:ascii="宋体" w:hAnsi="宋体" w:eastAsia="宋体"/>
          <w:color w:val="auto"/>
          <w:szCs w:val="21"/>
          <w:highlight w:val="none"/>
        </w:rPr>
      </w:pPr>
    </w:p>
    <w:p w14:paraId="570B8C97">
      <w:pPr>
        <w:spacing w:line="300" w:lineRule="auto"/>
        <w:rPr>
          <w:rFonts w:ascii="宋体" w:hAnsi="宋体" w:eastAsia="宋体"/>
          <w:color w:val="auto"/>
          <w:szCs w:val="21"/>
          <w:highlight w:val="none"/>
        </w:rPr>
      </w:pPr>
    </w:p>
    <w:p w14:paraId="711D5D49">
      <w:pPr>
        <w:spacing w:line="300" w:lineRule="auto"/>
        <w:rPr>
          <w:rFonts w:ascii="宋体" w:hAnsi="宋体" w:eastAsia="宋体"/>
          <w:color w:val="auto"/>
          <w:szCs w:val="21"/>
          <w:highlight w:val="none"/>
        </w:rPr>
      </w:pPr>
    </w:p>
    <w:p w14:paraId="0E90B0F5">
      <w:pPr>
        <w:spacing w:line="300" w:lineRule="auto"/>
        <w:rPr>
          <w:rFonts w:ascii="宋体" w:hAnsi="宋体" w:eastAsia="宋体"/>
          <w:color w:val="auto"/>
          <w:szCs w:val="21"/>
          <w:highlight w:val="none"/>
        </w:rPr>
      </w:pPr>
    </w:p>
    <w:p w14:paraId="4A409045">
      <w:pPr>
        <w:spacing w:line="320" w:lineRule="exact"/>
        <w:jc w:val="center"/>
        <w:rPr>
          <w:rFonts w:ascii="宋体" w:hAnsi="宋体" w:eastAsia="宋体"/>
          <w:b/>
          <w:color w:val="auto"/>
          <w:sz w:val="32"/>
          <w:szCs w:val="32"/>
          <w:highlight w:val="none"/>
        </w:rPr>
      </w:pPr>
      <w:r>
        <w:rPr>
          <w:rFonts w:ascii="宋体" w:hAnsi="宋体" w:eastAsia="宋体"/>
          <w:color w:val="auto"/>
          <w:szCs w:val="21"/>
          <w:highlight w:val="none"/>
        </w:rPr>
        <w:br w:type="page"/>
      </w:r>
      <w:r>
        <w:rPr>
          <w:rFonts w:hint="eastAsia" w:ascii="宋体" w:hAnsi="宋体" w:eastAsia="宋体"/>
          <w:b/>
          <w:color w:val="auto"/>
          <w:sz w:val="32"/>
          <w:szCs w:val="32"/>
          <w:highlight w:val="none"/>
          <w:lang w:val="en-US" w:eastAsia="zh-CN"/>
        </w:rPr>
        <w:t xml:space="preserve"> </w:t>
      </w:r>
      <w:r>
        <w:rPr>
          <w:rFonts w:hint="eastAsia" w:ascii="宋体" w:hAnsi="宋体" w:eastAsia="宋体"/>
          <w:b/>
          <w:color w:val="auto"/>
          <w:sz w:val="32"/>
          <w:szCs w:val="32"/>
          <w:highlight w:val="none"/>
        </w:rPr>
        <w:t>供应商直接控股、管理关系信息表</w:t>
      </w:r>
    </w:p>
    <w:p w14:paraId="29EB8FF8">
      <w:pPr>
        <w:snapToGrid w:val="0"/>
        <w:spacing w:before="120" w:beforeLines="50" w:after="50" w:line="360" w:lineRule="auto"/>
        <w:jc w:val="center"/>
        <w:rPr>
          <w:rFonts w:ascii="宋体" w:hAnsi="宋体" w:eastAsia="宋体"/>
          <w:b/>
          <w:color w:val="auto"/>
          <w:sz w:val="24"/>
          <w:highlight w:val="none"/>
        </w:rPr>
      </w:pPr>
    </w:p>
    <w:p w14:paraId="4CFEDBF5">
      <w:pPr>
        <w:spacing w:line="360" w:lineRule="auto"/>
        <w:contextualSpacing/>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供应商直接控股股东信息表</w:t>
      </w:r>
    </w:p>
    <w:p w14:paraId="68492F0D">
      <w:pPr>
        <w:spacing w:line="360" w:lineRule="auto"/>
        <w:contextualSpacing/>
        <w:jc w:val="center"/>
        <w:rPr>
          <w:rFonts w:ascii="宋体" w:hAnsi="宋体" w:eastAsia="宋体"/>
          <w:b/>
          <w:color w:val="auto"/>
          <w:sz w:val="24"/>
          <w:highlight w:val="none"/>
        </w:rPr>
      </w:pPr>
    </w:p>
    <w:tbl>
      <w:tblPr>
        <w:tblStyle w:val="49"/>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988C370">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9EF8E3">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b/>
                <w:bCs/>
                <w:color w:val="auto"/>
                <w:kern w:val="0"/>
                <w:sz w:val="24"/>
                <w:highlight w:val="none"/>
              </w:rPr>
            </w:pPr>
            <w:r>
              <w:rPr>
                <w:rFonts w:hint="eastAsia" w:ascii="宋体" w:hAnsi="宋体" w:eastAsia="宋体" w:cs="Calibri"/>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BEFD46">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b/>
                <w:bCs/>
                <w:color w:val="auto"/>
                <w:kern w:val="0"/>
                <w:sz w:val="24"/>
                <w:highlight w:val="none"/>
              </w:rPr>
            </w:pPr>
            <w:r>
              <w:rPr>
                <w:rFonts w:hint="eastAsia" w:ascii="宋体" w:hAnsi="宋体" w:eastAsia="宋体" w:cs="Calibri"/>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0733FA">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b/>
                <w:bCs/>
                <w:color w:val="auto"/>
                <w:kern w:val="0"/>
                <w:sz w:val="24"/>
                <w:highlight w:val="none"/>
              </w:rPr>
            </w:pPr>
            <w:r>
              <w:rPr>
                <w:rFonts w:hint="eastAsia" w:ascii="宋体" w:hAnsi="宋体" w:eastAsia="宋体" w:cs="Calibri"/>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61FDF3">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b/>
                <w:bCs/>
                <w:color w:val="auto"/>
                <w:kern w:val="0"/>
                <w:sz w:val="24"/>
                <w:highlight w:val="none"/>
              </w:rPr>
            </w:pPr>
            <w:r>
              <w:rPr>
                <w:rFonts w:hint="eastAsia" w:ascii="宋体" w:hAnsi="宋体" w:eastAsia="宋体" w:cs="Calibri"/>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581E23">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b/>
                <w:bCs/>
                <w:color w:val="auto"/>
                <w:kern w:val="0"/>
                <w:sz w:val="24"/>
                <w:highlight w:val="none"/>
              </w:rPr>
            </w:pPr>
            <w:r>
              <w:rPr>
                <w:rFonts w:hint="eastAsia" w:ascii="宋体" w:hAnsi="宋体" w:eastAsia="宋体" w:cs="Calibri"/>
                <w:b/>
                <w:bCs/>
                <w:color w:val="auto"/>
                <w:kern w:val="0"/>
                <w:sz w:val="24"/>
                <w:highlight w:val="none"/>
              </w:rPr>
              <w:t>备注</w:t>
            </w:r>
          </w:p>
        </w:tc>
      </w:tr>
      <w:tr w14:paraId="1AAA978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BE654C">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r>
              <w:rPr>
                <w:rFonts w:hint="eastAsia" w:ascii="宋体" w:hAnsi="宋体" w:eastAsia="宋体" w:cs="Calibri"/>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40FBA0">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0210AD">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4697BD">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37EDCD">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r>
      <w:tr w14:paraId="44D89A4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840FE1">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r>
              <w:rPr>
                <w:rFonts w:hint="eastAsia" w:ascii="宋体" w:hAnsi="宋体" w:eastAsia="宋体" w:cs="Calibri"/>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61EB8C">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965EA2">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B94198">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164EC3">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r>
      <w:tr w14:paraId="5477CA6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A39758">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r>
              <w:rPr>
                <w:rFonts w:hint="eastAsia" w:ascii="宋体" w:hAnsi="宋体" w:eastAsia="宋体" w:cs="Calibri"/>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F1E6FB">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37071F">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19053B">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EA8187">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r>
      <w:tr w14:paraId="42C3B5E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9C60EE">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r>
              <w:rPr>
                <w:rFonts w:hint="eastAsia" w:ascii="宋体" w:hAnsi="宋体" w:eastAsia="宋体" w:cs="Calibri"/>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3F54F1">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AA6A28">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B75AC0">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211F89">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r>
    </w:tbl>
    <w:p w14:paraId="6926C878">
      <w:pPr>
        <w:spacing w:line="360" w:lineRule="auto"/>
        <w:contextualSpacing/>
        <w:jc w:val="left"/>
        <w:rPr>
          <w:rFonts w:ascii="宋体" w:hAnsi="宋体" w:eastAsia="宋体" w:cs="Calibri"/>
          <w:color w:val="auto"/>
          <w:sz w:val="24"/>
          <w:highlight w:val="none"/>
        </w:rPr>
      </w:pPr>
      <w:r>
        <w:rPr>
          <w:rFonts w:hint="eastAsia" w:ascii="宋体" w:hAnsi="宋体" w:eastAsia="宋体" w:cs="Calibri"/>
          <w:color w:val="auto"/>
          <w:sz w:val="24"/>
          <w:highlight w:val="none"/>
        </w:rPr>
        <w:t>注：</w:t>
      </w:r>
    </w:p>
    <w:p w14:paraId="0FE5841B">
      <w:pPr>
        <w:spacing w:line="360" w:lineRule="auto"/>
        <w:ind w:firstLine="480" w:firstLineChars="200"/>
        <w:contextualSpacing/>
        <w:jc w:val="left"/>
        <w:rPr>
          <w:rFonts w:ascii="宋体" w:hAnsi="宋体" w:eastAsia="宋体" w:cs="Calibri"/>
          <w:color w:val="auto"/>
          <w:sz w:val="24"/>
          <w:highlight w:val="none"/>
        </w:rPr>
      </w:pPr>
      <w:r>
        <w:rPr>
          <w:rFonts w:hint="eastAsia" w:ascii="宋体" w:hAnsi="宋体" w:eastAsia="宋体" w:cs="Calibri"/>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309B17C">
      <w:pPr>
        <w:spacing w:line="360" w:lineRule="auto"/>
        <w:ind w:firstLine="480" w:firstLineChars="200"/>
        <w:contextualSpacing/>
        <w:jc w:val="left"/>
        <w:rPr>
          <w:rFonts w:ascii="宋体" w:hAnsi="宋体" w:eastAsia="宋体" w:cs="Calibri"/>
          <w:color w:val="auto"/>
          <w:sz w:val="24"/>
          <w:highlight w:val="none"/>
        </w:rPr>
      </w:pPr>
      <w:r>
        <w:rPr>
          <w:rFonts w:hint="eastAsia" w:ascii="宋体" w:hAnsi="宋体" w:eastAsia="宋体" w:cs="Calibri"/>
          <w:color w:val="auto"/>
          <w:sz w:val="24"/>
          <w:highlight w:val="none"/>
        </w:rPr>
        <w:t>2.本表所指的控股关系仅限于直接控股关系，不包括间接的控股关系。公司实际控制人与公司之间的关系不属于本表所指的直接控股关系。</w:t>
      </w:r>
    </w:p>
    <w:p w14:paraId="55EACC4B">
      <w:pPr>
        <w:spacing w:line="360" w:lineRule="auto"/>
        <w:ind w:firstLine="480" w:firstLineChars="200"/>
        <w:contextualSpacing/>
        <w:jc w:val="left"/>
        <w:rPr>
          <w:rFonts w:ascii="宋体" w:hAnsi="宋体" w:eastAsia="宋体" w:cs="Calibri"/>
          <w:color w:val="auto"/>
          <w:sz w:val="24"/>
          <w:highlight w:val="none"/>
        </w:rPr>
      </w:pPr>
      <w:r>
        <w:rPr>
          <w:rFonts w:hint="eastAsia" w:ascii="宋体" w:hAnsi="宋体" w:eastAsia="宋体" w:cs="Calibri"/>
          <w:color w:val="auto"/>
          <w:sz w:val="24"/>
          <w:highlight w:val="none"/>
        </w:rPr>
        <w:t>3.供应商不存在直接控股股东的，</w:t>
      </w:r>
      <w:r>
        <w:rPr>
          <w:rFonts w:hint="eastAsia" w:ascii="宋体" w:hAnsi="宋体" w:eastAsia="宋体"/>
          <w:color w:val="auto"/>
          <w:sz w:val="24"/>
          <w:highlight w:val="none"/>
        </w:rPr>
        <w:t>则在“直接控股股东名称”填“无”</w:t>
      </w:r>
      <w:r>
        <w:rPr>
          <w:rFonts w:hint="eastAsia" w:ascii="宋体" w:hAnsi="宋体" w:eastAsia="宋体" w:cs="Calibri"/>
          <w:color w:val="auto"/>
          <w:sz w:val="24"/>
          <w:highlight w:val="none"/>
        </w:rPr>
        <w:t>。</w:t>
      </w:r>
    </w:p>
    <w:p w14:paraId="2BAC48F7">
      <w:pPr>
        <w:spacing w:line="360" w:lineRule="auto"/>
        <w:ind w:firstLine="420" w:firstLineChars="200"/>
        <w:contextualSpacing/>
        <w:jc w:val="left"/>
        <w:rPr>
          <w:rFonts w:ascii="宋体" w:hAnsi="宋体" w:eastAsia="宋体" w:cs="Calibri"/>
          <w:color w:val="auto"/>
          <w:szCs w:val="21"/>
          <w:highlight w:val="none"/>
        </w:rPr>
      </w:pPr>
    </w:p>
    <w:p w14:paraId="0B77FEE8">
      <w:pPr>
        <w:spacing w:line="360" w:lineRule="auto"/>
        <w:ind w:firstLine="560" w:firstLineChars="200"/>
        <w:contextualSpacing/>
        <w:jc w:val="left"/>
        <w:rPr>
          <w:rFonts w:ascii="宋体" w:hAnsi="宋体" w:eastAsia="宋体" w:cs="Calibri"/>
          <w:color w:val="auto"/>
          <w:sz w:val="28"/>
          <w:szCs w:val="28"/>
          <w:highlight w:val="none"/>
        </w:rPr>
      </w:pPr>
    </w:p>
    <w:p w14:paraId="157AAF39">
      <w:pPr>
        <w:spacing w:line="360" w:lineRule="auto"/>
        <w:ind w:right="480"/>
        <w:contextualSpacing/>
        <w:jc w:val="center"/>
        <w:rPr>
          <w:rFonts w:ascii="宋体" w:hAnsi="宋体" w:eastAsia="宋体" w:cs="Calibri"/>
          <w:color w:val="auto"/>
          <w:sz w:val="24"/>
          <w:highlight w:val="none"/>
          <w:u w:val="single"/>
        </w:rPr>
      </w:pPr>
      <w:r>
        <w:rPr>
          <w:rFonts w:hint="eastAsia" w:ascii="宋体" w:hAnsi="宋体" w:eastAsia="宋体" w:cs="Calibri"/>
          <w:color w:val="auto"/>
          <w:sz w:val="24"/>
          <w:highlight w:val="none"/>
        </w:rPr>
        <w:t xml:space="preserve"> </w:t>
      </w:r>
      <w:r>
        <w:rPr>
          <w:rFonts w:ascii="宋体" w:hAnsi="宋体" w:eastAsia="宋体" w:cs="Calibri"/>
          <w:color w:val="auto"/>
          <w:sz w:val="24"/>
          <w:highlight w:val="none"/>
        </w:rPr>
        <w:t xml:space="preserve">       </w:t>
      </w:r>
      <w:r>
        <w:rPr>
          <w:rFonts w:hint="eastAsia" w:ascii="宋体" w:hAnsi="宋体" w:eastAsia="宋体" w:cs="Calibri"/>
          <w:color w:val="auto"/>
          <w:sz w:val="24"/>
          <w:highlight w:val="none"/>
        </w:rPr>
        <w:t>法定代表人或者委托代理人</w:t>
      </w:r>
      <w:r>
        <w:rPr>
          <w:rFonts w:hint="eastAsia" w:ascii="宋体" w:hAnsi="宋体" w:eastAsia="宋体"/>
          <w:color w:val="auto"/>
          <w:sz w:val="24"/>
          <w:highlight w:val="none"/>
        </w:rPr>
        <w:t>（签字或者电子签名）</w:t>
      </w:r>
      <w:r>
        <w:rPr>
          <w:rFonts w:hint="eastAsia" w:ascii="宋体" w:hAnsi="宋体" w:eastAsia="宋体" w:cs="Calibri"/>
          <w:color w:val="auto"/>
          <w:sz w:val="24"/>
          <w:highlight w:val="none"/>
        </w:rPr>
        <w:t>：</w:t>
      </w:r>
      <w:r>
        <w:rPr>
          <w:rFonts w:hint="eastAsia" w:ascii="宋体" w:hAnsi="宋体" w:eastAsia="宋体" w:cs="Calibri"/>
          <w:color w:val="auto"/>
          <w:sz w:val="24"/>
          <w:highlight w:val="none"/>
          <w:u w:val="single"/>
        </w:rPr>
        <w:t xml:space="preserve"> </w:t>
      </w:r>
      <w:r>
        <w:rPr>
          <w:rFonts w:ascii="宋体" w:hAnsi="宋体" w:eastAsia="宋体" w:cs="Calibri"/>
          <w:color w:val="auto"/>
          <w:sz w:val="24"/>
          <w:highlight w:val="none"/>
          <w:u w:val="single"/>
        </w:rPr>
        <w:t xml:space="preserve">                   </w:t>
      </w:r>
    </w:p>
    <w:p w14:paraId="1EA0E63D">
      <w:pPr>
        <w:spacing w:line="360" w:lineRule="auto"/>
        <w:ind w:right="480" w:firstLine="3000" w:firstLineChars="1250"/>
        <w:contextualSpacing/>
        <w:rPr>
          <w:rFonts w:ascii="宋体" w:hAnsi="宋体" w:eastAsia="宋体" w:cs="Calibri"/>
          <w:color w:val="auto"/>
          <w:sz w:val="24"/>
          <w:highlight w:val="none"/>
          <w:u w:val="single"/>
        </w:rPr>
      </w:pPr>
      <w:r>
        <w:rPr>
          <w:rFonts w:hint="eastAsia" w:ascii="宋体" w:hAnsi="宋体" w:eastAsia="宋体" w:cs="Calibri"/>
          <w:color w:val="auto"/>
          <w:sz w:val="24"/>
          <w:highlight w:val="none"/>
        </w:rPr>
        <w:t>供应商</w:t>
      </w:r>
      <w:r>
        <w:rPr>
          <w:rFonts w:hint="eastAsia" w:ascii="宋体" w:hAnsi="宋体" w:eastAsia="宋体"/>
          <w:color w:val="auto"/>
          <w:sz w:val="24"/>
          <w:highlight w:val="none"/>
        </w:rPr>
        <w:t>（电子签章）</w:t>
      </w:r>
      <w:r>
        <w:rPr>
          <w:rFonts w:hint="eastAsia" w:ascii="宋体" w:hAnsi="宋体" w:eastAsia="宋体" w:cs="Calibri"/>
          <w:color w:val="auto"/>
          <w:sz w:val="24"/>
          <w:highlight w:val="none"/>
        </w:rPr>
        <w:t xml:space="preserve">： </w:t>
      </w:r>
      <w:r>
        <w:rPr>
          <w:rFonts w:hint="eastAsia" w:ascii="宋体" w:hAnsi="宋体" w:eastAsia="宋体" w:cs="Calibri"/>
          <w:color w:val="auto"/>
          <w:sz w:val="24"/>
          <w:highlight w:val="none"/>
          <w:u w:val="single"/>
        </w:rPr>
        <w:t xml:space="preserve">                              </w:t>
      </w:r>
    </w:p>
    <w:p w14:paraId="1DAD8568">
      <w:pPr>
        <w:spacing w:line="360" w:lineRule="auto"/>
        <w:ind w:firstLine="480" w:firstLineChars="200"/>
        <w:contextualSpacing/>
        <w:jc w:val="right"/>
        <w:rPr>
          <w:rFonts w:ascii="宋体" w:hAnsi="宋体" w:eastAsia="宋体" w:cs="Calibri"/>
          <w:color w:val="auto"/>
          <w:sz w:val="28"/>
          <w:szCs w:val="28"/>
          <w:highlight w:val="none"/>
        </w:rPr>
      </w:pPr>
      <w:r>
        <w:rPr>
          <w:rFonts w:hint="eastAsia" w:ascii="宋体" w:hAnsi="宋体" w:eastAsia="宋体" w:cs="Calibri"/>
          <w:color w:val="auto"/>
          <w:sz w:val="24"/>
          <w:highlight w:val="none"/>
        </w:rPr>
        <w:t>年    月    日</w:t>
      </w:r>
    </w:p>
    <w:p w14:paraId="24E3B90E">
      <w:pPr>
        <w:snapToGrid w:val="0"/>
        <w:jc w:val="center"/>
        <w:rPr>
          <w:rFonts w:ascii="宋体" w:hAnsi="宋体" w:eastAsia="宋体"/>
          <w:b/>
          <w:color w:val="auto"/>
          <w:sz w:val="28"/>
          <w:szCs w:val="28"/>
          <w:highlight w:val="none"/>
        </w:rPr>
      </w:pPr>
      <w:r>
        <w:rPr>
          <w:rFonts w:ascii="宋体" w:hAnsi="宋体" w:eastAsia="宋体"/>
          <w:b/>
          <w:color w:val="auto"/>
          <w:sz w:val="28"/>
          <w:szCs w:val="28"/>
          <w:highlight w:val="none"/>
        </w:rPr>
        <w:br w:type="page"/>
      </w:r>
    </w:p>
    <w:p w14:paraId="4F3F127F">
      <w:pPr>
        <w:spacing w:line="320" w:lineRule="exact"/>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供应商直接管理关系信息表</w:t>
      </w:r>
    </w:p>
    <w:p w14:paraId="41B565C2">
      <w:pPr>
        <w:snapToGrid w:val="0"/>
        <w:spacing w:line="360" w:lineRule="auto"/>
        <w:jc w:val="center"/>
        <w:rPr>
          <w:rFonts w:ascii="宋体" w:hAnsi="宋体" w:eastAsia="宋体"/>
          <w:b/>
          <w:color w:val="auto"/>
          <w:sz w:val="24"/>
          <w:highlight w:val="none"/>
        </w:rPr>
      </w:pPr>
    </w:p>
    <w:tbl>
      <w:tblPr>
        <w:tblStyle w:val="49"/>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260D237">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0D9239">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b/>
                <w:bCs/>
                <w:color w:val="auto"/>
                <w:kern w:val="0"/>
                <w:sz w:val="24"/>
                <w:highlight w:val="none"/>
              </w:rPr>
            </w:pPr>
            <w:r>
              <w:rPr>
                <w:rFonts w:hint="eastAsia" w:ascii="宋体" w:hAnsi="宋体" w:eastAsia="宋体" w:cs="Calibri"/>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AF913E">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b/>
                <w:bCs/>
                <w:color w:val="auto"/>
                <w:kern w:val="0"/>
                <w:sz w:val="24"/>
                <w:highlight w:val="none"/>
              </w:rPr>
            </w:pPr>
            <w:r>
              <w:rPr>
                <w:rFonts w:hint="eastAsia" w:ascii="宋体" w:hAnsi="宋体" w:eastAsia="宋体" w:cs="Calibri"/>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63A6A8">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b/>
                <w:bCs/>
                <w:color w:val="auto"/>
                <w:kern w:val="0"/>
                <w:sz w:val="24"/>
                <w:highlight w:val="none"/>
              </w:rPr>
            </w:pPr>
            <w:r>
              <w:rPr>
                <w:rFonts w:hint="eastAsia" w:ascii="宋体" w:hAnsi="宋体" w:eastAsia="宋体" w:cs="Calibri"/>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FD382D">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b/>
                <w:bCs/>
                <w:color w:val="auto"/>
                <w:kern w:val="0"/>
                <w:sz w:val="24"/>
                <w:highlight w:val="none"/>
              </w:rPr>
            </w:pPr>
            <w:r>
              <w:rPr>
                <w:rFonts w:hint="eastAsia" w:ascii="宋体" w:hAnsi="宋体" w:eastAsia="宋体" w:cs="Calibri"/>
                <w:b/>
                <w:bCs/>
                <w:color w:val="auto"/>
                <w:kern w:val="0"/>
                <w:sz w:val="24"/>
                <w:highlight w:val="none"/>
              </w:rPr>
              <w:t>备注</w:t>
            </w:r>
          </w:p>
        </w:tc>
      </w:tr>
      <w:tr w14:paraId="48E5D4B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6D7537">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r>
              <w:rPr>
                <w:rFonts w:hint="eastAsia" w:ascii="宋体" w:hAnsi="宋体" w:eastAsia="宋体" w:cs="Calibri"/>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36A973">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0FA540">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43677C">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r>
      <w:tr w14:paraId="5DE3579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1E5410">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r>
              <w:rPr>
                <w:rFonts w:hint="eastAsia" w:ascii="宋体" w:hAnsi="宋体" w:eastAsia="宋体" w:cs="Calibri"/>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8BACA7">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6B370B">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2B7990">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r>
      <w:tr w14:paraId="71F38E6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A4F4C1">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r>
              <w:rPr>
                <w:rFonts w:hint="eastAsia" w:ascii="宋体" w:hAnsi="宋体" w:eastAsia="宋体" w:cs="Calibri"/>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4E7E55">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516436">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7E4395">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r>
      <w:tr w14:paraId="2C5EDC8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AB1F79">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r>
              <w:rPr>
                <w:rFonts w:hint="eastAsia" w:ascii="宋体" w:hAnsi="宋体" w:eastAsia="宋体" w:cs="Calibri"/>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E329D0">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C80DFF">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CDA5CF">
            <w:pPr>
              <w:keepNext w:val="0"/>
              <w:keepLines w:val="0"/>
              <w:widowControl/>
              <w:suppressLineNumbers w:val="0"/>
              <w:spacing w:before="0" w:beforeAutospacing="0" w:afterAutospacing="0" w:line="360" w:lineRule="auto"/>
              <w:ind w:left="0" w:right="0"/>
              <w:contextualSpacing/>
              <w:jc w:val="center"/>
              <w:rPr>
                <w:rFonts w:hint="default" w:ascii="宋体" w:hAnsi="宋体" w:eastAsia="宋体" w:cs="Calibri"/>
                <w:color w:val="auto"/>
                <w:kern w:val="0"/>
                <w:sz w:val="24"/>
                <w:highlight w:val="none"/>
              </w:rPr>
            </w:pPr>
          </w:p>
        </w:tc>
      </w:tr>
    </w:tbl>
    <w:p w14:paraId="4E3FEBB5">
      <w:pPr>
        <w:spacing w:line="360" w:lineRule="auto"/>
        <w:contextualSpacing/>
        <w:jc w:val="left"/>
        <w:rPr>
          <w:rFonts w:ascii="宋体" w:hAnsi="宋体" w:eastAsia="宋体"/>
          <w:color w:val="auto"/>
          <w:sz w:val="24"/>
          <w:highlight w:val="none"/>
        </w:rPr>
      </w:pPr>
      <w:r>
        <w:rPr>
          <w:rFonts w:hint="eastAsia" w:ascii="宋体" w:hAnsi="宋体" w:eastAsia="宋体"/>
          <w:color w:val="auto"/>
          <w:sz w:val="24"/>
          <w:highlight w:val="none"/>
        </w:rPr>
        <w:t>注：</w:t>
      </w:r>
    </w:p>
    <w:p w14:paraId="05425A78">
      <w:pPr>
        <w:spacing w:line="360" w:lineRule="auto"/>
        <w:ind w:firstLine="480" w:firstLineChars="200"/>
        <w:contextualSpacing/>
        <w:jc w:val="left"/>
        <w:rPr>
          <w:rFonts w:ascii="宋体" w:hAnsi="宋体" w:eastAsia="宋体"/>
          <w:color w:val="auto"/>
          <w:sz w:val="24"/>
          <w:highlight w:val="none"/>
        </w:rPr>
      </w:pPr>
      <w:r>
        <w:rPr>
          <w:rFonts w:hint="eastAsia" w:ascii="宋体" w:hAnsi="宋体" w:eastAsia="宋体"/>
          <w:color w:val="auto"/>
          <w:sz w:val="24"/>
          <w:highlight w:val="none"/>
        </w:rPr>
        <w:t>1.管理关系：是指不具有出资持股关系的其他单位之间存在的管理与被管理关系，如一些上下级关系的事业单位和团体组织。</w:t>
      </w:r>
    </w:p>
    <w:p w14:paraId="5D956DA8">
      <w:pPr>
        <w:spacing w:line="360" w:lineRule="auto"/>
        <w:ind w:firstLine="480" w:firstLineChars="200"/>
        <w:contextualSpacing/>
        <w:jc w:val="left"/>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pacing w:val="-6"/>
          <w:sz w:val="24"/>
          <w:highlight w:val="none"/>
        </w:rPr>
        <w:t>本表所指的管理关系仅限于直接管理关系，不包括间接的管理关系。</w:t>
      </w:r>
    </w:p>
    <w:p w14:paraId="489CAB7C">
      <w:pPr>
        <w:spacing w:line="360" w:lineRule="auto"/>
        <w:ind w:firstLine="480" w:firstLineChars="200"/>
        <w:contextualSpacing/>
        <w:jc w:val="left"/>
        <w:rPr>
          <w:rFonts w:ascii="宋体" w:hAnsi="宋体" w:eastAsia="宋体"/>
          <w:color w:val="auto"/>
          <w:sz w:val="24"/>
          <w:highlight w:val="none"/>
        </w:rPr>
      </w:pPr>
      <w:r>
        <w:rPr>
          <w:rFonts w:hint="eastAsia" w:ascii="宋体" w:hAnsi="宋体" w:eastAsia="宋体"/>
          <w:color w:val="auto"/>
          <w:sz w:val="24"/>
          <w:highlight w:val="none"/>
        </w:rPr>
        <w:t>3.供应商不存在直接管理关系的，则在“直接管理关系单位名称”填“无”。</w:t>
      </w:r>
    </w:p>
    <w:p w14:paraId="3D6B8BA3">
      <w:pPr>
        <w:spacing w:line="360" w:lineRule="auto"/>
        <w:contextualSpacing/>
        <w:jc w:val="left"/>
        <w:rPr>
          <w:rFonts w:ascii="宋体" w:hAnsi="宋体" w:eastAsia="宋体"/>
          <w:color w:val="auto"/>
          <w:sz w:val="28"/>
          <w:szCs w:val="28"/>
          <w:highlight w:val="none"/>
        </w:rPr>
      </w:pPr>
    </w:p>
    <w:p w14:paraId="61D8D304">
      <w:pPr>
        <w:spacing w:line="360" w:lineRule="auto"/>
        <w:contextualSpacing/>
        <w:jc w:val="left"/>
        <w:rPr>
          <w:rFonts w:ascii="宋体" w:hAnsi="宋体" w:eastAsia="宋体"/>
          <w:color w:val="auto"/>
          <w:sz w:val="28"/>
          <w:szCs w:val="28"/>
          <w:highlight w:val="none"/>
        </w:rPr>
      </w:pPr>
    </w:p>
    <w:p w14:paraId="56242262">
      <w:pPr>
        <w:spacing w:line="360" w:lineRule="auto"/>
        <w:contextualSpacing/>
        <w:jc w:val="left"/>
        <w:rPr>
          <w:rFonts w:ascii="宋体" w:hAnsi="宋体" w:eastAsia="宋体"/>
          <w:color w:val="auto"/>
          <w:sz w:val="28"/>
          <w:szCs w:val="28"/>
          <w:highlight w:val="none"/>
        </w:rPr>
      </w:pPr>
    </w:p>
    <w:p w14:paraId="4347F2F3">
      <w:pPr>
        <w:spacing w:line="360" w:lineRule="auto"/>
        <w:contextualSpacing/>
        <w:jc w:val="left"/>
        <w:rPr>
          <w:rFonts w:ascii="宋体" w:hAnsi="宋体" w:eastAsia="宋体"/>
          <w:color w:val="auto"/>
          <w:sz w:val="28"/>
          <w:szCs w:val="28"/>
          <w:highlight w:val="none"/>
        </w:rPr>
      </w:pPr>
    </w:p>
    <w:p w14:paraId="3A403CF4">
      <w:pPr>
        <w:spacing w:line="360" w:lineRule="auto"/>
        <w:contextualSpacing/>
        <w:jc w:val="left"/>
        <w:rPr>
          <w:rFonts w:ascii="宋体" w:hAnsi="宋体" w:eastAsia="宋体"/>
          <w:color w:val="auto"/>
          <w:sz w:val="28"/>
          <w:szCs w:val="28"/>
          <w:highlight w:val="none"/>
        </w:rPr>
      </w:pPr>
    </w:p>
    <w:p w14:paraId="4D6F2CF7">
      <w:pPr>
        <w:spacing w:line="360" w:lineRule="auto"/>
        <w:contextualSpacing/>
        <w:jc w:val="left"/>
        <w:rPr>
          <w:rFonts w:ascii="宋体" w:hAnsi="宋体" w:eastAsia="宋体"/>
          <w:color w:val="auto"/>
          <w:sz w:val="28"/>
          <w:szCs w:val="28"/>
          <w:highlight w:val="none"/>
        </w:rPr>
      </w:pPr>
    </w:p>
    <w:p w14:paraId="3D1CCEC8">
      <w:pPr>
        <w:spacing w:line="360" w:lineRule="auto"/>
        <w:ind w:right="480"/>
        <w:contextualSpacing/>
        <w:jc w:val="center"/>
        <w:rPr>
          <w:rFonts w:ascii="宋体" w:hAnsi="宋体" w:eastAsia="宋体"/>
          <w:color w:val="auto"/>
          <w:sz w:val="24"/>
          <w:highlight w:val="none"/>
          <w:u w:val="single"/>
        </w:rPr>
      </w:pPr>
      <w:r>
        <w:rPr>
          <w:rFonts w:hint="eastAsia" w:ascii="宋体" w:hAnsi="宋体" w:eastAsia="宋体"/>
          <w:color w:val="auto"/>
          <w:sz w:val="24"/>
          <w:highlight w:val="none"/>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法定代表人或者委托代理人（签字或者电子签名）：</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p>
    <w:p w14:paraId="15359A56">
      <w:pPr>
        <w:spacing w:line="360" w:lineRule="auto"/>
        <w:ind w:right="480" w:firstLine="3360" w:firstLineChars="1400"/>
        <w:contextualSpacing/>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446E9A40">
      <w:pPr>
        <w:spacing w:line="360" w:lineRule="auto"/>
        <w:ind w:firstLine="480" w:firstLineChars="200"/>
        <w:contextualSpacing/>
        <w:jc w:val="left"/>
        <w:rPr>
          <w:rFonts w:ascii="宋体" w:hAnsi="宋体" w:eastAsia="宋体"/>
          <w:color w:val="auto"/>
          <w:sz w:val="28"/>
          <w:szCs w:val="28"/>
          <w:highlight w:val="none"/>
        </w:rPr>
      </w:pPr>
      <w:r>
        <w:rPr>
          <w:rFonts w:hint="eastAsia" w:ascii="宋体" w:hAnsi="宋体" w:eastAsia="宋体"/>
          <w:color w:val="auto"/>
          <w:sz w:val="24"/>
          <w:highlight w:val="none"/>
        </w:rPr>
        <w:t xml:space="preserve">                                        年    月    日</w:t>
      </w:r>
    </w:p>
    <w:p w14:paraId="62206E40">
      <w:pPr>
        <w:spacing w:line="320" w:lineRule="exact"/>
        <w:jc w:val="center"/>
        <w:rPr>
          <w:rFonts w:ascii="宋体" w:hAnsi="宋体" w:eastAsia="宋体"/>
          <w:b/>
          <w:color w:val="auto"/>
          <w:sz w:val="32"/>
          <w:szCs w:val="32"/>
          <w:highlight w:val="none"/>
        </w:rPr>
      </w:pPr>
      <w:r>
        <w:rPr>
          <w:rFonts w:ascii="宋体" w:hAnsi="宋体" w:eastAsia="宋体"/>
          <w:color w:val="auto"/>
          <w:sz w:val="28"/>
          <w:szCs w:val="28"/>
          <w:highlight w:val="none"/>
        </w:rPr>
        <w:br w:type="page"/>
      </w:r>
      <w:r>
        <w:rPr>
          <w:rFonts w:hint="eastAsia" w:ascii="宋体" w:hAnsi="宋体" w:eastAsia="宋体"/>
          <w:b/>
          <w:color w:val="auto"/>
          <w:sz w:val="32"/>
          <w:szCs w:val="32"/>
          <w:highlight w:val="none"/>
          <w:lang w:val="en-US" w:eastAsia="zh-CN"/>
        </w:rPr>
        <w:t xml:space="preserve"> </w:t>
      </w:r>
      <w:r>
        <w:rPr>
          <w:rFonts w:hint="eastAsia" w:ascii="宋体" w:hAnsi="宋体" w:eastAsia="宋体"/>
          <w:b/>
          <w:color w:val="auto"/>
          <w:sz w:val="32"/>
          <w:szCs w:val="32"/>
          <w:highlight w:val="none"/>
        </w:rPr>
        <w:t>竞标声明</w:t>
      </w:r>
    </w:p>
    <w:p w14:paraId="113287C3">
      <w:pPr>
        <w:spacing w:line="320" w:lineRule="exact"/>
        <w:jc w:val="center"/>
        <w:rPr>
          <w:rFonts w:ascii="宋体" w:hAnsi="宋体" w:eastAsia="宋体"/>
          <w:color w:val="auto"/>
          <w:sz w:val="24"/>
          <w:szCs w:val="20"/>
          <w:highlight w:val="none"/>
        </w:rPr>
      </w:pPr>
    </w:p>
    <w:p w14:paraId="5A8EF6A4">
      <w:pPr>
        <w:spacing w:line="360" w:lineRule="auto"/>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致：</w:t>
      </w:r>
      <w:r>
        <w:rPr>
          <w:rFonts w:hint="eastAsia" w:ascii="宋体" w:hAnsi="宋体" w:eastAsia="宋体" w:cs="Calibri"/>
          <w:color w:val="auto"/>
          <w:sz w:val="24"/>
          <w:highlight w:val="none"/>
          <w:u w:val="single"/>
        </w:rPr>
        <w:t>（采购人名称）</w:t>
      </w:r>
      <w:r>
        <w:rPr>
          <w:rFonts w:hint="eastAsia" w:ascii="宋体" w:hAnsi="宋体" w:eastAsia="宋体" w:cs="Calibri"/>
          <w:color w:val="auto"/>
          <w:sz w:val="24"/>
          <w:highlight w:val="none"/>
        </w:rPr>
        <w:t>：</w:t>
      </w:r>
    </w:p>
    <w:p w14:paraId="3998D14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contextualSpacing/>
        <w:textAlignment w:val="auto"/>
        <w:rPr>
          <w:rFonts w:ascii="宋体" w:hAnsi="宋体" w:eastAsia="宋体" w:cs="Calibri"/>
          <w:color w:val="auto"/>
          <w:sz w:val="24"/>
          <w:highlight w:val="none"/>
        </w:rPr>
      </w:pPr>
      <w:r>
        <w:rPr>
          <w:rFonts w:hint="eastAsia" w:ascii="宋体" w:hAnsi="宋体" w:eastAsia="宋体" w:cs="Calibri"/>
          <w:color w:val="auto"/>
          <w:sz w:val="24"/>
          <w:highlight w:val="none"/>
          <w:u w:val="single"/>
        </w:rPr>
        <w:t>（供应商名称）</w:t>
      </w:r>
      <w:r>
        <w:rPr>
          <w:rFonts w:hint="eastAsia" w:ascii="宋体" w:hAnsi="宋体" w:eastAsia="宋体" w:cs="Calibri"/>
          <w:color w:val="auto"/>
          <w:sz w:val="24"/>
          <w:highlight w:val="none"/>
        </w:rPr>
        <w:t>系中华人民共和国合法供应商，经营地址</w:t>
      </w:r>
      <w:r>
        <w:rPr>
          <w:rFonts w:hint="eastAsia" w:ascii="宋体" w:hAnsi="宋体" w:eastAsia="宋体" w:cs="Calibri"/>
          <w:color w:val="auto"/>
          <w:sz w:val="24"/>
          <w:highlight w:val="none"/>
          <w:u w:val="single"/>
        </w:rPr>
        <w:t xml:space="preserve">                              </w:t>
      </w:r>
      <w:r>
        <w:rPr>
          <w:rFonts w:hint="eastAsia" w:ascii="宋体" w:hAnsi="宋体" w:eastAsia="宋体" w:cs="Calibri"/>
          <w:color w:val="auto"/>
          <w:sz w:val="24"/>
          <w:highlight w:val="none"/>
        </w:rPr>
        <w:t>。</w:t>
      </w:r>
    </w:p>
    <w:p w14:paraId="36A0CF75">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我方愿意参加贵方组织的</w:t>
      </w:r>
      <w:r>
        <w:rPr>
          <w:rFonts w:hint="eastAsia" w:ascii="宋体" w:hAnsi="宋体" w:eastAsia="宋体" w:cs="Calibri"/>
          <w:color w:val="auto"/>
          <w:sz w:val="24"/>
          <w:highlight w:val="none"/>
          <w:u w:val="single"/>
        </w:rPr>
        <w:t>（项目名称）</w:t>
      </w:r>
      <w:r>
        <w:rPr>
          <w:rFonts w:hint="eastAsia" w:ascii="宋体" w:hAnsi="宋体" w:eastAsia="宋体" w:cs="Calibri"/>
          <w:color w:val="auto"/>
          <w:sz w:val="24"/>
          <w:highlight w:val="none"/>
        </w:rPr>
        <w:t>项目的竞标，为便于贵方公正、择优地确定成交供应商及其竞标产品和服务，我方就本次竞标有关事项郑重声明如下：</w:t>
      </w:r>
    </w:p>
    <w:p w14:paraId="5243865B">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1.我方向贵方提交的所有响应文件、资料都是准确的和真实的。</w:t>
      </w:r>
    </w:p>
    <w:p w14:paraId="03863C83">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2.</w:t>
      </w:r>
      <w:r>
        <w:rPr>
          <w:rFonts w:hint="eastAsia" w:ascii="宋体" w:hAnsi="宋体" w:eastAsia="宋体"/>
          <w:color w:val="auto"/>
          <w:sz w:val="24"/>
          <w:highlight w:val="none"/>
        </w:rPr>
        <w:t>我方不是为本次采购项目提供整体设计、规范编制或者项目管理、监理、检测等服务的供应商</w:t>
      </w:r>
      <w:r>
        <w:rPr>
          <w:rFonts w:hint="eastAsia" w:ascii="宋体" w:hAnsi="宋体" w:eastAsia="宋体" w:cs="Calibri"/>
          <w:color w:val="auto"/>
          <w:sz w:val="24"/>
          <w:highlight w:val="none"/>
        </w:rPr>
        <w:t>。</w:t>
      </w:r>
    </w:p>
    <w:p w14:paraId="4FCC0CD6">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3.在此，我方宣布同意如下：</w:t>
      </w:r>
    </w:p>
    <w:p w14:paraId="62153DC4">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（1）将按磋商文件的约定履行合同责任和义务；</w:t>
      </w:r>
    </w:p>
    <w:p w14:paraId="63EF61BE">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（2）已详细审查全部磋商文件，包括澄清或者更正公告（如有）；</w:t>
      </w:r>
    </w:p>
    <w:p w14:paraId="7185922F">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（3）同意提供按照贵方可能要求的与磋商有关的一切数据或者资料；</w:t>
      </w:r>
    </w:p>
    <w:p w14:paraId="2C45FEF3">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（4）响应磋商文件规定的竞标有效期。</w:t>
      </w:r>
    </w:p>
    <w:p w14:paraId="14527D15">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4.我方承诺符合《中华人民共和国政府采购法》第二十二条规定：</w:t>
      </w:r>
    </w:p>
    <w:p w14:paraId="3B954913">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（1）具有独立承担民事责任的能力；</w:t>
      </w:r>
    </w:p>
    <w:p w14:paraId="69212B73">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（2）具有良好的商业信誉和健全的财务会计制度；</w:t>
      </w:r>
    </w:p>
    <w:p w14:paraId="388CDAE8">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（3）具有履行合同所必需的设备和专业技术能力；</w:t>
      </w:r>
    </w:p>
    <w:p w14:paraId="0EB6C0FD">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（4）有依法缴纳税收和社会保障资金的良好记录；</w:t>
      </w:r>
    </w:p>
    <w:p w14:paraId="1416610F">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（5）参加政府采购活动前三年内，在经营活动中没有重大违法记录；</w:t>
      </w:r>
    </w:p>
    <w:p w14:paraId="39964A4D">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（6）法律、行政法规规定的其他条件。</w:t>
      </w:r>
    </w:p>
    <w:p w14:paraId="55AD3B3F">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1C6C077">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0D29A9A">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□我方本次响应文件</w:t>
      </w:r>
      <w:r>
        <w:rPr>
          <w:rFonts w:hint="eastAsia" w:ascii="宋体" w:hAnsi="宋体" w:eastAsia="宋体" w:cs="Calibri"/>
          <w:color w:val="auto"/>
          <w:kern w:val="0"/>
          <w:sz w:val="24"/>
          <w:highlight w:val="none"/>
        </w:rPr>
        <w:t>内容中</w:t>
      </w:r>
      <w:r>
        <w:rPr>
          <w:rFonts w:hint="eastAsia" w:ascii="宋体" w:hAnsi="宋体" w:eastAsia="宋体" w:cs="Calibri"/>
          <w:color w:val="auto"/>
          <w:sz w:val="24"/>
          <w:highlight w:val="none"/>
        </w:rPr>
        <w:t>未</w:t>
      </w:r>
      <w:r>
        <w:rPr>
          <w:rFonts w:hint="eastAsia" w:ascii="宋体" w:hAnsi="宋体" w:eastAsia="宋体" w:cs="Calibri"/>
          <w:color w:val="auto"/>
          <w:kern w:val="0"/>
          <w:sz w:val="24"/>
          <w:highlight w:val="none"/>
        </w:rPr>
        <w:t>涉及商业秘密；</w:t>
      </w:r>
    </w:p>
    <w:p w14:paraId="5A81EC12">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□我方本次响应文件</w:t>
      </w:r>
      <w:r>
        <w:rPr>
          <w:rFonts w:hint="eastAsia" w:ascii="宋体" w:hAnsi="宋体" w:eastAsia="宋体" w:cs="Calibri"/>
          <w:color w:val="auto"/>
          <w:kern w:val="0"/>
          <w:sz w:val="24"/>
          <w:highlight w:val="none"/>
        </w:rPr>
        <w:t>涉及商业秘密的内容有：</w:t>
      </w:r>
      <w:r>
        <w:rPr>
          <w:rFonts w:hint="eastAsia" w:ascii="宋体" w:hAnsi="宋体" w:eastAsia="宋体" w:cs="Calibri"/>
          <w:color w:val="auto"/>
          <w:kern w:val="0"/>
          <w:sz w:val="24"/>
          <w:highlight w:val="none"/>
          <w:u w:val="single"/>
        </w:rPr>
        <w:t xml:space="preserve">                         </w:t>
      </w:r>
      <w:r>
        <w:rPr>
          <w:rFonts w:hint="eastAsia" w:ascii="宋体" w:hAnsi="宋体" w:eastAsia="宋体" w:cs="Calibri"/>
          <w:color w:val="auto"/>
          <w:kern w:val="0"/>
          <w:sz w:val="24"/>
          <w:highlight w:val="none"/>
        </w:rPr>
        <w:t>；</w:t>
      </w:r>
    </w:p>
    <w:p w14:paraId="454A5E8F">
      <w:pPr>
        <w:pStyle w:val="28"/>
        <w:spacing w:line="360" w:lineRule="auto"/>
        <w:ind w:firstLine="480" w:firstLineChars="200"/>
        <w:contextualSpacing/>
        <w:rPr>
          <w:rFonts w:ascii="宋体" w:hAnsi="宋体" w:eastAsia="宋体" w:cs="Calibri"/>
          <w:color w:val="auto"/>
          <w:sz w:val="24"/>
          <w:szCs w:val="24"/>
          <w:highlight w:val="none"/>
          <w:u w:val="single"/>
        </w:rPr>
      </w:pPr>
      <w:r>
        <w:rPr>
          <w:rFonts w:hint="eastAsia" w:ascii="宋体" w:hAnsi="宋体" w:eastAsia="宋体" w:cs="Calibri"/>
          <w:color w:val="auto"/>
          <w:sz w:val="24"/>
          <w:szCs w:val="24"/>
          <w:highlight w:val="none"/>
        </w:rPr>
        <w:t>7.与本磋商有关的一切正式往来信函请寄：</w:t>
      </w:r>
      <w:r>
        <w:rPr>
          <w:rFonts w:hint="eastAsia" w:ascii="宋体" w:hAnsi="宋体" w:eastAsia="宋体" w:cs="Calibri"/>
          <w:color w:val="auto"/>
          <w:sz w:val="24"/>
          <w:szCs w:val="24"/>
          <w:highlight w:val="none"/>
          <w:u w:val="single"/>
        </w:rPr>
        <w:t xml:space="preserve">                  </w:t>
      </w:r>
      <w:r>
        <w:rPr>
          <w:rFonts w:hint="eastAsia" w:ascii="宋体" w:hAnsi="宋体" w:eastAsia="宋体" w:cs="Calibri"/>
          <w:color w:val="auto"/>
          <w:sz w:val="24"/>
          <w:szCs w:val="24"/>
          <w:highlight w:val="none"/>
        </w:rPr>
        <w:t>邮政编号：</w:t>
      </w:r>
      <w:r>
        <w:rPr>
          <w:rFonts w:hint="eastAsia" w:ascii="宋体" w:hAnsi="宋体" w:eastAsia="宋体" w:cs="Calibri"/>
          <w:color w:val="auto"/>
          <w:sz w:val="24"/>
          <w:szCs w:val="24"/>
          <w:highlight w:val="none"/>
          <w:u w:val="single"/>
        </w:rPr>
        <w:t xml:space="preserve">        </w:t>
      </w:r>
    </w:p>
    <w:p w14:paraId="511A5CA1">
      <w:pPr>
        <w:pStyle w:val="28"/>
        <w:spacing w:line="360" w:lineRule="auto"/>
        <w:ind w:firstLine="480" w:firstLineChars="200"/>
        <w:contextualSpacing/>
        <w:rPr>
          <w:rFonts w:ascii="宋体" w:hAnsi="宋体" w:eastAsia="宋体" w:cs="Calibri"/>
          <w:color w:val="auto"/>
          <w:sz w:val="24"/>
          <w:szCs w:val="24"/>
          <w:highlight w:val="none"/>
        </w:rPr>
      </w:pPr>
      <w:r>
        <w:rPr>
          <w:rFonts w:hint="eastAsia" w:ascii="宋体" w:hAnsi="宋体" w:eastAsia="宋体" w:cs="Calibri"/>
          <w:color w:val="auto"/>
          <w:sz w:val="24"/>
          <w:szCs w:val="24"/>
          <w:highlight w:val="none"/>
        </w:rPr>
        <w:t>电话/传真：</w:t>
      </w:r>
      <w:r>
        <w:rPr>
          <w:rFonts w:hint="eastAsia" w:ascii="宋体" w:hAnsi="宋体" w:eastAsia="宋体" w:cs="Calibri"/>
          <w:color w:val="auto"/>
          <w:sz w:val="24"/>
          <w:szCs w:val="24"/>
          <w:highlight w:val="none"/>
          <w:u w:val="single"/>
        </w:rPr>
        <w:t xml:space="preserve">                        </w:t>
      </w:r>
      <w:r>
        <w:rPr>
          <w:rFonts w:hint="eastAsia" w:ascii="宋体" w:hAnsi="宋体" w:eastAsia="宋体" w:cs="Calibri"/>
          <w:color w:val="auto"/>
          <w:sz w:val="24"/>
          <w:szCs w:val="24"/>
          <w:highlight w:val="none"/>
        </w:rPr>
        <w:t xml:space="preserve"> 电子邮箱：</w:t>
      </w:r>
      <w:r>
        <w:rPr>
          <w:rFonts w:hint="eastAsia" w:ascii="宋体" w:hAnsi="宋体" w:eastAsia="宋体" w:cs="Calibri"/>
          <w:color w:val="auto"/>
          <w:sz w:val="24"/>
          <w:szCs w:val="24"/>
          <w:highlight w:val="none"/>
          <w:u w:val="single"/>
        </w:rPr>
        <w:t xml:space="preserve">                            </w:t>
      </w:r>
      <w:r>
        <w:rPr>
          <w:rFonts w:hint="eastAsia" w:ascii="宋体" w:hAnsi="宋体" w:eastAsia="宋体" w:cs="Calibri"/>
          <w:color w:val="auto"/>
          <w:sz w:val="24"/>
          <w:szCs w:val="24"/>
          <w:highlight w:val="none"/>
        </w:rPr>
        <w:t xml:space="preserve">    </w:t>
      </w:r>
    </w:p>
    <w:p w14:paraId="7B606DAB">
      <w:pPr>
        <w:pStyle w:val="25"/>
        <w:tabs>
          <w:tab w:val="left" w:pos="939"/>
        </w:tabs>
        <w:spacing w:line="360" w:lineRule="auto"/>
        <w:ind w:left="141" w:leftChars="67" w:firstLine="360" w:firstLineChars="150"/>
        <w:rPr>
          <w:rFonts w:ascii="宋体" w:hAnsi="宋体" w:eastAsia="宋体" w:cs="Calibri"/>
          <w:color w:val="auto"/>
          <w:sz w:val="24"/>
          <w:highlight w:val="none"/>
        </w:rPr>
      </w:pPr>
      <w:r>
        <w:rPr>
          <w:rFonts w:hint="eastAsia" w:ascii="宋体" w:hAnsi="宋体" w:eastAsia="宋体" w:cs="Calibri"/>
          <w:color w:val="auto"/>
          <w:sz w:val="24"/>
          <w:highlight w:val="none"/>
        </w:rPr>
        <w:t>开户银行：</w:t>
      </w:r>
      <w:r>
        <w:rPr>
          <w:rFonts w:hint="eastAsia" w:ascii="宋体" w:hAnsi="宋体" w:eastAsia="宋体" w:cs="Calibri"/>
          <w:color w:val="auto"/>
          <w:sz w:val="24"/>
          <w:highlight w:val="none"/>
          <w:u w:val="single"/>
        </w:rPr>
        <w:t xml:space="preserve">                         </w:t>
      </w:r>
      <w:r>
        <w:rPr>
          <w:rFonts w:hint="eastAsia" w:ascii="宋体" w:hAnsi="宋体" w:eastAsia="宋体" w:cs="Calibri"/>
          <w:color w:val="auto"/>
          <w:sz w:val="24"/>
          <w:highlight w:val="none"/>
        </w:rPr>
        <w:t xml:space="preserve">  账</w:t>
      </w:r>
      <w:r>
        <w:rPr>
          <w:rFonts w:hint="eastAsia" w:ascii="宋体" w:hAnsi="宋体" w:eastAsia="宋体" w:cs="Calibri"/>
          <w:color w:val="auto"/>
          <w:sz w:val="24"/>
          <w:highlight w:val="none"/>
          <w:lang w:val="en-US" w:eastAsia="zh-CN"/>
        </w:rPr>
        <w:t>号</w:t>
      </w:r>
      <w:r>
        <w:rPr>
          <w:rFonts w:hint="eastAsia" w:ascii="宋体" w:hAnsi="宋体" w:eastAsia="宋体" w:cs="Calibri"/>
          <w:color w:val="auto"/>
          <w:sz w:val="24"/>
          <w:highlight w:val="none"/>
        </w:rPr>
        <w:t>：</w:t>
      </w:r>
      <w:r>
        <w:rPr>
          <w:rFonts w:hint="eastAsia" w:ascii="宋体" w:hAnsi="宋体" w:eastAsia="宋体" w:cs="Calibri"/>
          <w:color w:val="auto"/>
          <w:sz w:val="24"/>
          <w:highlight w:val="none"/>
          <w:u w:val="single"/>
        </w:rPr>
        <w:t xml:space="preserve">                               </w:t>
      </w:r>
    </w:p>
    <w:p w14:paraId="3D5C2984">
      <w:pPr>
        <w:pStyle w:val="25"/>
        <w:tabs>
          <w:tab w:val="left" w:pos="939"/>
        </w:tabs>
        <w:spacing w:line="360" w:lineRule="auto"/>
        <w:ind w:left="0" w:leftChars="0" w:firstLine="480" w:firstLineChars="200"/>
        <w:rPr>
          <w:rFonts w:ascii="宋体" w:hAnsi="宋体" w:eastAsia="宋体" w:cs="Calibri"/>
          <w:color w:val="auto"/>
          <w:sz w:val="24"/>
          <w:highlight w:val="none"/>
        </w:rPr>
      </w:pPr>
      <w:r>
        <w:rPr>
          <w:rFonts w:hint="eastAsia" w:ascii="宋体" w:hAnsi="宋体" w:eastAsia="宋体" w:cs="Calibri"/>
          <w:color w:val="auto"/>
          <w:sz w:val="24"/>
          <w:highlight w:val="none"/>
        </w:rPr>
        <w:t>8.以上事项如有虚假或者隐瞒，我方愿意承担一切后果，并不再寻求任何旨在减轻或者免除法律责任的辩解。</w:t>
      </w:r>
    </w:p>
    <w:p w14:paraId="13B1721D">
      <w:pPr>
        <w:pStyle w:val="25"/>
        <w:tabs>
          <w:tab w:val="left" w:pos="939"/>
        </w:tabs>
        <w:spacing w:line="360" w:lineRule="auto"/>
        <w:ind w:left="141" w:leftChars="67" w:firstLine="360" w:firstLineChars="150"/>
        <w:rPr>
          <w:rFonts w:ascii="宋体" w:hAnsi="宋体" w:eastAsia="宋体" w:cs="Calibri"/>
          <w:color w:val="auto"/>
          <w:sz w:val="24"/>
          <w:highlight w:val="none"/>
        </w:rPr>
      </w:pPr>
      <w:r>
        <w:rPr>
          <w:rFonts w:hint="eastAsia" w:ascii="宋体" w:hAnsi="宋体" w:eastAsia="宋体" w:cs="Calibri"/>
          <w:color w:val="auto"/>
          <w:sz w:val="24"/>
          <w:highlight w:val="none"/>
        </w:rPr>
        <w:t>特此承诺。</w:t>
      </w:r>
    </w:p>
    <w:p w14:paraId="19738F1D">
      <w:pPr>
        <w:spacing w:line="360" w:lineRule="auto"/>
        <w:contextualSpacing/>
        <w:jc w:val="left"/>
        <w:rPr>
          <w:rFonts w:ascii="宋体" w:hAnsi="宋体" w:eastAsia="宋体"/>
          <w:b/>
          <w:color w:val="auto"/>
          <w:sz w:val="24"/>
          <w:highlight w:val="none"/>
        </w:rPr>
      </w:pPr>
      <w:r>
        <w:rPr>
          <w:rFonts w:hint="eastAsia" w:ascii="宋体" w:hAnsi="宋体" w:eastAsia="宋体" w:cs="Calibri"/>
          <w:b/>
          <w:color w:val="auto"/>
          <w:sz w:val="24"/>
          <w:highlight w:val="none"/>
        </w:rPr>
        <w:t>注：</w:t>
      </w:r>
      <w:r>
        <w:rPr>
          <w:rFonts w:hint="eastAsia" w:ascii="宋体" w:hAnsi="宋体" w:eastAsia="宋体"/>
          <w:b/>
          <w:color w:val="auto"/>
          <w:sz w:val="24"/>
          <w:highlight w:val="none"/>
        </w:rPr>
        <w:t>如为联合体竞标，盖章处须加盖联合体牵头人电子签章并由联合体牵头人法定代表人分别签字或者盖章或者电子签名，否则响应文件按无效处理。</w:t>
      </w:r>
    </w:p>
    <w:p w14:paraId="01461771">
      <w:pPr>
        <w:spacing w:line="360" w:lineRule="auto"/>
        <w:contextualSpacing/>
        <w:jc w:val="left"/>
        <w:rPr>
          <w:rFonts w:ascii="宋体" w:hAnsi="宋体" w:eastAsia="宋体" w:cs="Calibri"/>
          <w:color w:val="auto"/>
          <w:szCs w:val="21"/>
          <w:highlight w:val="none"/>
        </w:rPr>
      </w:pPr>
    </w:p>
    <w:p w14:paraId="78FDFD99">
      <w:pPr>
        <w:spacing w:line="360" w:lineRule="auto"/>
        <w:ind w:firstLine="1575" w:firstLineChars="750"/>
        <w:contextualSpacing/>
        <w:rPr>
          <w:rFonts w:ascii="宋体" w:hAnsi="宋体" w:eastAsia="宋体"/>
          <w:color w:val="auto"/>
          <w:highlight w:val="none"/>
        </w:rPr>
      </w:pPr>
      <w:r>
        <w:rPr>
          <w:rFonts w:hint="eastAsia" w:ascii="宋体" w:hAnsi="宋体" w:eastAsia="宋体"/>
          <w:color w:val="auto"/>
          <w:highlight w:val="none"/>
        </w:rPr>
        <w:t>法定代表人（</w:t>
      </w:r>
      <w:r>
        <w:rPr>
          <w:rFonts w:hint="eastAsia" w:ascii="宋体" w:hAnsi="宋体" w:eastAsia="宋体"/>
          <w:color w:val="auto"/>
          <w:sz w:val="24"/>
          <w:highlight w:val="none"/>
        </w:rPr>
        <w:t>签字或者盖章或者电子签名</w:t>
      </w:r>
      <w:r>
        <w:rPr>
          <w:rFonts w:hint="eastAsia" w:ascii="宋体" w:hAnsi="宋体" w:eastAsia="宋体"/>
          <w:color w:val="auto"/>
          <w:highlight w:val="none"/>
        </w:rPr>
        <w:t>）：</w:t>
      </w:r>
      <w:r>
        <w:rPr>
          <w:rFonts w:hint="eastAsia" w:ascii="宋体" w:hAnsi="宋体" w:eastAsia="宋体"/>
          <w:color w:val="auto"/>
          <w:highlight w:val="none"/>
          <w:u w:val="single"/>
        </w:rPr>
        <w:t xml:space="preserve">           </w:t>
      </w:r>
      <w:r>
        <w:rPr>
          <w:rFonts w:hint="eastAsia" w:ascii="宋体" w:hAnsi="宋体" w:eastAsia="宋体"/>
          <w:color w:val="auto"/>
          <w:highlight w:val="none"/>
        </w:rPr>
        <w:t xml:space="preserve">                                     </w:t>
      </w:r>
    </w:p>
    <w:p w14:paraId="42F6D596">
      <w:pPr>
        <w:spacing w:line="360" w:lineRule="auto"/>
        <w:ind w:firstLine="3780" w:firstLineChars="1800"/>
        <w:contextualSpacing/>
        <w:rPr>
          <w:rFonts w:ascii="宋体" w:hAnsi="宋体" w:eastAsia="宋体" w:cs="Calibri"/>
          <w:color w:val="auto"/>
          <w:szCs w:val="21"/>
          <w:highlight w:val="none"/>
          <w:u w:val="single"/>
        </w:rPr>
      </w:pPr>
      <w:r>
        <w:rPr>
          <w:rFonts w:hint="eastAsia" w:ascii="宋体" w:hAnsi="宋体" w:eastAsia="宋体"/>
          <w:color w:val="auto"/>
          <w:highlight w:val="none"/>
        </w:rPr>
        <w:t>供应商（电子签章）：</w:t>
      </w:r>
      <w:r>
        <w:rPr>
          <w:rFonts w:hint="eastAsia" w:ascii="宋体" w:hAnsi="宋体" w:eastAsia="宋体"/>
          <w:color w:val="auto"/>
          <w:highlight w:val="none"/>
          <w:u w:val="single"/>
        </w:rPr>
        <w:t xml:space="preserve">                               </w:t>
      </w:r>
      <w:r>
        <w:rPr>
          <w:rFonts w:hint="eastAsia" w:ascii="宋体" w:hAnsi="宋体" w:eastAsia="宋体"/>
          <w:color w:val="auto"/>
          <w:highlight w:val="none"/>
        </w:rPr>
        <w:t xml:space="preserve">       </w:t>
      </w:r>
      <w:r>
        <w:rPr>
          <w:rFonts w:hint="eastAsia" w:ascii="宋体" w:hAnsi="宋体" w:eastAsia="宋体" w:cs="Calibri"/>
          <w:color w:val="auto"/>
          <w:szCs w:val="21"/>
          <w:highlight w:val="none"/>
        </w:rPr>
        <w:t xml:space="preserve">    </w:t>
      </w:r>
    </w:p>
    <w:p w14:paraId="1D24A7CE">
      <w:pPr>
        <w:pStyle w:val="25"/>
        <w:tabs>
          <w:tab w:val="left" w:pos="939"/>
        </w:tabs>
        <w:spacing w:line="360" w:lineRule="auto"/>
        <w:ind w:left="0" w:leftChars="0" w:firstLine="420" w:firstLineChars="200"/>
        <w:rPr>
          <w:rFonts w:hint="eastAsia" w:ascii="宋体" w:hAnsi="宋体" w:eastAsia="宋体"/>
          <w:color w:val="auto"/>
          <w:highlight w:val="none"/>
        </w:rPr>
      </w:pPr>
      <w:r>
        <w:rPr>
          <w:rFonts w:hint="eastAsia" w:ascii="宋体" w:hAnsi="宋体" w:eastAsia="宋体" w:cs="Calibri"/>
          <w:color w:val="auto"/>
          <w:szCs w:val="21"/>
          <w:highlight w:val="none"/>
        </w:rPr>
        <w:t xml:space="preserve">                                                        </w:t>
      </w:r>
      <w:r>
        <w:rPr>
          <w:rFonts w:hint="eastAsia" w:ascii="宋体" w:hAnsi="宋体" w:eastAsia="宋体"/>
          <w:color w:val="auto"/>
          <w:highlight w:val="none"/>
        </w:rPr>
        <w:t xml:space="preserve"> 年    月    日</w:t>
      </w:r>
    </w:p>
    <w:p w14:paraId="126CBC61">
      <w:pPr>
        <w:rPr>
          <w:rFonts w:hint="eastAsia" w:ascii="宋体" w:hAnsi="宋体" w:eastAsia="宋体"/>
          <w:color w:val="auto"/>
          <w:highlight w:val="none"/>
        </w:rPr>
      </w:pPr>
      <w:r>
        <w:rPr>
          <w:rFonts w:hint="eastAsia" w:ascii="宋体" w:hAnsi="宋体" w:eastAsia="宋体"/>
          <w:color w:val="auto"/>
          <w:highlight w:val="none"/>
        </w:rPr>
        <w:br w:type="page"/>
      </w:r>
    </w:p>
    <w:p w14:paraId="27A7257F">
      <w:pPr>
        <w:jc w:val="center"/>
        <w:rPr>
          <w:rFonts w:ascii="宋体" w:hAnsi="宋体" w:eastAsia="宋体" w:cs="Tahoma"/>
          <w:color w:val="auto"/>
          <w:sz w:val="44"/>
          <w:szCs w:val="44"/>
          <w:highlight w:val="none"/>
        </w:rPr>
      </w:pPr>
      <w:r>
        <w:rPr>
          <w:rFonts w:hint="eastAsia" w:ascii="宋体" w:hAnsi="宋体" w:eastAsia="宋体" w:cs="Tahoma"/>
          <w:color w:val="auto"/>
          <w:sz w:val="44"/>
          <w:szCs w:val="44"/>
          <w:highlight w:val="none"/>
        </w:rPr>
        <w:t>中小企业声明函（服务）</w:t>
      </w:r>
    </w:p>
    <w:p w14:paraId="0D17467A">
      <w:pPr>
        <w:spacing w:before="2" w:line="500" w:lineRule="exact"/>
        <w:ind w:firstLine="708" w:firstLineChars="294"/>
        <w:rPr>
          <w:rFonts w:ascii="宋体" w:hAnsi="宋体" w:eastAsia="宋体" w:cs="Calibri"/>
          <w:b/>
          <w:bCs/>
          <w:color w:val="auto"/>
          <w:sz w:val="24"/>
          <w:highlight w:val="none"/>
        </w:rPr>
      </w:pPr>
    </w:p>
    <w:p w14:paraId="01265117">
      <w:pPr>
        <w:pStyle w:val="22"/>
        <w:spacing w:line="500" w:lineRule="exact"/>
        <w:ind w:right="142" w:firstLine="705" w:firstLineChars="294"/>
        <w:rPr>
          <w:rFonts w:ascii="宋体" w:hAnsi="宋体" w:eastAsia="宋体"/>
          <w:color w:val="auto"/>
          <w:sz w:val="24"/>
          <w:highlight w:val="none"/>
        </w:rPr>
      </w:pPr>
      <w:r>
        <w:rPr>
          <w:rFonts w:ascii="宋体" w:hAnsi="宋体" w:eastAsia="宋体"/>
          <w:color w:val="auto"/>
          <w:sz w:val="24"/>
          <w:highlight w:val="none"/>
        </w:rPr>
        <w:t>本公司（联合体）郑重声明，根据《政府采购促进中小企业发展管理办法》（财库﹝2020﹞46号）的规定，本公司（联合体）参加</w:t>
      </w:r>
      <w:r>
        <w:rPr>
          <w:rFonts w:ascii="宋体" w:hAnsi="宋体" w:eastAsia="宋体"/>
          <w:color w:val="auto"/>
          <w:sz w:val="24"/>
          <w:highlight w:val="none"/>
          <w:u w:val="single"/>
        </w:rPr>
        <w:t>（单位名称）</w:t>
      </w:r>
      <w:r>
        <w:rPr>
          <w:rFonts w:ascii="宋体" w:hAnsi="宋体" w:eastAsia="宋体"/>
          <w:color w:val="auto"/>
          <w:sz w:val="24"/>
          <w:highlight w:val="none"/>
        </w:rPr>
        <w:t>的</w:t>
      </w:r>
      <w:r>
        <w:rPr>
          <w:rFonts w:ascii="宋体" w:hAnsi="宋体" w:eastAsia="宋体"/>
          <w:color w:val="auto"/>
          <w:sz w:val="24"/>
          <w:highlight w:val="none"/>
          <w:u w:val="single"/>
        </w:rPr>
        <w:t>（项目名称）</w:t>
      </w:r>
      <w:r>
        <w:rPr>
          <w:rFonts w:ascii="宋体" w:hAnsi="宋体" w:eastAsia="宋体"/>
          <w:color w:val="auto"/>
          <w:sz w:val="24"/>
          <w:highlight w:val="none"/>
        </w:rPr>
        <w:t>采购活动，</w:t>
      </w:r>
      <w:r>
        <w:rPr>
          <w:rFonts w:hint="eastAsia" w:ascii="宋体" w:hAnsi="宋体" w:eastAsia="宋体"/>
          <w:color w:val="auto"/>
          <w:sz w:val="24"/>
          <w:highlight w:val="none"/>
        </w:rPr>
        <w:t>服务全部由符合政策要求的中小企业承接。相关企业（含联合体中的中小企业、签订分包意向协议的中小企业）的具体情况如下：</w:t>
      </w:r>
    </w:p>
    <w:p w14:paraId="30F84157">
      <w:pPr>
        <w:tabs>
          <w:tab w:val="left" w:pos="1384"/>
          <w:tab w:val="left" w:pos="4562"/>
          <w:tab w:val="left" w:pos="6803"/>
        </w:tabs>
        <w:spacing w:before="13" w:line="500" w:lineRule="exact"/>
        <w:ind w:right="142" w:firstLine="772" w:firstLineChars="322"/>
        <w:rPr>
          <w:rFonts w:ascii="宋体" w:hAnsi="宋体" w:eastAsia="宋体"/>
          <w:color w:val="auto"/>
          <w:sz w:val="24"/>
          <w:highlight w:val="none"/>
        </w:rPr>
      </w:pPr>
      <w:r>
        <w:rPr>
          <w:rFonts w:ascii="宋体" w:hAnsi="宋体" w:eastAsia="宋体"/>
          <w:color w:val="auto"/>
          <w:sz w:val="24"/>
          <w:highlight w:val="none"/>
        </w:rPr>
        <w:t>1.</w:t>
      </w:r>
      <w:r>
        <w:rPr>
          <w:rFonts w:ascii="宋体" w:hAnsi="宋体" w:eastAsia="宋体"/>
          <w:color w:val="auto"/>
          <w:sz w:val="24"/>
          <w:highlight w:val="none"/>
          <w:u w:val="single"/>
        </w:rPr>
        <w:t>（标的名称）</w:t>
      </w:r>
      <w:r>
        <w:rPr>
          <w:rFonts w:ascii="宋体" w:hAnsi="宋体" w:eastAsia="宋体"/>
          <w:color w:val="auto"/>
          <w:sz w:val="24"/>
          <w:highlight w:val="none"/>
        </w:rPr>
        <w:t>，属于</w:t>
      </w:r>
      <w:r>
        <w:rPr>
          <w:rFonts w:ascii="宋体" w:hAnsi="宋体" w:eastAsia="宋体"/>
          <w:color w:val="auto"/>
          <w:sz w:val="24"/>
          <w:highlight w:val="none"/>
          <w:u w:val="single"/>
        </w:rPr>
        <w:t>（采购文件中明确的所属</w:t>
      </w:r>
      <w:r>
        <w:rPr>
          <w:rFonts w:hint="eastAsia" w:ascii="宋体" w:hAnsi="宋体" w:eastAsia="宋体"/>
          <w:color w:val="auto"/>
          <w:sz w:val="24"/>
          <w:highlight w:val="none"/>
          <w:u w:val="single"/>
        </w:rPr>
        <w:t>行</w:t>
      </w:r>
      <w:r>
        <w:rPr>
          <w:rFonts w:ascii="宋体" w:hAnsi="宋体" w:eastAsia="宋体"/>
          <w:color w:val="auto"/>
          <w:sz w:val="24"/>
          <w:highlight w:val="none"/>
          <w:u w:val="single"/>
        </w:rPr>
        <w:t>业）</w:t>
      </w:r>
      <w:r>
        <w:rPr>
          <w:rFonts w:ascii="宋体" w:hAnsi="宋体" w:eastAsia="宋体"/>
          <w:color w:val="auto"/>
          <w:sz w:val="24"/>
          <w:highlight w:val="none"/>
        </w:rPr>
        <w:t>；</w:t>
      </w:r>
      <w:r>
        <w:rPr>
          <w:rFonts w:hint="eastAsia" w:ascii="宋体" w:hAnsi="宋体" w:eastAsia="宋体"/>
          <w:color w:val="auto"/>
          <w:sz w:val="24"/>
          <w:highlight w:val="none"/>
        </w:rPr>
        <w:t>承接企业为</w:t>
      </w:r>
      <w:r>
        <w:rPr>
          <w:rFonts w:hint="eastAsia" w:ascii="宋体" w:hAnsi="宋体" w:eastAsia="宋体"/>
          <w:color w:val="auto"/>
          <w:sz w:val="24"/>
          <w:highlight w:val="none"/>
          <w:u w:val="single"/>
        </w:rPr>
        <w:t>（企业名称）</w:t>
      </w:r>
      <w:r>
        <w:rPr>
          <w:rFonts w:hint="eastAsia" w:ascii="宋体" w:hAnsi="宋体" w:eastAsia="宋体"/>
          <w:color w:val="auto"/>
          <w:sz w:val="24"/>
          <w:highlight w:val="none"/>
        </w:rPr>
        <w:t>，从业人员</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人，营业收入为</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万元，资产总额为</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万元</w:t>
      </w:r>
      <w:r>
        <w:rPr>
          <w:rFonts w:ascii="宋体" w:hAnsi="宋体" w:eastAsia="宋体"/>
          <w:color w:val="auto"/>
          <w:sz w:val="24"/>
          <w:highlight w:val="none"/>
        </w:rPr>
        <w:t>，属于</w:t>
      </w:r>
      <w:r>
        <w:rPr>
          <w:rFonts w:ascii="宋体" w:hAnsi="宋体" w:eastAsia="宋体"/>
          <w:color w:val="auto"/>
          <w:sz w:val="24"/>
          <w:highlight w:val="none"/>
          <w:u w:val="single"/>
        </w:rPr>
        <w:t>（中型企业、</w:t>
      </w:r>
      <w:r>
        <w:rPr>
          <w:rFonts w:hint="eastAsia" w:ascii="宋体" w:hAnsi="宋体" w:eastAsia="宋体"/>
          <w:color w:val="auto"/>
          <w:sz w:val="24"/>
          <w:highlight w:val="none"/>
          <w:u w:val="single"/>
        </w:rPr>
        <w:t>小型企业、微型企业）</w:t>
      </w:r>
      <w:r>
        <w:rPr>
          <w:rFonts w:hint="eastAsia" w:ascii="宋体" w:hAnsi="宋体" w:eastAsia="宋体"/>
          <w:color w:val="auto"/>
          <w:sz w:val="24"/>
          <w:highlight w:val="none"/>
        </w:rPr>
        <w:t>；</w:t>
      </w:r>
    </w:p>
    <w:p w14:paraId="184D946C">
      <w:pPr>
        <w:tabs>
          <w:tab w:val="left" w:pos="1065"/>
          <w:tab w:val="left" w:pos="4262"/>
          <w:tab w:val="left" w:pos="6477"/>
        </w:tabs>
        <w:spacing w:before="20" w:line="500" w:lineRule="exact"/>
        <w:ind w:right="84" w:firstLine="772" w:firstLineChars="322"/>
        <w:rPr>
          <w:rFonts w:ascii="宋体" w:hAnsi="宋体" w:eastAsia="宋体"/>
          <w:color w:val="auto"/>
          <w:sz w:val="24"/>
          <w:highlight w:val="none"/>
          <w:u w:val="single"/>
        </w:rPr>
      </w:pPr>
      <w:r>
        <w:rPr>
          <w:rFonts w:ascii="宋体" w:hAnsi="宋体" w:eastAsia="宋体"/>
          <w:color w:val="auto"/>
          <w:sz w:val="24"/>
          <w:highlight w:val="none"/>
        </w:rPr>
        <w:t>2.</w:t>
      </w:r>
      <w:r>
        <w:rPr>
          <w:rFonts w:ascii="宋体" w:hAnsi="宋体" w:eastAsia="宋体"/>
          <w:color w:val="auto"/>
          <w:sz w:val="24"/>
          <w:highlight w:val="none"/>
          <w:u w:val="single"/>
        </w:rPr>
        <w:t>（标的名称）</w:t>
      </w:r>
      <w:r>
        <w:rPr>
          <w:rFonts w:ascii="宋体" w:hAnsi="宋体" w:eastAsia="宋体"/>
          <w:color w:val="auto"/>
          <w:sz w:val="24"/>
          <w:highlight w:val="none"/>
        </w:rPr>
        <w:t>，属于</w:t>
      </w:r>
      <w:r>
        <w:rPr>
          <w:rFonts w:ascii="宋体" w:hAnsi="宋体" w:eastAsia="宋体"/>
          <w:color w:val="auto"/>
          <w:sz w:val="24"/>
          <w:highlight w:val="none"/>
          <w:u w:val="single"/>
        </w:rPr>
        <w:t>（采购文件中明确的所属</w:t>
      </w:r>
      <w:r>
        <w:rPr>
          <w:rFonts w:hint="eastAsia" w:ascii="宋体" w:hAnsi="宋体" w:eastAsia="宋体"/>
          <w:color w:val="auto"/>
          <w:sz w:val="24"/>
          <w:highlight w:val="none"/>
          <w:u w:val="single"/>
        </w:rPr>
        <w:t>行业</w:t>
      </w:r>
      <w:r>
        <w:rPr>
          <w:rFonts w:ascii="宋体" w:hAnsi="宋体" w:eastAsia="宋体"/>
          <w:color w:val="auto"/>
          <w:sz w:val="24"/>
          <w:highlight w:val="none"/>
          <w:u w:val="single"/>
        </w:rPr>
        <w:t>）</w:t>
      </w:r>
      <w:r>
        <w:rPr>
          <w:rFonts w:ascii="宋体" w:hAnsi="宋体" w:eastAsia="宋体"/>
          <w:color w:val="auto"/>
          <w:sz w:val="24"/>
          <w:highlight w:val="none"/>
        </w:rPr>
        <w:t>；</w:t>
      </w:r>
      <w:r>
        <w:rPr>
          <w:rFonts w:hint="eastAsia" w:ascii="宋体" w:hAnsi="宋体" w:eastAsia="宋体"/>
          <w:color w:val="auto"/>
          <w:sz w:val="24"/>
          <w:highlight w:val="none"/>
        </w:rPr>
        <w:t>承接企业为</w:t>
      </w:r>
      <w:r>
        <w:rPr>
          <w:rFonts w:hint="eastAsia" w:ascii="宋体" w:hAnsi="宋体" w:eastAsia="宋体"/>
          <w:color w:val="auto"/>
          <w:sz w:val="24"/>
          <w:highlight w:val="none"/>
          <w:u w:val="single"/>
        </w:rPr>
        <w:t>（企业名称）</w:t>
      </w:r>
      <w:r>
        <w:rPr>
          <w:rFonts w:hint="eastAsia" w:ascii="宋体" w:hAnsi="宋体" w:eastAsia="宋体"/>
          <w:color w:val="auto"/>
          <w:sz w:val="24"/>
          <w:highlight w:val="none"/>
        </w:rPr>
        <w:t>，从业人员</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人，营业收入为</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万元，资产总额为</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万元</w:t>
      </w:r>
      <w:r>
        <w:rPr>
          <w:rFonts w:ascii="宋体" w:hAnsi="宋体" w:eastAsia="宋体"/>
          <w:color w:val="auto"/>
          <w:sz w:val="24"/>
          <w:highlight w:val="none"/>
        </w:rPr>
        <w:t>，属于</w:t>
      </w:r>
      <w:r>
        <w:rPr>
          <w:rFonts w:ascii="宋体" w:hAnsi="宋体" w:eastAsia="宋体"/>
          <w:color w:val="auto"/>
          <w:sz w:val="24"/>
          <w:highlight w:val="none"/>
          <w:u w:val="single"/>
        </w:rPr>
        <w:t>（中型企业、</w:t>
      </w:r>
      <w:r>
        <w:rPr>
          <w:rFonts w:hint="eastAsia" w:ascii="宋体" w:hAnsi="宋体" w:eastAsia="宋体"/>
          <w:color w:val="auto"/>
          <w:sz w:val="24"/>
          <w:highlight w:val="none"/>
          <w:u w:val="single"/>
        </w:rPr>
        <w:t>小型企业、微型企业）</w:t>
      </w:r>
      <w:r>
        <w:rPr>
          <w:rFonts w:hint="eastAsia" w:ascii="宋体" w:hAnsi="宋体" w:eastAsia="宋体"/>
          <w:color w:val="auto"/>
          <w:sz w:val="24"/>
          <w:highlight w:val="none"/>
        </w:rPr>
        <w:t>；</w:t>
      </w:r>
    </w:p>
    <w:p w14:paraId="2502DFCB">
      <w:pPr>
        <w:pStyle w:val="22"/>
        <w:spacing w:before="34" w:line="500" w:lineRule="exact"/>
        <w:ind w:right="142" w:firstLine="705" w:firstLineChars="294"/>
        <w:rPr>
          <w:rFonts w:ascii="宋体" w:hAnsi="宋体" w:eastAsia="宋体"/>
          <w:color w:val="auto"/>
          <w:sz w:val="24"/>
          <w:highlight w:val="none"/>
        </w:rPr>
      </w:pPr>
      <w:r>
        <w:rPr>
          <w:rFonts w:ascii="宋体" w:hAnsi="宋体" w:eastAsia="宋体"/>
          <w:color w:val="auto"/>
          <w:sz w:val="24"/>
          <w:highlight w:val="none"/>
        </w:rPr>
        <w:t xml:space="preserve">…… </w:t>
      </w:r>
    </w:p>
    <w:p w14:paraId="42059F56">
      <w:pPr>
        <w:pStyle w:val="22"/>
        <w:spacing w:before="34" w:line="500" w:lineRule="exact"/>
        <w:ind w:right="142" w:firstLine="705" w:firstLineChars="294"/>
        <w:rPr>
          <w:rFonts w:ascii="宋体" w:hAnsi="宋体" w:eastAsia="宋体"/>
          <w:color w:val="auto"/>
          <w:sz w:val="24"/>
          <w:highlight w:val="none"/>
        </w:rPr>
      </w:pPr>
      <w:r>
        <w:rPr>
          <w:rFonts w:ascii="宋体" w:hAnsi="宋体" w:eastAsia="宋体"/>
          <w:color w:val="auto"/>
          <w:sz w:val="24"/>
          <w:highlight w:val="none"/>
        </w:rPr>
        <w:t>以上企业，不属于大企业的分支机构，不存在控股股东为大企业的情形，也不存在与大企业的负责人为同一人的情形。</w:t>
      </w:r>
    </w:p>
    <w:p w14:paraId="75327659">
      <w:pPr>
        <w:pStyle w:val="22"/>
        <w:spacing w:before="25" w:line="500" w:lineRule="exact"/>
        <w:ind w:right="142" w:firstLine="705" w:firstLineChars="294"/>
        <w:rPr>
          <w:rFonts w:ascii="宋体" w:hAnsi="宋体" w:eastAsia="宋体"/>
          <w:color w:val="auto"/>
          <w:sz w:val="24"/>
          <w:highlight w:val="none"/>
        </w:rPr>
      </w:pPr>
      <w:r>
        <w:rPr>
          <w:rFonts w:ascii="宋体" w:hAnsi="宋体" w:eastAsia="宋体"/>
          <w:color w:val="auto"/>
          <w:sz w:val="24"/>
          <w:highlight w:val="none"/>
        </w:rPr>
        <w:t>本企业对上述声明内容的真实性负责。如有虚假，将依法承担相应责任。</w:t>
      </w:r>
    </w:p>
    <w:p w14:paraId="5EC88FA0">
      <w:pPr>
        <w:pStyle w:val="22"/>
        <w:spacing w:before="56" w:line="500" w:lineRule="exact"/>
        <w:ind w:right="1808" w:firstLine="705" w:firstLineChars="294"/>
        <w:rPr>
          <w:rFonts w:ascii="宋体" w:hAnsi="宋体" w:eastAsia="宋体"/>
          <w:color w:val="auto"/>
          <w:sz w:val="24"/>
          <w:highlight w:val="none"/>
        </w:rPr>
      </w:pPr>
    </w:p>
    <w:p w14:paraId="37545641">
      <w:pPr>
        <w:pStyle w:val="22"/>
        <w:spacing w:before="56" w:line="500" w:lineRule="exact"/>
        <w:ind w:right="650" w:firstLine="5625" w:firstLineChars="2344"/>
        <w:rPr>
          <w:rFonts w:ascii="宋体" w:hAnsi="宋体" w:eastAsia="宋体"/>
          <w:color w:val="auto"/>
          <w:sz w:val="24"/>
          <w:highlight w:val="none"/>
        </w:rPr>
      </w:pPr>
      <w:r>
        <w:rPr>
          <w:rFonts w:ascii="宋体" w:hAnsi="宋体" w:eastAsia="宋体"/>
          <w:color w:val="auto"/>
          <w:sz w:val="24"/>
          <w:highlight w:val="none"/>
        </w:rPr>
        <w:t>企业名称（</w:t>
      </w:r>
      <w:r>
        <w:rPr>
          <w:rFonts w:hint="eastAsia" w:ascii="宋体" w:hAnsi="宋体" w:eastAsia="宋体" w:cs="Calibri"/>
          <w:color w:val="auto"/>
          <w:sz w:val="24"/>
          <w:highlight w:val="none"/>
        </w:rPr>
        <w:t>电子签章</w:t>
      </w:r>
      <w:r>
        <w:rPr>
          <w:rFonts w:ascii="宋体" w:hAnsi="宋体" w:eastAsia="宋体"/>
          <w:color w:val="auto"/>
          <w:sz w:val="24"/>
          <w:highlight w:val="none"/>
        </w:rPr>
        <w:t xml:space="preserve">）： </w:t>
      </w:r>
    </w:p>
    <w:p w14:paraId="7414A053">
      <w:pPr>
        <w:pStyle w:val="22"/>
        <w:spacing w:before="56" w:line="500" w:lineRule="exact"/>
        <w:ind w:right="1808" w:firstLine="5625" w:firstLineChars="2344"/>
        <w:rPr>
          <w:rFonts w:ascii="宋体" w:hAnsi="宋体" w:eastAsia="宋体"/>
          <w:color w:val="auto"/>
          <w:sz w:val="24"/>
          <w:highlight w:val="none"/>
        </w:rPr>
      </w:pPr>
      <w:r>
        <w:rPr>
          <w:rFonts w:ascii="宋体" w:hAnsi="宋体" w:eastAsia="宋体"/>
          <w:color w:val="auto"/>
          <w:sz w:val="24"/>
          <w:highlight w:val="none"/>
        </w:rPr>
        <w:t>日 期：</w:t>
      </w:r>
    </w:p>
    <w:p w14:paraId="70B30332">
      <w:pPr>
        <w:spacing w:line="520" w:lineRule="exact"/>
        <w:jc w:val="left"/>
        <w:rPr>
          <w:rFonts w:ascii="宋体" w:hAnsi="宋体" w:eastAsia="宋体" w:cs="Calibri"/>
          <w:color w:val="auto"/>
          <w:sz w:val="24"/>
          <w:highlight w:val="none"/>
        </w:rPr>
      </w:pPr>
      <w:r>
        <w:rPr>
          <w:rFonts w:hint="eastAsia" w:ascii="宋体" w:hAnsi="宋体" w:eastAsia="宋体" w:cs="Calibri"/>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4914056">
      <w:pPr>
        <w:spacing w:line="520" w:lineRule="exact"/>
        <w:jc w:val="center"/>
        <w:rPr>
          <w:rFonts w:ascii="宋体" w:hAnsi="宋体" w:eastAsia="宋体" w:cs="Calibri"/>
          <w:color w:val="auto"/>
          <w:sz w:val="32"/>
          <w:szCs w:val="32"/>
          <w:highlight w:val="none"/>
        </w:rPr>
      </w:pPr>
      <w:r>
        <w:rPr>
          <w:rFonts w:ascii="宋体" w:hAnsi="宋体" w:eastAsia="宋体"/>
          <w:color w:val="auto"/>
          <w:sz w:val="24"/>
          <w:highlight w:val="none"/>
        </w:rPr>
        <w:br w:type="page"/>
      </w:r>
      <w:r>
        <w:rPr>
          <w:rFonts w:hint="eastAsia" w:ascii="宋体" w:hAnsi="宋体" w:eastAsia="宋体" w:cs="Tahoma"/>
          <w:color w:val="auto"/>
          <w:sz w:val="44"/>
          <w:szCs w:val="44"/>
          <w:highlight w:val="none"/>
        </w:rPr>
        <w:t>残疾人福利性单位声明函</w:t>
      </w:r>
    </w:p>
    <w:p w14:paraId="5B61E8D4">
      <w:pPr>
        <w:spacing w:line="360" w:lineRule="auto"/>
        <w:contextualSpacing/>
        <w:rPr>
          <w:rFonts w:ascii="宋体" w:hAnsi="宋体" w:eastAsia="宋体" w:cs="Calibri"/>
          <w:color w:val="auto"/>
          <w:sz w:val="32"/>
          <w:szCs w:val="32"/>
          <w:highlight w:val="none"/>
        </w:rPr>
      </w:pPr>
    </w:p>
    <w:p w14:paraId="02438F4D">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Calibri"/>
          <w:color w:val="auto"/>
          <w:sz w:val="24"/>
          <w:highlight w:val="none"/>
          <w:u w:val="single"/>
        </w:rPr>
        <w:t xml:space="preserve">       </w:t>
      </w:r>
      <w:r>
        <w:rPr>
          <w:rFonts w:hint="eastAsia" w:ascii="宋体" w:hAnsi="宋体" w:eastAsia="宋体" w:cs="Calibri"/>
          <w:color w:val="auto"/>
          <w:sz w:val="24"/>
          <w:highlight w:val="none"/>
        </w:rPr>
        <w:t>单位的</w:t>
      </w:r>
      <w:r>
        <w:rPr>
          <w:rFonts w:hint="eastAsia" w:ascii="宋体" w:hAnsi="宋体" w:eastAsia="宋体" w:cs="Calibri"/>
          <w:color w:val="auto"/>
          <w:sz w:val="24"/>
          <w:highlight w:val="none"/>
          <w:u w:val="single"/>
        </w:rPr>
        <w:t xml:space="preserve">        </w:t>
      </w:r>
      <w:r>
        <w:rPr>
          <w:rFonts w:hint="eastAsia" w:ascii="宋体" w:hAnsi="宋体" w:eastAsia="宋体" w:cs="Calibri"/>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620049E">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本单位对上述声明的真实性负责。如有虚假，将依法承担相应责任。</w:t>
      </w:r>
    </w:p>
    <w:p w14:paraId="14935AD9">
      <w:pPr>
        <w:spacing w:line="360" w:lineRule="auto"/>
        <w:contextualSpacing/>
        <w:rPr>
          <w:rFonts w:ascii="宋体" w:hAnsi="宋体" w:eastAsia="宋体" w:cs="Calibri"/>
          <w:color w:val="auto"/>
          <w:sz w:val="24"/>
          <w:highlight w:val="none"/>
        </w:rPr>
      </w:pPr>
    </w:p>
    <w:p w14:paraId="7CDF7901">
      <w:pPr>
        <w:spacing w:line="360" w:lineRule="auto"/>
        <w:contextualSpacing/>
        <w:rPr>
          <w:rFonts w:ascii="宋体" w:hAnsi="宋体" w:eastAsia="宋体" w:cs="Calibri"/>
          <w:color w:val="auto"/>
          <w:sz w:val="24"/>
          <w:highlight w:val="none"/>
        </w:rPr>
      </w:pPr>
    </w:p>
    <w:p w14:paraId="3F6AFE6A">
      <w:pPr>
        <w:spacing w:line="360" w:lineRule="auto"/>
        <w:contextualSpacing/>
        <w:rPr>
          <w:rFonts w:ascii="宋体" w:hAnsi="宋体" w:eastAsia="宋体" w:cs="Calibri"/>
          <w:color w:val="auto"/>
          <w:sz w:val="24"/>
          <w:highlight w:val="none"/>
        </w:rPr>
      </w:pPr>
    </w:p>
    <w:p w14:paraId="69BD7CC3">
      <w:pPr>
        <w:spacing w:line="360" w:lineRule="auto"/>
        <w:ind w:firstLine="2400" w:firstLineChars="10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单位名称（盖章）：</w:t>
      </w:r>
    </w:p>
    <w:p w14:paraId="58D20859">
      <w:pPr>
        <w:spacing w:line="360" w:lineRule="auto"/>
        <w:ind w:firstLine="3600" w:firstLineChars="15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日  期：</w:t>
      </w:r>
    </w:p>
    <w:p w14:paraId="2C8D86E5">
      <w:pPr>
        <w:spacing w:line="360" w:lineRule="auto"/>
        <w:contextualSpacing/>
        <w:rPr>
          <w:rFonts w:ascii="宋体" w:hAnsi="宋体" w:eastAsia="宋体" w:cs="Calibri"/>
          <w:color w:val="auto"/>
          <w:sz w:val="24"/>
          <w:highlight w:val="none"/>
        </w:rPr>
      </w:pPr>
    </w:p>
    <w:p w14:paraId="7B41DDC6">
      <w:pPr>
        <w:spacing w:line="360" w:lineRule="auto"/>
        <w:contextualSpacing/>
        <w:rPr>
          <w:rFonts w:ascii="宋体" w:hAnsi="宋体" w:eastAsia="宋体" w:cs="Calibri"/>
          <w:color w:val="auto"/>
          <w:sz w:val="24"/>
          <w:highlight w:val="none"/>
        </w:rPr>
      </w:pPr>
    </w:p>
    <w:p w14:paraId="5678B569">
      <w:pPr>
        <w:spacing w:line="360" w:lineRule="auto"/>
        <w:contextualSpacing/>
        <w:rPr>
          <w:rFonts w:ascii="宋体" w:hAnsi="宋体" w:eastAsia="宋体" w:cs="Calibri"/>
          <w:color w:val="auto"/>
          <w:sz w:val="24"/>
          <w:highlight w:val="none"/>
        </w:rPr>
      </w:pPr>
    </w:p>
    <w:p w14:paraId="7FA7313B">
      <w:pPr>
        <w:pStyle w:val="7"/>
        <w:overflowPunct w:val="0"/>
        <w:spacing w:line="360" w:lineRule="auto"/>
        <w:ind w:firstLine="0"/>
        <w:contextualSpacing/>
        <w:rPr>
          <w:rFonts w:ascii="宋体" w:hAnsi="宋体" w:eastAsia="宋体" w:cs="Calibri"/>
          <w:color w:val="auto"/>
          <w:sz w:val="24"/>
          <w:szCs w:val="24"/>
          <w:highlight w:val="none"/>
        </w:rPr>
      </w:pPr>
      <w:r>
        <w:rPr>
          <w:rFonts w:hint="eastAsia" w:ascii="宋体" w:hAnsi="宋体" w:eastAsia="宋体" w:cs="Calibri"/>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96112F9">
      <w:pPr>
        <w:spacing w:line="360" w:lineRule="auto"/>
        <w:ind w:right="480" w:firstLine="240" w:firstLineChars="100"/>
        <w:contextualSpacing/>
        <w:jc w:val="center"/>
        <w:rPr>
          <w:rFonts w:ascii="宋体" w:hAnsi="宋体" w:eastAsia="宋体" w:cs="Calibri"/>
          <w:color w:val="auto"/>
          <w:sz w:val="24"/>
          <w:highlight w:val="none"/>
        </w:rPr>
      </w:pPr>
      <w:r>
        <w:rPr>
          <w:rFonts w:hint="eastAsia" w:ascii="宋体" w:hAnsi="宋体" w:eastAsia="宋体" w:cs="Calibri"/>
          <w:color w:val="auto"/>
          <w:sz w:val="24"/>
          <w:highlight w:val="none"/>
        </w:rPr>
        <w:t xml:space="preserve"> </w:t>
      </w:r>
    </w:p>
    <w:p w14:paraId="153CEDE3">
      <w:pPr>
        <w:spacing w:line="360" w:lineRule="auto"/>
        <w:ind w:right="480" w:firstLine="240" w:firstLineChars="100"/>
        <w:contextualSpacing/>
        <w:jc w:val="center"/>
        <w:rPr>
          <w:rFonts w:ascii="宋体" w:hAnsi="宋体" w:eastAsia="宋体"/>
          <w:b/>
          <w:bCs/>
          <w:color w:val="auto"/>
          <w:sz w:val="32"/>
          <w:szCs w:val="32"/>
          <w:highlight w:val="none"/>
        </w:rPr>
      </w:pPr>
      <w:r>
        <w:rPr>
          <w:rFonts w:hint="eastAsia" w:ascii="宋体" w:hAnsi="宋体" w:eastAsia="宋体" w:cs="Calibri"/>
          <w:color w:val="auto"/>
          <w:sz w:val="24"/>
          <w:highlight w:val="none"/>
        </w:rPr>
        <w:t xml:space="preserve">                                                年  </w:t>
      </w:r>
      <w:r>
        <w:rPr>
          <w:rFonts w:hint="eastAsia" w:ascii="宋体" w:hAnsi="宋体" w:eastAsia="宋体" w:cs="Calibri"/>
          <w:color w:val="auto"/>
          <w:sz w:val="24"/>
          <w:highlight w:val="none"/>
        </w:rPr>
        <w:tab/>
      </w:r>
      <w:r>
        <w:rPr>
          <w:rFonts w:hint="eastAsia" w:ascii="宋体" w:hAnsi="宋体" w:eastAsia="宋体" w:cs="Calibri"/>
          <w:color w:val="auto"/>
          <w:sz w:val="24"/>
          <w:highlight w:val="none"/>
        </w:rPr>
        <w:t xml:space="preserve">月  </w:t>
      </w:r>
      <w:r>
        <w:rPr>
          <w:rFonts w:hint="eastAsia" w:ascii="宋体" w:hAnsi="宋体" w:eastAsia="宋体" w:cs="Calibri"/>
          <w:color w:val="auto"/>
          <w:sz w:val="24"/>
          <w:highlight w:val="none"/>
        </w:rPr>
        <w:tab/>
      </w:r>
      <w:r>
        <w:rPr>
          <w:rFonts w:hint="eastAsia" w:ascii="宋体" w:hAnsi="宋体" w:eastAsia="宋体" w:cs="Calibri"/>
          <w:color w:val="auto"/>
          <w:sz w:val="24"/>
          <w:highlight w:val="none"/>
        </w:rPr>
        <w:t>日</w:t>
      </w:r>
    </w:p>
    <w:p w14:paraId="679087EF">
      <w:pPr>
        <w:pStyle w:val="25"/>
        <w:tabs>
          <w:tab w:val="left" w:pos="939"/>
        </w:tabs>
        <w:spacing w:line="360" w:lineRule="auto"/>
        <w:ind w:left="0" w:leftChars="0" w:firstLine="420" w:firstLineChars="200"/>
        <w:rPr>
          <w:rFonts w:hint="eastAsia" w:ascii="宋体" w:hAnsi="宋体" w:eastAsia="宋体"/>
          <w:color w:val="auto"/>
          <w:highlight w:val="none"/>
        </w:rPr>
      </w:pPr>
    </w:p>
    <w:p w14:paraId="40363198">
      <w:pPr>
        <w:keepNext w:val="0"/>
        <w:keepLines w:val="0"/>
        <w:pageBreakBefore w:val="0"/>
        <w:widowControl w:val="0"/>
        <w:kinsoku/>
        <w:wordWrap/>
        <w:overflowPunct/>
        <w:topLinePunct w:val="0"/>
        <w:autoSpaceDE/>
        <w:autoSpaceDN/>
        <w:bidi w:val="0"/>
        <w:adjustRightInd/>
        <w:snapToGrid/>
        <w:spacing w:line="360" w:lineRule="auto"/>
        <w:ind w:right="420"/>
        <w:contextualSpacing/>
        <w:jc w:val="left"/>
        <w:textAlignment w:val="auto"/>
        <w:outlineLvl w:val="1"/>
        <w:rPr>
          <w:rFonts w:ascii="宋体" w:hAnsi="宋体" w:eastAsia="宋体"/>
          <w:b/>
          <w:color w:val="auto"/>
          <w:sz w:val="32"/>
          <w:szCs w:val="32"/>
          <w:highlight w:val="none"/>
        </w:rPr>
      </w:pPr>
      <w:r>
        <w:rPr>
          <w:rFonts w:ascii="宋体" w:hAnsi="宋体" w:eastAsia="宋体"/>
          <w:b/>
          <w:bCs/>
          <w:color w:val="auto"/>
          <w:sz w:val="32"/>
          <w:szCs w:val="32"/>
          <w:highlight w:val="none"/>
        </w:rPr>
        <w:br w:type="page"/>
      </w:r>
      <w:bookmarkStart w:id="50" w:name="_Toc14460"/>
      <w:r>
        <w:rPr>
          <w:rFonts w:hint="eastAsia" w:ascii="宋体" w:hAnsi="宋体" w:eastAsia="宋体"/>
          <w:b/>
          <w:bCs/>
          <w:color w:val="auto"/>
          <w:sz w:val="32"/>
          <w:szCs w:val="32"/>
          <w:highlight w:val="none"/>
        </w:rPr>
        <w:t>二、</w:t>
      </w:r>
      <w:r>
        <w:rPr>
          <w:rFonts w:hint="eastAsia" w:ascii="宋体" w:hAnsi="宋体" w:eastAsia="宋体"/>
          <w:b/>
          <w:color w:val="auto"/>
          <w:sz w:val="32"/>
          <w:szCs w:val="32"/>
          <w:highlight w:val="none"/>
        </w:rPr>
        <w:t>报价文件格式</w:t>
      </w:r>
      <w:bookmarkEnd w:id="50"/>
      <w:r>
        <w:rPr>
          <w:rFonts w:hint="eastAsia" w:ascii="宋体" w:hAnsi="宋体" w:eastAsia="宋体"/>
          <w:b/>
          <w:color w:val="auto"/>
          <w:sz w:val="32"/>
          <w:szCs w:val="32"/>
          <w:highlight w:val="none"/>
        </w:rPr>
        <w:t xml:space="preserve"> </w:t>
      </w:r>
    </w:p>
    <w:p w14:paraId="7A1974B9">
      <w:pPr>
        <w:snapToGrid w:val="0"/>
        <w:spacing w:before="120" w:beforeLines="50" w:after="50" w:line="360" w:lineRule="auto"/>
        <w:jc w:val="left"/>
        <w:rPr>
          <w:rFonts w:ascii="宋体" w:hAnsi="宋体" w:eastAsia="宋体"/>
          <w:b/>
          <w:color w:val="auto"/>
          <w:sz w:val="32"/>
          <w:szCs w:val="32"/>
          <w:highlight w:val="none"/>
        </w:rPr>
      </w:pPr>
      <w:r>
        <w:rPr>
          <w:rFonts w:hint="eastAsia" w:ascii="宋体" w:hAnsi="宋体" w:eastAsia="宋体"/>
          <w:b/>
          <w:color w:val="auto"/>
          <w:sz w:val="32"/>
          <w:szCs w:val="32"/>
          <w:highlight w:val="none"/>
        </w:rPr>
        <w:t>1.报价文件封面格式</w:t>
      </w:r>
    </w:p>
    <w:p w14:paraId="3D9FDB9D">
      <w:pPr>
        <w:snapToGrid w:val="0"/>
        <w:spacing w:before="120" w:beforeLines="50" w:after="50"/>
        <w:rPr>
          <w:rFonts w:ascii="宋体" w:hAnsi="宋体" w:eastAsia="宋体"/>
          <w:bCs/>
          <w:color w:val="auto"/>
          <w:sz w:val="32"/>
          <w:szCs w:val="20"/>
          <w:highlight w:val="none"/>
        </w:rPr>
      </w:pPr>
      <w:r>
        <w:rPr>
          <w:rFonts w:hint="eastAsia" w:ascii="宋体" w:hAnsi="宋体" w:eastAsia="宋体"/>
          <w:color w:val="auto"/>
          <w:sz w:val="24"/>
          <w:highlight w:val="none"/>
        </w:rPr>
        <w:t xml:space="preserve">                                                    </w:t>
      </w:r>
    </w:p>
    <w:p w14:paraId="38B8D9FF">
      <w:pPr>
        <w:snapToGrid w:val="0"/>
        <w:spacing w:before="120" w:beforeLines="50" w:after="50"/>
        <w:jc w:val="center"/>
        <w:rPr>
          <w:rFonts w:ascii="宋体" w:hAnsi="宋体" w:eastAsia="宋体"/>
          <w:color w:val="auto"/>
          <w:sz w:val="24"/>
          <w:szCs w:val="20"/>
          <w:highlight w:val="none"/>
        </w:rPr>
      </w:pPr>
      <w:r>
        <w:rPr>
          <w:rFonts w:hint="eastAsia" w:ascii="宋体" w:hAnsi="宋体" w:eastAsia="宋体"/>
          <w:color w:val="auto"/>
          <w:sz w:val="44"/>
          <w:szCs w:val="44"/>
          <w:highlight w:val="none"/>
        </w:rPr>
        <w:t>电 子 响 应 文 件</w:t>
      </w:r>
    </w:p>
    <w:p w14:paraId="268FDBD0">
      <w:pPr>
        <w:snapToGrid w:val="0"/>
        <w:spacing w:before="120" w:beforeLines="50" w:after="50"/>
        <w:rPr>
          <w:rFonts w:ascii="宋体" w:hAnsi="宋体" w:eastAsia="宋体"/>
          <w:color w:val="auto"/>
          <w:sz w:val="24"/>
          <w:szCs w:val="20"/>
          <w:highlight w:val="none"/>
        </w:rPr>
      </w:pPr>
    </w:p>
    <w:p w14:paraId="77F07BAC">
      <w:pPr>
        <w:snapToGrid w:val="0"/>
        <w:spacing w:before="120" w:beforeLines="50" w:after="50"/>
        <w:rPr>
          <w:rFonts w:ascii="宋体" w:hAnsi="宋体" w:eastAsia="宋体"/>
          <w:color w:val="auto"/>
          <w:sz w:val="24"/>
          <w:szCs w:val="20"/>
          <w:highlight w:val="none"/>
        </w:rPr>
      </w:pPr>
    </w:p>
    <w:p w14:paraId="5FC56FC4">
      <w:pPr>
        <w:snapToGrid w:val="0"/>
        <w:spacing w:before="120" w:beforeLines="50" w:after="50"/>
        <w:jc w:val="center"/>
        <w:rPr>
          <w:rFonts w:ascii="宋体" w:hAnsi="宋体" w:eastAsia="宋体" w:cs="Tahoma"/>
          <w:bCs/>
          <w:color w:val="auto"/>
          <w:sz w:val="44"/>
          <w:szCs w:val="44"/>
          <w:highlight w:val="none"/>
        </w:rPr>
      </w:pPr>
      <w:r>
        <w:rPr>
          <w:rFonts w:hint="eastAsia" w:ascii="宋体" w:hAnsi="宋体" w:eastAsia="宋体" w:cs="Tahoma"/>
          <w:bCs/>
          <w:color w:val="auto"/>
          <w:sz w:val="44"/>
          <w:szCs w:val="44"/>
          <w:highlight w:val="none"/>
        </w:rPr>
        <w:t>报  价  文  件</w:t>
      </w:r>
    </w:p>
    <w:p w14:paraId="345D9CD4">
      <w:pPr>
        <w:snapToGrid w:val="0"/>
        <w:spacing w:before="120" w:beforeLines="50" w:after="50"/>
        <w:rPr>
          <w:rFonts w:ascii="宋体" w:hAnsi="宋体" w:eastAsia="宋体"/>
          <w:bCs/>
          <w:color w:val="auto"/>
          <w:sz w:val="24"/>
          <w:szCs w:val="20"/>
          <w:highlight w:val="none"/>
        </w:rPr>
      </w:pPr>
    </w:p>
    <w:p w14:paraId="065636B4">
      <w:pPr>
        <w:snapToGrid w:val="0"/>
        <w:spacing w:before="120" w:beforeLines="50" w:after="50"/>
        <w:rPr>
          <w:rFonts w:ascii="宋体" w:hAnsi="宋体" w:eastAsia="宋体"/>
          <w:bCs/>
          <w:color w:val="auto"/>
          <w:sz w:val="24"/>
          <w:szCs w:val="20"/>
          <w:highlight w:val="none"/>
        </w:rPr>
      </w:pPr>
    </w:p>
    <w:p w14:paraId="4540BD3C">
      <w:pPr>
        <w:snapToGrid w:val="0"/>
        <w:spacing w:before="120" w:beforeLines="50" w:after="50"/>
        <w:rPr>
          <w:rFonts w:ascii="宋体" w:hAnsi="宋体" w:eastAsia="宋体"/>
          <w:bCs/>
          <w:color w:val="auto"/>
          <w:sz w:val="24"/>
          <w:szCs w:val="20"/>
          <w:highlight w:val="none"/>
        </w:rPr>
      </w:pPr>
    </w:p>
    <w:p w14:paraId="5FA88355">
      <w:pPr>
        <w:snapToGrid w:val="0"/>
        <w:spacing w:before="120" w:beforeLines="50" w:after="50"/>
        <w:rPr>
          <w:rFonts w:ascii="宋体" w:hAnsi="宋体" w:eastAsia="宋体"/>
          <w:bCs/>
          <w:color w:val="auto"/>
          <w:sz w:val="24"/>
          <w:szCs w:val="20"/>
          <w:highlight w:val="none"/>
        </w:rPr>
      </w:pPr>
    </w:p>
    <w:p w14:paraId="5EC33A3B">
      <w:pPr>
        <w:snapToGrid w:val="0"/>
        <w:spacing w:before="120" w:beforeLines="50" w:after="50"/>
        <w:ind w:firstLine="640" w:firstLineChars="200"/>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项目名称：</w:t>
      </w:r>
    </w:p>
    <w:p w14:paraId="029DC7EC">
      <w:pPr>
        <w:snapToGrid w:val="0"/>
        <w:spacing w:before="120" w:beforeLines="50" w:after="50"/>
        <w:ind w:firstLine="720" w:firstLineChars="225"/>
        <w:rPr>
          <w:rFonts w:ascii="宋体" w:hAnsi="宋体" w:eastAsia="宋体" w:cs="Calibri"/>
          <w:bCs/>
          <w:color w:val="auto"/>
          <w:sz w:val="32"/>
          <w:szCs w:val="32"/>
          <w:highlight w:val="none"/>
        </w:rPr>
      </w:pPr>
    </w:p>
    <w:p w14:paraId="7A0B5E15">
      <w:pPr>
        <w:snapToGrid w:val="0"/>
        <w:spacing w:before="120" w:beforeLines="50" w:after="50"/>
        <w:ind w:firstLine="640" w:firstLineChars="200"/>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项目编号：</w:t>
      </w:r>
    </w:p>
    <w:p w14:paraId="2125320F">
      <w:pPr>
        <w:snapToGrid w:val="0"/>
        <w:spacing w:before="120" w:beforeLines="50" w:after="50"/>
        <w:ind w:firstLine="720" w:firstLineChars="225"/>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 xml:space="preserve"> </w:t>
      </w:r>
    </w:p>
    <w:p w14:paraId="2AFE3F8B">
      <w:pPr>
        <w:snapToGrid w:val="0"/>
        <w:spacing w:before="120" w:beforeLines="50" w:after="50"/>
        <w:ind w:firstLine="640" w:firstLineChars="200"/>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所竞分标（如有则填写，无分标时填写“无”或者留空）：</w:t>
      </w:r>
    </w:p>
    <w:p w14:paraId="76D88605">
      <w:pPr>
        <w:snapToGrid w:val="0"/>
        <w:spacing w:before="120" w:beforeLines="50" w:after="50"/>
        <w:ind w:firstLine="720" w:firstLineChars="225"/>
        <w:rPr>
          <w:rFonts w:ascii="宋体" w:hAnsi="宋体" w:eastAsia="宋体" w:cs="Calibri"/>
          <w:bCs/>
          <w:color w:val="auto"/>
          <w:sz w:val="32"/>
          <w:szCs w:val="32"/>
          <w:highlight w:val="none"/>
        </w:rPr>
      </w:pPr>
    </w:p>
    <w:p w14:paraId="6B9A5571">
      <w:pPr>
        <w:pStyle w:val="7"/>
        <w:snapToGrid w:val="0"/>
        <w:spacing w:before="50" w:after="50"/>
        <w:ind w:firstLine="640" w:firstLineChars="200"/>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供应商名称：</w:t>
      </w:r>
    </w:p>
    <w:p w14:paraId="1ACCB1FC">
      <w:pPr>
        <w:pStyle w:val="7"/>
        <w:snapToGrid w:val="0"/>
        <w:spacing w:before="50" w:after="50"/>
        <w:ind w:firstLine="640" w:firstLineChars="200"/>
        <w:rPr>
          <w:rFonts w:ascii="宋体" w:hAnsi="宋体" w:eastAsia="宋体" w:cs="Calibri"/>
          <w:bCs/>
          <w:color w:val="auto"/>
          <w:sz w:val="32"/>
          <w:szCs w:val="32"/>
          <w:highlight w:val="none"/>
        </w:rPr>
      </w:pPr>
    </w:p>
    <w:p w14:paraId="39D4D39C">
      <w:pPr>
        <w:pStyle w:val="7"/>
        <w:snapToGrid w:val="0"/>
        <w:spacing w:before="50" w:after="50"/>
        <w:ind w:firstLine="720" w:firstLineChars="225"/>
        <w:rPr>
          <w:rFonts w:ascii="宋体" w:hAnsi="宋体" w:eastAsia="宋体" w:cs="Calibri"/>
          <w:bCs/>
          <w:color w:val="auto"/>
          <w:sz w:val="32"/>
          <w:szCs w:val="32"/>
          <w:highlight w:val="none"/>
        </w:rPr>
      </w:pPr>
    </w:p>
    <w:p w14:paraId="4A4AECD8">
      <w:pPr>
        <w:pStyle w:val="7"/>
        <w:snapToGrid w:val="0"/>
        <w:spacing w:before="50" w:after="50"/>
        <w:ind w:firstLine="1280" w:firstLineChars="400"/>
        <w:rPr>
          <w:rFonts w:ascii="宋体" w:hAnsi="宋体" w:eastAsia="宋体" w:cs="Calibri"/>
          <w:bCs/>
          <w:color w:val="auto"/>
          <w:sz w:val="32"/>
          <w:szCs w:val="32"/>
          <w:highlight w:val="none"/>
        </w:rPr>
      </w:pPr>
    </w:p>
    <w:p w14:paraId="376CE9E5">
      <w:pPr>
        <w:snapToGrid w:val="0"/>
        <w:spacing w:before="120" w:beforeLines="50" w:after="50"/>
        <w:jc w:val="center"/>
        <w:rPr>
          <w:rFonts w:ascii="宋体" w:hAnsi="宋体" w:eastAsia="宋体" w:cs="Calibri"/>
          <w:color w:val="auto"/>
          <w:sz w:val="32"/>
          <w:szCs w:val="32"/>
          <w:highlight w:val="none"/>
        </w:rPr>
      </w:pPr>
      <w:r>
        <w:rPr>
          <w:rFonts w:hint="eastAsia" w:ascii="宋体" w:hAnsi="宋体" w:eastAsia="宋体" w:cs="Calibri"/>
          <w:color w:val="auto"/>
          <w:sz w:val="32"/>
          <w:szCs w:val="32"/>
          <w:highlight w:val="none"/>
        </w:rPr>
        <w:t>年    月    日</w:t>
      </w:r>
    </w:p>
    <w:p w14:paraId="6855BE58">
      <w:pPr>
        <w:snapToGrid w:val="0"/>
        <w:spacing w:before="120" w:beforeLines="50" w:after="50" w:line="360" w:lineRule="auto"/>
        <w:ind w:left="142"/>
        <w:jc w:val="left"/>
        <w:rPr>
          <w:rFonts w:ascii="宋体" w:hAnsi="宋体" w:eastAsia="宋体"/>
          <w:b/>
          <w:bCs/>
          <w:color w:val="auto"/>
          <w:sz w:val="24"/>
          <w:highlight w:val="none"/>
        </w:rPr>
      </w:pPr>
      <w:r>
        <w:rPr>
          <w:rFonts w:hint="eastAsia" w:ascii="宋体" w:hAnsi="宋体" w:eastAsia="宋体"/>
          <w:color w:val="auto"/>
          <w:szCs w:val="21"/>
          <w:highlight w:val="none"/>
        </w:rPr>
        <w:br w:type="page"/>
      </w:r>
      <w:r>
        <w:rPr>
          <w:rFonts w:hint="eastAsia" w:ascii="宋体" w:hAnsi="宋体" w:eastAsia="宋体"/>
          <w:b/>
          <w:bCs/>
          <w:color w:val="auto"/>
          <w:sz w:val="32"/>
          <w:szCs w:val="32"/>
          <w:highlight w:val="none"/>
        </w:rPr>
        <w:t>2.报价文件目录</w:t>
      </w:r>
    </w:p>
    <w:p w14:paraId="41D4ADE8">
      <w:pPr>
        <w:pStyle w:val="28"/>
        <w:spacing w:line="500" w:lineRule="exact"/>
        <w:jc w:val="center"/>
        <w:rPr>
          <w:rFonts w:hAnsi="宋体" w:cs="宋体"/>
          <w:b/>
          <w:bCs/>
          <w:color w:val="auto"/>
          <w:kern w:val="21"/>
          <w:sz w:val="30"/>
          <w:szCs w:val="30"/>
          <w:highlight w:val="none"/>
        </w:rPr>
      </w:pPr>
      <w:r>
        <w:rPr>
          <w:rFonts w:hint="eastAsia" w:ascii="宋体" w:hAnsi="宋体" w:eastAsia="宋体"/>
          <w:color w:val="auto"/>
          <w:sz w:val="32"/>
          <w:szCs w:val="32"/>
          <w:highlight w:val="none"/>
        </w:rPr>
        <w:t>根据磋商文件规定及供应商提供的材料自行编写目录（部分格式后附）。</w:t>
      </w:r>
      <w:r>
        <w:rPr>
          <w:rFonts w:ascii="宋体" w:hAnsi="宋体" w:eastAsia="宋体"/>
          <w:b/>
          <w:bCs/>
          <w:color w:val="auto"/>
          <w:sz w:val="32"/>
          <w:szCs w:val="32"/>
          <w:highlight w:val="none"/>
        </w:rPr>
        <w:br w:type="page"/>
      </w:r>
      <w:r>
        <w:rPr>
          <w:rFonts w:hint="eastAsia" w:hAnsi="宋体" w:cs="宋体"/>
          <w:b/>
          <w:bCs/>
          <w:color w:val="auto"/>
          <w:kern w:val="21"/>
          <w:sz w:val="30"/>
          <w:szCs w:val="30"/>
          <w:highlight w:val="none"/>
        </w:rPr>
        <w:t>响应函</w:t>
      </w:r>
    </w:p>
    <w:p w14:paraId="0E1C7F77">
      <w:pPr>
        <w:pStyle w:val="28"/>
        <w:spacing w:line="500" w:lineRule="exact"/>
        <w:rPr>
          <w:rFonts w:hAnsi="宋体" w:cs="宋体"/>
          <w:color w:val="auto"/>
          <w:kern w:val="21"/>
          <w:sz w:val="32"/>
          <w:highlight w:val="none"/>
        </w:rPr>
      </w:pPr>
    </w:p>
    <w:p w14:paraId="0A3A0775">
      <w:pPr>
        <w:pStyle w:val="28"/>
        <w:keepNext w:val="0"/>
        <w:keepLines w:val="0"/>
        <w:pageBreakBefore w:val="0"/>
        <w:widowControl w:val="0"/>
        <w:kinsoku/>
        <w:wordWrap/>
        <w:overflowPunct/>
        <w:topLinePunct w:val="0"/>
        <w:bidi w:val="0"/>
        <w:adjustRightInd/>
        <w:snapToGrid/>
        <w:spacing w:after="0" w:line="360" w:lineRule="auto"/>
        <w:textAlignment w:val="auto"/>
        <w:rPr>
          <w:rFonts w:hint="eastAsia" w:ascii="宋体" w:hAnsi="宋体" w:eastAsia="宋体" w:cs="宋体"/>
          <w:color w:val="auto"/>
          <w:kern w:val="21"/>
          <w:sz w:val="24"/>
          <w:szCs w:val="24"/>
          <w:highlight w:val="none"/>
          <w:lang w:eastAsia="zh-CN"/>
        </w:rPr>
      </w:pPr>
      <w:r>
        <w:rPr>
          <w:rFonts w:hint="eastAsia" w:ascii="宋体" w:hAnsi="宋体" w:eastAsia="宋体" w:cs="宋体"/>
          <w:color w:val="auto"/>
          <w:kern w:val="21"/>
          <w:sz w:val="24"/>
          <w:szCs w:val="24"/>
          <w:highlight w:val="none"/>
        </w:rPr>
        <w:t>致：</w:t>
      </w:r>
      <w:r>
        <w:rPr>
          <w:rFonts w:hint="eastAsia" w:ascii="宋体" w:hAnsi="宋体" w:eastAsia="宋体" w:cs="宋体"/>
          <w:color w:val="auto"/>
          <w:kern w:val="21"/>
          <w:sz w:val="24"/>
          <w:szCs w:val="24"/>
          <w:highlight w:val="none"/>
          <w:u w:val="single"/>
          <w:lang w:eastAsia="zh-CN"/>
        </w:rPr>
        <w:t>广西翔正项目管理有限公司</w:t>
      </w:r>
    </w:p>
    <w:p w14:paraId="256F56B3">
      <w:pPr>
        <w:pStyle w:val="28"/>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我方已仔细阅读了贵方组织的</w:t>
      </w:r>
      <w:r>
        <w:rPr>
          <w:rFonts w:hint="eastAsia" w:ascii="宋体" w:hAnsi="宋体" w:eastAsia="宋体" w:cs="宋体"/>
          <w:color w:val="auto"/>
          <w:kern w:val="21"/>
          <w:sz w:val="24"/>
          <w:szCs w:val="24"/>
          <w:highlight w:val="none"/>
          <w:u w:val="single"/>
        </w:rPr>
        <w:t xml:space="preserve">　　　　　　　　　　 </w:t>
      </w:r>
      <w:r>
        <w:rPr>
          <w:rFonts w:hint="eastAsia" w:ascii="宋体" w:hAnsi="宋体" w:eastAsia="宋体" w:cs="宋体"/>
          <w:color w:val="auto"/>
          <w:kern w:val="21"/>
          <w:sz w:val="24"/>
          <w:szCs w:val="24"/>
          <w:highlight w:val="none"/>
        </w:rPr>
        <w:t>项目（项目编号：</w:t>
      </w:r>
      <w:r>
        <w:rPr>
          <w:rFonts w:hint="eastAsia" w:ascii="宋体" w:hAnsi="宋体" w:eastAsia="宋体" w:cs="宋体"/>
          <w:color w:val="auto"/>
          <w:kern w:val="21"/>
          <w:sz w:val="24"/>
          <w:szCs w:val="24"/>
          <w:highlight w:val="none"/>
          <w:u w:val="single"/>
        </w:rPr>
        <w:t>　　　　　　　　　</w:t>
      </w:r>
      <w:r>
        <w:rPr>
          <w:rFonts w:hint="eastAsia" w:ascii="宋体" w:hAnsi="宋体" w:eastAsia="宋体" w:cs="宋体"/>
          <w:color w:val="auto"/>
          <w:kern w:val="21"/>
          <w:sz w:val="24"/>
          <w:szCs w:val="24"/>
          <w:highlight w:val="none"/>
        </w:rPr>
        <w:t xml:space="preserve">）的竞争性磋商采购文件的全部内容，现正式递交下述文件参加贵方组织的本次政府采购活动： </w:t>
      </w:r>
    </w:p>
    <w:p w14:paraId="48663405">
      <w:pPr>
        <w:pStyle w:val="28"/>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一、首次报价文件电子版</w:t>
      </w:r>
      <w:r>
        <w:rPr>
          <w:rFonts w:hint="eastAsia" w:ascii="宋体" w:hAnsi="宋体" w:eastAsia="宋体" w:cs="宋体"/>
          <w:color w:val="auto"/>
          <w:kern w:val="21"/>
          <w:sz w:val="24"/>
          <w:szCs w:val="24"/>
          <w:highlight w:val="none"/>
          <w:u w:val="single"/>
        </w:rPr>
        <w:t xml:space="preserve">   </w:t>
      </w:r>
      <w:r>
        <w:rPr>
          <w:rFonts w:hint="eastAsia" w:ascii="宋体" w:hAnsi="宋体" w:eastAsia="宋体" w:cs="宋体"/>
          <w:color w:val="auto"/>
          <w:kern w:val="21"/>
          <w:sz w:val="24"/>
          <w:szCs w:val="24"/>
          <w:highlight w:val="none"/>
        </w:rPr>
        <w:t>份（包含按“第三章 供应商须知”提交的全部文件）；</w:t>
      </w:r>
    </w:p>
    <w:p w14:paraId="32599242">
      <w:pPr>
        <w:pStyle w:val="28"/>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二、资格证明文件电子版</w:t>
      </w:r>
      <w:r>
        <w:rPr>
          <w:rFonts w:hint="eastAsia" w:ascii="宋体" w:hAnsi="宋体" w:eastAsia="宋体" w:cs="宋体"/>
          <w:color w:val="auto"/>
          <w:kern w:val="21"/>
          <w:sz w:val="24"/>
          <w:szCs w:val="24"/>
          <w:highlight w:val="none"/>
          <w:u w:val="single"/>
        </w:rPr>
        <w:t xml:space="preserve">   </w:t>
      </w:r>
      <w:r>
        <w:rPr>
          <w:rFonts w:hint="eastAsia" w:ascii="宋体" w:hAnsi="宋体" w:eastAsia="宋体" w:cs="宋体"/>
          <w:color w:val="auto"/>
          <w:kern w:val="21"/>
          <w:sz w:val="24"/>
          <w:szCs w:val="24"/>
          <w:highlight w:val="none"/>
        </w:rPr>
        <w:t>份（包含按“第三章 供应商须知”提交的全部文件）；技术文件电子版</w:t>
      </w:r>
      <w:r>
        <w:rPr>
          <w:rFonts w:hint="eastAsia" w:ascii="宋体" w:hAnsi="宋体" w:eastAsia="宋体" w:cs="宋体"/>
          <w:color w:val="auto"/>
          <w:kern w:val="21"/>
          <w:sz w:val="24"/>
          <w:szCs w:val="24"/>
          <w:highlight w:val="none"/>
          <w:u w:val="single"/>
        </w:rPr>
        <w:t xml:space="preserve">   </w:t>
      </w:r>
      <w:r>
        <w:rPr>
          <w:rFonts w:hint="eastAsia" w:ascii="宋体" w:hAnsi="宋体" w:eastAsia="宋体" w:cs="宋体"/>
          <w:color w:val="auto"/>
          <w:kern w:val="21"/>
          <w:sz w:val="24"/>
          <w:szCs w:val="24"/>
          <w:highlight w:val="none"/>
        </w:rPr>
        <w:t>份（包含按“第三章 供应商须知”提交的全部文件）；商务文件电子版</w:t>
      </w:r>
      <w:r>
        <w:rPr>
          <w:rFonts w:hint="eastAsia" w:ascii="宋体" w:hAnsi="宋体" w:eastAsia="宋体" w:cs="宋体"/>
          <w:color w:val="auto"/>
          <w:kern w:val="21"/>
          <w:sz w:val="24"/>
          <w:szCs w:val="24"/>
          <w:highlight w:val="none"/>
          <w:u w:val="single"/>
        </w:rPr>
        <w:t xml:space="preserve">   </w:t>
      </w:r>
      <w:r>
        <w:rPr>
          <w:rFonts w:hint="eastAsia" w:ascii="宋体" w:hAnsi="宋体" w:eastAsia="宋体" w:cs="宋体"/>
          <w:color w:val="auto"/>
          <w:kern w:val="21"/>
          <w:sz w:val="24"/>
          <w:szCs w:val="24"/>
          <w:highlight w:val="none"/>
        </w:rPr>
        <w:t>份（包含按“第三章 供应商须知”提交的全部文件）；（商务技术文件已合并装订成册）</w:t>
      </w:r>
    </w:p>
    <w:p w14:paraId="4EDD0C31">
      <w:pPr>
        <w:pStyle w:val="28"/>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据此函，签字人兹宣布：</w:t>
      </w:r>
    </w:p>
    <w:p w14:paraId="6AD26307">
      <w:pPr>
        <w:pStyle w:val="28"/>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1、我方愿意以（大写）人民币</w:t>
      </w:r>
      <w:r>
        <w:rPr>
          <w:rFonts w:hint="eastAsia" w:ascii="宋体" w:hAnsi="宋体" w:eastAsia="宋体" w:cs="宋体"/>
          <w:color w:val="auto"/>
          <w:kern w:val="21"/>
          <w:sz w:val="24"/>
          <w:szCs w:val="24"/>
          <w:highlight w:val="none"/>
          <w:u w:val="single"/>
        </w:rPr>
        <w:t xml:space="preserve">              </w:t>
      </w:r>
      <w:r>
        <w:rPr>
          <w:rFonts w:hint="eastAsia" w:ascii="宋体" w:hAnsi="宋体" w:eastAsia="宋体" w:cs="宋体"/>
          <w:color w:val="auto"/>
          <w:kern w:val="21"/>
          <w:sz w:val="24"/>
          <w:szCs w:val="24"/>
          <w:highlight w:val="none"/>
        </w:rPr>
        <w:t>（￥</w:t>
      </w:r>
      <w:r>
        <w:rPr>
          <w:rFonts w:hint="eastAsia" w:ascii="宋体" w:hAnsi="宋体" w:eastAsia="宋体" w:cs="宋体"/>
          <w:color w:val="auto"/>
          <w:kern w:val="21"/>
          <w:sz w:val="24"/>
          <w:szCs w:val="24"/>
          <w:highlight w:val="none"/>
          <w:u w:val="single"/>
        </w:rPr>
        <w:t xml:space="preserve">          </w:t>
      </w:r>
      <w:r>
        <w:rPr>
          <w:rFonts w:hint="eastAsia" w:ascii="宋体" w:hAnsi="宋体" w:eastAsia="宋体" w:cs="宋体"/>
          <w:color w:val="auto"/>
          <w:kern w:val="21"/>
          <w:sz w:val="24"/>
          <w:szCs w:val="24"/>
          <w:highlight w:val="none"/>
        </w:rPr>
        <w:t>元）的竞标总报价，服务期：</w:t>
      </w:r>
      <w:r>
        <w:rPr>
          <w:rFonts w:hint="eastAsia" w:ascii="宋体" w:hAnsi="宋体" w:eastAsia="宋体" w:cs="宋体"/>
          <w:color w:val="auto"/>
          <w:kern w:val="21"/>
          <w:sz w:val="24"/>
          <w:szCs w:val="24"/>
          <w:highlight w:val="none"/>
          <w:u w:val="single"/>
        </w:rPr>
        <w:t xml:space="preserve">            </w:t>
      </w:r>
      <w:r>
        <w:rPr>
          <w:rFonts w:hint="eastAsia" w:ascii="宋体" w:hAnsi="宋体" w:eastAsia="宋体" w:cs="宋体"/>
          <w:color w:val="auto"/>
          <w:kern w:val="21"/>
          <w:sz w:val="24"/>
          <w:szCs w:val="24"/>
          <w:highlight w:val="none"/>
        </w:rPr>
        <w:t>，提供本项目竞争性磋商采购文件第二章“服务需求一览表”中相应的采购内容。</w:t>
      </w:r>
    </w:p>
    <w:p w14:paraId="080D0E22">
      <w:pPr>
        <w:pStyle w:val="28"/>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183C59EB">
      <w:pPr>
        <w:pStyle w:val="28"/>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3、我方在此声明，所递交的响应文件及有关资料内容完整、真实和准确。</w:t>
      </w:r>
    </w:p>
    <w:p w14:paraId="44C99019">
      <w:pPr>
        <w:pStyle w:val="28"/>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4、如本项目采购内容涉及须符合国家强制规定的，我方承诺我方本次竞标均符合国家有关强制规定。</w:t>
      </w:r>
    </w:p>
    <w:p w14:paraId="2C9B5179">
      <w:pPr>
        <w:pStyle w:val="28"/>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3EE95D88">
      <w:pPr>
        <w:pStyle w:val="28"/>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6、我方已详细审核竞争性磋商文件，我方知道必须放弃提出含糊不清或误解问题的权利。</w:t>
      </w:r>
    </w:p>
    <w:p w14:paraId="15821B9C">
      <w:pPr>
        <w:pStyle w:val="28"/>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7、我方承诺满足竞争性磋商文件第六章“合同文本”的条款，承担完成合同的责任和义务。</w:t>
      </w:r>
    </w:p>
    <w:p w14:paraId="0598C8FF">
      <w:pPr>
        <w:pStyle w:val="28"/>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8、我方同意应贵方要求提供与本竞标有关的任何数据或资料。若贵方需要，我方愿意提供我方</w:t>
      </w:r>
      <w:r>
        <w:rPr>
          <w:rFonts w:hint="eastAsia" w:ascii="宋体" w:hAnsi="宋体" w:eastAsia="宋体" w:cs="宋体"/>
          <w:color w:val="auto"/>
          <w:kern w:val="21"/>
          <w:sz w:val="24"/>
          <w:szCs w:val="24"/>
          <w:highlight w:val="none"/>
          <w:lang w:eastAsia="zh-CN"/>
        </w:rPr>
        <w:t>做出</w:t>
      </w:r>
      <w:r>
        <w:rPr>
          <w:rFonts w:hint="eastAsia" w:ascii="宋体" w:hAnsi="宋体" w:eastAsia="宋体" w:cs="宋体"/>
          <w:color w:val="auto"/>
          <w:kern w:val="21"/>
          <w:sz w:val="24"/>
          <w:szCs w:val="24"/>
          <w:highlight w:val="none"/>
        </w:rPr>
        <w:t>的一切承诺的证明材料。</w:t>
      </w:r>
    </w:p>
    <w:p w14:paraId="006DFDE5">
      <w:pPr>
        <w:pStyle w:val="28"/>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9、我方完全理解贵方不一定接受响应报价最低的供应商为成交供应商的行为。</w:t>
      </w:r>
    </w:p>
    <w:p w14:paraId="03E5A1C7">
      <w:pPr>
        <w:pStyle w:val="28"/>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A2FCD45">
      <w:pPr>
        <w:pStyle w:val="28"/>
        <w:keepNext w:val="0"/>
        <w:keepLines w:val="0"/>
        <w:pageBreakBefore w:val="0"/>
        <w:widowControl w:val="0"/>
        <w:tabs>
          <w:tab w:val="left" w:pos="945"/>
        </w:tabs>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（1）提供虚假材料谋取中标、成交的；</w:t>
      </w:r>
    </w:p>
    <w:p w14:paraId="180096F4">
      <w:pPr>
        <w:pStyle w:val="28"/>
        <w:keepNext w:val="0"/>
        <w:keepLines w:val="0"/>
        <w:pageBreakBefore w:val="0"/>
        <w:widowControl w:val="0"/>
        <w:tabs>
          <w:tab w:val="left" w:pos="945"/>
        </w:tabs>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（2）采取不正当手段诋毁、排挤其他供应商的；</w:t>
      </w:r>
    </w:p>
    <w:p w14:paraId="0A64338D">
      <w:pPr>
        <w:pStyle w:val="28"/>
        <w:keepNext w:val="0"/>
        <w:keepLines w:val="0"/>
        <w:pageBreakBefore w:val="0"/>
        <w:widowControl w:val="0"/>
        <w:tabs>
          <w:tab w:val="left" w:pos="945"/>
        </w:tabs>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（3）与采购人、其他供应商或者采购代理机构恶意串通的；</w:t>
      </w:r>
    </w:p>
    <w:p w14:paraId="0864B219">
      <w:pPr>
        <w:pStyle w:val="28"/>
        <w:keepNext w:val="0"/>
        <w:keepLines w:val="0"/>
        <w:pageBreakBefore w:val="0"/>
        <w:widowControl w:val="0"/>
        <w:tabs>
          <w:tab w:val="left" w:pos="945"/>
        </w:tabs>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（4）向采购人、采购代理机构行贿或者提供其他不正当利益的；</w:t>
      </w:r>
    </w:p>
    <w:p w14:paraId="1A9C479C">
      <w:pPr>
        <w:pStyle w:val="28"/>
        <w:keepNext w:val="0"/>
        <w:keepLines w:val="0"/>
        <w:pageBreakBefore w:val="0"/>
        <w:widowControl w:val="0"/>
        <w:tabs>
          <w:tab w:val="left" w:pos="945"/>
        </w:tabs>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（5）在采购过程中与采购人进行协商谈判的；</w:t>
      </w:r>
    </w:p>
    <w:p w14:paraId="15C62928">
      <w:pPr>
        <w:pStyle w:val="28"/>
        <w:keepNext w:val="0"/>
        <w:keepLines w:val="0"/>
        <w:pageBreakBefore w:val="0"/>
        <w:widowControl w:val="0"/>
        <w:tabs>
          <w:tab w:val="left" w:pos="945"/>
        </w:tabs>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（6）拒绝有关部门监督检查或提供虚假情况的。</w:t>
      </w:r>
    </w:p>
    <w:p w14:paraId="2F60A483">
      <w:pPr>
        <w:pStyle w:val="28"/>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11.与本磋商有关的一切正式往来信函请寄：</w:t>
      </w:r>
    </w:p>
    <w:p w14:paraId="5B024EBB">
      <w:pPr>
        <w:pStyle w:val="28"/>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地址：</w:t>
      </w:r>
      <w:r>
        <w:rPr>
          <w:rFonts w:hint="eastAsia" w:ascii="宋体" w:hAnsi="宋体" w:eastAsia="宋体" w:cs="宋体"/>
          <w:color w:val="auto"/>
          <w:kern w:val="21"/>
          <w:sz w:val="24"/>
          <w:szCs w:val="24"/>
          <w:highlight w:val="none"/>
          <w:u w:val="single"/>
        </w:rPr>
        <w:t xml:space="preserve">                                                        </w:t>
      </w:r>
      <w:r>
        <w:rPr>
          <w:rFonts w:hint="eastAsia" w:ascii="宋体" w:hAnsi="宋体" w:eastAsia="宋体" w:cs="宋体"/>
          <w:color w:val="auto"/>
          <w:kern w:val="21"/>
          <w:sz w:val="24"/>
          <w:szCs w:val="24"/>
          <w:highlight w:val="none"/>
        </w:rPr>
        <w:t xml:space="preserve"> </w:t>
      </w:r>
    </w:p>
    <w:p w14:paraId="39609039">
      <w:pPr>
        <w:pStyle w:val="28"/>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u w:val="single"/>
        </w:rPr>
      </w:pPr>
      <w:r>
        <w:rPr>
          <w:rFonts w:hint="eastAsia" w:ascii="宋体" w:hAnsi="宋体" w:eastAsia="宋体" w:cs="宋体"/>
          <w:color w:val="auto"/>
          <w:kern w:val="21"/>
          <w:sz w:val="24"/>
          <w:szCs w:val="24"/>
          <w:highlight w:val="none"/>
        </w:rPr>
        <w:t>电话：</w:t>
      </w:r>
      <w:r>
        <w:rPr>
          <w:rFonts w:hint="eastAsia" w:ascii="宋体" w:hAnsi="宋体" w:eastAsia="宋体" w:cs="宋体"/>
          <w:color w:val="auto"/>
          <w:kern w:val="21"/>
          <w:sz w:val="24"/>
          <w:szCs w:val="24"/>
          <w:highlight w:val="none"/>
          <w:u w:val="single"/>
        </w:rPr>
        <w:t xml:space="preserve">                                      　　　　　　　　　</w:t>
      </w:r>
    </w:p>
    <w:p w14:paraId="2D25DE9A">
      <w:pPr>
        <w:pStyle w:val="28"/>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传真：</w:t>
      </w:r>
      <w:r>
        <w:rPr>
          <w:rFonts w:hint="eastAsia" w:ascii="宋体" w:hAnsi="宋体" w:eastAsia="宋体" w:cs="宋体"/>
          <w:color w:val="auto"/>
          <w:kern w:val="21"/>
          <w:sz w:val="24"/>
          <w:szCs w:val="24"/>
          <w:highlight w:val="none"/>
          <w:u w:val="single"/>
        </w:rPr>
        <w:t>　　　　　　　　　　　　　　　　　　　　　　　　　　　　</w:t>
      </w:r>
    </w:p>
    <w:p w14:paraId="34D09E66">
      <w:pPr>
        <w:pStyle w:val="28"/>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u w:val="single"/>
        </w:rPr>
      </w:pPr>
      <w:r>
        <w:rPr>
          <w:rFonts w:hint="eastAsia" w:ascii="宋体" w:hAnsi="宋体" w:eastAsia="宋体" w:cs="宋体"/>
          <w:color w:val="auto"/>
          <w:kern w:val="21"/>
          <w:sz w:val="24"/>
          <w:szCs w:val="24"/>
          <w:highlight w:val="none"/>
        </w:rPr>
        <w:t>邮政编码：</w:t>
      </w:r>
      <w:r>
        <w:rPr>
          <w:rFonts w:hint="eastAsia" w:ascii="宋体" w:hAnsi="宋体" w:eastAsia="宋体" w:cs="宋体"/>
          <w:color w:val="auto"/>
          <w:kern w:val="21"/>
          <w:sz w:val="24"/>
          <w:szCs w:val="24"/>
          <w:highlight w:val="none"/>
          <w:u w:val="single"/>
        </w:rPr>
        <w:t xml:space="preserve">                                                    </w:t>
      </w:r>
    </w:p>
    <w:p w14:paraId="13EFE658">
      <w:pPr>
        <w:pStyle w:val="28"/>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u w:val="single"/>
        </w:rPr>
      </w:pPr>
      <w:r>
        <w:rPr>
          <w:rFonts w:hint="eastAsia" w:ascii="宋体" w:hAnsi="宋体" w:eastAsia="宋体" w:cs="宋体"/>
          <w:color w:val="auto"/>
          <w:kern w:val="21"/>
          <w:sz w:val="24"/>
          <w:szCs w:val="24"/>
          <w:highlight w:val="none"/>
        </w:rPr>
        <w:t>开户名称：</w:t>
      </w:r>
      <w:r>
        <w:rPr>
          <w:rFonts w:hint="eastAsia" w:ascii="宋体" w:hAnsi="宋体" w:eastAsia="宋体" w:cs="宋体"/>
          <w:color w:val="auto"/>
          <w:kern w:val="21"/>
          <w:sz w:val="24"/>
          <w:szCs w:val="24"/>
          <w:highlight w:val="none"/>
          <w:u w:val="single"/>
        </w:rPr>
        <w:t xml:space="preserve">                                                    </w:t>
      </w:r>
    </w:p>
    <w:p w14:paraId="3CA4FE5F">
      <w:pPr>
        <w:pStyle w:val="28"/>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u w:val="single"/>
        </w:rPr>
      </w:pPr>
      <w:r>
        <w:rPr>
          <w:rFonts w:hint="eastAsia" w:ascii="宋体" w:hAnsi="宋体" w:eastAsia="宋体" w:cs="宋体"/>
          <w:color w:val="auto"/>
          <w:kern w:val="21"/>
          <w:sz w:val="24"/>
          <w:szCs w:val="24"/>
          <w:highlight w:val="none"/>
        </w:rPr>
        <w:t>开户银行：</w:t>
      </w:r>
      <w:r>
        <w:rPr>
          <w:rFonts w:hint="eastAsia" w:ascii="宋体" w:hAnsi="宋体" w:eastAsia="宋体" w:cs="宋体"/>
          <w:color w:val="auto"/>
          <w:kern w:val="21"/>
          <w:sz w:val="24"/>
          <w:szCs w:val="24"/>
          <w:highlight w:val="none"/>
          <w:u w:val="single"/>
        </w:rPr>
        <w:t xml:space="preserve">                                                    </w:t>
      </w:r>
    </w:p>
    <w:p w14:paraId="0F398DCE">
      <w:pPr>
        <w:pStyle w:val="28"/>
        <w:keepNext w:val="0"/>
        <w:keepLines w:val="0"/>
        <w:pageBreakBefore w:val="0"/>
        <w:widowControl w:val="0"/>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kern w:val="21"/>
          <w:sz w:val="24"/>
          <w:szCs w:val="24"/>
          <w:highlight w:val="none"/>
          <w:u w:val="single"/>
        </w:rPr>
      </w:pPr>
      <w:r>
        <w:rPr>
          <w:rFonts w:hint="eastAsia" w:ascii="宋体" w:hAnsi="宋体" w:eastAsia="宋体" w:cs="宋体"/>
          <w:color w:val="auto"/>
          <w:kern w:val="21"/>
          <w:sz w:val="24"/>
          <w:szCs w:val="24"/>
          <w:highlight w:val="none"/>
        </w:rPr>
        <w:t>银行账号：</w:t>
      </w:r>
      <w:r>
        <w:rPr>
          <w:rFonts w:hint="eastAsia" w:ascii="宋体" w:hAnsi="宋体" w:eastAsia="宋体" w:cs="宋体"/>
          <w:color w:val="auto"/>
          <w:kern w:val="21"/>
          <w:sz w:val="24"/>
          <w:szCs w:val="24"/>
          <w:highlight w:val="none"/>
          <w:u w:val="single"/>
        </w:rPr>
        <w:t xml:space="preserve">                                                    </w:t>
      </w:r>
    </w:p>
    <w:p w14:paraId="5660AF91">
      <w:pPr>
        <w:pStyle w:val="25"/>
        <w:keepNext w:val="0"/>
        <w:keepLines w:val="0"/>
        <w:pageBreakBefore w:val="0"/>
        <w:widowControl w:val="0"/>
        <w:tabs>
          <w:tab w:val="left" w:pos="939"/>
        </w:tabs>
        <w:kinsoku/>
        <w:wordWrap/>
        <w:overflowPunct/>
        <w:topLinePunct w:val="0"/>
        <w:bidi w:val="0"/>
        <w:adjustRightInd/>
        <w:snapToGrid/>
        <w:spacing w:after="0" w:line="360" w:lineRule="auto"/>
        <w:ind w:left="0" w:leftChars="0" w:firstLine="480" w:firstLineChars="200"/>
        <w:textAlignment w:val="auto"/>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特此承诺。</w:t>
      </w:r>
    </w:p>
    <w:p w14:paraId="0877DCB6">
      <w:pPr>
        <w:keepNext w:val="0"/>
        <w:keepLines w:val="0"/>
        <w:pageBreakBefore w:val="0"/>
        <w:widowControl w:val="0"/>
        <w:kinsoku/>
        <w:wordWrap/>
        <w:overflowPunct/>
        <w:topLinePunct w:val="0"/>
        <w:autoSpaceDE w:val="0"/>
        <w:autoSpaceDN w:val="0"/>
        <w:bidi w:val="0"/>
        <w:adjustRightInd/>
        <w:snapToGrid/>
        <w:spacing w:after="0" w:line="360" w:lineRule="auto"/>
        <w:ind w:left="4335" w:leftChars="1950" w:hanging="240" w:hangingChars="100"/>
        <w:textAlignment w:val="auto"/>
        <w:rPr>
          <w:rFonts w:hint="eastAsia" w:ascii="宋体" w:hAnsi="宋体" w:eastAsia="宋体" w:cs="宋体"/>
          <w:color w:val="auto"/>
          <w:kern w:val="21"/>
          <w:sz w:val="24"/>
          <w:highlight w:val="none"/>
        </w:rPr>
      </w:pPr>
      <w:r>
        <w:rPr>
          <w:rFonts w:hint="eastAsia" w:ascii="宋体" w:hAnsi="宋体" w:eastAsia="宋体" w:cs="宋体"/>
          <w:color w:val="auto"/>
          <w:kern w:val="21"/>
          <w:sz w:val="24"/>
          <w:highlight w:val="none"/>
        </w:rPr>
        <w:t>供应商（电子签章）：</w:t>
      </w:r>
    </w:p>
    <w:p w14:paraId="3D01771E">
      <w:pPr>
        <w:pStyle w:val="28"/>
        <w:keepNext w:val="0"/>
        <w:keepLines w:val="0"/>
        <w:pageBreakBefore w:val="0"/>
        <w:widowControl w:val="0"/>
        <w:kinsoku/>
        <w:wordWrap/>
        <w:overflowPunct/>
        <w:topLinePunct w:val="0"/>
        <w:bidi w:val="0"/>
        <w:adjustRightInd/>
        <w:snapToGrid/>
        <w:spacing w:after="0" w:line="360" w:lineRule="auto"/>
        <w:ind w:firstLine="6360" w:firstLineChars="2650"/>
        <w:textAlignment w:val="auto"/>
        <w:rPr>
          <w:rFonts w:hAnsi="宋体" w:cs="宋体"/>
          <w:color w:val="auto"/>
          <w:kern w:val="21"/>
          <w:sz w:val="24"/>
          <w:highlight w:val="none"/>
        </w:rPr>
      </w:pPr>
      <w:r>
        <w:rPr>
          <w:rFonts w:hint="eastAsia" w:ascii="宋体" w:hAnsi="宋体" w:eastAsia="宋体" w:cs="宋体"/>
          <w:color w:val="auto"/>
          <w:kern w:val="21"/>
          <w:sz w:val="24"/>
          <w:highlight w:val="none"/>
          <w:lang w:val="zh-CN"/>
        </w:rPr>
        <w:t>日期</w:t>
      </w:r>
      <w:r>
        <w:rPr>
          <w:rFonts w:hint="eastAsia" w:ascii="宋体" w:hAnsi="宋体" w:eastAsia="宋体" w:cs="宋体"/>
          <w:color w:val="auto"/>
          <w:kern w:val="21"/>
          <w:sz w:val="24"/>
          <w:highlight w:val="none"/>
        </w:rPr>
        <w:t xml:space="preserve">：  </w:t>
      </w:r>
      <w:r>
        <w:rPr>
          <w:rFonts w:hint="eastAsia" w:ascii="宋体" w:hAnsi="宋体" w:eastAsia="宋体" w:cs="宋体"/>
          <w:color w:val="auto"/>
          <w:kern w:val="21"/>
          <w:sz w:val="24"/>
          <w:highlight w:val="none"/>
          <w:lang w:val="zh-CN"/>
        </w:rPr>
        <w:t>年</w:t>
      </w:r>
      <w:r>
        <w:rPr>
          <w:rFonts w:hint="eastAsia" w:ascii="宋体" w:hAnsi="宋体" w:eastAsia="宋体" w:cs="宋体"/>
          <w:color w:val="auto"/>
          <w:kern w:val="21"/>
          <w:sz w:val="24"/>
          <w:highlight w:val="none"/>
        </w:rPr>
        <w:t xml:space="preserve">  </w:t>
      </w:r>
      <w:r>
        <w:rPr>
          <w:rFonts w:hint="eastAsia" w:ascii="宋体" w:hAnsi="宋体" w:eastAsia="宋体" w:cs="宋体"/>
          <w:color w:val="auto"/>
          <w:kern w:val="21"/>
          <w:sz w:val="24"/>
          <w:highlight w:val="none"/>
          <w:lang w:val="zh-CN"/>
        </w:rPr>
        <w:t>月</w:t>
      </w:r>
      <w:r>
        <w:rPr>
          <w:rFonts w:hint="eastAsia" w:ascii="宋体" w:hAnsi="宋体" w:eastAsia="宋体" w:cs="宋体"/>
          <w:color w:val="auto"/>
          <w:kern w:val="21"/>
          <w:sz w:val="24"/>
          <w:highlight w:val="none"/>
        </w:rPr>
        <w:t xml:space="preserve">   </w:t>
      </w:r>
      <w:r>
        <w:rPr>
          <w:rFonts w:hint="eastAsia" w:ascii="宋体" w:hAnsi="宋体" w:eastAsia="宋体" w:cs="宋体"/>
          <w:color w:val="auto"/>
          <w:kern w:val="21"/>
          <w:sz w:val="24"/>
          <w:highlight w:val="none"/>
          <w:lang w:val="zh-CN"/>
        </w:rPr>
        <w:t>日</w:t>
      </w:r>
    </w:p>
    <w:p w14:paraId="7E9D9F2A">
      <w:pPr>
        <w:autoSpaceDE w:val="0"/>
        <w:autoSpaceDN w:val="0"/>
        <w:spacing w:line="360" w:lineRule="auto"/>
        <w:ind w:firstLine="6480" w:firstLineChars="2700"/>
        <w:rPr>
          <w:rFonts w:ascii="宋体" w:hAnsi="宋体" w:cs="宋体"/>
          <w:color w:val="auto"/>
          <w:kern w:val="21"/>
          <w:sz w:val="24"/>
          <w:highlight w:val="none"/>
          <w:lang w:val="zh-CN"/>
        </w:rPr>
      </w:pPr>
    </w:p>
    <w:p w14:paraId="42080C08">
      <w:pPr>
        <w:rPr>
          <w:rFonts w:ascii="宋体" w:hAnsi="宋体" w:eastAsia="宋体"/>
          <w:b/>
          <w:bCs/>
          <w:color w:val="auto"/>
          <w:sz w:val="32"/>
          <w:szCs w:val="32"/>
          <w:highlight w:val="none"/>
        </w:rPr>
      </w:pPr>
      <w:r>
        <w:rPr>
          <w:rFonts w:hint="eastAsia" w:ascii="宋体" w:hAnsi="宋体" w:cs="宋体"/>
          <w:b/>
          <w:bCs/>
          <w:color w:val="auto"/>
          <w:kern w:val="21"/>
          <w:sz w:val="32"/>
          <w:szCs w:val="32"/>
          <w:highlight w:val="none"/>
        </w:rPr>
        <w:br w:type="page"/>
      </w:r>
    </w:p>
    <w:p w14:paraId="3C743319">
      <w:pPr>
        <w:spacing w:line="300" w:lineRule="auto"/>
        <w:jc w:val="center"/>
        <w:rPr>
          <w:rFonts w:ascii="宋体" w:hAnsi="宋体" w:eastAsia="宋体" w:cs="Calibri"/>
          <w:b/>
          <w:color w:val="auto"/>
          <w:sz w:val="36"/>
          <w:szCs w:val="36"/>
          <w:highlight w:val="none"/>
        </w:rPr>
      </w:pPr>
      <w:r>
        <w:rPr>
          <w:rFonts w:hint="eastAsia" w:ascii="宋体" w:hAnsi="宋体" w:eastAsia="宋体" w:cs="Calibri"/>
          <w:b/>
          <w:color w:val="auto"/>
          <w:sz w:val="36"/>
          <w:szCs w:val="36"/>
          <w:highlight w:val="none"/>
        </w:rPr>
        <w:t>竞</w:t>
      </w:r>
      <w:r>
        <w:rPr>
          <w:rFonts w:ascii="宋体" w:hAnsi="宋体" w:eastAsia="宋体" w:cs="Calibri"/>
          <w:b/>
          <w:color w:val="auto"/>
          <w:sz w:val="36"/>
          <w:szCs w:val="36"/>
          <w:highlight w:val="none"/>
        </w:rPr>
        <w:t xml:space="preserve">  标  报  价  表</w:t>
      </w:r>
    </w:p>
    <w:p w14:paraId="50D92CF5">
      <w:pPr>
        <w:spacing w:line="300" w:lineRule="auto"/>
        <w:ind w:firstLine="360" w:firstLineChars="150"/>
        <w:rPr>
          <w:rFonts w:ascii="宋体" w:hAnsi="宋体" w:eastAsia="宋体"/>
          <w:color w:val="auto"/>
          <w:sz w:val="24"/>
          <w:highlight w:val="none"/>
        </w:rPr>
      </w:pPr>
    </w:p>
    <w:p w14:paraId="369E9BE8">
      <w:pPr>
        <w:spacing w:line="360" w:lineRule="auto"/>
        <w:contextualSpacing/>
        <w:rPr>
          <w:rFonts w:ascii="宋体" w:hAnsi="宋体" w:eastAsia="宋体" w:cs="仿宋_GB2312"/>
          <w:color w:val="auto"/>
          <w:sz w:val="24"/>
          <w:highlight w:val="none"/>
        </w:rPr>
      </w:pPr>
      <w:r>
        <w:rPr>
          <w:rFonts w:hint="eastAsia" w:ascii="宋体" w:hAnsi="宋体" w:eastAsia="宋体" w:cs="仿宋_GB2312"/>
          <w:color w:val="auto"/>
          <w:sz w:val="24"/>
          <w:highlight w:val="none"/>
        </w:rPr>
        <w:t>项目名称：</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项目编号：</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 xml:space="preserve">     </w:t>
      </w:r>
    </w:p>
    <w:p w14:paraId="7DCFD225">
      <w:pPr>
        <w:spacing w:line="360" w:lineRule="auto"/>
        <w:contextualSpacing/>
        <w:rPr>
          <w:rFonts w:ascii="宋体" w:hAnsi="宋体" w:eastAsia="宋体" w:cs="仿宋_GB2312"/>
          <w:color w:val="auto"/>
          <w:sz w:val="24"/>
          <w:highlight w:val="none"/>
          <w:u w:val="single"/>
        </w:rPr>
      </w:pPr>
      <w:r>
        <w:rPr>
          <w:rFonts w:hint="eastAsia" w:ascii="宋体" w:hAnsi="宋体" w:eastAsia="宋体" w:cs="仿宋_GB2312"/>
          <w:color w:val="auto"/>
          <w:sz w:val="24"/>
          <w:highlight w:val="none"/>
        </w:rPr>
        <w:t>分标（如有）：</w:t>
      </w:r>
      <w:r>
        <w:rPr>
          <w:rFonts w:hint="eastAsia" w:ascii="宋体" w:hAnsi="宋体" w:eastAsia="宋体" w:cs="仿宋_GB2312"/>
          <w:color w:val="auto"/>
          <w:sz w:val="24"/>
          <w:highlight w:val="none"/>
          <w:u w:val="single"/>
        </w:rPr>
        <w:t xml:space="preserve"> </w:t>
      </w:r>
      <w:r>
        <w:rPr>
          <w:rFonts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u w:val="single"/>
          <w:lang w:val="en-US" w:eastAsia="zh-CN"/>
        </w:rPr>
        <w:t xml:space="preserve">                </w:t>
      </w:r>
      <w:r>
        <w:rPr>
          <w:rFonts w:hint="eastAsia" w:ascii="宋体" w:hAnsi="宋体" w:eastAsia="宋体" w:cs="仿宋_GB2312"/>
          <w:color w:val="auto"/>
          <w:sz w:val="24"/>
          <w:highlight w:val="none"/>
          <w:u w:val="single"/>
        </w:rPr>
        <w:t xml:space="preserve"> </w:t>
      </w:r>
    </w:p>
    <w:p w14:paraId="28BDBE7E">
      <w:pPr>
        <w:spacing w:line="360" w:lineRule="auto"/>
        <w:contextualSpacing/>
        <w:rPr>
          <w:rFonts w:ascii="宋体" w:hAnsi="宋体" w:eastAsia="宋体" w:cs="仿宋_GB2312"/>
          <w:color w:val="auto"/>
          <w:sz w:val="24"/>
          <w:highlight w:val="none"/>
        </w:rPr>
      </w:pPr>
      <w:r>
        <w:rPr>
          <w:rFonts w:hint="eastAsia" w:ascii="宋体" w:hAnsi="宋体" w:eastAsia="宋体" w:cs="仿宋_GB2312"/>
          <w:color w:val="auto"/>
          <w:sz w:val="24"/>
          <w:highlight w:val="none"/>
        </w:rPr>
        <w:t>供应商名称：</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 xml:space="preserve">   </w:t>
      </w:r>
    </w:p>
    <w:p w14:paraId="1241B4BA">
      <w:pPr>
        <w:spacing w:line="360" w:lineRule="auto"/>
        <w:contextualSpacing/>
        <w:rPr>
          <w:rFonts w:ascii="宋体" w:hAnsi="宋体" w:eastAsia="宋体" w:cs="仿宋_GB2312"/>
          <w:color w:val="auto"/>
          <w:sz w:val="24"/>
          <w:highlight w:val="none"/>
        </w:rPr>
      </w:pPr>
      <w:r>
        <w:rPr>
          <w:rFonts w:hint="eastAsia" w:ascii="宋体" w:hAnsi="宋体" w:eastAsia="宋体" w:cs="仿宋_GB2312"/>
          <w:color w:val="auto"/>
          <w:sz w:val="24"/>
          <w:highlight w:val="none"/>
        </w:rPr>
        <w:t xml:space="preserve">                                                单位：元</w:t>
      </w:r>
    </w:p>
    <w:tbl>
      <w:tblPr>
        <w:tblStyle w:val="49"/>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575"/>
        <w:gridCol w:w="876"/>
        <w:gridCol w:w="762"/>
        <w:gridCol w:w="2049"/>
        <w:gridCol w:w="1184"/>
        <w:gridCol w:w="1525"/>
      </w:tblGrid>
      <w:tr w14:paraId="2152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7DBF0BF3">
            <w:pPr>
              <w:keepNext w:val="0"/>
              <w:keepLines w:val="0"/>
              <w:suppressLineNumbers w:val="0"/>
              <w:spacing w:before="0" w:beforeAutospacing="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75" w:type="dxa"/>
            <w:tcBorders>
              <w:top w:val="single" w:color="auto" w:sz="4" w:space="0"/>
              <w:left w:val="single" w:color="auto" w:sz="4" w:space="0"/>
              <w:bottom w:val="single" w:color="auto" w:sz="4" w:space="0"/>
              <w:right w:val="single" w:color="auto" w:sz="4" w:space="0"/>
            </w:tcBorders>
            <w:vAlign w:val="center"/>
          </w:tcPr>
          <w:p w14:paraId="253A54F4">
            <w:pPr>
              <w:keepNext w:val="0"/>
              <w:keepLines w:val="0"/>
              <w:suppressLineNumbers w:val="0"/>
              <w:spacing w:before="0" w:beforeAutospacing="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标的（服务）名称</w:t>
            </w:r>
          </w:p>
        </w:tc>
        <w:tc>
          <w:tcPr>
            <w:tcW w:w="876" w:type="dxa"/>
            <w:tcBorders>
              <w:top w:val="single" w:color="auto" w:sz="4" w:space="0"/>
              <w:left w:val="single" w:color="auto" w:sz="4" w:space="0"/>
              <w:bottom w:val="single" w:color="auto" w:sz="4" w:space="0"/>
              <w:right w:val="single" w:color="auto" w:sz="4" w:space="0"/>
            </w:tcBorders>
            <w:vAlign w:val="center"/>
          </w:tcPr>
          <w:p w14:paraId="49D9C8DE">
            <w:pPr>
              <w:keepNext w:val="0"/>
              <w:keepLines w:val="0"/>
              <w:suppressLineNumbers w:val="0"/>
              <w:spacing w:before="0" w:beforeAutospacing="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762" w:type="dxa"/>
            <w:tcBorders>
              <w:top w:val="single" w:color="auto" w:sz="4" w:space="0"/>
              <w:left w:val="single" w:color="auto" w:sz="4" w:space="0"/>
              <w:bottom w:val="single" w:color="auto" w:sz="4" w:space="0"/>
              <w:right w:val="single" w:color="auto" w:sz="4" w:space="0"/>
            </w:tcBorders>
            <w:vAlign w:val="center"/>
          </w:tcPr>
          <w:p w14:paraId="42FBB747">
            <w:pPr>
              <w:keepNext w:val="0"/>
              <w:keepLines w:val="0"/>
              <w:suppressLineNumbers w:val="0"/>
              <w:spacing w:before="0" w:beforeAutospacing="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2049" w:type="dxa"/>
            <w:tcBorders>
              <w:top w:val="single" w:color="auto" w:sz="4" w:space="0"/>
              <w:left w:val="single" w:color="auto" w:sz="4" w:space="0"/>
              <w:bottom w:val="single" w:color="auto" w:sz="4" w:space="0"/>
              <w:right w:val="single" w:color="auto" w:sz="4" w:space="0"/>
            </w:tcBorders>
            <w:vAlign w:val="center"/>
          </w:tcPr>
          <w:p w14:paraId="4DB2F556">
            <w:pPr>
              <w:keepNext w:val="0"/>
              <w:keepLines w:val="0"/>
              <w:suppressLineNumbers w:val="0"/>
              <w:spacing w:before="0" w:beforeAutospacing="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1184" w:type="dxa"/>
            <w:tcBorders>
              <w:top w:val="single" w:color="auto" w:sz="4" w:space="0"/>
              <w:left w:val="single" w:color="auto" w:sz="4" w:space="0"/>
              <w:bottom w:val="single" w:color="auto" w:sz="4" w:space="0"/>
              <w:right w:val="single" w:color="auto" w:sz="4" w:space="0"/>
            </w:tcBorders>
            <w:vAlign w:val="center"/>
          </w:tcPr>
          <w:p w14:paraId="657AB636">
            <w:pPr>
              <w:keepNext w:val="0"/>
              <w:keepLines w:val="0"/>
              <w:suppressLineNumbers w:val="0"/>
              <w:spacing w:before="0" w:beforeAutospacing="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1525" w:type="dxa"/>
            <w:tcBorders>
              <w:top w:val="single" w:color="auto" w:sz="4" w:space="0"/>
              <w:left w:val="single" w:color="auto" w:sz="4" w:space="0"/>
              <w:bottom w:val="single" w:color="auto" w:sz="4" w:space="0"/>
              <w:right w:val="single" w:color="auto" w:sz="4" w:space="0"/>
            </w:tcBorders>
            <w:vAlign w:val="center"/>
          </w:tcPr>
          <w:p w14:paraId="2FAD2AE2">
            <w:pPr>
              <w:keepNext w:val="0"/>
              <w:keepLines w:val="0"/>
              <w:suppressLineNumbers w:val="0"/>
              <w:spacing w:before="0" w:beforeAutospacing="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3CB3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14:paraId="031574B9">
            <w:pPr>
              <w:keepNext w:val="0"/>
              <w:keepLines w:val="0"/>
              <w:suppressLineNumbers w:val="0"/>
              <w:spacing w:before="0" w:beforeAutospacing="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575" w:type="dxa"/>
            <w:tcBorders>
              <w:top w:val="single" w:color="auto" w:sz="4" w:space="0"/>
              <w:left w:val="single" w:color="auto" w:sz="4" w:space="0"/>
              <w:bottom w:val="single" w:color="auto" w:sz="4" w:space="0"/>
              <w:right w:val="single" w:color="auto" w:sz="4" w:space="0"/>
            </w:tcBorders>
            <w:vAlign w:val="center"/>
          </w:tcPr>
          <w:p w14:paraId="692B9B18">
            <w:pPr>
              <w:keepNext w:val="0"/>
              <w:keepLines w:val="0"/>
              <w:suppressLineNumbers w:val="0"/>
              <w:spacing w:before="0" w:beforeAutospacing="0" w:afterAutospacing="0" w:line="360" w:lineRule="auto"/>
              <w:ind w:left="0" w:right="0"/>
              <w:jc w:val="center"/>
              <w:rPr>
                <w:rFonts w:hint="eastAsia" w:ascii="宋体" w:hAnsi="宋体" w:eastAsia="宋体" w:cs="宋体"/>
                <w:color w:val="auto"/>
                <w:sz w:val="24"/>
                <w:highlight w:val="none"/>
              </w:rPr>
            </w:pPr>
          </w:p>
        </w:tc>
        <w:tc>
          <w:tcPr>
            <w:tcW w:w="876" w:type="dxa"/>
            <w:tcBorders>
              <w:top w:val="single" w:color="auto" w:sz="4" w:space="0"/>
              <w:left w:val="single" w:color="auto" w:sz="4" w:space="0"/>
              <w:bottom w:val="single" w:color="auto" w:sz="4" w:space="0"/>
              <w:right w:val="single" w:color="auto" w:sz="4" w:space="0"/>
            </w:tcBorders>
            <w:vAlign w:val="center"/>
          </w:tcPr>
          <w:p w14:paraId="48E9E946">
            <w:pPr>
              <w:keepNext w:val="0"/>
              <w:keepLines w:val="0"/>
              <w:suppressLineNumbers w:val="0"/>
              <w:spacing w:before="0" w:beforeAutospacing="0" w:afterAutospacing="0" w:line="360" w:lineRule="auto"/>
              <w:ind w:left="0" w:right="0"/>
              <w:jc w:val="center"/>
              <w:rPr>
                <w:rFonts w:hint="eastAsia" w:ascii="宋体" w:hAnsi="宋体" w:eastAsia="宋体" w:cs="宋体"/>
                <w:color w:val="auto"/>
                <w:sz w:val="24"/>
                <w:highlight w:val="none"/>
              </w:rPr>
            </w:pPr>
          </w:p>
        </w:tc>
        <w:tc>
          <w:tcPr>
            <w:tcW w:w="762" w:type="dxa"/>
            <w:tcBorders>
              <w:top w:val="single" w:color="auto" w:sz="4" w:space="0"/>
              <w:left w:val="single" w:color="auto" w:sz="4" w:space="0"/>
              <w:bottom w:val="single" w:color="auto" w:sz="4" w:space="0"/>
              <w:right w:val="single" w:color="auto" w:sz="4" w:space="0"/>
            </w:tcBorders>
            <w:vAlign w:val="center"/>
          </w:tcPr>
          <w:p w14:paraId="50A6EF15">
            <w:pPr>
              <w:keepNext w:val="0"/>
              <w:keepLines w:val="0"/>
              <w:suppressLineNumbers w:val="0"/>
              <w:spacing w:before="0" w:beforeAutospacing="0" w:afterAutospacing="0" w:line="360" w:lineRule="auto"/>
              <w:ind w:left="0" w:right="0"/>
              <w:rPr>
                <w:rFonts w:hint="eastAsia" w:ascii="宋体" w:hAnsi="宋体" w:eastAsia="宋体" w:cs="宋体"/>
                <w:color w:val="auto"/>
                <w:sz w:val="24"/>
                <w:highlight w:val="none"/>
              </w:rPr>
            </w:pPr>
          </w:p>
        </w:tc>
        <w:tc>
          <w:tcPr>
            <w:tcW w:w="2049" w:type="dxa"/>
            <w:tcBorders>
              <w:top w:val="single" w:color="auto" w:sz="4" w:space="0"/>
              <w:left w:val="single" w:color="auto" w:sz="4" w:space="0"/>
              <w:bottom w:val="single" w:color="auto" w:sz="4" w:space="0"/>
              <w:right w:val="single" w:color="auto" w:sz="4" w:space="0"/>
            </w:tcBorders>
            <w:vAlign w:val="center"/>
          </w:tcPr>
          <w:p w14:paraId="2F2ECB80">
            <w:pPr>
              <w:keepNext w:val="0"/>
              <w:keepLines w:val="0"/>
              <w:suppressLineNumbers w:val="0"/>
              <w:spacing w:before="0" w:beforeAutospacing="0" w:afterAutospacing="0" w:line="360" w:lineRule="auto"/>
              <w:ind w:left="0" w:right="0"/>
              <w:rPr>
                <w:rFonts w:hint="eastAsia" w:ascii="宋体" w:hAnsi="宋体" w:eastAsia="宋体" w:cs="宋体"/>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3141C34B">
            <w:pPr>
              <w:keepNext w:val="0"/>
              <w:keepLines w:val="0"/>
              <w:suppressLineNumbers w:val="0"/>
              <w:spacing w:before="0" w:beforeAutospacing="0" w:afterAutospacing="0" w:line="360" w:lineRule="auto"/>
              <w:ind w:left="0" w:right="0"/>
              <w:rPr>
                <w:rFonts w:hint="eastAsia" w:ascii="宋体" w:hAnsi="宋体" w:eastAsia="宋体" w:cs="宋体"/>
                <w:color w:val="auto"/>
                <w:sz w:val="24"/>
                <w:highlight w:val="none"/>
              </w:rPr>
            </w:pPr>
          </w:p>
        </w:tc>
        <w:tc>
          <w:tcPr>
            <w:tcW w:w="1525" w:type="dxa"/>
            <w:tcBorders>
              <w:top w:val="single" w:color="auto" w:sz="4" w:space="0"/>
              <w:left w:val="single" w:color="auto" w:sz="4" w:space="0"/>
              <w:bottom w:val="single" w:color="auto" w:sz="4" w:space="0"/>
              <w:right w:val="single" w:color="auto" w:sz="4" w:space="0"/>
            </w:tcBorders>
            <w:vAlign w:val="center"/>
          </w:tcPr>
          <w:p w14:paraId="42EDED43">
            <w:pPr>
              <w:keepNext w:val="0"/>
              <w:keepLines w:val="0"/>
              <w:suppressLineNumbers w:val="0"/>
              <w:spacing w:before="0" w:beforeAutospacing="0" w:afterAutospacing="0" w:line="360" w:lineRule="auto"/>
              <w:ind w:left="0" w:right="0"/>
              <w:rPr>
                <w:rFonts w:hint="eastAsia" w:ascii="宋体" w:hAnsi="宋体" w:eastAsia="宋体" w:cs="宋体"/>
                <w:color w:val="auto"/>
                <w:sz w:val="24"/>
                <w:highlight w:val="none"/>
              </w:rPr>
            </w:pPr>
          </w:p>
        </w:tc>
      </w:tr>
      <w:tr w14:paraId="26AE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9793" w:type="dxa"/>
            <w:gridSpan w:val="7"/>
            <w:tcBorders>
              <w:top w:val="single" w:color="auto" w:sz="4" w:space="0"/>
              <w:left w:val="single" w:color="auto" w:sz="4" w:space="0"/>
              <w:bottom w:val="single" w:color="auto" w:sz="4" w:space="0"/>
              <w:right w:val="single" w:color="auto" w:sz="4" w:space="0"/>
            </w:tcBorders>
            <w:vAlign w:val="center"/>
          </w:tcPr>
          <w:p w14:paraId="5ECE2D59">
            <w:pPr>
              <w:keepNext w:val="0"/>
              <w:keepLines w:val="0"/>
              <w:suppressLineNumbers w:val="0"/>
              <w:spacing w:before="0" w:beforeAutospacing="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合计金额大写：人民币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tc>
      </w:tr>
    </w:tbl>
    <w:p w14:paraId="1435479A">
      <w:pPr>
        <w:spacing w:line="520" w:lineRule="exact"/>
        <w:jc w:val="left"/>
        <w:rPr>
          <w:rFonts w:ascii="宋体" w:hAnsi="宋体" w:eastAsia="宋体" w:cs="Calibri"/>
          <w:color w:val="auto"/>
          <w:sz w:val="24"/>
          <w:highlight w:val="none"/>
        </w:rPr>
      </w:pPr>
      <w:r>
        <w:rPr>
          <w:rFonts w:hint="eastAsia" w:ascii="宋体" w:hAnsi="宋体" w:eastAsia="宋体" w:cs="Calibri"/>
          <w:color w:val="auto"/>
          <w:sz w:val="24"/>
          <w:highlight w:val="none"/>
        </w:rPr>
        <w:t xml:space="preserve">注: </w:t>
      </w:r>
    </w:p>
    <w:p w14:paraId="5B08A766">
      <w:pPr>
        <w:spacing w:line="360" w:lineRule="auto"/>
        <w:ind w:firstLine="480" w:firstLineChars="200"/>
        <w:contextualSpacing/>
        <w:jc w:val="left"/>
        <w:rPr>
          <w:rFonts w:ascii="宋体" w:hAnsi="宋体" w:eastAsia="宋体" w:cs="Calibri"/>
          <w:color w:val="auto"/>
          <w:sz w:val="24"/>
          <w:highlight w:val="none"/>
        </w:rPr>
      </w:pPr>
      <w:r>
        <w:rPr>
          <w:rFonts w:hint="eastAsia" w:ascii="宋体" w:hAnsi="宋体" w:eastAsia="宋体" w:cs="Calibri"/>
          <w:color w:val="auto"/>
          <w:sz w:val="24"/>
          <w:highlight w:val="none"/>
        </w:rPr>
        <w:t>1. 供应商的报价表必须加盖供应商电子签章并由法定代表人或者委托代理人签字或者电子签名，</w:t>
      </w:r>
      <w:r>
        <w:rPr>
          <w:rFonts w:hint="eastAsia" w:ascii="宋体" w:hAnsi="宋体" w:eastAsia="宋体" w:cs="Calibri"/>
          <w:b/>
          <w:color w:val="auto"/>
          <w:sz w:val="24"/>
          <w:highlight w:val="none"/>
        </w:rPr>
        <w:t>否则其响应文件按无效处理</w:t>
      </w:r>
      <w:r>
        <w:rPr>
          <w:rFonts w:hint="eastAsia" w:ascii="宋体" w:hAnsi="宋体" w:eastAsia="宋体" w:cs="Calibri"/>
          <w:color w:val="auto"/>
          <w:sz w:val="24"/>
          <w:highlight w:val="none"/>
        </w:rPr>
        <w:t>。</w:t>
      </w:r>
    </w:p>
    <w:p w14:paraId="760AE6B1">
      <w:pPr>
        <w:spacing w:line="360" w:lineRule="auto"/>
        <w:ind w:firstLine="480" w:firstLineChars="200"/>
        <w:contextualSpacing/>
        <w:jc w:val="left"/>
        <w:rPr>
          <w:rFonts w:ascii="宋体" w:hAnsi="宋体" w:eastAsia="宋体" w:cs="Calibri"/>
          <w:b/>
          <w:color w:val="auto"/>
          <w:sz w:val="24"/>
          <w:highlight w:val="none"/>
        </w:rPr>
      </w:pPr>
      <w:r>
        <w:rPr>
          <w:rFonts w:hint="eastAsia" w:ascii="宋体" w:hAnsi="宋体" w:eastAsia="宋体" w:cs="Calibri"/>
          <w:bCs/>
          <w:color w:val="auto"/>
          <w:sz w:val="24"/>
          <w:highlight w:val="none"/>
        </w:rPr>
        <w:t>2.</w:t>
      </w:r>
      <w:r>
        <w:rPr>
          <w:rFonts w:hint="eastAsia" w:ascii="宋体" w:hAnsi="宋体" w:eastAsia="宋体" w:cs="Calibri"/>
          <w:color w:val="auto"/>
          <w:sz w:val="24"/>
          <w:highlight w:val="none"/>
        </w:rPr>
        <w:t xml:space="preserve"> 报价一经涂改，应在涂改处加盖供应商公章或者加盖电子签章或者由法定代表人或者授权委托人签字</w:t>
      </w:r>
      <w:r>
        <w:rPr>
          <w:rFonts w:hint="eastAsia" w:ascii="宋体" w:hAnsi="宋体" w:eastAsia="宋体"/>
          <w:color w:val="auto"/>
          <w:sz w:val="24"/>
          <w:highlight w:val="none"/>
        </w:rPr>
        <w:t>（或者电子签名）</w:t>
      </w:r>
      <w:r>
        <w:rPr>
          <w:rFonts w:hint="eastAsia" w:ascii="宋体" w:hAnsi="宋体" w:eastAsia="宋体" w:cs="Calibri"/>
          <w:b/>
          <w:color w:val="auto"/>
          <w:sz w:val="24"/>
          <w:highlight w:val="none"/>
        </w:rPr>
        <w:t>，否则其响应文件按无效处理。</w:t>
      </w:r>
    </w:p>
    <w:p w14:paraId="1B41110F">
      <w:pPr>
        <w:spacing w:line="360" w:lineRule="auto"/>
        <w:ind w:firstLine="480" w:firstLineChars="200"/>
        <w:contextualSpacing/>
        <w:jc w:val="left"/>
        <w:rPr>
          <w:rFonts w:ascii="宋体" w:hAnsi="宋体" w:eastAsia="宋体" w:cs="Calibri"/>
          <w:b/>
          <w:color w:val="auto"/>
          <w:sz w:val="24"/>
          <w:highlight w:val="none"/>
        </w:rPr>
      </w:pPr>
      <w:r>
        <w:rPr>
          <w:rFonts w:ascii="宋体" w:hAnsi="宋体" w:eastAsia="宋体" w:cs="Calibri"/>
          <w:color w:val="auto"/>
          <w:sz w:val="24"/>
          <w:highlight w:val="none"/>
        </w:rPr>
        <w:t>3</w:t>
      </w:r>
      <w:r>
        <w:rPr>
          <w:rFonts w:hint="eastAsia" w:ascii="宋体" w:hAnsi="宋体" w:eastAsia="宋体" w:cs="Calibri"/>
          <w:color w:val="auto"/>
          <w:sz w:val="24"/>
          <w:highlight w:val="none"/>
        </w:rPr>
        <w:t>.如为联合体竞标，“供应商名称”处必须列明联合体各方名称，标注联合体牵头人名称，</w:t>
      </w:r>
      <w:r>
        <w:rPr>
          <w:rFonts w:hint="eastAsia" w:ascii="宋体" w:hAnsi="宋体" w:eastAsia="宋体" w:cs="Calibri"/>
          <w:b/>
          <w:color w:val="auto"/>
          <w:sz w:val="24"/>
          <w:highlight w:val="none"/>
        </w:rPr>
        <w:t>否则其响应文件按无效响应处理。</w:t>
      </w:r>
    </w:p>
    <w:p w14:paraId="2A383090">
      <w:pPr>
        <w:spacing w:line="360" w:lineRule="auto"/>
        <w:ind w:firstLine="480" w:firstLineChars="200"/>
        <w:contextualSpacing/>
        <w:jc w:val="left"/>
        <w:rPr>
          <w:rFonts w:ascii="宋体" w:hAnsi="宋体" w:eastAsia="宋体" w:cs="Calibri"/>
          <w:color w:val="auto"/>
          <w:sz w:val="24"/>
          <w:highlight w:val="none"/>
        </w:rPr>
      </w:pPr>
      <w:r>
        <w:rPr>
          <w:rFonts w:ascii="宋体" w:hAnsi="宋体" w:eastAsia="宋体" w:cs="Calibri"/>
          <w:color w:val="auto"/>
          <w:sz w:val="24"/>
          <w:highlight w:val="none"/>
        </w:rPr>
        <w:t>4</w:t>
      </w:r>
      <w:r>
        <w:rPr>
          <w:rFonts w:hint="eastAsia" w:ascii="宋体" w:hAnsi="宋体" w:eastAsia="宋体" w:cs="Calibri"/>
          <w:color w:val="auto"/>
          <w:sz w:val="24"/>
          <w:highlight w:val="none"/>
        </w:rPr>
        <w:t>. 如为联合体竞标，</w:t>
      </w:r>
      <w:r>
        <w:rPr>
          <w:rFonts w:hint="eastAsia" w:ascii="宋体" w:hAnsi="宋体" w:eastAsia="宋体"/>
          <w:color w:val="auto"/>
          <w:spacing w:val="-6"/>
          <w:sz w:val="24"/>
          <w:highlight w:val="none"/>
        </w:rPr>
        <w:t xml:space="preserve"> 盖章处须加盖联合体牵头人电子签章</w:t>
      </w:r>
      <w:r>
        <w:rPr>
          <w:rFonts w:hint="eastAsia" w:ascii="宋体" w:hAnsi="宋体" w:eastAsia="宋体" w:cs="Calibri"/>
          <w:color w:val="auto"/>
          <w:sz w:val="24"/>
          <w:highlight w:val="none"/>
        </w:rPr>
        <w:t>，</w:t>
      </w:r>
      <w:r>
        <w:rPr>
          <w:rFonts w:hint="eastAsia" w:ascii="宋体" w:hAnsi="宋体" w:eastAsia="宋体" w:cs="Calibri"/>
          <w:b/>
          <w:color w:val="auto"/>
          <w:sz w:val="24"/>
          <w:highlight w:val="none"/>
        </w:rPr>
        <w:t>否则其响应文件按无效处理。</w:t>
      </w:r>
    </w:p>
    <w:p w14:paraId="48ABBC0F">
      <w:pPr>
        <w:spacing w:line="360" w:lineRule="auto"/>
        <w:ind w:firstLine="480" w:firstLineChars="200"/>
        <w:contextualSpacing/>
        <w:rPr>
          <w:rFonts w:ascii="宋体" w:hAnsi="宋体" w:eastAsia="宋体" w:cs="Calibri"/>
          <w:color w:val="auto"/>
          <w:sz w:val="24"/>
          <w:highlight w:val="none"/>
        </w:rPr>
      </w:pPr>
      <w:r>
        <w:rPr>
          <w:rFonts w:ascii="宋体" w:hAnsi="宋体" w:eastAsia="宋体" w:cs="Calibri"/>
          <w:color w:val="auto"/>
          <w:sz w:val="24"/>
          <w:highlight w:val="none"/>
        </w:rPr>
        <w:t>5</w:t>
      </w:r>
      <w:r>
        <w:rPr>
          <w:rFonts w:hint="eastAsia" w:ascii="宋体" w:hAnsi="宋体" w:eastAsia="宋体" w:cs="Calibri"/>
          <w:color w:val="auto"/>
          <w:sz w:val="24"/>
          <w:highlight w:val="none"/>
        </w:rPr>
        <w:t>.</w:t>
      </w:r>
      <w:r>
        <w:rPr>
          <w:rFonts w:hint="eastAsia" w:ascii="宋体" w:hAnsi="宋体" w:eastAsia="宋体" w:cs="Calibri"/>
          <w:color w:val="auto"/>
          <w:spacing w:val="-6"/>
          <w:sz w:val="24"/>
          <w:highlight w:val="none"/>
        </w:rPr>
        <w:t>如有多分标，分别列明各分标的报价表，</w:t>
      </w:r>
      <w:r>
        <w:rPr>
          <w:rFonts w:hint="eastAsia" w:ascii="宋体" w:hAnsi="宋体" w:eastAsia="宋体" w:cs="Calibri"/>
          <w:b/>
          <w:color w:val="auto"/>
          <w:spacing w:val="-6"/>
          <w:sz w:val="24"/>
          <w:highlight w:val="none"/>
        </w:rPr>
        <w:t>否则其响应文件按无效响应处理。</w:t>
      </w:r>
    </w:p>
    <w:p w14:paraId="7F5A6AAE">
      <w:pPr>
        <w:spacing w:line="360" w:lineRule="auto"/>
        <w:ind w:right="-817" w:rightChars="-389"/>
        <w:contextualSpacing/>
        <w:rPr>
          <w:rFonts w:ascii="宋体" w:hAnsi="宋体" w:eastAsia="宋体" w:cs="Calibri"/>
          <w:color w:val="auto"/>
          <w:sz w:val="24"/>
          <w:highlight w:val="none"/>
        </w:rPr>
      </w:pPr>
    </w:p>
    <w:p w14:paraId="4ABB903E">
      <w:pPr>
        <w:spacing w:line="360" w:lineRule="auto"/>
        <w:ind w:right="-817" w:rightChars="-389" w:firstLine="2640" w:firstLineChars="11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 xml:space="preserve">法定代表人或者委托代理人（签字或者电子签名）：                    </w:t>
      </w:r>
    </w:p>
    <w:p w14:paraId="18997E41">
      <w:pPr>
        <w:spacing w:line="360" w:lineRule="auto"/>
        <w:ind w:right="-817" w:rightChars="-389" w:firstLine="2640" w:firstLineChars="11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 xml:space="preserve">供应商（电子签章）：      </w:t>
      </w:r>
    </w:p>
    <w:p w14:paraId="538D5463">
      <w:pPr>
        <w:spacing w:line="360" w:lineRule="auto"/>
        <w:ind w:right="-817" w:rightChars="-389" w:firstLine="4080" w:firstLineChars="1700"/>
        <w:contextualSpacing/>
        <w:rPr>
          <w:rFonts w:hint="eastAsia" w:ascii="宋体" w:hAnsi="宋体" w:eastAsia="宋体" w:cs="Calibri"/>
          <w:color w:val="auto"/>
          <w:sz w:val="24"/>
          <w:highlight w:val="none"/>
        </w:rPr>
      </w:pPr>
      <w:r>
        <w:rPr>
          <w:rFonts w:hint="eastAsia" w:ascii="宋体" w:hAnsi="宋体" w:eastAsia="宋体" w:cs="Calibri"/>
          <w:color w:val="auto"/>
          <w:sz w:val="24"/>
          <w:highlight w:val="none"/>
        </w:rPr>
        <w:t>日期：   年   月   日</w:t>
      </w:r>
    </w:p>
    <w:p w14:paraId="79798F51">
      <w:pPr>
        <w:pStyle w:val="65"/>
        <w:rPr>
          <w:rFonts w:hint="eastAsia" w:ascii="宋体" w:hAnsi="宋体" w:eastAsia="宋体" w:cs="Calibri"/>
          <w:color w:val="auto"/>
          <w:sz w:val="24"/>
          <w:highlight w:val="none"/>
        </w:rPr>
      </w:pPr>
    </w:p>
    <w:p w14:paraId="7612622C">
      <w:pPr>
        <w:pStyle w:val="65"/>
        <w:rPr>
          <w:rFonts w:hint="eastAsia" w:ascii="宋体" w:hAnsi="宋体" w:eastAsia="宋体" w:cs="Calibri"/>
          <w:color w:val="auto"/>
          <w:sz w:val="24"/>
          <w:highlight w:val="none"/>
        </w:rPr>
      </w:pPr>
    </w:p>
    <w:p w14:paraId="71D79E64">
      <w:pPr>
        <w:pStyle w:val="65"/>
        <w:rPr>
          <w:rFonts w:hint="eastAsia" w:ascii="宋体" w:hAnsi="宋体" w:eastAsia="宋体" w:cs="Calibri"/>
          <w:color w:val="auto"/>
          <w:sz w:val="24"/>
          <w:highlight w:val="none"/>
        </w:rPr>
      </w:pPr>
    </w:p>
    <w:p w14:paraId="6FEB2C75">
      <w:pPr>
        <w:keepNext w:val="0"/>
        <w:keepLines w:val="0"/>
        <w:pageBreakBefore w:val="0"/>
        <w:widowControl/>
        <w:kinsoku/>
        <w:wordWrap/>
        <w:overflowPunct/>
        <w:topLinePunct w:val="0"/>
        <w:autoSpaceDE/>
        <w:autoSpaceDN/>
        <w:bidi w:val="0"/>
        <w:adjustRightInd/>
        <w:snapToGrid/>
        <w:spacing w:line="279" w:lineRule="auto"/>
        <w:jc w:val="left"/>
        <w:textAlignment w:val="auto"/>
        <w:outlineLvl w:val="1"/>
        <w:rPr>
          <w:rFonts w:ascii="宋体" w:hAnsi="宋体" w:eastAsia="宋体"/>
          <w:b/>
          <w:color w:val="auto"/>
          <w:sz w:val="32"/>
          <w:szCs w:val="32"/>
          <w:highlight w:val="none"/>
        </w:rPr>
      </w:pPr>
      <w:r>
        <w:rPr>
          <w:rFonts w:ascii="宋体" w:hAnsi="宋体" w:eastAsia="宋体" w:cs="Calibri"/>
          <w:color w:val="auto"/>
          <w:sz w:val="24"/>
          <w:highlight w:val="none"/>
        </w:rPr>
        <w:br w:type="page"/>
      </w:r>
      <w:bookmarkStart w:id="51" w:name="_Toc7867"/>
      <w:r>
        <w:rPr>
          <w:rFonts w:hint="eastAsia" w:ascii="宋体" w:hAnsi="宋体" w:eastAsia="宋体"/>
          <w:b/>
          <w:bCs/>
          <w:color w:val="auto"/>
          <w:sz w:val="32"/>
          <w:szCs w:val="32"/>
          <w:highlight w:val="none"/>
        </w:rPr>
        <w:t>三、</w:t>
      </w:r>
      <w:r>
        <w:rPr>
          <w:rFonts w:hint="eastAsia" w:ascii="宋体" w:hAnsi="宋体" w:eastAsia="宋体"/>
          <w:b/>
          <w:color w:val="auto"/>
          <w:sz w:val="32"/>
          <w:szCs w:val="32"/>
          <w:highlight w:val="none"/>
        </w:rPr>
        <w:t>商务技术文件格式</w:t>
      </w:r>
      <w:bookmarkEnd w:id="51"/>
      <w:r>
        <w:rPr>
          <w:rFonts w:hint="eastAsia" w:ascii="宋体" w:hAnsi="宋体" w:eastAsia="宋体"/>
          <w:b/>
          <w:color w:val="auto"/>
          <w:sz w:val="32"/>
          <w:szCs w:val="32"/>
          <w:highlight w:val="none"/>
        </w:rPr>
        <w:t xml:space="preserve"> </w:t>
      </w:r>
    </w:p>
    <w:p w14:paraId="2C15842F">
      <w:pPr>
        <w:snapToGrid w:val="0"/>
        <w:spacing w:before="120" w:beforeLines="50" w:after="50" w:line="360" w:lineRule="auto"/>
        <w:jc w:val="left"/>
        <w:rPr>
          <w:rFonts w:ascii="宋体" w:hAnsi="宋体" w:eastAsia="宋体"/>
          <w:b/>
          <w:color w:val="auto"/>
          <w:sz w:val="32"/>
          <w:szCs w:val="32"/>
          <w:highlight w:val="none"/>
        </w:rPr>
      </w:pPr>
      <w:r>
        <w:rPr>
          <w:rFonts w:hint="eastAsia" w:ascii="宋体" w:hAnsi="宋体" w:eastAsia="宋体"/>
          <w:b/>
          <w:color w:val="auto"/>
          <w:sz w:val="32"/>
          <w:szCs w:val="32"/>
          <w:highlight w:val="none"/>
        </w:rPr>
        <w:t>1.商务技术文件封面格式</w:t>
      </w:r>
    </w:p>
    <w:p w14:paraId="507CC655">
      <w:pPr>
        <w:snapToGrid w:val="0"/>
        <w:spacing w:before="120" w:beforeLines="50" w:after="50"/>
        <w:rPr>
          <w:rFonts w:ascii="宋体" w:hAnsi="宋体" w:eastAsia="宋体"/>
          <w:bCs/>
          <w:color w:val="auto"/>
          <w:sz w:val="32"/>
          <w:szCs w:val="20"/>
          <w:highlight w:val="none"/>
        </w:rPr>
      </w:pPr>
      <w:r>
        <w:rPr>
          <w:rFonts w:hint="eastAsia" w:ascii="宋体" w:hAnsi="宋体" w:eastAsia="宋体"/>
          <w:color w:val="auto"/>
          <w:sz w:val="24"/>
          <w:highlight w:val="none"/>
        </w:rPr>
        <w:t xml:space="preserve">                                                    </w:t>
      </w:r>
    </w:p>
    <w:p w14:paraId="5DD17AC0">
      <w:pPr>
        <w:snapToGrid w:val="0"/>
        <w:spacing w:before="120" w:beforeLines="50" w:after="50"/>
        <w:jc w:val="center"/>
        <w:rPr>
          <w:rFonts w:ascii="宋体" w:hAnsi="宋体" w:eastAsia="宋体"/>
          <w:color w:val="auto"/>
          <w:sz w:val="24"/>
          <w:szCs w:val="20"/>
          <w:highlight w:val="none"/>
        </w:rPr>
      </w:pPr>
      <w:r>
        <w:rPr>
          <w:rFonts w:hint="eastAsia" w:ascii="宋体" w:hAnsi="宋体" w:eastAsia="宋体"/>
          <w:color w:val="auto"/>
          <w:sz w:val="44"/>
          <w:szCs w:val="44"/>
          <w:highlight w:val="none"/>
        </w:rPr>
        <w:t>电 子 响 应 文 件</w:t>
      </w:r>
    </w:p>
    <w:p w14:paraId="485F09B7">
      <w:pPr>
        <w:snapToGrid w:val="0"/>
        <w:spacing w:before="120" w:beforeLines="50" w:after="50"/>
        <w:rPr>
          <w:rFonts w:ascii="宋体" w:hAnsi="宋体" w:eastAsia="宋体"/>
          <w:color w:val="auto"/>
          <w:sz w:val="24"/>
          <w:szCs w:val="20"/>
          <w:highlight w:val="none"/>
        </w:rPr>
      </w:pPr>
    </w:p>
    <w:p w14:paraId="010495E3">
      <w:pPr>
        <w:snapToGrid w:val="0"/>
        <w:spacing w:before="120" w:beforeLines="50" w:after="50"/>
        <w:rPr>
          <w:rFonts w:ascii="宋体" w:hAnsi="宋体" w:eastAsia="宋体"/>
          <w:color w:val="auto"/>
          <w:sz w:val="24"/>
          <w:szCs w:val="20"/>
          <w:highlight w:val="none"/>
        </w:rPr>
      </w:pPr>
    </w:p>
    <w:p w14:paraId="27F6E83A">
      <w:pPr>
        <w:snapToGrid w:val="0"/>
        <w:spacing w:before="120" w:beforeLines="50" w:after="50"/>
        <w:jc w:val="center"/>
        <w:rPr>
          <w:rFonts w:ascii="宋体" w:hAnsi="宋体" w:eastAsia="宋体" w:cs="Tahoma"/>
          <w:bCs/>
          <w:color w:val="auto"/>
          <w:sz w:val="44"/>
          <w:szCs w:val="44"/>
          <w:highlight w:val="none"/>
        </w:rPr>
      </w:pPr>
      <w:r>
        <w:rPr>
          <w:rFonts w:hint="eastAsia" w:ascii="宋体" w:hAnsi="宋体" w:eastAsia="宋体" w:cs="Tahoma"/>
          <w:bCs/>
          <w:color w:val="auto"/>
          <w:sz w:val="44"/>
          <w:szCs w:val="44"/>
          <w:highlight w:val="none"/>
        </w:rPr>
        <w:t>商  务  技  术  文  件</w:t>
      </w:r>
    </w:p>
    <w:p w14:paraId="4637CCD7">
      <w:pPr>
        <w:snapToGrid w:val="0"/>
        <w:spacing w:before="120" w:beforeLines="50" w:after="50"/>
        <w:rPr>
          <w:rFonts w:ascii="宋体" w:hAnsi="宋体" w:eastAsia="宋体"/>
          <w:bCs/>
          <w:color w:val="auto"/>
          <w:sz w:val="24"/>
          <w:szCs w:val="20"/>
          <w:highlight w:val="none"/>
        </w:rPr>
      </w:pPr>
    </w:p>
    <w:p w14:paraId="65BA3C4B">
      <w:pPr>
        <w:snapToGrid w:val="0"/>
        <w:spacing w:before="120" w:beforeLines="50" w:after="50"/>
        <w:rPr>
          <w:rFonts w:ascii="宋体" w:hAnsi="宋体" w:eastAsia="宋体"/>
          <w:bCs/>
          <w:color w:val="auto"/>
          <w:sz w:val="24"/>
          <w:szCs w:val="20"/>
          <w:highlight w:val="none"/>
        </w:rPr>
      </w:pPr>
    </w:p>
    <w:p w14:paraId="34A7E5DC">
      <w:pPr>
        <w:snapToGrid w:val="0"/>
        <w:spacing w:before="120" w:beforeLines="50" w:after="50"/>
        <w:rPr>
          <w:rFonts w:ascii="宋体" w:hAnsi="宋体" w:eastAsia="宋体"/>
          <w:bCs/>
          <w:color w:val="auto"/>
          <w:sz w:val="24"/>
          <w:szCs w:val="20"/>
          <w:highlight w:val="none"/>
        </w:rPr>
      </w:pPr>
    </w:p>
    <w:p w14:paraId="2829EFE1">
      <w:pPr>
        <w:snapToGrid w:val="0"/>
        <w:spacing w:before="120" w:beforeLines="50" w:after="50"/>
        <w:rPr>
          <w:rFonts w:ascii="宋体" w:hAnsi="宋体" w:eastAsia="宋体"/>
          <w:bCs/>
          <w:color w:val="auto"/>
          <w:sz w:val="24"/>
          <w:szCs w:val="20"/>
          <w:highlight w:val="none"/>
        </w:rPr>
      </w:pPr>
    </w:p>
    <w:p w14:paraId="6BE46519">
      <w:pPr>
        <w:snapToGrid w:val="0"/>
        <w:spacing w:before="120" w:beforeLines="50" w:after="50"/>
        <w:rPr>
          <w:rFonts w:ascii="宋体" w:hAnsi="宋体" w:eastAsia="宋体"/>
          <w:bCs/>
          <w:color w:val="auto"/>
          <w:sz w:val="24"/>
          <w:szCs w:val="20"/>
          <w:highlight w:val="none"/>
        </w:rPr>
      </w:pPr>
    </w:p>
    <w:p w14:paraId="34077289">
      <w:pPr>
        <w:snapToGrid w:val="0"/>
        <w:spacing w:before="120" w:beforeLines="50" w:after="50"/>
        <w:ind w:firstLine="640" w:firstLineChars="200"/>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项目名称：</w:t>
      </w:r>
    </w:p>
    <w:p w14:paraId="1CC1AE64">
      <w:pPr>
        <w:snapToGrid w:val="0"/>
        <w:spacing w:before="120" w:beforeLines="50" w:after="50"/>
        <w:ind w:firstLine="720" w:firstLineChars="225"/>
        <w:rPr>
          <w:rFonts w:ascii="宋体" w:hAnsi="宋体" w:eastAsia="宋体" w:cs="Calibri"/>
          <w:bCs/>
          <w:color w:val="auto"/>
          <w:sz w:val="32"/>
          <w:szCs w:val="32"/>
          <w:highlight w:val="none"/>
        </w:rPr>
      </w:pPr>
    </w:p>
    <w:p w14:paraId="4D4BE3C8">
      <w:pPr>
        <w:snapToGrid w:val="0"/>
        <w:spacing w:before="120" w:beforeLines="50" w:after="50"/>
        <w:ind w:firstLine="640" w:firstLineChars="200"/>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项目编号：</w:t>
      </w:r>
    </w:p>
    <w:p w14:paraId="736E44FF">
      <w:pPr>
        <w:snapToGrid w:val="0"/>
        <w:spacing w:before="120" w:beforeLines="50" w:after="50"/>
        <w:ind w:firstLine="720" w:firstLineChars="225"/>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 xml:space="preserve"> </w:t>
      </w:r>
    </w:p>
    <w:p w14:paraId="6859E691">
      <w:pPr>
        <w:snapToGrid w:val="0"/>
        <w:spacing w:before="120" w:beforeLines="50" w:after="50"/>
        <w:ind w:firstLine="640" w:firstLineChars="200"/>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所竞分标（如有则填写，无分标时填写“无”或者留空）：</w:t>
      </w:r>
    </w:p>
    <w:p w14:paraId="5BEF334C">
      <w:pPr>
        <w:snapToGrid w:val="0"/>
        <w:spacing w:before="120" w:beforeLines="50" w:after="50"/>
        <w:ind w:firstLine="720" w:firstLineChars="225"/>
        <w:rPr>
          <w:rFonts w:ascii="宋体" w:hAnsi="宋体" w:eastAsia="宋体" w:cs="Calibri"/>
          <w:bCs/>
          <w:color w:val="auto"/>
          <w:sz w:val="32"/>
          <w:szCs w:val="32"/>
          <w:highlight w:val="none"/>
        </w:rPr>
      </w:pPr>
    </w:p>
    <w:p w14:paraId="028FD6A9">
      <w:pPr>
        <w:pStyle w:val="7"/>
        <w:snapToGrid w:val="0"/>
        <w:spacing w:before="50" w:after="50"/>
        <w:ind w:firstLine="640" w:firstLineChars="200"/>
        <w:rPr>
          <w:rFonts w:ascii="宋体" w:hAnsi="宋体" w:eastAsia="宋体" w:cs="Calibri"/>
          <w:bCs/>
          <w:color w:val="auto"/>
          <w:sz w:val="32"/>
          <w:szCs w:val="32"/>
          <w:highlight w:val="none"/>
        </w:rPr>
      </w:pPr>
      <w:r>
        <w:rPr>
          <w:rFonts w:hint="eastAsia" w:ascii="宋体" w:hAnsi="宋体" w:eastAsia="宋体" w:cs="Calibri"/>
          <w:bCs/>
          <w:color w:val="auto"/>
          <w:sz w:val="32"/>
          <w:szCs w:val="32"/>
          <w:highlight w:val="none"/>
        </w:rPr>
        <w:t>供应商名称：</w:t>
      </w:r>
    </w:p>
    <w:p w14:paraId="632AC205">
      <w:pPr>
        <w:pStyle w:val="7"/>
        <w:snapToGrid w:val="0"/>
        <w:spacing w:before="50" w:after="50"/>
        <w:ind w:firstLine="640" w:firstLineChars="200"/>
        <w:rPr>
          <w:rFonts w:ascii="宋体" w:hAnsi="宋体" w:eastAsia="宋体" w:cs="Calibri"/>
          <w:bCs/>
          <w:color w:val="auto"/>
          <w:sz w:val="32"/>
          <w:szCs w:val="32"/>
          <w:highlight w:val="none"/>
        </w:rPr>
      </w:pPr>
    </w:p>
    <w:p w14:paraId="6DBCDCB2">
      <w:pPr>
        <w:pStyle w:val="7"/>
        <w:snapToGrid w:val="0"/>
        <w:spacing w:before="50" w:after="50"/>
        <w:ind w:firstLine="1280" w:firstLineChars="400"/>
        <w:rPr>
          <w:rFonts w:ascii="宋体" w:hAnsi="宋体" w:eastAsia="宋体" w:cs="Calibri"/>
          <w:bCs/>
          <w:color w:val="auto"/>
          <w:sz w:val="32"/>
          <w:szCs w:val="32"/>
          <w:highlight w:val="none"/>
        </w:rPr>
      </w:pPr>
    </w:p>
    <w:p w14:paraId="016B85EA">
      <w:pPr>
        <w:snapToGrid w:val="0"/>
        <w:spacing w:before="120" w:beforeLines="50" w:after="50"/>
        <w:jc w:val="center"/>
        <w:rPr>
          <w:rFonts w:ascii="宋体" w:hAnsi="宋体" w:eastAsia="宋体" w:cs="Calibri"/>
          <w:color w:val="auto"/>
          <w:sz w:val="32"/>
          <w:szCs w:val="32"/>
          <w:highlight w:val="none"/>
        </w:rPr>
      </w:pPr>
      <w:r>
        <w:rPr>
          <w:rFonts w:hint="eastAsia" w:ascii="宋体" w:hAnsi="宋体" w:eastAsia="宋体" w:cs="Calibri"/>
          <w:color w:val="auto"/>
          <w:sz w:val="32"/>
          <w:szCs w:val="32"/>
          <w:highlight w:val="none"/>
        </w:rPr>
        <w:t>年    月    日</w:t>
      </w:r>
    </w:p>
    <w:p w14:paraId="14FD0F31">
      <w:pPr>
        <w:snapToGrid w:val="0"/>
        <w:spacing w:before="120" w:beforeLines="50" w:after="50" w:line="360" w:lineRule="auto"/>
        <w:ind w:right="480" w:firstLine="240" w:firstLineChars="100"/>
        <w:jc w:val="left"/>
        <w:rPr>
          <w:rFonts w:ascii="宋体" w:hAnsi="宋体" w:eastAsia="宋体"/>
          <w:b/>
          <w:bCs/>
          <w:color w:val="auto"/>
          <w:sz w:val="24"/>
          <w:highlight w:val="none"/>
        </w:rPr>
      </w:pPr>
      <w:r>
        <w:rPr>
          <w:rFonts w:ascii="宋体" w:hAnsi="宋体" w:eastAsia="宋体"/>
          <w:color w:val="auto"/>
          <w:sz w:val="24"/>
          <w:highlight w:val="none"/>
        </w:rPr>
        <w:br w:type="page"/>
      </w:r>
      <w:r>
        <w:rPr>
          <w:rFonts w:hint="eastAsia" w:ascii="宋体" w:hAnsi="宋体" w:eastAsia="宋体"/>
          <w:b/>
          <w:bCs/>
          <w:color w:val="auto"/>
          <w:sz w:val="32"/>
          <w:szCs w:val="32"/>
          <w:highlight w:val="none"/>
        </w:rPr>
        <w:t>2.商务技术文件目录</w:t>
      </w:r>
    </w:p>
    <w:p w14:paraId="4B3C9295">
      <w:pPr>
        <w:snapToGrid w:val="0"/>
        <w:spacing w:before="120" w:beforeLines="50" w:after="50" w:line="360" w:lineRule="auto"/>
        <w:ind w:firstLine="640" w:firstLineChars="200"/>
        <w:rPr>
          <w:rFonts w:ascii="宋体" w:hAnsi="宋体" w:eastAsia="宋体"/>
          <w:color w:val="auto"/>
          <w:sz w:val="32"/>
          <w:szCs w:val="32"/>
          <w:highlight w:val="none"/>
        </w:rPr>
      </w:pPr>
      <w:r>
        <w:rPr>
          <w:rFonts w:hint="eastAsia" w:ascii="宋体" w:hAnsi="宋体" w:eastAsia="宋体"/>
          <w:color w:val="auto"/>
          <w:sz w:val="32"/>
          <w:szCs w:val="32"/>
          <w:highlight w:val="none"/>
        </w:rPr>
        <w:t>根据磋商文件规定及供应商提供的材料自行编写目录（部分格式后附）。</w:t>
      </w:r>
    </w:p>
    <w:p w14:paraId="6DD043EB">
      <w:pPr>
        <w:spacing w:line="400" w:lineRule="exact"/>
        <w:rPr>
          <w:rFonts w:ascii="宋体" w:hAnsi="宋体" w:eastAsia="宋体" w:cs="Calibri"/>
          <w:color w:val="auto"/>
          <w:sz w:val="32"/>
          <w:szCs w:val="32"/>
          <w:highlight w:val="none"/>
        </w:rPr>
      </w:pPr>
    </w:p>
    <w:p w14:paraId="69CA722C">
      <w:pPr>
        <w:spacing w:line="520" w:lineRule="exact"/>
        <w:jc w:val="center"/>
        <w:rPr>
          <w:rFonts w:ascii="宋体" w:hAnsi="宋体" w:eastAsia="宋体" w:cs="Calibri"/>
          <w:color w:val="auto"/>
          <w:sz w:val="32"/>
          <w:szCs w:val="32"/>
          <w:highlight w:val="none"/>
        </w:rPr>
      </w:pPr>
      <w:r>
        <w:rPr>
          <w:rFonts w:hint="eastAsia" w:ascii="宋体" w:hAnsi="宋体" w:eastAsia="宋体" w:cs="Tahoma"/>
          <w:color w:val="auto"/>
          <w:sz w:val="44"/>
          <w:szCs w:val="44"/>
          <w:highlight w:val="none"/>
        </w:rPr>
        <w:br w:type="page"/>
      </w:r>
      <w:r>
        <w:rPr>
          <w:rFonts w:hint="eastAsia" w:ascii="宋体" w:hAnsi="宋体" w:eastAsia="宋体" w:cs="Tahoma"/>
          <w:color w:val="auto"/>
          <w:sz w:val="44"/>
          <w:szCs w:val="44"/>
          <w:highlight w:val="none"/>
        </w:rPr>
        <w:t>无串通竞标行为的承诺函</w:t>
      </w:r>
    </w:p>
    <w:p w14:paraId="168B0017">
      <w:pPr>
        <w:spacing w:line="360" w:lineRule="auto"/>
        <w:ind w:firstLine="640" w:firstLineChars="200"/>
        <w:contextualSpacing/>
        <w:rPr>
          <w:rFonts w:ascii="宋体" w:hAnsi="宋体" w:eastAsia="宋体" w:cs="Calibri"/>
          <w:color w:val="auto"/>
          <w:sz w:val="32"/>
          <w:szCs w:val="32"/>
          <w:highlight w:val="none"/>
        </w:rPr>
      </w:pPr>
    </w:p>
    <w:p w14:paraId="6D8F40BA">
      <w:pPr>
        <w:spacing w:line="360" w:lineRule="auto"/>
        <w:ind w:firstLine="482" w:firstLineChars="200"/>
        <w:contextualSpacing/>
        <w:rPr>
          <w:rFonts w:ascii="宋体" w:hAnsi="宋体" w:eastAsia="宋体" w:cs="Calibri"/>
          <w:b/>
          <w:bCs/>
          <w:color w:val="auto"/>
          <w:sz w:val="24"/>
          <w:highlight w:val="none"/>
        </w:rPr>
      </w:pPr>
      <w:r>
        <w:rPr>
          <w:rFonts w:hint="eastAsia" w:ascii="宋体" w:hAnsi="宋体" w:eastAsia="宋体" w:cs="Calibri"/>
          <w:b/>
          <w:bCs/>
          <w:color w:val="auto"/>
          <w:sz w:val="24"/>
          <w:highlight w:val="none"/>
        </w:rPr>
        <w:t>一、我方承诺无下列相互串通竞标的情形：</w:t>
      </w:r>
    </w:p>
    <w:p w14:paraId="2BB31FA0">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 xml:space="preserve">1.不同供应商的响应文件由同一单位或者个人编制； </w:t>
      </w:r>
    </w:p>
    <w:p w14:paraId="11D100F0">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2.不同供应商委托同一单位或者个人办理竞标事宜；</w:t>
      </w:r>
    </w:p>
    <w:p w14:paraId="1A1DB96D">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3.不同供应商的响应文件载明的项目管理员为同一个人；</w:t>
      </w:r>
    </w:p>
    <w:p w14:paraId="015F53F5">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4.不</w:t>
      </w:r>
      <w:r>
        <w:rPr>
          <w:rFonts w:hint="eastAsia" w:ascii="宋体" w:hAnsi="宋体" w:eastAsia="宋体" w:cs="Calibri"/>
          <w:color w:val="auto"/>
          <w:spacing w:val="-6"/>
          <w:sz w:val="24"/>
          <w:highlight w:val="none"/>
        </w:rPr>
        <w:t>同供应商的响应文件异常一致或者竞标报价呈规律性差异；</w:t>
      </w:r>
    </w:p>
    <w:p w14:paraId="41248AD0">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5.不同供应商的响应文件相互混装；</w:t>
      </w:r>
    </w:p>
    <w:p w14:paraId="31EE18DE">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6.不同供应商的磋商保证金从同一单位或者个人账户转出。</w:t>
      </w:r>
    </w:p>
    <w:p w14:paraId="163CD0A5">
      <w:pPr>
        <w:spacing w:line="360" w:lineRule="auto"/>
        <w:ind w:firstLine="482" w:firstLineChars="200"/>
        <w:contextualSpacing/>
        <w:rPr>
          <w:rFonts w:ascii="宋体" w:hAnsi="宋体" w:eastAsia="宋体" w:cs="Calibri"/>
          <w:b/>
          <w:bCs/>
          <w:color w:val="auto"/>
          <w:sz w:val="24"/>
          <w:highlight w:val="none"/>
        </w:rPr>
      </w:pPr>
      <w:r>
        <w:rPr>
          <w:rFonts w:hint="eastAsia" w:ascii="宋体" w:hAnsi="宋体" w:eastAsia="宋体" w:cs="Calibri"/>
          <w:b/>
          <w:bCs/>
          <w:color w:val="auto"/>
          <w:sz w:val="24"/>
          <w:highlight w:val="none"/>
        </w:rPr>
        <w:t>二、我方承诺无下列恶意串通的情形：</w:t>
      </w:r>
    </w:p>
    <w:p w14:paraId="361D152C">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1.供应商直接或者间接从采购人或者采购代理机构处获得其他供应商的相关信息并修改其响应文件；</w:t>
      </w:r>
    </w:p>
    <w:p w14:paraId="14C1FA8D">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2.供应商按照采购人或者采购代理机构的授意撤换、修改响应文件；</w:t>
      </w:r>
    </w:p>
    <w:p w14:paraId="70B5A439">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3.供</w:t>
      </w:r>
      <w:r>
        <w:rPr>
          <w:rFonts w:hint="eastAsia" w:ascii="宋体" w:hAnsi="宋体" w:eastAsia="宋体" w:cs="Calibri"/>
          <w:color w:val="auto"/>
          <w:spacing w:val="-6"/>
          <w:sz w:val="24"/>
          <w:highlight w:val="none"/>
        </w:rPr>
        <w:t>应商之间协商报价、技术方案等响应文件的实质性内容；</w:t>
      </w:r>
    </w:p>
    <w:p w14:paraId="036A16F9">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4.属于同一集团、协会、商会等组织成员的供应商按照该组织要求协同参加政府采购活动；</w:t>
      </w:r>
    </w:p>
    <w:p w14:paraId="17FFF01A">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50AADE46">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6.供应商之间商定部分供应商放弃参加政府采购活动或者放弃成交；</w:t>
      </w:r>
    </w:p>
    <w:p w14:paraId="461E128C">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7.供应商与采购人或者采购代理机构之间、供应商相互之间，为</w:t>
      </w:r>
      <w:r>
        <w:rPr>
          <w:rFonts w:hint="eastAsia" w:ascii="宋体" w:hAnsi="宋体" w:eastAsia="宋体" w:cs="Calibri"/>
          <w:color w:val="auto"/>
          <w:spacing w:val="-6"/>
          <w:sz w:val="24"/>
          <w:highlight w:val="none"/>
        </w:rPr>
        <w:t>谋求特定供应商成交或者排斥其他供应商的其他串通行为。</w:t>
      </w:r>
    </w:p>
    <w:p w14:paraId="0ABA6D03">
      <w:pPr>
        <w:spacing w:line="360" w:lineRule="auto"/>
        <w:ind w:firstLine="480" w:firstLineChars="200"/>
        <w:contextualSpacing/>
        <w:rPr>
          <w:rFonts w:ascii="宋体" w:hAnsi="宋体" w:eastAsia="宋体" w:cs="Calibri"/>
          <w:color w:val="auto"/>
          <w:sz w:val="24"/>
          <w:highlight w:val="none"/>
        </w:rPr>
      </w:pPr>
    </w:p>
    <w:p w14:paraId="2CF4D200">
      <w:pPr>
        <w:spacing w:line="360" w:lineRule="auto"/>
        <w:ind w:firstLine="482" w:firstLineChars="200"/>
        <w:contextualSpacing/>
        <w:rPr>
          <w:rFonts w:ascii="宋体" w:hAnsi="宋体" w:eastAsia="宋体" w:cs="Calibri"/>
          <w:b/>
          <w:bCs/>
          <w:color w:val="auto"/>
          <w:sz w:val="24"/>
          <w:highlight w:val="none"/>
        </w:rPr>
      </w:pPr>
      <w:r>
        <w:rPr>
          <w:rFonts w:hint="eastAsia" w:ascii="宋体" w:hAnsi="宋体" w:eastAsia="宋体" w:cs="Calibri"/>
          <w:b/>
          <w:bCs/>
          <w:color w:val="auto"/>
          <w:sz w:val="24"/>
          <w:highlight w:val="none"/>
        </w:rPr>
        <w:t>以上情形一经核查属实，我方愿意承担一切后果，并不再寻求任何旨在减轻或者免除法律责任的辩解。</w:t>
      </w:r>
    </w:p>
    <w:p w14:paraId="47290F89">
      <w:pPr>
        <w:spacing w:line="360" w:lineRule="auto"/>
        <w:contextualSpacing/>
        <w:rPr>
          <w:rFonts w:ascii="宋体" w:hAnsi="宋体" w:eastAsia="宋体" w:cs="Calibri"/>
          <w:color w:val="auto"/>
          <w:sz w:val="24"/>
          <w:highlight w:val="none"/>
        </w:rPr>
      </w:pPr>
    </w:p>
    <w:p w14:paraId="0D45C3D4">
      <w:pPr>
        <w:spacing w:line="360" w:lineRule="auto"/>
        <w:ind w:firstLine="3600" w:firstLineChars="15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供应商（电子签章）：</w:t>
      </w:r>
    </w:p>
    <w:p w14:paraId="48765350">
      <w:pPr>
        <w:spacing w:line="360" w:lineRule="auto"/>
        <w:ind w:firstLine="480" w:firstLineChars="200"/>
        <w:contextualSpacing/>
        <w:jc w:val="center"/>
        <w:rPr>
          <w:rFonts w:ascii="宋体" w:hAnsi="宋体" w:eastAsia="宋体" w:cs="Calibri"/>
          <w:color w:val="auto"/>
          <w:sz w:val="32"/>
          <w:szCs w:val="32"/>
          <w:highlight w:val="none"/>
        </w:rPr>
      </w:pPr>
      <w:r>
        <w:rPr>
          <w:rFonts w:hint="eastAsia" w:ascii="宋体" w:hAnsi="宋体" w:eastAsia="宋体" w:cs="Calibri"/>
          <w:color w:val="auto"/>
          <w:sz w:val="24"/>
          <w:highlight w:val="none"/>
        </w:rPr>
        <w:t xml:space="preserve">                               年   月   日</w:t>
      </w:r>
    </w:p>
    <w:p w14:paraId="7E66FFD9">
      <w:pPr>
        <w:spacing w:line="520" w:lineRule="exact"/>
        <w:jc w:val="center"/>
        <w:rPr>
          <w:rFonts w:ascii="宋体" w:hAnsi="宋体" w:eastAsia="宋体" w:cs="Calibri"/>
          <w:color w:val="auto"/>
          <w:sz w:val="32"/>
          <w:szCs w:val="32"/>
          <w:highlight w:val="none"/>
        </w:rPr>
      </w:pPr>
      <w:r>
        <w:rPr>
          <w:rFonts w:hint="eastAsia" w:ascii="宋体" w:hAnsi="宋体" w:eastAsia="宋体" w:cs="Tahoma"/>
          <w:bCs/>
          <w:color w:val="auto"/>
          <w:sz w:val="44"/>
          <w:szCs w:val="44"/>
          <w:highlight w:val="none"/>
        </w:rPr>
        <w:br w:type="page"/>
      </w:r>
      <w:r>
        <w:rPr>
          <w:rFonts w:hint="eastAsia" w:ascii="宋体" w:hAnsi="宋体" w:eastAsia="宋体" w:cs="Tahoma"/>
          <w:bCs/>
          <w:color w:val="auto"/>
          <w:sz w:val="44"/>
          <w:szCs w:val="44"/>
          <w:highlight w:val="none"/>
        </w:rPr>
        <w:t>法定代表人证明书</w:t>
      </w:r>
    </w:p>
    <w:p w14:paraId="5072153A">
      <w:pPr>
        <w:spacing w:line="360" w:lineRule="auto"/>
        <w:ind w:left="540"/>
        <w:contextualSpacing/>
        <w:rPr>
          <w:rFonts w:ascii="宋体" w:hAnsi="宋体" w:eastAsia="宋体" w:cs="Calibri"/>
          <w:color w:val="auto"/>
          <w:sz w:val="32"/>
          <w:szCs w:val="32"/>
          <w:highlight w:val="none"/>
        </w:rPr>
      </w:pPr>
    </w:p>
    <w:p w14:paraId="43A53367">
      <w:pPr>
        <w:spacing w:line="360" w:lineRule="auto"/>
        <w:ind w:left="54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供应商名称：</w:t>
      </w:r>
      <w:r>
        <w:rPr>
          <w:rFonts w:hint="eastAsia" w:ascii="宋体" w:hAnsi="宋体" w:eastAsia="宋体" w:cs="Calibri"/>
          <w:color w:val="auto"/>
          <w:sz w:val="24"/>
          <w:highlight w:val="none"/>
          <w:u w:val="single"/>
        </w:rPr>
        <w:t xml:space="preserve">                                                        </w:t>
      </w:r>
    </w:p>
    <w:p w14:paraId="33B1CE63">
      <w:pPr>
        <w:spacing w:line="360" w:lineRule="auto"/>
        <w:ind w:left="54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地    址：</w:t>
      </w:r>
      <w:r>
        <w:rPr>
          <w:rFonts w:hint="eastAsia" w:ascii="宋体" w:hAnsi="宋体" w:eastAsia="宋体" w:cs="Calibri"/>
          <w:color w:val="auto"/>
          <w:sz w:val="24"/>
          <w:highlight w:val="none"/>
          <w:u w:val="single"/>
        </w:rPr>
        <w:t xml:space="preserve">                                                        </w:t>
      </w:r>
    </w:p>
    <w:p w14:paraId="474768E2">
      <w:pPr>
        <w:spacing w:line="360" w:lineRule="auto"/>
        <w:ind w:left="54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姓    名：</w:t>
      </w:r>
      <w:r>
        <w:rPr>
          <w:rFonts w:hint="eastAsia" w:ascii="宋体" w:hAnsi="宋体" w:eastAsia="宋体" w:cs="Calibri"/>
          <w:color w:val="auto"/>
          <w:sz w:val="24"/>
          <w:highlight w:val="none"/>
          <w:u w:val="single"/>
        </w:rPr>
        <w:t xml:space="preserve">                </w:t>
      </w:r>
      <w:r>
        <w:rPr>
          <w:rFonts w:hint="eastAsia" w:ascii="宋体" w:hAnsi="宋体" w:eastAsia="宋体" w:cs="Calibri"/>
          <w:color w:val="auto"/>
          <w:sz w:val="24"/>
          <w:highlight w:val="none"/>
        </w:rPr>
        <w:t>性     别：</w:t>
      </w:r>
      <w:r>
        <w:rPr>
          <w:rFonts w:hint="eastAsia" w:ascii="宋体" w:hAnsi="宋体" w:eastAsia="宋体" w:cs="Calibri"/>
          <w:color w:val="auto"/>
          <w:sz w:val="24"/>
          <w:highlight w:val="none"/>
          <w:u w:val="single"/>
        </w:rPr>
        <w:t xml:space="preserve">                </w:t>
      </w:r>
    </w:p>
    <w:p w14:paraId="198F736E">
      <w:pPr>
        <w:spacing w:line="360" w:lineRule="auto"/>
        <w:ind w:left="540"/>
        <w:contextualSpacing/>
        <w:rPr>
          <w:rFonts w:ascii="宋体" w:hAnsi="宋体" w:eastAsia="宋体" w:cs="Calibri"/>
          <w:color w:val="auto"/>
          <w:sz w:val="24"/>
          <w:highlight w:val="none"/>
          <w:u w:val="single"/>
        </w:rPr>
      </w:pPr>
      <w:r>
        <w:rPr>
          <w:rFonts w:hint="eastAsia" w:ascii="宋体" w:hAnsi="宋体" w:eastAsia="宋体" w:cs="Calibri"/>
          <w:color w:val="auto"/>
          <w:sz w:val="24"/>
          <w:highlight w:val="none"/>
        </w:rPr>
        <w:t>年    龄：</w:t>
      </w:r>
      <w:r>
        <w:rPr>
          <w:rFonts w:hint="eastAsia" w:ascii="宋体" w:hAnsi="宋体" w:eastAsia="宋体" w:cs="Calibri"/>
          <w:color w:val="auto"/>
          <w:sz w:val="24"/>
          <w:highlight w:val="none"/>
          <w:u w:val="single"/>
        </w:rPr>
        <w:t xml:space="preserve">                </w:t>
      </w:r>
      <w:r>
        <w:rPr>
          <w:rFonts w:hint="eastAsia" w:ascii="宋体" w:hAnsi="宋体" w:eastAsia="宋体" w:cs="Calibri"/>
          <w:color w:val="auto"/>
          <w:sz w:val="24"/>
          <w:highlight w:val="none"/>
        </w:rPr>
        <w:t>职     务：</w:t>
      </w:r>
      <w:r>
        <w:rPr>
          <w:rFonts w:hint="eastAsia" w:ascii="宋体" w:hAnsi="宋体" w:eastAsia="宋体" w:cs="Calibri"/>
          <w:color w:val="auto"/>
          <w:sz w:val="24"/>
          <w:highlight w:val="none"/>
          <w:u w:val="single"/>
        </w:rPr>
        <w:t xml:space="preserve">                </w:t>
      </w:r>
    </w:p>
    <w:p w14:paraId="2F4C07D2">
      <w:pPr>
        <w:spacing w:line="360" w:lineRule="auto"/>
        <w:ind w:left="54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身份证号码：</w:t>
      </w:r>
      <w:r>
        <w:rPr>
          <w:rFonts w:hint="eastAsia" w:ascii="宋体" w:hAnsi="宋体" w:eastAsia="宋体" w:cs="Calibri"/>
          <w:color w:val="auto"/>
          <w:sz w:val="24"/>
          <w:highlight w:val="none"/>
          <w:u w:val="single"/>
        </w:rPr>
        <w:t xml:space="preserve">                                        </w:t>
      </w:r>
    </w:p>
    <w:p w14:paraId="12D4DA5C">
      <w:pPr>
        <w:spacing w:line="360" w:lineRule="auto"/>
        <w:ind w:firstLine="480" w:firstLineChars="2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系</w:t>
      </w:r>
      <w:r>
        <w:rPr>
          <w:rFonts w:hint="eastAsia" w:ascii="宋体" w:hAnsi="宋体" w:eastAsia="宋体" w:cs="Calibri"/>
          <w:color w:val="auto"/>
          <w:sz w:val="24"/>
          <w:highlight w:val="none"/>
          <w:u w:val="single"/>
        </w:rPr>
        <w:t>（供应商名称）</w:t>
      </w:r>
      <w:r>
        <w:rPr>
          <w:rFonts w:hint="eastAsia" w:ascii="宋体" w:hAnsi="宋体" w:eastAsia="宋体" w:cs="Calibri"/>
          <w:color w:val="auto"/>
          <w:sz w:val="24"/>
          <w:highlight w:val="none"/>
        </w:rPr>
        <w:t>的法定代表人。</w:t>
      </w:r>
    </w:p>
    <w:p w14:paraId="0AC9B173">
      <w:pPr>
        <w:spacing w:line="360" w:lineRule="auto"/>
        <w:ind w:left="54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特此证明。</w:t>
      </w:r>
    </w:p>
    <w:p w14:paraId="76A93AD4">
      <w:pPr>
        <w:spacing w:line="360" w:lineRule="auto"/>
        <w:ind w:left="540"/>
        <w:contextualSpacing/>
        <w:rPr>
          <w:rFonts w:ascii="宋体" w:hAnsi="宋体" w:eastAsia="宋体" w:cs="Calibri"/>
          <w:color w:val="auto"/>
          <w:sz w:val="24"/>
          <w:highlight w:val="none"/>
        </w:rPr>
      </w:pPr>
    </w:p>
    <w:p w14:paraId="5542BDBE">
      <w:pPr>
        <w:spacing w:line="360" w:lineRule="auto"/>
        <w:ind w:left="540"/>
        <w:contextualSpacing/>
        <w:rPr>
          <w:rFonts w:ascii="宋体" w:hAnsi="宋体" w:eastAsia="宋体" w:cs="Calibri"/>
          <w:color w:val="auto"/>
          <w:sz w:val="24"/>
          <w:highlight w:val="none"/>
        </w:rPr>
      </w:pPr>
    </w:p>
    <w:p w14:paraId="7C75FD0F">
      <w:pPr>
        <w:spacing w:line="360" w:lineRule="auto"/>
        <w:ind w:left="540"/>
        <w:contextualSpacing/>
        <w:rPr>
          <w:rFonts w:ascii="宋体" w:hAnsi="宋体" w:eastAsia="宋体" w:cs="Calibri"/>
          <w:color w:val="auto"/>
          <w:sz w:val="24"/>
          <w:highlight w:val="none"/>
        </w:rPr>
      </w:pPr>
    </w:p>
    <w:p w14:paraId="557A1CE3">
      <w:pPr>
        <w:spacing w:line="360" w:lineRule="auto"/>
        <w:ind w:left="54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附件：法定代表人有效身份证正反面复印件</w:t>
      </w:r>
    </w:p>
    <w:p w14:paraId="48B314CB">
      <w:pPr>
        <w:spacing w:line="360" w:lineRule="auto"/>
        <w:ind w:left="540"/>
        <w:contextualSpacing/>
        <w:rPr>
          <w:rFonts w:ascii="宋体" w:hAnsi="宋体" w:eastAsia="宋体" w:cs="Calibri"/>
          <w:color w:val="auto"/>
          <w:sz w:val="24"/>
          <w:highlight w:val="none"/>
        </w:rPr>
      </w:pPr>
    </w:p>
    <w:p w14:paraId="193191E8">
      <w:pPr>
        <w:spacing w:line="360" w:lineRule="auto"/>
        <w:ind w:left="540"/>
        <w:contextualSpacing/>
        <w:jc w:val="right"/>
        <w:rPr>
          <w:rFonts w:ascii="宋体" w:hAnsi="宋体" w:eastAsia="宋体" w:cs="Calibri"/>
          <w:color w:val="auto"/>
          <w:sz w:val="24"/>
          <w:highlight w:val="none"/>
        </w:rPr>
      </w:pPr>
      <w:r>
        <w:rPr>
          <w:rFonts w:hint="eastAsia" w:ascii="宋体" w:hAnsi="宋体" w:eastAsia="宋体" w:cs="Calibri"/>
          <w:color w:val="auto"/>
          <w:sz w:val="24"/>
          <w:highlight w:val="none"/>
        </w:rPr>
        <w:t>供应商（电子签章）：</w:t>
      </w:r>
      <w:r>
        <w:rPr>
          <w:rFonts w:hint="eastAsia" w:ascii="宋体" w:hAnsi="宋体" w:eastAsia="宋体" w:cs="Calibri"/>
          <w:color w:val="auto"/>
          <w:sz w:val="24"/>
          <w:highlight w:val="none"/>
          <w:u w:val="single"/>
        </w:rPr>
        <w:t xml:space="preserve">               </w:t>
      </w:r>
    </w:p>
    <w:p w14:paraId="1DB722D0">
      <w:pPr>
        <w:spacing w:line="360" w:lineRule="auto"/>
        <w:ind w:firstLine="4080" w:firstLineChars="1700"/>
        <w:contextualSpacing/>
        <w:rPr>
          <w:rFonts w:ascii="宋体" w:hAnsi="宋体" w:eastAsia="宋体" w:cs="Calibri"/>
          <w:color w:val="auto"/>
          <w:sz w:val="24"/>
          <w:highlight w:val="none"/>
        </w:rPr>
      </w:pPr>
      <w:r>
        <w:rPr>
          <w:rFonts w:hint="eastAsia" w:ascii="宋体" w:hAnsi="宋体" w:eastAsia="宋体" w:cs="Calibri"/>
          <w:color w:val="auto"/>
          <w:sz w:val="24"/>
          <w:highlight w:val="none"/>
          <w:u w:val="single"/>
        </w:rPr>
        <w:t xml:space="preserve">     </w:t>
      </w:r>
      <w:r>
        <w:rPr>
          <w:rFonts w:hint="eastAsia" w:ascii="宋体" w:hAnsi="宋体" w:eastAsia="宋体" w:cs="Calibri"/>
          <w:color w:val="auto"/>
          <w:sz w:val="24"/>
          <w:highlight w:val="none"/>
        </w:rPr>
        <w:t>年</w:t>
      </w:r>
      <w:r>
        <w:rPr>
          <w:rFonts w:hint="eastAsia" w:ascii="宋体" w:hAnsi="宋体" w:eastAsia="宋体" w:cs="Calibri"/>
          <w:color w:val="auto"/>
          <w:sz w:val="24"/>
          <w:highlight w:val="none"/>
          <w:u w:val="single"/>
        </w:rPr>
        <w:t xml:space="preserve">     </w:t>
      </w:r>
      <w:r>
        <w:rPr>
          <w:rFonts w:hint="eastAsia" w:ascii="宋体" w:hAnsi="宋体" w:eastAsia="宋体" w:cs="Calibri"/>
          <w:color w:val="auto"/>
          <w:sz w:val="24"/>
          <w:highlight w:val="none"/>
        </w:rPr>
        <w:t>月</w:t>
      </w:r>
      <w:r>
        <w:rPr>
          <w:rFonts w:hint="eastAsia" w:ascii="宋体" w:hAnsi="宋体" w:eastAsia="宋体" w:cs="Calibri"/>
          <w:color w:val="auto"/>
          <w:sz w:val="24"/>
          <w:highlight w:val="none"/>
          <w:u w:val="single"/>
        </w:rPr>
        <w:t xml:space="preserve">     </w:t>
      </w:r>
      <w:r>
        <w:rPr>
          <w:rFonts w:hint="eastAsia" w:ascii="宋体" w:hAnsi="宋体" w:eastAsia="宋体" w:cs="Calibri"/>
          <w:color w:val="auto"/>
          <w:sz w:val="24"/>
          <w:highlight w:val="none"/>
        </w:rPr>
        <w:t>日</w:t>
      </w:r>
    </w:p>
    <w:p w14:paraId="15BF3B84">
      <w:pPr>
        <w:spacing w:line="360" w:lineRule="auto"/>
        <w:contextualSpacing/>
        <w:jc w:val="center"/>
        <w:rPr>
          <w:rFonts w:ascii="宋体" w:hAnsi="宋体" w:eastAsia="宋体" w:cs="Calibri"/>
          <w:b/>
          <w:color w:val="auto"/>
          <w:sz w:val="24"/>
          <w:highlight w:val="none"/>
        </w:rPr>
      </w:pPr>
    </w:p>
    <w:p w14:paraId="645AE209">
      <w:pPr>
        <w:spacing w:line="360" w:lineRule="auto"/>
        <w:contextualSpacing/>
        <w:jc w:val="left"/>
        <w:rPr>
          <w:rFonts w:ascii="宋体" w:hAnsi="宋体" w:eastAsia="宋体" w:cs="Calibri"/>
          <w:color w:val="auto"/>
          <w:sz w:val="24"/>
          <w:highlight w:val="none"/>
        </w:rPr>
      </w:pPr>
    </w:p>
    <w:p w14:paraId="0D9E5E1F">
      <w:pPr>
        <w:spacing w:line="360" w:lineRule="auto"/>
        <w:contextualSpacing/>
        <w:jc w:val="left"/>
        <w:rPr>
          <w:rFonts w:ascii="宋体" w:hAnsi="宋体" w:eastAsia="宋体" w:cs="Calibri"/>
          <w:color w:val="auto"/>
          <w:sz w:val="24"/>
          <w:highlight w:val="none"/>
        </w:rPr>
      </w:pPr>
      <w:r>
        <w:rPr>
          <w:rFonts w:hint="eastAsia" w:ascii="宋体" w:hAnsi="宋体" w:eastAsia="宋体" w:cs="Calibri"/>
          <w:color w:val="auto"/>
          <w:sz w:val="24"/>
          <w:highlight w:val="none"/>
        </w:rPr>
        <w:t>注：自然人竞标的无需提供，联合体竞标的只需牵头人出具。</w:t>
      </w:r>
    </w:p>
    <w:p w14:paraId="0F8D7F7D">
      <w:pPr>
        <w:adjustRightInd w:val="0"/>
        <w:snapToGrid w:val="0"/>
        <w:spacing w:line="300" w:lineRule="auto"/>
        <w:jc w:val="left"/>
        <w:rPr>
          <w:rFonts w:ascii="宋体" w:hAnsi="宋体" w:eastAsia="宋体"/>
          <w:b/>
          <w:color w:val="auto"/>
          <w:szCs w:val="21"/>
          <w:highlight w:val="none"/>
        </w:rPr>
      </w:pPr>
    </w:p>
    <w:p w14:paraId="4260A90A">
      <w:pPr>
        <w:spacing w:line="500" w:lineRule="exact"/>
        <w:jc w:val="center"/>
        <w:rPr>
          <w:rFonts w:ascii="宋体" w:hAnsi="宋体" w:eastAsia="宋体" w:cs="Tahoma"/>
          <w:color w:val="auto"/>
          <w:sz w:val="44"/>
          <w:szCs w:val="44"/>
          <w:highlight w:val="none"/>
        </w:rPr>
      </w:pPr>
      <w:r>
        <w:rPr>
          <w:rFonts w:hint="eastAsia" w:ascii="宋体" w:hAnsi="宋体" w:eastAsia="宋体" w:cs="Tahoma"/>
          <w:color w:val="auto"/>
          <w:sz w:val="44"/>
          <w:szCs w:val="44"/>
          <w:highlight w:val="none"/>
        </w:rPr>
        <w:br w:type="page"/>
      </w:r>
    </w:p>
    <w:p w14:paraId="1141BB2E">
      <w:pPr>
        <w:spacing w:line="520" w:lineRule="exact"/>
        <w:jc w:val="center"/>
        <w:rPr>
          <w:rFonts w:ascii="宋体" w:hAnsi="宋体" w:eastAsia="宋体" w:cs="Tahoma"/>
          <w:color w:val="auto"/>
          <w:sz w:val="44"/>
          <w:szCs w:val="44"/>
          <w:highlight w:val="none"/>
        </w:rPr>
      </w:pPr>
      <w:bookmarkStart w:id="52" w:name="_Hlk65853643"/>
      <w:r>
        <w:rPr>
          <w:rFonts w:hint="eastAsia" w:ascii="宋体" w:hAnsi="宋体" w:eastAsia="宋体" w:cs="Tahoma"/>
          <w:color w:val="auto"/>
          <w:sz w:val="44"/>
          <w:szCs w:val="44"/>
          <w:highlight w:val="none"/>
        </w:rPr>
        <w:t>授权委托书</w:t>
      </w:r>
    </w:p>
    <w:p w14:paraId="713F3BB0">
      <w:pPr>
        <w:spacing w:line="520" w:lineRule="exact"/>
        <w:jc w:val="center"/>
        <w:rPr>
          <w:rFonts w:ascii="宋体" w:hAnsi="宋体" w:eastAsia="宋体" w:cs="Tahoma"/>
          <w:color w:val="auto"/>
          <w:sz w:val="44"/>
          <w:szCs w:val="44"/>
          <w:highlight w:val="none"/>
        </w:rPr>
      </w:pPr>
      <w:r>
        <w:rPr>
          <w:rFonts w:hint="eastAsia" w:ascii="宋体" w:hAnsi="宋体" w:eastAsia="宋体" w:cs="Tahoma"/>
          <w:color w:val="auto"/>
          <w:sz w:val="32"/>
          <w:szCs w:val="32"/>
          <w:highlight w:val="none"/>
        </w:rPr>
        <w:t>（如有委托时）</w:t>
      </w:r>
    </w:p>
    <w:p w14:paraId="21E1B30B">
      <w:pPr>
        <w:spacing w:line="520" w:lineRule="exact"/>
        <w:rPr>
          <w:rFonts w:ascii="宋体" w:hAnsi="宋体" w:eastAsia="宋体" w:cs="Calibri"/>
          <w:color w:val="auto"/>
          <w:sz w:val="32"/>
          <w:szCs w:val="32"/>
          <w:highlight w:val="none"/>
        </w:rPr>
      </w:pPr>
    </w:p>
    <w:p w14:paraId="6A9E7A3F">
      <w:pPr>
        <w:spacing w:line="360" w:lineRule="auto"/>
        <w:rPr>
          <w:rFonts w:ascii="宋体" w:hAnsi="宋体" w:eastAsia="宋体" w:cs="Calibri"/>
          <w:color w:val="auto"/>
          <w:sz w:val="24"/>
          <w:highlight w:val="none"/>
        </w:rPr>
      </w:pPr>
      <w:r>
        <w:rPr>
          <w:rFonts w:hint="eastAsia" w:ascii="宋体" w:hAnsi="宋体" w:eastAsia="宋体" w:cs="Calibri"/>
          <w:color w:val="auto"/>
          <w:sz w:val="24"/>
          <w:highlight w:val="none"/>
        </w:rPr>
        <w:t>致：</w:t>
      </w:r>
      <w:r>
        <w:rPr>
          <w:rFonts w:hint="eastAsia" w:ascii="宋体" w:hAnsi="宋体" w:eastAsia="宋体" w:cs="Calibri"/>
          <w:color w:val="auto"/>
          <w:sz w:val="24"/>
          <w:highlight w:val="none"/>
          <w:u w:val="single"/>
        </w:rPr>
        <w:t>（采购人名称）</w:t>
      </w:r>
      <w:r>
        <w:rPr>
          <w:rFonts w:hint="eastAsia" w:ascii="宋体" w:hAnsi="宋体" w:eastAsia="宋体" w:cs="Calibri"/>
          <w:color w:val="auto"/>
          <w:sz w:val="24"/>
          <w:highlight w:val="none"/>
        </w:rPr>
        <w:t>：</w:t>
      </w:r>
    </w:p>
    <w:p w14:paraId="5CC4A724">
      <w:pPr>
        <w:spacing w:line="360" w:lineRule="auto"/>
        <w:ind w:firstLine="480" w:firstLineChars="200"/>
        <w:rPr>
          <w:rFonts w:ascii="宋体" w:hAnsi="宋体" w:eastAsia="宋体" w:cs="Calibri"/>
          <w:color w:val="auto"/>
          <w:sz w:val="24"/>
          <w:highlight w:val="none"/>
        </w:rPr>
      </w:pPr>
      <w:r>
        <w:rPr>
          <w:rFonts w:hint="eastAsia" w:ascii="宋体" w:hAnsi="宋体" w:eastAsia="宋体" w:cs="Calibri"/>
          <w:color w:val="auto"/>
          <w:sz w:val="24"/>
          <w:highlight w:val="none"/>
        </w:rPr>
        <w:t>我</w:t>
      </w:r>
      <w:r>
        <w:rPr>
          <w:rFonts w:hint="eastAsia" w:ascii="宋体" w:hAnsi="宋体" w:eastAsia="宋体" w:cs="Calibri"/>
          <w:color w:val="auto"/>
          <w:sz w:val="24"/>
          <w:highlight w:val="none"/>
          <w:u w:val="single"/>
        </w:rPr>
        <w:t xml:space="preserve">  （姓名）  </w:t>
      </w:r>
      <w:r>
        <w:rPr>
          <w:rFonts w:hint="eastAsia" w:ascii="宋体" w:hAnsi="宋体" w:eastAsia="宋体" w:cs="Calibri"/>
          <w:color w:val="auto"/>
          <w:sz w:val="24"/>
          <w:highlight w:val="none"/>
        </w:rPr>
        <w:t>系</w:t>
      </w:r>
      <w:r>
        <w:rPr>
          <w:rFonts w:hint="eastAsia" w:ascii="宋体" w:hAnsi="宋体" w:eastAsia="宋体" w:cs="Calibri"/>
          <w:color w:val="auto"/>
          <w:sz w:val="24"/>
          <w:highlight w:val="none"/>
          <w:u w:val="single"/>
        </w:rPr>
        <w:t xml:space="preserve">  （供应商名称）  </w:t>
      </w:r>
      <w:r>
        <w:rPr>
          <w:rFonts w:hint="eastAsia" w:ascii="宋体" w:hAnsi="宋体" w:eastAsia="宋体" w:cs="Calibri"/>
          <w:color w:val="auto"/>
          <w:sz w:val="24"/>
          <w:highlight w:val="none"/>
        </w:rPr>
        <w:t>的（</w:t>
      </w:r>
      <w:r>
        <w:rPr>
          <w:rFonts w:hint="eastAsia" w:ascii="宋体" w:hAnsi="宋体" w:eastAsia="宋体" w:cs="Calibri"/>
          <w:color w:val="auto"/>
          <w:sz w:val="24"/>
          <w:highlight w:val="none"/>
          <w:u w:val="single"/>
          <w:lang w:eastAsia="zh-CN"/>
        </w:rPr>
        <w:t>□</w:t>
      </w:r>
      <w:r>
        <w:rPr>
          <w:rFonts w:hint="eastAsia" w:ascii="宋体" w:hAnsi="宋体" w:eastAsia="宋体" w:cs="Calibri"/>
          <w:color w:val="auto"/>
          <w:sz w:val="24"/>
          <w:highlight w:val="none"/>
          <w:u w:val="single"/>
        </w:rPr>
        <w:t>法定代表人/□负责人/□自然人本人</w:t>
      </w:r>
      <w:r>
        <w:rPr>
          <w:rFonts w:hint="eastAsia" w:ascii="宋体" w:hAnsi="宋体" w:eastAsia="宋体" w:cs="Calibri"/>
          <w:color w:val="auto"/>
          <w:sz w:val="24"/>
          <w:highlight w:val="none"/>
        </w:rPr>
        <w:t>），现授权</w:t>
      </w:r>
      <w:r>
        <w:rPr>
          <w:rFonts w:hint="eastAsia" w:ascii="宋体" w:hAnsi="宋体" w:eastAsia="宋体" w:cs="Calibri"/>
          <w:color w:val="auto"/>
          <w:sz w:val="24"/>
          <w:highlight w:val="none"/>
          <w:u w:val="single"/>
        </w:rPr>
        <w:t xml:space="preserve"> （姓名） </w:t>
      </w:r>
      <w:r>
        <w:rPr>
          <w:rFonts w:hint="eastAsia" w:ascii="宋体" w:hAnsi="宋体" w:eastAsia="宋体" w:cs="Calibri"/>
          <w:color w:val="auto"/>
          <w:sz w:val="24"/>
          <w:highlight w:val="none"/>
        </w:rPr>
        <w:t>以我方的名义参加</w:t>
      </w:r>
      <w:r>
        <w:rPr>
          <w:rFonts w:hint="eastAsia" w:ascii="宋体" w:hAnsi="宋体" w:eastAsia="宋体" w:cs="Calibri"/>
          <w:color w:val="auto"/>
          <w:sz w:val="24"/>
          <w:highlight w:val="none"/>
          <w:u w:val="single"/>
        </w:rPr>
        <w:t xml:space="preserve">              </w:t>
      </w:r>
      <w:r>
        <w:rPr>
          <w:rFonts w:hint="eastAsia" w:ascii="宋体" w:hAnsi="宋体" w:eastAsia="宋体" w:cs="Calibri"/>
          <w:color w:val="auto"/>
          <w:sz w:val="24"/>
          <w:highlight w:val="none"/>
        </w:rPr>
        <w:t>项目的竞标活动，并代表我方全权办理针对上述项目的所有采购程序和环节的具体事务和签署相关文件。</w:t>
      </w:r>
    </w:p>
    <w:p w14:paraId="7F4CEB43">
      <w:pPr>
        <w:spacing w:line="360" w:lineRule="auto"/>
        <w:rPr>
          <w:rFonts w:ascii="宋体" w:hAnsi="宋体" w:eastAsia="宋体" w:cs="Calibri"/>
          <w:color w:val="auto"/>
          <w:sz w:val="24"/>
          <w:highlight w:val="none"/>
        </w:rPr>
      </w:pPr>
      <w:r>
        <w:rPr>
          <w:rFonts w:hint="eastAsia" w:ascii="宋体" w:hAnsi="宋体" w:eastAsia="宋体" w:cs="Calibri"/>
          <w:color w:val="auto"/>
          <w:sz w:val="24"/>
          <w:highlight w:val="none"/>
        </w:rPr>
        <w:t xml:space="preserve">    我方对委托代理人的签字</w:t>
      </w:r>
      <w:r>
        <w:rPr>
          <w:rFonts w:hint="eastAsia" w:ascii="宋体" w:hAnsi="宋体" w:eastAsia="宋体"/>
          <w:color w:val="auto"/>
          <w:sz w:val="24"/>
          <w:highlight w:val="none"/>
        </w:rPr>
        <w:t>或者电子签名</w:t>
      </w:r>
      <w:r>
        <w:rPr>
          <w:rFonts w:hint="eastAsia" w:ascii="宋体" w:hAnsi="宋体" w:eastAsia="宋体" w:cs="Calibri"/>
          <w:color w:val="auto"/>
          <w:sz w:val="24"/>
          <w:highlight w:val="none"/>
        </w:rPr>
        <w:t>事项负全部责任。</w:t>
      </w:r>
    </w:p>
    <w:p w14:paraId="44EA6BB7">
      <w:pPr>
        <w:spacing w:line="360" w:lineRule="auto"/>
        <w:ind w:firstLine="480" w:firstLineChars="200"/>
        <w:rPr>
          <w:rFonts w:ascii="宋体" w:hAnsi="宋体" w:eastAsia="宋体" w:cs="Calibri"/>
          <w:color w:val="auto"/>
          <w:sz w:val="24"/>
          <w:highlight w:val="none"/>
        </w:rPr>
      </w:pPr>
      <w:r>
        <w:rPr>
          <w:rFonts w:hint="eastAsia" w:ascii="宋体" w:hAnsi="宋体" w:eastAsia="宋体" w:cs="Calibri"/>
          <w:color w:val="auto"/>
          <w:sz w:val="24"/>
          <w:highlight w:val="none"/>
        </w:rPr>
        <w:t>本授权书自签署之日起生效，在撤销授权的书面通知以前，本授权书一直有效。委托代理人在授权书有效期内签署的所有文件不因授权的撤销而失效。</w:t>
      </w:r>
    </w:p>
    <w:p w14:paraId="7033276A">
      <w:pPr>
        <w:spacing w:line="360" w:lineRule="auto"/>
        <w:ind w:firstLine="480" w:firstLineChars="200"/>
        <w:rPr>
          <w:rFonts w:ascii="宋体" w:hAnsi="宋体" w:eastAsia="宋体" w:cs="Calibri"/>
          <w:color w:val="auto"/>
          <w:sz w:val="24"/>
          <w:highlight w:val="none"/>
        </w:rPr>
      </w:pPr>
      <w:r>
        <w:rPr>
          <w:rFonts w:hint="eastAsia" w:ascii="宋体" w:hAnsi="宋体" w:eastAsia="宋体" w:cs="Calibri"/>
          <w:color w:val="auto"/>
          <w:sz w:val="24"/>
          <w:highlight w:val="none"/>
        </w:rPr>
        <w:t>委托代理人无转委托权，特此委托。</w:t>
      </w:r>
    </w:p>
    <w:p w14:paraId="757C08D6">
      <w:pPr>
        <w:spacing w:line="360" w:lineRule="auto"/>
        <w:ind w:firstLine="480" w:firstLineChars="200"/>
        <w:rPr>
          <w:rFonts w:ascii="宋体" w:hAnsi="宋体" w:eastAsia="宋体" w:cs="Calibri"/>
          <w:color w:val="auto"/>
          <w:sz w:val="24"/>
          <w:highlight w:val="none"/>
        </w:rPr>
      </w:pPr>
      <w:r>
        <w:rPr>
          <w:rFonts w:hint="eastAsia" w:ascii="宋体" w:hAnsi="宋体" w:eastAsia="宋体" w:cs="Calibri"/>
          <w:color w:val="auto"/>
          <w:sz w:val="24"/>
          <w:highlight w:val="none"/>
        </w:rPr>
        <w:t>附：法定代表人身份证明书及委托代理人有效身份证正反面复印件</w:t>
      </w:r>
    </w:p>
    <w:p w14:paraId="326BF959">
      <w:pPr>
        <w:spacing w:line="360" w:lineRule="auto"/>
        <w:rPr>
          <w:rFonts w:ascii="宋体" w:hAnsi="宋体" w:eastAsia="宋体" w:cs="Calibri"/>
          <w:color w:val="auto"/>
          <w:sz w:val="24"/>
          <w:highlight w:val="none"/>
        </w:rPr>
      </w:pPr>
    </w:p>
    <w:p w14:paraId="73498BB1">
      <w:pPr>
        <w:spacing w:line="360" w:lineRule="auto"/>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委托代理人（</w:t>
      </w:r>
      <w:r>
        <w:rPr>
          <w:rFonts w:hint="eastAsia" w:ascii="宋体" w:hAnsi="宋体" w:eastAsia="宋体"/>
          <w:color w:val="auto"/>
          <w:sz w:val="24"/>
          <w:highlight w:val="none"/>
        </w:rPr>
        <w:t>签字或者电子签名</w:t>
      </w:r>
      <w:r>
        <w:rPr>
          <w:rFonts w:hint="eastAsia" w:ascii="宋体" w:hAnsi="宋体" w:eastAsia="宋体" w:cs="Calibri"/>
          <w:color w:val="auto"/>
          <w:sz w:val="24"/>
          <w:highlight w:val="none"/>
        </w:rPr>
        <w:t xml:space="preserve">）：     法定代表人（签字或者盖章或者电子签名）：                    </w:t>
      </w:r>
    </w:p>
    <w:p w14:paraId="678106A0">
      <w:pPr>
        <w:spacing w:line="360" w:lineRule="auto"/>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 xml:space="preserve">委托代理人身份证号码：                              </w:t>
      </w:r>
    </w:p>
    <w:p w14:paraId="5BE815BE">
      <w:pPr>
        <w:spacing w:line="360" w:lineRule="auto"/>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 xml:space="preserve">                                </w:t>
      </w:r>
    </w:p>
    <w:p w14:paraId="71971042">
      <w:pPr>
        <w:spacing w:line="360" w:lineRule="auto"/>
        <w:rPr>
          <w:rFonts w:ascii="宋体" w:hAnsi="宋体" w:eastAsia="宋体" w:cs="Calibri"/>
          <w:color w:val="auto"/>
          <w:sz w:val="24"/>
          <w:highlight w:val="none"/>
        </w:rPr>
      </w:pPr>
      <w:r>
        <w:rPr>
          <w:rFonts w:hint="eastAsia" w:ascii="宋体" w:hAnsi="宋体" w:eastAsia="宋体" w:cs="Calibri"/>
          <w:color w:val="auto"/>
          <w:sz w:val="24"/>
          <w:highlight w:val="none"/>
        </w:rPr>
        <w:t xml:space="preserve">                         供应商（电子签章）：                      </w:t>
      </w:r>
    </w:p>
    <w:p w14:paraId="4B57A5F1">
      <w:pPr>
        <w:spacing w:line="360" w:lineRule="auto"/>
        <w:rPr>
          <w:rFonts w:ascii="宋体" w:hAnsi="宋体" w:eastAsia="宋体" w:cs="Calibri"/>
          <w:color w:val="auto"/>
          <w:sz w:val="24"/>
          <w:highlight w:val="none"/>
        </w:rPr>
      </w:pPr>
      <w:r>
        <w:rPr>
          <w:rFonts w:hint="eastAsia" w:ascii="宋体" w:hAnsi="宋体" w:eastAsia="宋体" w:cs="Calibri"/>
          <w:color w:val="auto"/>
          <w:sz w:val="24"/>
          <w:highlight w:val="none"/>
        </w:rPr>
        <w:t xml:space="preserve">                                         年    月    日</w:t>
      </w:r>
    </w:p>
    <w:p w14:paraId="7C85F307">
      <w:pPr>
        <w:spacing w:line="360" w:lineRule="auto"/>
        <w:rPr>
          <w:rFonts w:ascii="宋体" w:hAnsi="宋体" w:eastAsia="宋体" w:cs="Calibri"/>
          <w:color w:val="auto"/>
          <w:sz w:val="24"/>
          <w:highlight w:val="none"/>
        </w:rPr>
      </w:pPr>
      <w:r>
        <w:rPr>
          <w:rFonts w:hint="eastAsia" w:ascii="宋体" w:hAnsi="宋体" w:eastAsia="宋体" w:cs="Calibri"/>
          <w:color w:val="auto"/>
          <w:sz w:val="24"/>
          <w:highlight w:val="none"/>
        </w:rPr>
        <w:t>注：1. 法定代表人必须在授权委托书上签字或者盖章</w:t>
      </w:r>
      <w:r>
        <w:rPr>
          <w:rFonts w:hint="eastAsia" w:ascii="宋体" w:hAnsi="宋体" w:eastAsia="宋体"/>
          <w:color w:val="auto"/>
          <w:sz w:val="24"/>
          <w:highlight w:val="none"/>
        </w:rPr>
        <w:t>或者电子签名</w:t>
      </w:r>
      <w:r>
        <w:rPr>
          <w:rFonts w:hint="eastAsia" w:ascii="宋体" w:hAnsi="宋体" w:eastAsia="宋体" w:cs="Calibri"/>
          <w:color w:val="auto"/>
          <w:sz w:val="24"/>
          <w:highlight w:val="none"/>
        </w:rPr>
        <w:t>，委托代理人必须在授权委托书上签字或者电子签名，</w:t>
      </w:r>
      <w:r>
        <w:rPr>
          <w:rFonts w:hint="eastAsia" w:ascii="宋体" w:hAnsi="宋体" w:eastAsia="宋体" w:cs="Calibri"/>
          <w:b/>
          <w:color w:val="auto"/>
          <w:sz w:val="24"/>
          <w:highlight w:val="none"/>
        </w:rPr>
        <w:t>否则其响应文件按无效响应处理。</w:t>
      </w:r>
    </w:p>
    <w:p w14:paraId="39C943A3">
      <w:pPr>
        <w:spacing w:line="360" w:lineRule="auto"/>
        <w:ind w:firstLine="480" w:firstLineChars="200"/>
        <w:jc w:val="left"/>
        <w:rPr>
          <w:rFonts w:ascii="宋体" w:hAnsi="宋体" w:eastAsia="宋体" w:cs="Calibri"/>
          <w:color w:val="auto"/>
          <w:sz w:val="24"/>
          <w:highlight w:val="none"/>
        </w:rPr>
      </w:pPr>
      <w:r>
        <w:rPr>
          <w:rFonts w:ascii="宋体" w:hAnsi="宋体" w:eastAsia="宋体" w:cs="Calibri"/>
          <w:color w:val="auto"/>
          <w:sz w:val="24"/>
          <w:highlight w:val="none"/>
        </w:rPr>
        <w:t>2.</w:t>
      </w:r>
      <w:bookmarkStart w:id="53" w:name="_Hlk65853109"/>
      <w:bookmarkStart w:id="54" w:name="_Hlk65853542"/>
      <w:r>
        <w:rPr>
          <w:rFonts w:hint="eastAsia" w:ascii="宋体" w:hAnsi="宋体" w:eastAsia="宋体" w:cs="Calibri"/>
          <w:color w:val="auto"/>
          <w:sz w:val="24"/>
          <w:highlight w:val="none"/>
        </w:rPr>
        <w:t>法人、其他组织竞标时“我方”是指“我单位”，自然人竞标时“我方”是指“本人”。</w:t>
      </w:r>
      <w:bookmarkEnd w:id="53"/>
    </w:p>
    <w:bookmarkEnd w:id="54"/>
    <w:p w14:paraId="793493DC">
      <w:pPr>
        <w:spacing w:line="360" w:lineRule="auto"/>
        <w:ind w:firstLine="420" w:firstLineChars="200"/>
        <w:jc w:val="left"/>
        <w:rPr>
          <w:rFonts w:ascii="宋体" w:hAnsi="宋体" w:eastAsia="宋体" w:cs="Calibri"/>
          <w:color w:val="auto"/>
          <w:szCs w:val="21"/>
          <w:highlight w:val="none"/>
        </w:rPr>
      </w:pPr>
    </w:p>
    <w:bookmarkEnd w:id="52"/>
    <w:p w14:paraId="111A7C16">
      <w:pPr>
        <w:spacing w:line="500" w:lineRule="exact"/>
        <w:jc w:val="center"/>
        <w:rPr>
          <w:rFonts w:hint="eastAsia" w:ascii="宋体" w:hAnsi="宋体" w:eastAsia="宋体" w:cs="Tahoma"/>
          <w:bCs/>
          <w:color w:val="auto"/>
          <w:sz w:val="44"/>
          <w:szCs w:val="44"/>
          <w:highlight w:val="none"/>
        </w:rPr>
      </w:pPr>
    </w:p>
    <w:p w14:paraId="42F90F1E">
      <w:pPr>
        <w:spacing w:line="500" w:lineRule="exact"/>
        <w:jc w:val="center"/>
        <w:rPr>
          <w:rFonts w:ascii="宋体" w:hAnsi="宋体" w:eastAsia="宋体" w:cs="Tahoma"/>
          <w:bCs/>
          <w:color w:val="auto"/>
          <w:sz w:val="44"/>
          <w:szCs w:val="44"/>
          <w:highlight w:val="none"/>
        </w:rPr>
      </w:pPr>
      <w:r>
        <w:rPr>
          <w:rFonts w:hint="eastAsia" w:ascii="宋体" w:hAnsi="宋体" w:eastAsia="宋体" w:cs="Tahoma"/>
          <w:bCs/>
          <w:color w:val="auto"/>
          <w:sz w:val="44"/>
          <w:szCs w:val="44"/>
          <w:highlight w:val="none"/>
        </w:rPr>
        <w:t>商务要求偏离表格式</w:t>
      </w:r>
    </w:p>
    <w:p w14:paraId="67C5CF68">
      <w:pPr>
        <w:spacing w:line="360" w:lineRule="auto"/>
        <w:contextualSpacing/>
        <w:jc w:val="left"/>
        <w:rPr>
          <w:rFonts w:ascii="宋体" w:hAnsi="宋体" w:eastAsia="宋体"/>
          <w:color w:val="auto"/>
          <w:sz w:val="24"/>
          <w:highlight w:val="none"/>
        </w:rPr>
      </w:pPr>
    </w:p>
    <w:p w14:paraId="2AB2BCFF">
      <w:pPr>
        <w:pStyle w:val="28"/>
        <w:spacing w:line="360" w:lineRule="auto"/>
        <w:contextualSpacing/>
        <w:rPr>
          <w:rFonts w:ascii="宋体" w:hAnsi="宋体" w:eastAsia="宋体" w:cs="Calibri"/>
          <w:color w:val="auto"/>
          <w:sz w:val="24"/>
          <w:szCs w:val="24"/>
          <w:highlight w:val="none"/>
        </w:rPr>
      </w:pPr>
      <w:r>
        <w:rPr>
          <w:rFonts w:hint="eastAsia" w:ascii="宋体" w:hAnsi="宋体" w:eastAsia="宋体" w:cs="Calibri"/>
          <w:color w:val="auto"/>
          <w:sz w:val="24"/>
          <w:szCs w:val="24"/>
          <w:highlight w:val="none"/>
        </w:rPr>
        <w:t>所竞分标：</w:t>
      </w:r>
      <w:r>
        <w:rPr>
          <w:rFonts w:hint="eastAsia" w:ascii="宋体" w:hAnsi="宋体" w:eastAsia="宋体" w:cs="Calibri"/>
          <w:color w:val="auto"/>
          <w:sz w:val="24"/>
          <w:szCs w:val="24"/>
          <w:highlight w:val="none"/>
          <w:u w:val="single"/>
        </w:rPr>
        <w:t xml:space="preserve">              </w:t>
      </w:r>
    </w:p>
    <w:p w14:paraId="260951EA">
      <w:pPr>
        <w:spacing w:line="360" w:lineRule="auto"/>
        <w:contextualSpacing/>
        <w:jc w:val="left"/>
        <w:rPr>
          <w:rFonts w:ascii="宋体" w:hAnsi="宋体" w:eastAsia="宋体" w:cs="Calibri"/>
          <w:color w:val="auto"/>
          <w:sz w:val="24"/>
          <w:highlight w:val="none"/>
          <w:u w:val="single"/>
        </w:rPr>
      </w:pPr>
    </w:p>
    <w:tbl>
      <w:tblPr>
        <w:tblStyle w:val="49"/>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68895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4E98383A">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r>
              <w:rPr>
                <w:rFonts w:hint="eastAsia" w:ascii="宋体" w:hAnsi="宋体" w:eastAsia="宋体" w:cs="Calibri"/>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40B1E814">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r>
              <w:rPr>
                <w:rFonts w:hint="eastAsia" w:ascii="宋体" w:hAnsi="宋体" w:eastAsia="宋体" w:cs="Calibri"/>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04212D66">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r>
              <w:rPr>
                <w:rFonts w:hint="eastAsia" w:ascii="宋体" w:hAnsi="宋体" w:eastAsia="宋体" w:cs="Calibri"/>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07D74546">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r>
              <w:rPr>
                <w:rFonts w:hint="eastAsia" w:ascii="宋体" w:hAnsi="宋体" w:eastAsia="宋体" w:cs="Calibri"/>
                <w:color w:val="auto"/>
                <w:sz w:val="24"/>
                <w:highlight w:val="none"/>
              </w:rPr>
              <w:t>偏离说明</w:t>
            </w:r>
          </w:p>
        </w:tc>
      </w:tr>
      <w:tr w14:paraId="4EB06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76D45A61">
            <w:pPr>
              <w:keepNext w:val="0"/>
              <w:keepLines w:val="0"/>
              <w:suppressLineNumbers w:val="0"/>
              <w:spacing w:before="0" w:beforeAutospacing="0" w:afterAutospacing="0"/>
              <w:ind w:left="0" w:right="0"/>
              <w:jc w:val="center"/>
              <w:rPr>
                <w:rFonts w:hint="default" w:ascii="宋体" w:hAnsi="宋体" w:eastAsia="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4B9C2B41">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41344BBB">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0E4A2D16">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p>
        </w:tc>
      </w:tr>
      <w:tr w14:paraId="636A4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6101E573">
            <w:pPr>
              <w:keepNext w:val="0"/>
              <w:keepLines w:val="0"/>
              <w:suppressLineNumbers w:val="0"/>
              <w:spacing w:before="0" w:beforeAutospacing="0" w:afterAutospacing="0"/>
              <w:ind w:left="0" w:right="0"/>
              <w:jc w:val="center"/>
              <w:rPr>
                <w:rFonts w:hint="default" w:ascii="宋体" w:hAnsi="宋体" w:eastAsia="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20CC5C33">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5AF9C7D3">
            <w:pPr>
              <w:keepNext w:val="0"/>
              <w:keepLines w:val="0"/>
              <w:suppressLineNumbers w:val="0"/>
              <w:spacing w:before="0" w:beforeAutospacing="0" w:afterAutospacing="0" w:line="360" w:lineRule="auto"/>
              <w:ind w:left="43" w:right="0"/>
              <w:contextualSpacing/>
              <w:jc w:val="center"/>
              <w:rPr>
                <w:rFonts w:hint="default" w:ascii="宋体" w:hAnsi="宋体" w:eastAsia="宋体" w:cs="Calibri"/>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3B73C571">
            <w:pPr>
              <w:keepNext w:val="0"/>
              <w:keepLines w:val="0"/>
              <w:suppressLineNumbers w:val="0"/>
              <w:spacing w:before="0" w:beforeAutospacing="0" w:afterAutospacing="0" w:line="360" w:lineRule="auto"/>
              <w:ind w:left="43" w:right="0"/>
              <w:contextualSpacing/>
              <w:jc w:val="center"/>
              <w:rPr>
                <w:rFonts w:hint="default" w:ascii="宋体" w:hAnsi="宋体" w:eastAsia="宋体" w:cs="Calibri"/>
                <w:color w:val="auto"/>
                <w:sz w:val="24"/>
                <w:highlight w:val="none"/>
              </w:rPr>
            </w:pPr>
          </w:p>
        </w:tc>
      </w:tr>
      <w:tr w14:paraId="5E15D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7F35D1F5">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r>
              <w:rPr>
                <w:rFonts w:hint="eastAsia" w:ascii="宋体" w:hAnsi="宋体" w:eastAsia="宋体" w:cs="Calibri"/>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4EC4A255">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68947A4E">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232503F7">
            <w:pPr>
              <w:keepNext w:val="0"/>
              <w:keepLines w:val="0"/>
              <w:suppressLineNumbers w:val="0"/>
              <w:spacing w:before="0" w:beforeAutospacing="0" w:afterAutospacing="0" w:line="360" w:lineRule="auto"/>
              <w:ind w:left="0" w:right="0"/>
              <w:contextualSpacing/>
              <w:jc w:val="center"/>
              <w:rPr>
                <w:rFonts w:hint="default" w:ascii="宋体" w:hAnsi="宋体" w:eastAsia="宋体" w:cs="Calibri"/>
                <w:color w:val="auto"/>
                <w:sz w:val="24"/>
                <w:highlight w:val="none"/>
              </w:rPr>
            </w:pPr>
          </w:p>
        </w:tc>
      </w:tr>
    </w:tbl>
    <w:p w14:paraId="06F34927">
      <w:pPr>
        <w:pStyle w:val="20"/>
        <w:spacing w:after="0" w:line="360" w:lineRule="auto"/>
        <w:contextualSpacing/>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注：</w:t>
      </w:r>
    </w:p>
    <w:p w14:paraId="3E4A0C26">
      <w:pPr>
        <w:pStyle w:val="20"/>
        <w:spacing w:after="0" w:line="360" w:lineRule="auto"/>
        <w:contextualSpacing/>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1. 说明：应对照磋商文件“第三章 采购需求”中的商务要求逐条作出明确响应，并作出偏离说明。</w:t>
      </w:r>
    </w:p>
    <w:p w14:paraId="39C0E360">
      <w:pPr>
        <w:spacing w:line="360" w:lineRule="auto"/>
        <w:contextualSpacing/>
        <w:jc w:val="left"/>
        <w:rPr>
          <w:rFonts w:ascii="宋体" w:hAnsi="宋体" w:eastAsia="宋体" w:cs="Calibri"/>
          <w:color w:val="auto"/>
          <w:sz w:val="24"/>
          <w:highlight w:val="none"/>
          <w:u w:val="single"/>
        </w:rPr>
      </w:pPr>
      <w:r>
        <w:rPr>
          <w:rFonts w:hint="eastAsia" w:ascii="宋体" w:hAnsi="宋体" w:eastAsia="宋体"/>
          <w:color w:val="auto"/>
          <w:kern w:val="0"/>
          <w:sz w:val="24"/>
          <w:highlight w:val="none"/>
        </w:rPr>
        <w:t>2.供应商应根据自身的承诺，对照磋商文件要求在“偏离说明”中注明“正偏离”、“负偏离”或者“无偏离”。既不属于“正偏离”也不属于“负偏离”即为“无偏离”。</w:t>
      </w:r>
    </w:p>
    <w:p w14:paraId="37DF9DFC">
      <w:pPr>
        <w:spacing w:line="360" w:lineRule="auto"/>
        <w:ind w:right="-817" w:rightChars="-389"/>
        <w:contextualSpacing/>
        <w:rPr>
          <w:rFonts w:ascii="宋体" w:hAnsi="宋体" w:eastAsia="宋体" w:cs="Calibri"/>
          <w:color w:val="auto"/>
          <w:sz w:val="24"/>
          <w:highlight w:val="none"/>
        </w:rPr>
      </w:pPr>
    </w:p>
    <w:p w14:paraId="4905D710">
      <w:pPr>
        <w:spacing w:line="360" w:lineRule="auto"/>
        <w:ind w:right="-817" w:rightChars="-389"/>
        <w:contextualSpacing/>
        <w:rPr>
          <w:rFonts w:ascii="宋体" w:hAnsi="宋体" w:eastAsia="宋体" w:cs="Calibri"/>
          <w:color w:val="auto"/>
          <w:sz w:val="24"/>
          <w:highlight w:val="none"/>
        </w:rPr>
      </w:pPr>
    </w:p>
    <w:p w14:paraId="18BCAAA9">
      <w:pPr>
        <w:spacing w:line="360" w:lineRule="auto"/>
        <w:ind w:right="-817" w:rightChars="-389"/>
        <w:contextualSpacing/>
        <w:jc w:val="center"/>
        <w:rPr>
          <w:rFonts w:ascii="宋体" w:hAnsi="宋体" w:eastAsia="宋体" w:cs="Calibri"/>
          <w:color w:val="auto"/>
          <w:sz w:val="24"/>
          <w:highlight w:val="none"/>
        </w:rPr>
      </w:pPr>
      <w:r>
        <w:rPr>
          <w:rFonts w:hint="eastAsia" w:ascii="宋体" w:hAnsi="宋体" w:eastAsia="宋体" w:cs="Calibri"/>
          <w:color w:val="auto"/>
          <w:sz w:val="24"/>
          <w:highlight w:val="none"/>
        </w:rPr>
        <w:t>法定代表人或者委托代理人（签字或者电子签名）：</w:t>
      </w:r>
    </w:p>
    <w:p w14:paraId="18EBCE45">
      <w:pPr>
        <w:spacing w:line="360" w:lineRule="auto"/>
        <w:ind w:right="-817" w:rightChars="-389" w:firstLine="2640" w:firstLineChars="11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 xml:space="preserve">供应商（电子签章）：      </w:t>
      </w:r>
    </w:p>
    <w:p w14:paraId="2954DB60">
      <w:pPr>
        <w:spacing w:line="360" w:lineRule="auto"/>
        <w:ind w:right="-817" w:rightChars="-389" w:firstLine="4080" w:firstLineChars="1700"/>
        <w:contextualSpacing/>
        <w:rPr>
          <w:rFonts w:ascii="宋体" w:hAnsi="宋体" w:eastAsia="宋体" w:cs="Calibri"/>
          <w:b/>
          <w:color w:val="auto"/>
          <w:sz w:val="32"/>
          <w:szCs w:val="32"/>
          <w:highlight w:val="none"/>
        </w:rPr>
      </w:pPr>
      <w:r>
        <w:rPr>
          <w:rFonts w:hint="eastAsia" w:ascii="宋体" w:hAnsi="宋体" w:eastAsia="宋体" w:cs="Calibri"/>
          <w:color w:val="auto"/>
          <w:sz w:val="24"/>
          <w:highlight w:val="none"/>
        </w:rPr>
        <w:t>日期：   年   月   日</w:t>
      </w:r>
    </w:p>
    <w:p w14:paraId="3770AF18">
      <w:pPr>
        <w:adjustRightInd w:val="0"/>
        <w:snapToGrid w:val="0"/>
        <w:spacing w:line="520" w:lineRule="exact"/>
        <w:ind w:firstLine="7040" w:firstLineChars="1600"/>
        <w:jc w:val="center"/>
        <w:rPr>
          <w:rFonts w:ascii="宋体" w:hAnsi="宋体" w:eastAsia="宋体" w:cs="Tahoma"/>
          <w:bCs/>
          <w:color w:val="auto"/>
          <w:sz w:val="44"/>
          <w:szCs w:val="44"/>
          <w:highlight w:val="none"/>
        </w:rPr>
      </w:pPr>
    </w:p>
    <w:p w14:paraId="78F9EE8D">
      <w:pPr>
        <w:adjustRightInd w:val="0"/>
        <w:snapToGrid w:val="0"/>
        <w:spacing w:line="520" w:lineRule="exact"/>
        <w:ind w:firstLine="7040" w:firstLineChars="1600"/>
        <w:jc w:val="center"/>
        <w:rPr>
          <w:rFonts w:ascii="宋体" w:hAnsi="宋体" w:eastAsia="宋体" w:cs="Tahoma"/>
          <w:bCs/>
          <w:color w:val="auto"/>
          <w:sz w:val="44"/>
          <w:szCs w:val="44"/>
          <w:highlight w:val="none"/>
        </w:rPr>
      </w:pPr>
    </w:p>
    <w:p w14:paraId="5973850D">
      <w:pPr>
        <w:adjustRightInd w:val="0"/>
        <w:snapToGrid w:val="0"/>
        <w:spacing w:line="300" w:lineRule="auto"/>
        <w:jc w:val="center"/>
        <w:rPr>
          <w:rFonts w:ascii="宋体" w:hAnsi="宋体" w:eastAsia="宋体" w:cs="Tahoma"/>
          <w:bCs/>
          <w:color w:val="auto"/>
          <w:sz w:val="44"/>
          <w:szCs w:val="44"/>
          <w:highlight w:val="none"/>
        </w:rPr>
      </w:pPr>
      <w:r>
        <w:rPr>
          <w:rFonts w:ascii="宋体" w:hAnsi="宋体" w:eastAsia="宋体" w:cs="Tahoma"/>
          <w:bCs/>
          <w:color w:val="auto"/>
          <w:sz w:val="44"/>
          <w:szCs w:val="44"/>
          <w:highlight w:val="none"/>
        </w:rPr>
        <w:br w:type="page"/>
      </w:r>
      <w:r>
        <w:rPr>
          <w:rFonts w:hint="eastAsia" w:ascii="宋体" w:hAnsi="宋体" w:eastAsia="宋体" w:cs="Tahoma"/>
          <w:bCs/>
          <w:color w:val="auto"/>
          <w:sz w:val="44"/>
          <w:szCs w:val="44"/>
          <w:highlight w:val="none"/>
        </w:rPr>
        <w:t>技术要求偏离表</w:t>
      </w:r>
    </w:p>
    <w:p w14:paraId="3FC43251">
      <w:pPr>
        <w:spacing w:line="520" w:lineRule="exact"/>
        <w:rPr>
          <w:rFonts w:ascii="宋体" w:hAnsi="宋体" w:eastAsia="宋体" w:cs="Calibri"/>
          <w:color w:val="auto"/>
          <w:sz w:val="32"/>
          <w:szCs w:val="32"/>
          <w:highlight w:val="none"/>
        </w:rPr>
      </w:pPr>
    </w:p>
    <w:p w14:paraId="64CB2B29">
      <w:pPr>
        <w:spacing w:line="360" w:lineRule="auto"/>
        <w:contextualSpacing/>
        <w:rPr>
          <w:rFonts w:ascii="宋体" w:hAnsi="宋体" w:eastAsia="宋体" w:cs="Calibri"/>
          <w:color w:val="auto"/>
          <w:sz w:val="24"/>
          <w:highlight w:val="none"/>
          <w:u w:val="single"/>
        </w:rPr>
      </w:pPr>
      <w:r>
        <w:rPr>
          <w:rFonts w:hint="eastAsia" w:ascii="宋体" w:hAnsi="宋体" w:eastAsia="宋体" w:cs="Calibri"/>
          <w:color w:val="auto"/>
          <w:sz w:val="24"/>
          <w:highlight w:val="none"/>
        </w:rPr>
        <w:t>采购项目编号：</w:t>
      </w:r>
      <w:r>
        <w:rPr>
          <w:rFonts w:hint="eastAsia" w:ascii="宋体" w:hAnsi="宋体" w:eastAsia="宋体" w:cs="Calibri"/>
          <w:color w:val="auto"/>
          <w:sz w:val="24"/>
          <w:highlight w:val="none"/>
          <w:u w:val="single"/>
        </w:rPr>
        <w:t xml:space="preserve">                 </w:t>
      </w:r>
    </w:p>
    <w:p w14:paraId="6143A6A6">
      <w:pPr>
        <w:spacing w:line="360" w:lineRule="auto"/>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采购项目名称：</w:t>
      </w:r>
      <w:r>
        <w:rPr>
          <w:rFonts w:hint="eastAsia" w:ascii="宋体" w:hAnsi="宋体" w:eastAsia="宋体" w:cs="Calibri"/>
          <w:color w:val="auto"/>
          <w:sz w:val="24"/>
          <w:highlight w:val="none"/>
          <w:u w:val="single"/>
        </w:rPr>
        <w:t xml:space="preserve">                 </w:t>
      </w:r>
    </w:p>
    <w:p w14:paraId="7B5D1793">
      <w:pPr>
        <w:spacing w:line="360" w:lineRule="auto"/>
        <w:contextualSpacing/>
        <w:rPr>
          <w:rFonts w:ascii="宋体" w:hAnsi="宋体" w:eastAsia="宋体" w:cs="Calibri"/>
          <w:color w:val="auto"/>
          <w:sz w:val="24"/>
          <w:highlight w:val="none"/>
          <w:u w:val="single"/>
        </w:rPr>
      </w:pPr>
      <w:r>
        <w:rPr>
          <w:rFonts w:hint="eastAsia" w:ascii="宋体" w:hAnsi="宋体" w:eastAsia="宋体" w:cs="Calibri"/>
          <w:color w:val="auto"/>
          <w:sz w:val="24"/>
          <w:highlight w:val="none"/>
        </w:rPr>
        <w:t>分标号：</w:t>
      </w:r>
      <w:r>
        <w:rPr>
          <w:rFonts w:hint="eastAsia" w:ascii="宋体" w:hAnsi="宋体" w:eastAsia="宋体" w:cs="Calibri"/>
          <w:color w:val="auto"/>
          <w:sz w:val="24"/>
          <w:highlight w:val="none"/>
          <w:u w:val="single"/>
        </w:rPr>
        <w:t xml:space="preserve">                       </w:t>
      </w:r>
    </w:p>
    <w:tbl>
      <w:tblPr>
        <w:tblStyle w:val="49"/>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107283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D5E6A79">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bookmarkStart w:id="55" w:name="_Toc254970729"/>
            <w:bookmarkStart w:id="56" w:name="_Toc297193185"/>
            <w:bookmarkStart w:id="57" w:name="_Toc295404981"/>
            <w:bookmarkStart w:id="58" w:name="_Toc301781611"/>
            <w:bookmarkStart w:id="59" w:name="_Toc373333689"/>
            <w:bookmarkStart w:id="60" w:name="_Toc173211900"/>
            <w:bookmarkStart w:id="61" w:name="_Toc383699906"/>
            <w:bookmarkStart w:id="62" w:name="_Toc254970588"/>
            <w:bookmarkStart w:id="63" w:name="_Toc173066401"/>
            <w:r>
              <w:rPr>
                <w:rFonts w:hint="eastAsia" w:ascii="宋体" w:hAnsi="宋体" w:eastAsia="宋体" w:cs="Calibri"/>
                <w:color w:val="auto"/>
                <w:kern w:val="2"/>
                <w:sz w:val="24"/>
                <w:szCs w:val="24"/>
                <w:highlight w:val="none"/>
                <w:lang w:val="en-US"/>
              </w:rPr>
              <w:t>序号</w:t>
            </w:r>
            <w:bookmarkEnd w:id="55"/>
            <w:bookmarkEnd w:id="56"/>
            <w:bookmarkEnd w:id="57"/>
            <w:bookmarkEnd w:id="58"/>
            <w:bookmarkEnd w:id="59"/>
            <w:bookmarkEnd w:id="60"/>
            <w:bookmarkEnd w:id="61"/>
            <w:bookmarkEnd w:id="62"/>
            <w:bookmarkEnd w:id="63"/>
          </w:p>
        </w:tc>
        <w:tc>
          <w:tcPr>
            <w:tcW w:w="915" w:type="dxa"/>
            <w:tcBorders>
              <w:right w:val="single" w:color="auto" w:sz="4" w:space="0"/>
            </w:tcBorders>
            <w:vAlign w:val="center"/>
          </w:tcPr>
          <w:p w14:paraId="6A277866">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r>
              <w:rPr>
                <w:rFonts w:hint="eastAsia" w:ascii="宋体" w:hAnsi="宋体" w:eastAsia="宋体" w:cs="Calibri"/>
                <w:color w:val="auto"/>
                <w:kern w:val="2"/>
                <w:sz w:val="24"/>
                <w:szCs w:val="24"/>
                <w:highlight w:val="none"/>
                <w:lang w:val="en-US"/>
              </w:rPr>
              <w:t>名称</w:t>
            </w:r>
          </w:p>
        </w:tc>
        <w:tc>
          <w:tcPr>
            <w:tcW w:w="3038" w:type="dxa"/>
            <w:tcBorders>
              <w:left w:val="single" w:color="auto" w:sz="4" w:space="0"/>
            </w:tcBorders>
            <w:vAlign w:val="center"/>
          </w:tcPr>
          <w:p w14:paraId="0742D619">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r>
              <w:rPr>
                <w:rFonts w:hint="eastAsia" w:ascii="宋体" w:hAnsi="宋体" w:eastAsia="宋体" w:cs="Calibri"/>
                <w:color w:val="auto"/>
                <w:kern w:val="2"/>
                <w:sz w:val="24"/>
                <w:szCs w:val="24"/>
                <w:highlight w:val="none"/>
                <w:lang w:val="en-US"/>
              </w:rPr>
              <w:t>磋商文件技术要求</w:t>
            </w:r>
          </w:p>
        </w:tc>
        <w:tc>
          <w:tcPr>
            <w:tcW w:w="2734" w:type="dxa"/>
            <w:vAlign w:val="center"/>
          </w:tcPr>
          <w:p w14:paraId="2A1C25EB">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bookmarkStart w:id="64" w:name="_Toc254970590"/>
            <w:bookmarkStart w:id="65" w:name="_Toc173066403"/>
            <w:bookmarkStart w:id="66" w:name="_Toc295404983"/>
            <w:bookmarkStart w:id="67" w:name="_Toc254970731"/>
            <w:bookmarkStart w:id="68" w:name="_Toc173211902"/>
            <w:bookmarkStart w:id="69" w:name="_Toc301781613"/>
            <w:bookmarkStart w:id="70" w:name="_Toc373333691"/>
            <w:bookmarkStart w:id="71" w:name="_Toc297193187"/>
            <w:bookmarkStart w:id="72" w:name="_Toc383699908"/>
            <w:r>
              <w:rPr>
                <w:rFonts w:hint="eastAsia" w:ascii="宋体" w:hAnsi="宋体" w:eastAsia="宋体" w:cs="Calibri"/>
                <w:color w:val="auto"/>
                <w:kern w:val="2"/>
                <w:sz w:val="24"/>
                <w:szCs w:val="24"/>
                <w:highlight w:val="none"/>
                <w:lang w:val="en-US"/>
              </w:rPr>
              <w:t>竞标响应</w:t>
            </w:r>
            <w:bookmarkEnd w:id="64"/>
            <w:bookmarkEnd w:id="65"/>
            <w:bookmarkEnd w:id="66"/>
            <w:bookmarkEnd w:id="67"/>
            <w:bookmarkEnd w:id="68"/>
            <w:bookmarkEnd w:id="69"/>
            <w:bookmarkEnd w:id="70"/>
            <w:bookmarkEnd w:id="71"/>
            <w:bookmarkEnd w:id="72"/>
          </w:p>
        </w:tc>
        <w:tc>
          <w:tcPr>
            <w:tcW w:w="1492" w:type="dxa"/>
            <w:vAlign w:val="center"/>
          </w:tcPr>
          <w:p w14:paraId="14E781FD">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bookmarkStart w:id="73" w:name="_Toc173066404"/>
            <w:bookmarkStart w:id="74" w:name="_Toc254970732"/>
            <w:bookmarkStart w:id="75" w:name="_Toc295404984"/>
            <w:bookmarkStart w:id="76" w:name="_Toc383699909"/>
            <w:bookmarkStart w:id="77" w:name="_Toc301781614"/>
            <w:bookmarkStart w:id="78" w:name="_Toc373333692"/>
            <w:bookmarkStart w:id="79" w:name="_Toc297193188"/>
            <w:bookmarkStart w:id="80" w:name="_Toc173211903"/>
            <w:bookmarkStart w:id="81" w:name="_Toc254970591"/>
            <w:r>
              <w:rPr>
                <w:rFonts w:hint="eastAsia" w:ascii="宋体" w:hAnsi="宋体" w:eastAsia="宋体" w:cs="Calibri"/>
                <w:color w:val="auto"/>
                <w:kern w:val="2"/>
                <w:sz w:val="24"/>
                <w:szCs w:val="24"/>
                <w:highlight w:val="none"/>
                <w:lang w:val="en-US"/>
              </w:rPr>
              <w:t>偏离</w:t>
            </w:r>
            <w:bookmarkEnd w:id="73"/>
            <w:bookmarkEnd w:id="74"/>
            <w:bookmarkEnd w:id="75"/>
            <w:bookmarkEnd w:id="76"/>
            <w:bookmarkEnd w:id="77"/>
            <w:bookmarkEnd w:id="78"/>
            <w:bookmarkEnd w:id="79"/>
            <w:bookmarkEnd w:id="80"/>
            <w:bookmarkEnd w:id="81"/>
            <w:bookmarkStart w:id="82" w:name="_Toc254970592"/>
            <w:bookmarkStart w:id="83" w:name="_Toc173066405"/>
            <w:bookmarkStart w:id="84" w:name="_Toc254970733"/>
            <w:bookmarkStart w:id="85" w:name="_Toc383699910"/>
            <w:bookmarkStart w:id="86" w:name="_Toc373333693"/>
            <w:bookmarkStart w:id="87" w:name="_Toc301781615"/>
            <w:bookmarkStart w:id="88" w:name="_Toc295404985"/>
            <w:bookmarkStart w:id="89" w:name="_Toc297193189"/>
            <w:bookmarkStart w:id="90" w:name="_Toc173211904"/>
            <w:r>
              <w:rPr>
                <w:rFonts w:hint="eastAsia" w:ascii="宋体" w:hAnsi="宋体" w:eastAsia="宋体" w:cs="Calibri"/>
                <w:color w:val="auto"/>
                <w:kern w:val="2"/>
                <w:sz w:val="24"/>
                <w:szCs w:val="24"/>
                <w:highlight w:val="none"/>
                <w:lang w:val="en-US"/>
              </w:rPr>
              <w:t>说明</w:t>
            </w:r>
            <w:bookmarkEnd w:id="82"/>
            <w:bookmarkEnd w:id="83"/>
            <w:bookmarkEnd w:id="84"/>
            <w:bookmarkEnd w:id="85"/>
            <w:bookmarkEnd w:id="86"/>
            <w:bookmarkEnd w:id="87"/>
            <w:bookmarkEnd w:id="88"/>
            <w:bookmarkEnd w:id="89"/>
            <w:bookmarkEnd w:id="90"/>
          </w:p>
        </w:tc>
      </w:tr>
      <w:tr w14:paraId="61ED7F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1432699A">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bookmarkStart w:id="91" w:name="_Toc254970734"/>
            <w:bookmarkStart w:id="92" w:name="_Toc383699911"/>
            <w:bookmarkStart w:id="93" w:name="_Toc373333694"/>
            <w:bookmarkStart w:id="94" w:name="_Toc301781616"/>
            <w:bookmarkStart w:id="95" w:name="_Toc173066406"/>
            <w:bookmarkStart w:id="96" w:name="_Toc173211905"/>
            <w:bookmarkStart w:id="97" w:name="_Toc297193190"/>
            <w:bookmarkStart w:id="98" w:name="_Toc295404986"/>
            <w:bookmarkStart w:id="99" w:name="_Toc254970593"/>
            <w:r>
              <w:rPr>
                <w:rFonts w:hint="eastAsia" w:ascii="宋体" w:hAnsi="宋体" w:eastAsia="宋体" w:cs="Calibri"/>
                <w:color w:val="auto"/>
                <w:kern w:val="2"/>
                <w:sz w:val="24"/>
                <w:szCs w:val="24"/>
                <w:highlight w:val="none"/>
                <w:lang w:val="en-US"/>
              </w:rPr>
              <w:t>1</w:t>
            </w:r>
            <w:bookmarkEnd w:id="91"/>
            <w:bookmarkEnd w:id="92"/>
            <w:bookmarkEnd w:id="93"/>
            <w:bookmarkEnd w:id="94"/>
            <w:bookmarkEnd w:id="95"/>
            <w:bookmarkEnd w:id="96"/>
            <w:bookmarkEnd w:id="97"/>
            <w:bookmarkEnd w:id="98"/>
            <w:bookmarkEnd w:id="99"/>
          </w:p>
        </w:tc>
        <w:tc>
          <w:tcPr>
            <w:tcW w:w="915" w:type="dxa"/>
            <w:tcBorders>
              <w:right w:val="single" w:color="auto" w:sz="4" w:space="0"/>
            </w:tcBorders>
            <w:vAlign w:val="center"/>
          </w:tcPr>
          <w:p w14:paraId="6D0A060B">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3038" w:type="dxa"/>
            <w:tcBorders>
              <w:left w:val="single" w:color="auto" w:sz="4" w:space="0"/>
            </w:tcBorders>
            <w:vAlign w:val="center"/>
          </w:tcPr>
          <w:p w14:paraId="3496D0AE">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2734" w:type="dxa"/>
            <w:vAlign w:val="center"/>
          </w:tcPr>
          <w:p w14:paraId="18D06048">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1492" w:type="dxa"/>
            <w:vAlign w:val="center"/>
          </w:tcPr>
          <w:p w14:paraId="0D0A5F0F">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r>
      <w:tr w14:paraId="7724FF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6F3086FD">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bookmarkStart w:id="100" w:name="_Toc383699912"/>
            <w:bookmarkStart w:id="101" w:name="_Toc173211906"/>
            <w:bookmarkStart w:id="102" w:name="_Toc254970735"/>
            <w:bookmarkStart w:id="103" w:name="_Toc297193191"/>
            <w:bookmarkStart w:id="104" w:name="_Toc373333695"/>
            <w:bookmarkStart w:id="105" w:name="_Toc254970594"/>
            <w:bookmarkStart w:id="106" w:name="_Toc295404987"/>
            <w:bookmarkStart w:id="107" w:name="_Toc301781617"/>
            <w:bookmarkStart w:id="108" w:name="_Toc173066407"/>
            <w:r>
              <w:rPr>
                <w:rFonts w:hint="eastAsia" w:ascii="宋体" w:hAnsi="宋体" w:eastAsia="宋体" w:cs="Calibri"/>
                <w:color w:val="auto"/>
                <w:kern w:val="2"/>
                <w:sz w:val="24"/>
                <w:szCs w:val="24"/>
                <w:highlight w:val="none"/>
                <w:lang w:val="en-US"/>
              </w:rPr>
              <w:t>2</w:t>
            </w:r>
            <w:bookmarkEnd w:id="100"/>
            <w:bookmarkEnd w:id="101"/>
            <w:bookmarkEnd w:id="102"/>
            <w:bookmarkEnd w:id="103"/>
            <w:bookmarkEnd w:id="104"/>
            <w:bookmarkEnd w:id="105"/>
            <w:bookmarkEnd w:id="106"/>
            <w:bookmarkEnd w:id="107"/>
            <w:bookmarkEnd w:id="108"/>
          </w:p>
        </w:tc>
        <w:tc>
          <w:tcPr>
            <w:tcW w:w="915" w:type="dxa"/>
            <w:tcBorders>
              <w:right w:val="single" w:color="auto" w:sz="4" w:space="0"/>
            </w:tcBorders>
            <w:vAlign w:val="center"/>
          </w:tcPr>
          <w:p w14:paraId="33B7939E">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3038" w:type="dxa"/>
            <w:tcBorders>
              <w:left w:val="single" w:color="auto" w:sz="4" w:space="0"/>
            </w:tcBorders>
            <w:vAlign w:val="center"/>
          </w:tcPr>
          <w:p w14:paraId="24A6EA0B">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2734" w:type="dxa"/>
            <w:vAlign w:val="center"/>
          </w:tcPr>
          <w:p w14:paraId="326D7313">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1492" w:type="dxa"/>
            <w:vAlign w:val="center"/>
          </w:tcPr>
          <w:p w14:paraId="2BE479E5">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r>
      <w:tr w14:paraId="3B8CD0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61683CD5">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bookmarkStart w:id="109" w:name="_Toc173066408"/>
            <w:bookmarkStart w:id="110" w:name="_Toc297193192"/>
            <w:bookmarkStart w:id="111" w:name="_Toc295404988"/>
            <w:bookmarkStart w:id="112" w:name="_Toc173211907"/>
            <w:bookmarkStart w:id="113" w:name="_Toc301781618"/>
            <w:bookmarkStart w:id="114" w:name="_Toc383699913"/>
            <w:bookmarkStart w:id="115" w:name="_Toc373333696"/>
            <w:bookmarkStart w:id="116" w:name="_Toc254970595"/>
            <w:bookmarkStart w:id="117" w:name="_Toc254970736"/>
            <w:r>
              <w:rPr>
                <w:rFonts w:hint="eastAsia" w:ascii="宋体" w:hAnsi="宋体" w:eastAsia="宋体" w:cs="Calibri"/>
                <w:color w:val="auto"/>
                <w:kern w:val="2"/>
                <w:sz w:val="24"/>
                <w:szCs w:val="24"/>
                <w:highlight w:val="none"/>
                <w:lang w:val="en-US"/>
              </w:rPr>
              <w:t>3</w:t>
            </w:r>
            <w:bookmarkEnd w:id="109"/>
            <w:bookmarkEnd w:id="110"/>
            <w:bookmarkEnd w:id="111"/>
            <w:bookmarkEnd w:id="112"/>
            <w:bookmarkEnd w:id="113"/>
            <w:bookmarkEnd w:id="114"/>
            <w:bookmarkEnd w:id="115"/>
            <w:bookmarkEnd w:id="116"/>
            <w:bookmarkEnd w:id="117"/>
          </w:p>
        </w:tc>
        <w:tc>
          <w:tcPr>
            <w:tcW w:w="915" w:type="dxa"/>
            <w:tcBorders>
              <w:right w:val="single" w:color="auto" w:sz="4" w:space="0"/>
            </w:tcBorders>
            <w:vAlign w:val="center"/>
          </w:tcPr>
          <w:p w14:paraId="76F2ACCA">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3038" w:type="dxa"/>
            <w:tcBorders>
              <w:left w:val="single" w:color="auto" w:sz="4" w:space="0"/>
            </w:tcBorders>
            <w:vAlign w:val="center"/>
          </w:tcPr>
          <w:p w14:paraId="56DBB36C">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2734" w:type="dxa"/>
            <w:vAlign w:val="center"/>
          </w:tcPr>
          <w:p w14:paraId="457F21C2">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1492" w:type="dxa"/>
            <w:vAlign w:val="center"/>
          </w:tcPr>
          <w:p w14:paraId="393EDC0E">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r>
      <w:tr w14:paraId="0E4FAB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243A53D3">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bookmarkStart w:id="118" w:name="_Toc173211908"/>
            <w:bookmarkStart w:id="119" w:name="_Toc297193193"/>
            <w:bookmarkStart w:id="120" w:name="_Toc383699914"/>
            <w:bookmarkStart w:id="121" w:name="_Toc254970737"/>
            <w:bookmarkStart w:id="122" w:name="_Toc373333697"/>
            <w:bookmarkStart w:id="123" w:name="_Toc301781619"/>
            <w:bookmarkStart w:id="124" w:name="_Toc254970596"/>
            <w:bookmarkStart w:id="125" w:name="_Toc173066409"/>
            <w:bookmarkStart w:id="126" w:name="_Toc295404989"/>
            <w:r>
              <w:rPr>
                <w:rFonts w:hint="eastAsia" w:ascii="宋体" w:hAnsi="宋体" w:eastAsia="宋体" w:cs="Calibri"/>
                <w:color w:val="auto"/>
                <w:kern w:val="2"/>
                <w:sz w:val="24"/>
                <w:szCs w:val="24"/>
                <w:highlight w:val="none"/>
                <w:lang w:val="en-US"/>
              </w:rPr>
              <w:t>4</w:t>
            </w:r>
            <w:bookmarkEnd w:id="118"/>
            <w:bookmarkEnd w:id="119"/>
            <w:bookmarkEnd w:id="120"/>
            <w:bookmarkEnd w:id="121"/>
            <w:bookmarkEnd w:id="122"/>
            <w:bookmarkEnd w:id="123"/>
            <w:bookmarkEnd w:id="124"/>
            <w:bookmarkEnd w:id="125"/>
            <w:bookmarkEnd w:id="126"/>
          </w:p>
        </w:tc>
        <w:tc>
          <w:tcPr>
            <w:tcW w:w="915" w:type="dxa"/>
            <w:tcBorders>
              <w:right w:val="single" w:color="auto" w:sz="4" w:space="0"/>
            </w:tcBorders>
            <w:vAlign w:val="center"/>
          </w:tcPr>
          <w:p w14:paraId="6CAE9E4A">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3038" w:type="dxa"/>
            <w:tcBorders>
              <w:left w:val="single" w:color="auto" w:sz="4" w:space="0"/>
            </w:tcBorders>
            <w:vAlign w:val="center"/>
          </w:tcPr>
          <w:p w14:paraId="01FB7885">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2734" w:type="dxa"/>
            <w:vAlign w:val="center"/>
          </w:tcPr>
          <w:p w14:paraId="274B2EB4">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1492" w:type="dxa"/>
            <w:vAlign w:val="center"/>
          </w:tcPr>
          <w:p w14:paraId="0A4B8590">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r>
      <w:tr w14:paraId="4DDDFA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21710EDB">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bookmarkStart w:id="127" w:name="_Toc295404990"/>
            <w:bookmarkStart w:id="128" w:name="_Toc301781620"/>
            <w:bookmarkStart w:id="129" w:name="_Toc254970738"/>
            <w:bookmarkStart w:id="130" w:name="_Toc297193194"/>
            <w:bookmarkStart w:id="131" w:name="_Toc254970597"/>
            <w:bookmarkStart w:id="132" w:name="_Toc373333698"/>
            <w:bookmarkStart w:id="133" w:name="_Toc173066410"/>
            <w:bookmarkStart w:id="134" w:name="_Toc383699915"/>
            <w:bookmarkStart w:id="135" w:name="_Toc173211909"/>
            <w:r>
              <w:rPr>
                <w:rFonts w:hint="eastAsia" w:ascii="宋体" w:hAnsi="宋体" w:eastAsia="宋体" w:cs="Calibri"/>
                <w:color w:val="auto"/>
                <w:kern w:val="2"/>
                <w:sz w:val="24"/>
                <w:szCs w:val="24"/>
                <w:highlight w:val="none"/>
                <w:lang w:val="en-US"/>
              </w:rPr>
              <w:t>5</w:t>
            </w:r>
            <w:bookmarkEnd w:id="127"/>
            <w:bookmarkEnd w:id="128"/>
            <w:bookmarkEnd w:id="129"/>
            <w:bookmarkEnd w:id="130"/>
            <w:bookmarkEnd w:id="131"/>
            <w:bookmarkEnd w:id="132"/>
            <w:bookmarkEnd w:id="133"/>
            <w:bookmarkEnd w:id="134"/>
            <w:bookmarkEnd w:id="135"/>
          </w:p>
        </w:tc>
        <w:tc>
          <w:tcPr>
            <w:tcW w:w="915" w:type="dxa"/>
            <w:tcBorders>
              <w:right w:val="single" w:color="auto" w:sz="4" w:space="0"/>
            </w:tcBorders>
            <w:vAlign w:val="center"/>
          </w:tcPr>
          <w:p w14:paraId="0953A441">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3038" w:type="dxa"/>
            <w:tcBorders>
              <w:left w:val="single" w:color="auto" w:sz="4" w:space="0"/>
            </w:tcBorders>
            <w:vAlign w:val="center"/>
          </w:tcPr>
          <w:p w14:paraId="68D10A08">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2734" w:type="dxa"/>
            <w:vAlign w:val="center"/>
          </w:tcPr>
          <w:p w14:paraId="367ACC7E">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1492" w:type="dxa"/>
            <w:vAlign w:val="center"/>
          </w:tcPr>
          <w:p w14:paraId="2003D3B8">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r>
      <w:tr w14:paraId="5E20F0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14:paraId="57DD3DD4">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bookmarkStart w:id="136" w:name="_Toc295404991"/>
            <w:bookmarkStart w:id="137" w:name="_Toc173066415"/>
            <w:bookmarkStart w:id="138" w:name="_Toc373333699"/>
            <w:bookmarkStart w:id="139" w:name="_Toc301781621"/>
            <w:bookmarkStart w:id="140" w:name="_Toc254970743"/>
            <w:bookmarkStart w:id="141" w:name="_Toc173211914"/>
            <w:bookmarkStart w:id="142" w:name="_Toc383699916"/>
            <w:bookmarkStart w:id="143" w:name="_Toc297193195"/>
            <w:bookmarkStart w:id="144" w:name="_Toc254970602"/>
            <w:r>
              <w:rPr>
                <w:rFonts w:hint="eastAsia" w:ascii="宋体" w:hAnsi="宋体" w:eastAsia="宋体" w:cs="Calibri"/>
                <w:color w:val="auto"/>
                <w:kern w:val="2"/>
                <w:sz w:val="24"/>
                <w:szCs w:val="24"/>
                <w:highlight w:val="none"/>
                <w:lang w:val="en-US"/>
              </w:rPr>
              <w:t>…</w:t>
            </w:r>
            <w:bookmarkEnd w:id="136"/>
            <w:bookmarkEnd w:id="137"/>
            <w:bookmarkEnd w:id="138"/>
            <w:bookmarkEnd w:id="139"/>
            <w:bookmarkEnd w:id="140"/>
            <w:bookmarkEnd w:id="141"/>
            <w:bookmarkEnd w:id="142"/>
            <w:bookmarkEnd w:id="143"/>
            <w:bookmarkEnd w:id="144"/>
          </w:p>
        </w:tc>
        <w:tc>
          <w:tcPr>
            <w:tcW w:w="915" w:type="dxa"/>
            <w:tcBorders>
              <w:right w:val="single" w:color="auto" w:sz="4" w:space="0"/>
            </w:tcBorders>
            <w:vAlign w:val="center"/>
          </w:tcPr>
          <w:p w14:paraId="5D99CF1F">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3038" w:type="dxa"/>
            <w:tcBorders>
              <w:left w:val="single" w:color="auto" w:sz="4" w:space="0"/>
            </w:tcBorders>
            <w:vAlign w:val="center"/>
          </w:tcPr>
          <w:p w14:paraId="70ABC1AF">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2734" w:type="dxa"/>
            <w:vAlign w:val="center"/>
          </w:tcPr>
          <w:p w14:paraId="08324639">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c>
          <w:tcPr>
            <w:tcW w:w="1492" w:type="dxa"/>
            <w:tcBorders>
              <w:right w:val="single" w:color="auto" w:sz="4" w:space="0"/>
            </w:tcBorders>
            <w:vAlign w:val="center"/>
          </w:tcPr>
          <w:p w14:paraId="0BBC9EB3">
            <w:pPr>
              <w:pStyle w:val="23"/>
              <w:keepNext w:val="0"/>
              <w:keepLines w:val="0"/>
              <w:suppressLineNumbers w:val="0"/>
              <w:spacing w:before="0" w:beforeAutospacing="0" w:afterAutospacing="0" w:line="360" w:lineRule="auto"/>
              <w:ind w:left="0" w:right="0" w:firstLine="0" w:firstLineChars="0"/>
              <w:contextualSpacing/>
              <w:jc w:val="center"/>
              <w:rPr>
                <w:rFonts w:hint="default" w:ascii="宋体" w:hAnsi="宋体" w:eastAsia="宋体" w:cs="Calibri"/>
                <w:color w:val="auto"/>
                <w:kern w:val="2"/>
                <w:sz w:val="24"/>
                <w:szCs w:val="24"/>
                <w:highlight w:val="none"/>
                <w:lang w:val="en-US"/>
              </w:rPr>
            </w:pPr>
          </w:p>
        </w:tc>
      </w:tr>
    </w:tbl>
    <w:p w14:paraId="30A4FC75">
      <w:pPr>
        <w:adjustRightInd w:val="0"/>
        <w:spacing w:line="360" w:lineRule="auto"/>
        <w:contextualSpacing/>
        <w:rPr>
          <w:rFonts w:ascii="宋体" w:hAnsi="宋体" w:eastAsia="宋体" w:cs="Calibri"/>
          <w:color w:val="auto"/>
          <w:sz w:val="24"/>
          <w:highlight w:val="none"/>
        </w:rPr>
      </w:pPr>
    </w:p>
    <w:p w14:paraId="4475EC05">
      <w:pPr>
        <w:pStyle w:val="23"/>
        <w:spacing w:line="360" w:lineRule="auto"/>
        <w:ind w:firstLine="0" w:firstLineChars="0"/>
        <w:contextualSpacing/>
        <w:rPr>
          <w:rFonts w:ascii="宋体" w:hAnsi="宋体" w:eastAsia="宋体" w:cs="Calibri"/>
          <w:color w:val="auto"/>
          <w:sz w:val="24"/>
          <w:szCs w:val="24"/>
          <w:highlight w:val="none"/>
        </w:rPr>
      </w:pPr>
      <w:r>
        <w:rPr>
          <w:rFonts w:hint="eastAsia" w:ascii="宋体" w:hAnsi="宋体" w:eastAsia="宋体" w:cs="Calibri"/>
          <w:color w:val="auto"/>
          <w:sz w:val="24"/>
          <w:szCs w:val="24"/>
          <w:highlight w:val="none"/>
        </w:rPr>
        <w:t>注：</w:t>
      </w:r>
    </w:p>
    <w:p w14:paraId="7AEC5BA5">
      <w:pPr>
        <w:pStyle w:val="23"/>
        <w:spacing w:line="360" w:lineRule="auto"/>
        <w:ind w:firstLine="0" w:firstLineChars="0"/>
        <w:contextualSpacing/>
        <w:rPr>
          <w:rFonts w:ascii="宋体" w:hAnsi="宋体" w:eastAsia="宋体" w:cs="Calibri"/>
          <w:color w:val="auto"/>
          <w:sz w:val="24"/>
          <w:szCs w:val="24"/>
          <w:highlight w:val="none"/>
        </w:rPr>
      </w:pPr>
      <w:r>
        <w:rPr>
          <w:rFonts w:hint="eastAsia" w:ascii="宋体" w:hAnsi="宋体" w:eastAsia="宋体" w:cs="Calibri"/>
          <w:color w:val="auto"/>
          <w:sz w:val="24"/>
          <w:szCs w:val="24"/>
          <w:highlight w:val="none"/>
        </w:rPr>
        <w:t>1. 说明：应对照磋商文件“第三章 采购需求”中的技术要求逐条作出明确响应，并作出偏离说明。</w:t>
      </w:r>
    </w:p>
    <w:p w14:paraId="5884D55B">
      <w:pPr>
        <w:pStyle w:val="23"/>
        <w:spacing w:line="360" w:lineRule="auto"/>
        <w:ind w:firstLine="0" w:firstLineChars="0"/>
        <w:contextualSpacing/>
        <w:rPr>
          <w:rFonts w:ascii="宋体" w:hAnsi="宋体" w:eastAsia="宋体" w:cs="Calibri"/>
          <w:color w:val="auto"/>
          <w:sz w:val="24"/>
          <w:szCs w:val="24"/>
          <w:highlight w:val="none"/>
        </w:rPr>
      </w:pPr>
      <w:r>
        <w:rPr>
          <w:rFonts w:hint="eastAsia" w:ascii="宋体" w:hAnsi="宋体" w:eastAsia="宋体" w:cs="Calibri"/>
          <w:color w:val="auto"/>
          <w:sz w:val="24"/>
          <w:szCs w:val="24"/>
          <w:highlight w:val="none"/>
        </w:rPr>
        <w:t>2.供应商应根据自身的承诺，对照磋商文件要求，在“偏离说明”中注明“正偏离”、“负偏离”或者“无偏离”。既不属于“正偏离”也不属于“负偏离”即为“无偏离”。</w:t>
      </w:r>
    </w:p>
    <w:p w14:paraId="7AF9ED2E">
      <w:pPr>
        <w:spacing w:line="360" w:lineRule="auto"/>
        <w:ind w:right="-817" w:rightChars="-389"/>
        <w:contextualSpacing/>
        <w:rPr>
          <w:rFonts w:ascii="宋体" w:hAnsi="宋体" w:eastAsia="宋体" w:cs="Calibri"/>
          <w:color w:val="auto"/>
          <w:sz w:val="24"/>
          <w:highlight w:val="none"/>
        </w:rPr>
      </w:pPr>
    </w:p>
    <w:p w14:paraId="610CF7D8">
      <w:pPr>
        <w:spacing w:line="360" w:lineRule="auto"/>
        <w:ind w:right="-817" w:rightChars="-389"/>
        <w:contextualSpacing/>
        <w:jc w:val="center"/>
        <w:rPr>
          <w:rFonts w:ascii="宋体" w:hAnsi="宋体" w:eastAsia="宋体" w:cs="Calibri"/>
          <w:color w:val="auto"/>
          <w:sz w:val="24"/>
          <w:highlight w:val="none"/>
        </w:rPr>
      </w:pPr>
      <w:r>
        <w:rPr>
          <w:rFonts w:hint="eastAsia" w:ascii="宋体" w:hAnsi="宋体" w:eastAsia="宋体" w:cs="Calibri"/>
          <w:color w:val="auto"/>
          <w:sz w:val="24"/>
          <w:highlight w:val="none"/>
        </w:rPr>
        <w:t>法定代表人或者委托代理人（签字或者电子签名）：</w:t>
      </w:r>
    </w:p>
    <w:p w14:paraId="498CF64E">
      <w:pPr>
        <w:spacing w:line="360" w:lineRule="auto"/>
        <w:ind w:right="-817" w:rightChars="-389" w:firstLine="2640" w:firstLineChars="11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 xml:space="preserve">供应商（电子签章）：      </w:t>
      </w:r>
    </w:p>
    <w:p w14:paraId="3FD1EA33">
      <w:pPr>
        <w:spacing w:line="360" w:lineRule="auto"/>
        <w:ind w:right="-817" w:rightChars="-389" w:firstLine="4080" w:firstLineChars="1700"/>
        <w:contextualSpacing/>
        <w:rPr>
          <w:rFonts w:ascii="宋体" w:hAnsi="宋体" w:eastAsia="宋体" w:cs="Calibri"/>
          <w:color w:val="auto"/>
          <w:sz w:val="24"/>
          <w:highlight w:val="none"/>
        </w:rPr>
      </w:pPr>
      <w:r>
        <w:rPr>
          <w:rFonts w:hint="eastAsia" w:ascii="宋体" w:hAnsi="宋体" w:eastAsia="宋体" w:cs="Calibri"/>
          <w:color w:val="auto"/>
          <w:sz w:val="24"/>
          <w:highlight w:val="none"/>
        </w:rPr>
        <w:t>日期：   年   月   日</w:t>
      </w:r>
    </w:p>
    <w:p w14:paraId="73127486">
      <w:pPr>
        <w:snapToGrid w:val="0"/>
        <w:spacing w:before="120" w:beforeLines="50" w:after="50"/>
        <w:ind w:left="142"/>
        <w:jc w:val="left"/>
        <w:rPr>
          <w:rFonts w:ascii="宋体" w:hAnsi="宋体" w:eastAsia="宋体"/>
          <w:b/>
          <w:color w:val="auto"/>
          <w:sz w:val="24"/>
          <w:highlight w:val="none"/>
        </w:rPr>
      </w:pPr>
      <w:r>
        <w:rPr>
          <w:rFonts w:ascii="宋体" w:hAnsi="宋体" w:eastAsia="宋体" w:cs="Calibri"/>
          <w:color w:val="auto"/>
          <w:sz w:val="24"/>
          <w:highlight w:val="none"/>
        </w:rPr>
        <w:br w:type="page"/>
      </w:r>
      <w:r>
        <w:rPr>
          <w:rFonts w:hint="eastAsia" w:ascii="宋体" w:hAnsi="宋体" w:eastAsia="宋体"/>
          <w:b/>
          <w:color w:val="auto"/>
          <w:sz w:val="24"/>
          <w:highlight w:val="none"/>
        </w:rPr>
        <w:t>项目实施人员一览表格式</w:t>
      </w:r>
    </w:p>
    <w:p w14:paraId="260D3C41">
      <w:pPr>
        <w:snapToGrid w:val="0"/>
        <w:spacing w:before="120" w:beforeLines="50" w:after="50"/>
        <w:ind w:left="142"/>
        <w:jc w:val="left"/>
        <w:rPr>
          <w:rFonts w:ascii="宋体" w:hAnsi="宋体" w:eastAsia="宋体"/>
          <w:b/>
          <w:color w:val="auto"/>
          <w:sz w:val="24"/>
          <w:highlight w:val="none"/>
        </w:rPr>
      </w:pPr>
    </w:p>
    <w:p w14:paraId="64CD61F4">
      <w:pPr>
        <w:spacing w:line="360" w:lineRule="auto"/>
        <w:ind w:left="142"/>
        <w:contextualSpacing/>
        <w:jc w:val="center"/>
        <w:rPr>
          <w:rFonts w:ascii="宋体" w:hAnsi="宋体" w:eastAsia="宋体"/>
          <w:b/>
          <w:color w:val="auto"/>
          <w:sz w:val="32"/>
          <w:szCs w:val="32"/>
          <w:highlight w:val="none"/>
        </w:rPr>
      </w:pPr>
      <w:r>
        <w:rPr>
          <w:rFonts w:hint="eastAsia" w:ascii="宋体" w:hAnsi="宋体" w:eastAsia="宋体"/>
          <w:b/>
          <w:color w:val="auto"/>
          <w:sz w:val="32"/>
          <w:szCs w:val="32"/>
          <w:highlight w:val="none"/>
        </w:rPr>
        <w:t>项目实施人员一览表</w:t>
      </w:r>
    </w:p>
    <w:p w14:paraId="3633AD66">
      <w:pPr>
        <w:pStyle w:val="28"/>
        <w:spacing w:line="36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所竞分标：</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分标</w:t>
      </w:r>
    </w:p>
    <w:tbl>
      <w:tblPr>
        <w:tblStyle w:val="49"/>
        <w:tblW w:w="9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010"/>
        <w:gridCol w:w="2121"/>
        <w:gridCol w:w="2121"/>
        <w:gridCol w:w="1587"/>
        <w:gridCol w:w="1556"/>
      </w:tblGrid>
      <w:tr w14:paraId="3D44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222" w:type="dxa"/>
            <w:vAlign w:val="center"/>
          </w:tcPr>
          <w:p w14:paraId="77900123">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姓名</w:t>
            </w:r>
          </w:p>
        </w:tc>
        <w:tc>
          <w:tcPr>
            <w:tcW w:w="1010" w:type="dxa"/>
            <w:vAlign w:val="center"/>
          </w:tcPr>
          <w:p w14:paraId="6A8888CF">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职务</w:t>
            </w:r>
          </w:p>
        </w:tc>
        <w:tc>
          <w:tcPr>
            <w:tcW w:w="2121" w:type="dxa"/>
            <w:vAlign w:val="center"/>
          </w:tcPr>
          <w:p w14:paraId="7EBA0B21">
            <w:pPr>
              <w:keepNext w:val="0"/>
              <w:keepLines w:val="0"/>
              <w:suppressLineNumbers w:val="0"/>
              <w:spacing w:before="0" w:beforeAutospacing="0" w:afterAutospacing="0" w:line="360" w:lineRule="auto"/>
              <w:ind w:left="0" w:right="0"/>
              <w:contextualSpacing/>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eastAsia="zh-CN"/>
              </w:rPr>
              <w:t>身份证号</w:t>
            </w:r>
          </w:p>
        </w:tc>
        <w:tc>
          <w:tcPr>
            <w:tcW w:w="2121" w:type="dxa"/>
            <w:vAlign w:val="center"/>
          </w:tcPr>
          <w:p w14:paraId="12F55906">
            <w:pPr>
              <w:keepNext w:val="0"/>
              <w:keepLines w:val="0"/>
              <w:suppressLineNumbers w:val="0"/>
              <w:spacing w:before="0" w:beforeAutospacing="0" w:afterAutospacing="0" w:line="360" w:lineRule="auto"/>
              <w:ind w:left="0" w:right="0"/>
              <w:contextualSpacing/>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eastAsia="zh-CN"/>
              </w:rPr>
              <w:t>学历</w:t>
            </w:r>
          </w:p>
        </w:tc>
        <w:tc>
          <w:tcPr>
            <w:tcW w:w="1587" w:type="dxa"/>
            <w:vAlign w:val="center"/>
          </w:tcPr>
          <w:p w14:paraId="71409F75">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参加本单位工作时间</w:t>
            </w:r>
          </w:p>
        </w:tc>
        <w:tc>
          <w:tcPr>
            <w:tcW w:w="1556" w:type="dxa"/>
            <w:vAlign w:val="center"/>
          </w:tcPr>
          <w:p w14:paraId="57323C6B">
            <w:pPr>
              <w:keepNext w:val="0"/>
              <w:keepLines w:val="0"/>
              <w:suppressLineNumbers w:val="0"/>
              <w:spacing w:before="0" w:beforeAutospacing="0" w:afterAutospacing="0" w:line="360" w:lineRule="auto"/>
              <w:ind w:left="0" w:right="0"/>
              <w:contextualSpacing/>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备注</w:t>
            </w:r>
          </w:p>
        </w:tc>
      </w:tr>
      <w:tr w14:paraId="5282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22" w:type="dxa"/>
            <w:vAlign w:val="center"/>
          </w:tcPr>
          <w:p w14:paraId="13281D2A">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1010" w:type="dxa"/>
            <w:vAlign w:val="center"/>
          </w:tcPr>
          <w:p w14:paraId="04F39EAA">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2121" w:type="dxa"/>
            <w:vAlign w:val="center"/>
          </w:tcPr>
          <w:p w14:paraId="111AA166">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2121" w:type="dxa"/>
            <w:vAlign w:val="center"/>
          </w:tcPr>
          <w:p w14:paraId="7C7D7E8D">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1587" w:type="dxa"/>
            <w:vAlign w:val="center"/>
          </w:tcPr>
          <w:p w14:paraId="5225A051">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1556" w:type="dxa"/>
            <w:vAlign w:val="center"/>
          </w:tcPr>
          <w:p w14:paraId="08843219">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r>
      <w:tr w14:paraId="2C99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22" w:type="dxa"/>
            <w:vAlign w:val="center"/>
          </w:tcPr>
          <w:p w14:paraId="795DB8DE">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1010" w:type="dxa"/>
            <w:vAlign w:val="center"/>
          </w:tcPr>
          <w:p w14:paraId="1B8A064D">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2121" w:type="dxa"/>
            <w:vAlign w:val="center"/>
          </w:tcPr>
          <w:p w14:paraId="19206FF2">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2121" w:type="dxa"/>
            <w:vAlign w:val="center"/>
          </w:tcPr>
          <w:p w14:paraId="326B0082">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1587" w:type="dxa"/>
            <w:vAlign w:val="center"/>
          </w:tcPr>
          <w:p w14:paraId="41EAA29B">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1556" w:type="dxa"/>
            <w:vAlign w:val="center"/>
          </w:tcPr>
          <w:p w14:paraId="616CF903">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r>
      <w:tr w14:paraId="4E50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22" w:type="dxa"/>
            <w:vAlign w:val="center"/>
          </w:tcPr>
          <w:p w14:paraId="226990DC">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1010" w:type="dxa"/>
            <w:vAlign w:val="center"/>
          </w:tcPr>
          <w:p w14:paraId="46E6FFBE">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2121" w:type="dxa"/>
            <w:vAlign w:val="center"/>
          </w:tcPr>
          <w:p w14:paraId="26EE023A">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2121" w:type="dxa"/>
            <w:vAlign w:val="center"/>
          </w:tcPr>
          <w:p w14:paraId="1A9C68C8">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1587" w:type="dxa"/>
            <w:vAlign w:val="center"/>
          </w:tcPr>
          <w:p w14:paraId="6974005A">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c>
          <w:tcPr>
            <w:tcW w:w="1556" w:type="dxa"/>
            <w:vAlign w:val="center"/>
          </w:tcPr>
          <w:p w14:paraId="223E6260">
            <w:pPr>
              <w:keepNext w:val="0"/>
              <w:keepLines w:val="0"/>
              <w:suppressLineNumbers w:val="0"/>
              <w:spacing w:before="0" w:beforeAutospacing="0" w:afterAutospacing="0" w:line="360" w:lineRule="auto"/>
              <w:ind w:left="0" w:right="0"/>
              <w:contextualSpacing/>
              <w:jc w:val="center"/>
              <w:rPr>
                <w:rFonts w:hint="default" w:ascii="宋体" w:hAnsi="宋体" w:eastAsia="宋体"/>
                <w:color w:val="auto"/>
                <w:sz w:val="24"/>
                <w:szCs w:val="20"/>
                <w:highlight w:val="none"/>
              </w:rPr>
            </w:pPr>
          </w:p>
        </w:tc>
      </w:tr>
    </w:tbl>
    <w:p w14:paraId="0B55FE2B">
      <w:pPr>
        <w:spacing w:line="360" w:lineRule="auto"/>
        <w:contextualSpacing/>
        <w:jc w:val="left"/>
        <w:rPr>
          <w:rFonts w:ascii="宋体" w:hAnsi="宋体" w:eastAsia="宋体"/>
          <w:color w:val="auto"/>
          <w:sz w:val="24"/>
          <w:szCs w:val="20"/>
          <w:highlight w:val="none"/>
        </w:rPr>
      </w:pPr>
      <w:r>
        <w:rPr>
          <w:rFonts w:hint="eastAsia" w:ascii="宋体" w:hAnsi="宋体" w:eastAsia="宋体"/>
          <w:color w:val="auto"/>
          <w:sz w:val="24"/>
          <w:szCs w:val="20"/>
          <w:highlight w:val="none"/>
        </w:rPr>
        <w:t>注：</w:t>
      </w:r>
    </w:p>
    <w:p w14:paraId="7D04744F">
      <w:pPr>
        <w:spacing w:line="360" w:lineRule="auto"/>
        <w:contextualSpacing/>
        <w:jc w:val="left"/>
        <w:rPr>
          <w:rFonts w:ascii="宋体" w:hAnsi="宋体" w:eastAsia="宋体"/>
          <w:color w:val="auto"/>
          <w:sz w:val="24"/>
          <w:szCs w:val="20"/>
          <w:highlight w:val="none"/>
        </w:rPr>
      </w:pPr>
      <w:r>
        <w:rPr>
          <w:rFonts w:hint="eastAsia" w:ascii="宋体" w:hAnsi="宋体" w:eastAsia="宋体"/>
          <w:color w:val="auto"/>
          <w:sz w:val="24"/>
          <w:szCs w:val="20"/>
          <w:highlight w:val="none"/>
        </w:rPr>
        <w:t>1</w:t>
      </w:r>
      <w:r>
        <w:rPr>
          <w:rFonts w:ascii="宋体" w:hAnsi="宋体" w:eastAsia="宋体"/>
          <w:color w:val="auto"/>
          <w:sz w:val="24"/>
          <w:szCs w:val="20"/>
          <w:highlight w:val="none"/>
        </w:rPr>
        <w:t>.</w:t>
      </w:r>
      <w:r>
        <w:rPr>
          <w:rFonts w:hint="eastAsia" w:ascii="宋体" w:hAnsi="宋体" w:eastAsia="宋体"/>
          <w:color w:val="auto"/>
          <w:sz w:val="24"/>
          <w:szCs w:val="20"/>
          <w:highlight w:val="none"/>
        </w:rPr>
        <w:t>在填写时，如本表格不适合供应商的实际情况，可根据本表格式自行制表填写。</w:t>
      </w:r>
    </w:p>
    <w:p w14:paraId="2EEEFFD9">
      <w:pPr>
        <w:spacing w:line="360" w:lineRule="auto"/>
        <w:contextualSpacing/>
        <w:jc w:val="left"/>
        <w:rPr>
          <w:rFonts w:ascii="宋体" w:hAnsi="宋体" w:eastAsia="宋体"/>
          <w:color w:val="auto"/>
          <w:sz w:val="24"/>
          <w:szCs w:val="20"/>
          <w:highlight w:val="none"/>
        </w:rPr>
      </w:pPr>
      <w:r>
        <w:rPr>
          <w:rFonts w:ascii="宋体" w:hAnsi="宋体" w:eastAsia="宋体"/>
          <w:color w:val="auto"/>
          <w:sz w:val="24"/>
          <w:szCs w:val="20"/>
          <w:highlight w:val="none"/>
        </w:rPr>
        <w:t>2.</w:t>
      </w:r>
      <w:r>
        <w:rPr>
          <w:rFonts w:hint="eastAsia" w:ascii="宋体" w:hAnsi="宋体" w:eastAsia="宋体"/>
          <w:color w:val="auto"/>
          <w:sz w:val="24"/>
          <w:szCs w:val="20"/>
          <w:highlight w:val="none"/>
        </w:rPr>
        <w:t>供应商应当附本表所列证书</w:t>
      </w:r>
      <w:r>
        <w:rPr>
          <w:rFonts w:hint="eastAsia" w:ascii="宋体" w:hAnsi="宋体" w:eastAsia="宋体"/>
          <w:color w:val="auto"/>
          <w:sz w:val="24"/>
          <w:szCs w:val="20"/>
          <w:highlight w:val="none"/>
          <w:lang w:eastAsia="zh-CN"/>
        </w:rPr>
        <w:t>（身份证、学历证）</w:t>
      </w:r>
      <w:r>
        <w:rPr>
          <w:rFonts w:hint="eastAsia" w:ascii="宋体" w:hAnsi="宋体" w:eastAsia="宋体"/>
          <w:color w:val="auto"/>
          <w:sz w:val="24"/>
          <w:szCs w:val="20"/>
          <w:highlight w:val="none"/>
        </w:rPr>
        <w:t>的复印件并加盖供应商电子签章。</w:t>
      </w:r>
    </w:p>
    <w:p w14:paraId="3082D614">
      <w:pPr>
        <w:spacing w:line="360" w:lineRule="auto"/>
        <w:contextualSpacing/>
        <w:rPr>
          <w:rFonts w:hint="eastAsia" w:ascii="宋体" w:hAnsi="宋体" w:eastAsia="宋体"/>
          <w:color w:val="auto"/>
          <w:sz w:val="24"/>
          <w:highlight w:val="none"/>
        </w:rPr>
      </w:pPr>
    </w:p>
    <w:p w14:paraId="5409CAB2">
      <w:pPr>
        <w:spacing w:line="360" w:lineRule="auto"/>
        <w:contextualSpacing/>
        <w:rPr>
          <w:rFonts w:hint="eastAsia" w:ascii="宋体" w:hAnsi="宋体" w:eastAsia="宋体"/>
          <w:color w:val="auto"/>
          <w:sz w:val="24"/>
          <w:highlight w:val="none"/>
        </w:rPr>
      </w:pPr>
    </w:p>
    <w:p w14:paraId="0E0812A6">
      <w:pPr>
        <w:spacing w:line="360" w:lineRule="auto"/>
        <w:contextualSpacing/>
        <w:rPr>
          <w:rFonts w:hint="eastAsia" w:ascii="宋体" w:hAnsi="宋体" w:eastAsia="宋体"/>
          <w:color w:val="auto"/>
          <w:sz w:val="24"/>
          <w:highlight w:val="none"/>
        </w:rPr>
      </w:pPr>
    </w:p>
    <w:p w14:paraId="21D9F922">
      <w:pPr>
        <w:spacing w:line="360" w:lineRule="auto"/>
        <w:contextualSpacing/>
        <w:rPr>
          <w:rFonts w:ascii="宋体" w:hAnsi="宋体" w:eastAsia="宋体"/>
          <w:color w:val="auto"/>
          <w:spacing w:val="20"/>
          <w:sz w:val="24"/>
          <w:szCs w:val="20"/>
          <w:highlight w:val="none"/>
          <w:u w:val="single"/>
        </w:rPr>
      </w:pPr>
      <w:r>
        <w:rPr>
          <w:rFonts w:hint="eastAsia" w:ascii="宋体" w:hAnsi="宋体" w:eastAsia="宋体"/>
          <w:color w:val="auto"/>
          <w:sz w:val="24"/>
          <w:highlight w:val="none"/>
        </w:rPr>
        <w:t>法定代表人或者委托代理人</w:t>
      </w:r>
      <w:r>
        <w:rPr>
          <w:rFonts w:hint="eastAsia" w:ascii="宋体" w:hAnsi="宋体" w:eastAsia="宋体" w:cs="Calibri"/>
          <w:color w:val="auto"/>
          <w:sz w:val="24"/>
          <w:highlight w:val="none"/>
        </w:rPr>
        <w:t>（签字或者电子签名）</w:t>
      </w:r>
      <w:r>
        <w:rPr>
          <w:rFonts w:hint="eastAsia" w:ascii="宋体" w:hAnsi="宋体" w:eastAsia="宋体"/>
          <w:color w:val="auto"/>
          <w:spacing w:val="20"/>
          <w:sz w:val="24"/>
          <w:highlight w:val="none"/>
        </w:rPr>
        <w:t>：</w:t>
      </w:r>
      <w:r>
        <w:rPr>
          <w:rFonts w:hint="eastAsia" w:ascii="宋体" w:hAnsi="宋体" w:eastAsia="宋体"/>
          <w:color w:val="auto"/>
          <w:spacing w:val="20"/>
          <w:sz w:val="24"/>
          <w:highlight w:val="none"/>
          <w:u w:val="single"/>
        </w:rPr>
        <w:t xml:space="preserve">        </w:t>
      </w:r>
    </w:p>
    <w:p w14:paraId="0524BA9E">
      <w:pPr>
        <w:spacing w:line="360" w:lineRule="auto"/>
        <w:contextualSpacing/>
        <w:jc w:val="left"/>
        <w:rPr>
          <w:rFonts w:hint="eastAsia" w:ascii="宋体" w:hAnsi="宋体" w:eastAsia="宋体"/>
          <w:color w:val="auto"/>
          <w:spacing w:val="20"/>
          <w:sz w:val="24"/>
          <w:highlight w:val="none"/>
        </w:rPr>
      </w:pPr>
      <w:r>
        <w:rPr>
          <w:rFonts w:hint="eastAsia" w:ascii="宋体" w:hAnsi="宋体" w:eastAsia="宋体"/>
          <w:color w:val="auto"/>
          <w:spacing w:val="20"/>
          <w:sz w:val="24"/>
          <w:highlight w:val="none"/>
        </w:rPr>
        <w:t>供应商（电子签章）：</w:t>
      </w:r>
      <w:r>
        <w:rPr>
          <w:rFonts w:hint="eastAsia" w:ascii="宋体" w:hAnsi="宋体" w:eastAsia="宋体"/>
          <w:color w:val="auto"/>
          <w:spacing w:val="20"/>
          <w:sz w:val="24"/>
          <w:highlight w:val="none"/>
          <w:u w:val="single"/>
        </w:rPr>
        <w:t xml:space="preserve">            </w:t>
      </w:r>
      <w:r>
        <w:rPr>
          <w:rFonts w:hint="eastAsia" w:ascii="宋体" w:hAnsi="宋体" w:eastAsia="宋体"/>
          <w:color w:val="auto"/>
          <w:spacing w:val="20"/>
          <w:sz w:val="24"/>
          <w:highlight w:val="none"/>
        </w:rPr>
        <w:t xml:space="preserve">             </w:t>
      </w:r>
    </w:p>
    <w:p w14:paraId="423743E6">
      <w:pPr>
        <w:spacing w:line="360" w:lineRule="auto"/>
        <w:contextualSpacing/>
        <w:jc w:val="left"/>
        <w:rPr>
          <w:rFonts w:ascii="宋体" w:hAnsi="宋体" w:eastAsia="宋体"/>
          <w:color w:val="auto"/>
          <w:sz w:val="24"/>
          <w:szCs w:val="20"/>
          <w:highlight w:val="none"/>
        </w:rPr>
      </w:pPr>
      <w:r>
        <w:rPr>
          <w:rFonts w:hint="eastAsia" w:ascii="宋体" w:hAnsi="宋体" w:eastAsia="宋体"/>
          <w:color w:val="auto"/>
          <w:spacing w:val="20"/>
          <w:sz w:val="24"/>
          <w:highlight w:val="none"/>
        </w:rPr>
        <w:t xml:space="preserve"> 日 期：</w:t>
      </w:r>
      <w:r>
        <w:rPr>
          <w:rFonts w:hint="eastAsia" w:ascii="宋体" w:hAnsi="宋体" w:eastAsia="宋体"/>
          <w:color w:val="auto"/>
          <w:spacing w:val="20"/>
          <w:sz w:val="24"/>
          <w:highlight w:val="none"/>
          <w:u w:val="single"/>
        </w:rPr>
        <w:t xml:space="preserve">         </w:t>
      </w:r>
    </w:p>
    <w:p w14:paraId="5D34B162">
      <w:pPr>
        <w:snapToGrid w:val="0"/>
        <w:spacing w:before="50" w:after="120" w:afterLines="50"/>
        <w:jc w:val="left"/>
        <w:rPr>
          <w:rFonts w:ascii="宋体" w:hAnsi="宋体" w:eastAsia="宋体"/>
          <w:color w:val="auto"/>
          <w:sz w:val="24"/>
          <w:szCs w:val="20"/>
          <w:highlight w:val="none"/>
        </w:rPr>
      </w:pPr>
    </w:p>
    <w:p w14:paraId="4985ECD8">
      <w:pPr>
        <w:snapToGrid w:val="0"/>
        <w:spacing w:before="50" w:after="50" w:line="360" w:lineRule="auto"/>
        <w:ind w:right="-817" w:rightChars="-389" w:firstLine="5461" w:firstLineChars="1700"/>
        <w:rPr>
          <w:rFonts w:ascii="宋体" w:hAnsi="宋体" w:eastAsia="宋体" w:cs="Calibri"/>
          <w:b/>
          <w:color w:val="auto"/>
          <w:sz w:val="32"/>
          <w:szCs w:val="32"/>
          <w:highlight w:val="none"/>
        </w:rPr>
      </w:pPr>
    </w:p>
    <w:p w14:paraId="31DBF80E">
      <w:pPr>
        <w:spacing w:line="300" w:lineRule="auto"/>
        <w:rPr>
          <w:rFonts w:ascii="宋体" w:hAnsi="宋体" w:eastAsia="宋体"/>
          <w:color w:val="auto"/>
          <w:szCs w:val="21"/>
          <w:highlight w:val="none"/>
        </w:rPr>
      </w:pPr>
      <w:r>
        <w:rPr>
          <w:rFonts w:ascii="宋体" w:hAnsi="宋体" w:eastAsia="宋体"/>
          <w:b/>
          <w:bCs/>
          <w:color w:val="auto"/>
          <w:sz w:val="24"/>
          <w:highlight w:val="none"/>
        </w:rPr>
        <w:br w:type="page"/>
      </w:r>
      <w:r>
        <w:rPr>
          <w:rFonts w:hint="eastAsia" w:ascii="宋体" w:hAnsi="宋体" w:eastAsia="宋体"/>
          <w:b/>
          <w:bCs/>
          <w:color w:val="auto"/>
          <w:sz w:val="24"/>
          <w:highlight w:val="none"/>
        </w:rPr>
        <w:t>其他文书、文件格式</w:t>
      </w:r>
    </w:p>
    <w:p w14:paraId="5EC805E7">
      <w:pPr>
        <w:spacing w:line="360" w:lineRule="auto"/>
        <w:jc w:val="center"/>
        <w:rPr>
          <w:rFonts w:ascii="宋体" w:hAnsi="宋体" w:eastAsia="宋体" w:cs="Calibri"/>
          <w:color w:val="auto"/>
          <w:sz w:val="24"/>
          <w:highlight w:val="none"/>
        </w:rPr>
      </w:pPr>
    </w:p>
    <w:p w14:paraId="3A97606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eastAsia="宋体"/>
          <w:b/>
          <w:bCs/>
          <w:color w:val="auto"/>
          <w:sz w:val="32"/>
          <w:szCs w:val="32"/>
          <w:highlight w:val="none"/>
        </w:rPr>
      </w:pPr>
      <w:bookmarkStart w:id="145" w:name="_Toc25433"/>
      <w:r>
        <w:rPr>
          <w:rFonts w:hint="eastAsia" w:ascii="宋体" w:hAnsi="宋体" w:eastAsia="宋体" w:cs="Tahoma"/>
          <w:color w:val="auto"/>
          <w:sz w:val="44"/>
          <w:szCs w:val="44"/>
          <w:highlight w:val="none"/>
        </w:rPr>
        <w:t>质疑函（格式）</w:t>
      </w:r>
      <w:bookmarkEnd w:id="145"/>
    </w:p>
    <w:p w14:paraId="5C5B6348">
      <w:pPr>
        <w:pStyle w:val="28"/>
        <w:spacing w:line="360" w:lineRule="auto"/>
        <w:ind w:firstLine="482" w:firstLineChars="200"/>
        <w:contextualSpacing/>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一、质疑供应商基本信息：</w:t>
      </w:r>
    </w:p>
    <w:p w14:paraId="38FC9CA5">
      <w:pPr>
        <w:pStyle w:val="28"/>
        <w:spacing w:line="360" w:lineRule="auto"/>
        <w:ind w:firstLine="480" w:firstLineChars="200"/>
        <w:contextualSpacing/>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质疑供应商：</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4E123776">
      <w:pPr>
        <w:pStyle w:val="28"/>
        <w:spacing w:line="360" w:lineRule="auto"/>
        <w:ind w:firstLine="480" w:firstLineChars="200"/>
        <w:contextualSpacing/>
        <w:rPr>
          <w:rFonts w:ascii="宋体" w:hAnsi="宋体" w:eastAsia="宋体"/>
          <w:bCs/>
          <w:color w:val="auto"/>
          <w:sz w:val="24"/>
          <w:szCs w:val="24"/>
          <w:highlight w:val="none"/>
        </w:rPr>
      </w:pPr>
      <w:r>
        <w:rPr>
          <w:rFonts w:ascii="宋体" w:hAnsi="宋体" w:eastAsia="宋体"/>
          <w:bCs/>
          <w:color w:val="auto"/>
          <w:sz w:val="24"/>
          <w:szCs w:val="24"/>
          <w:highlight w:val="none"/>
        </w:rPr>
        <w:t>地址</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邮编</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2BE69BAF">
      <w:pPr>
        <w:pStyle w:val="28"/>
        <w:spacing w:line="360" w:lineRule="auto"/>
        <w:ind w:firstLine="480" w:firstLineChars="200"/>
        <w:contextualSpacing/>
        <w:rPr>
          <w:rFonts w:ascii="宋体" w:hAnsi="宋体" w:eastAsia="宋体"/>
          <w:bCs/>
          <w:color w:val="auto"/>
          <w:sz w:val="24"/>
          <w:szCs w:val="24"/>
          <w:highlight w:val="none"/>
        </w:rPr>
      </w:pPr>
      <w:r>
        <w:rPr>
          <w:rFonts w:ascii="宋体" w:hAnsi="宋体" w:eastAsia="宋体"/>
          <w:bCs/>
          <w:color w:val="auto"/>
          <w:sz w:val="24"/>
          <w:szCs w:val="24"/>
          <w:highlight w:val="none"/>
        </w:rPr>
        <w:t>联系人</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联系电话</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p>
    <w:p w14:paraId="48EF5F0B">
      <w:pPr>
        <w:pStyle w:val="28"/>
        <w:spacing w:line="360" w:lineRule="auto"/>
        <w:ind w:firstLine="480" w:firstLineChars="200"/>
        <w:contextualSpacing/>
        <w:rPr>
          <w:rFonts w:ascii="宋体" w:hAnsi="宋体" w:eastAsia="宋体"/>
          <w:bCs/>
          <w:color w:val="auto"/>
          <w:sz w:val="24"/>
          <w:szCs w:val="24"/>
          <w:highlight w:val="none"/>
        </w:rPr>
      </w:pPr>
      <w:r>
        <w:rPr>
          <w:rFonts w:hint="eastAsia" w:ascii="宋体" w:hAnsi="宋体" w:eastAsia="宋体"/>
          <w:bCs/>
          <w:color w:val="auto"/>
          <w:sz w:val="24"/>
          <w:szCs w:val="24"/>
          <w:highlight w:val="none"/>
        </w:rPr>
        <w:t>授权代表：</w:t>
      </w:r>
      <w:r>
        <w:rPr>
          <w:rFonts w:hint="eastAsia" w:ascii="宋体" w:hAnsi="宋体" w:eastAsia="宋体"/>
          <w:bCs/>
          <w:color w:val="auto"/>
          <w:sz w:val="24"/>
          <w:szCs w:val="24"/>
          <w:highlight w:val="none"/>
          <w:u w:val="single"/>
        </w:rPr>
        <w:t xml:space="preserve">                      </w:t>
      </w:r>
    </w:p>
    <w:p w14:paraId="221DF400">
      <w:pPr>
        <w:pStyle w:val="28"/>
        <w:spacing w:line="360" w:lineRule="auto"/>
        <w:ind w:firstLine="480" w:firstLineChars="200"/>
        <w:contextualSpacing/>
        <w:rPr>
          <w:rFonts w:ascii="宋体" w:hAnsi="宋体" w:eastAsia="宋体"/>
          <w:bCs/>
          <w:color w:val="auto"/>
          <w:sz w:val="24"/>
          <w:szCs w:val="24"/>
          <w:highlight w:val="none"/>
          <w:u w:val="single"/>
        </w:rPr>
      </w:pPr>
      <w:r>
        <w:rPr>
          <w:rFonts w:ascii="宋体" w:hAnsi="宋体" w:eastAsia="宋体"/>
          <w:bCs/>
          <w:color w:val="auto"/>
          <w:sz w:val="24"/>
          <w:szCs w:val="24"/>
          <w:highlight w:val="none"/>
        </w:rPr>
        <w:t>联系</w:t>
      </w:r>
      <w:r>
        <w:rPr>
          <w:rFonts w:hint="eastAsia" w:ascii="宋体" w:hAnsi="宋体" w:eastAsia="宋体"/>
          <w:bCs/>
          <w:color w:val="auto"/>
          <w:sz w:val="24"/>
          <w:szCs w:val="24"/>
          <w:highlight w:val="none"/>
        </w:rPr>
        <w:t>电话：</w:t>
      </w:r>
      <w:r>
        <w:rPr>
          <w:rFonts w:hint="eastAsia" w:ascii="宋体" w:hAnsi="宋体" w:eastAsia="宋体"/>
          <w:bCs/>
          <w:color w:val="auto"/>
          <w:sz w:val="24"/>
          <w:szCs w:val="24"/>
          <w:highlight w:val="none"/>
          <w:u w:val="single"/>
        </w:rPr>
        <w:t xml:space="preserve">                      </w:t>
      </w:r>
    </w:p>
    <w:p w14:paraId="72267705">
      <w:pPr>
        <w:pStyle w:val="28"/>
        <w:spacing w:line="360" w:lineRule="auto"/>
        <w:ind w:firstLine="480" w:firstLineChars="200"/>
        <w:contextualSpacing/>
        <w:rPr>
          <w:rFonts w:ascii="宋体" w:hAnsi="宋体" w:eastAsia="宋体"/>
          <w:bCs/>
          <w:color w:val="auto"/>
          <w:sz w:val="24"/>
          <w:szCs w:val="24"/>
          <w:highlight w:val="none"/>
        </w:rPr>
      </w:pPr>
      <w:r>
        <w:rPr>
          <w:rFonts w:ascii="宋体" w:hAnsi="宋体" w:eastAsia="宋体"/>
          <w:bCs/>
          <w:color w:val="auto"/>
          <w:sz w:val="24"/>
          <w:szCs w:val="24"/>
          <w:highlight w:val="none"/>
        </w:rPr>
        <w:t>地址</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邮编</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48B0DE8C">
      <w:pPr>
        <w:pStyle w:val="28"/>
        <w:spacing w:line="360" w:lineRule="auto"/>
        <w:ind w:firstLine="482" w:firstLineChars="200"/>
        <w:contextualSpacing/>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二、质疑项目基本情况：</w:t>
      </w:r>
    </w:p>
    <w:p w14:paraId="445671B5">
      <w:pPr>
        <w:pStyle w:val="28"/>
        <w:spacing w:line="360" w:lineRule="auto"/>
        <w:ind w:left="25" w:leftChars="12" w:firstLine="472" w:firstLineChars="197"/>
        <w:contextualSpacing/>
        <w:rPr>
          <w:rFonts w:ascii="宋体" w:hAnsi="宋体" w:eastAsia="宋体"/>
          <w:color w:val="auto"/>
          <w:sz w:val="24"/>
          <w:szCs w:val="24"/>
          <w:highlight w:val="none"/>
        </w:rPr>
      </w:pPr>
      <w:r>
        <w:rPr>
          <w:rFonts w:hint="eastAsia" w:ascii="宋体" w:hAnsi="宋体" w:eastAsia="宋体"/>
          <w:bCs/>
          <w:color w:val="auto"/>
          <w:sz w:val="24"/>
          <w:szCs w:val="24"/>
          <w:highlight w:val="none"/>
        </w:rPr>
        <w:t>质疑</w:t>
      </w:r>
      <w:r>
        <w:rPr>
          <w:rFonts w:hint="eastAsia" w:ascii="宋体" w:hAnsi="宋体" w:eastAsia="宋体"/>
          <w:color w:val="auto"/>
          <w:sz w:val="24"/>
          <w:szCs w:val="24"/>
          <w:highlight w:val="none"/>
        </w:rPr>
        <w:t>项目的名称：</w:t>
      </w:r>
      <w:r>
        <w:rPr>
          <w:rFonts w:hint="eastAsia" w:ascii="宋体" w:hAnsi="宋体" w:eastAsia="宋体"/>
          <w:bCs/>
          <w:color w:val="auto"/>
          <w:sz w:val="24"/>
          <w:szCs w:val="24"/>
          <w:highlight w:val="none"/>
          <w:u w:val="single"/>
        </w:rPr>
        <w:t xml:space="preserve">                                     </w:t>
      </w:r>
    </w:p>
    <w:p w14:paraId="43550638">
      <w:pPr>
        <w:pStyle w:val="28"/>
        <w:spacing w:line="360" w:lineRule="auto"/>
        <w:ind w:left="25" w:leftChars="12" w:firstLine="472" w:firstLineChars="197"/>
        <w:contextualSpacing/>
        <w:rPr>
          <w:rFonts w:ascii="宋体" w:hAnsi="宋体" w:eastAsia="宋体"/>
          <w:color w:val="auto"/>
          <w:sz w:val="24"/>
          <w:szCs w:val="24"/>
          <w:highlight w:val="none"/>
        </w:rPr>
      </w:pPr>
      <w:r>
        <w:rPr>
          <w:rFonts w:hint="eastAsia" w:ascii="宋体" w:hAnsi="宋体" w:eastAsia="宋体"/>
          <w:bCs/>
          <w:color w:val="auto"/>
          <w:sz w:val="24"/>
          <w:szCs w:val="24"/>
          <w:highlight w:val="none"/>
        </w:rPr>
        <w:t>质疑</w:t>
      </w:r>
      <w:r>
        <w:rPr>
          <w:rFonts w:hint="eastAsia" w:ascii="宋体" w:hAnsi="宋体" w:eastAsia="宋体"/>
          <w:color w:val="auto"/>
          <w:sz w:val="24"/>
          <w:szCs w:val="24"/>
          <w:highlight w:val="none"/>
        </w:rPr>
        <w:t>项目的编号：</w:t>
      </w:r>
      <w:r>
        <w:rPr>
          <w:rFonts w:hint="eastAsia" w:ascii="宋体" w:hAnsi="宋体" w:eastAsia="宋体"/>
          <w:bCs/>
          <w:color w:val="auto"/>
          <w:sz w:val="24"/>
          <w:szCs w:val="24"/>
          <w:highlight w:val="none"/>
          <w:u w:val="single"/>
        </w:rPr>
        <w:t xml:space="preserve">                                     </w:t>
      </w:r>
    </w:p>
    <w:p w14:paraId="2FDC678A">
      <w:pPr>
        <w:pStyle w:val="28"/>
        <w:spacing w:line="360" w:lineRule="auto"/>
        <w:ind w:left="25" w:leftChars="12" w:firstLine="472" w:firstLineChars="197"/>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采购人名称：</w:t>
      </w:r>
      <w:r>
        <w:rPr>
          <w:rFonts w:hint="eastAsia" w:ascii="宋体" w:hAnsi="宋体" w:eastAsia="宋体"/>
          <w:bCs/>
          <w:color w:val="auto"/>
          <w:sz w:val="24"/>
          <w:szCs w:val="24"/>
          <w:highlight w:val="none"/>
          <w:u w:val="single"/>
        </w:rPr>
        <w:t xml:space="preserve">                                         </w:t>
      </w:r>
    </w:p>
    <w:p w14:paraId="357CE0C4">
      <w:pPr>
        <w:pStyle w:val="28"/>
        <w:spacing w:line="360" w:lineRule="auto"/>
        <w:ind w:left="25" w:leftChars="12" w:firstLine="472" w:firstLineChars="197"/>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质疑事项：</w:t>
      </w:r>
    </w:p>
    <w:p w14:paraId="12C78B8F">
      <w:pPr>
        <w:pStyle w:val="28"/>
        <w:spacing w:line="360" w:lineRule="auto"/>
        <w:ind w:left="25" w:leftChars="12" w:firstLine="352" w:firstLineChars="147"/>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□采购文件   采购文件获取日期：</w:t>
      </w:r>
      <w:r>
        <w:rPr>
          <w:rFonts w:hint="eastAsia" w:ascii="宋体" w:hAnsi="宋体" w:eastAsia="宋体"/>
          <w:bCs/>
          <w:color w:val="auto"/>
          <w:sz w:val="24"/>
          <w:szCs w:val="24"/>
          <w:highlight w:val="none"/>
          <w:u w:val="single"/>
        </w:rPr>
        <w:t xml:space="preserve">                                   </w:t>
      </w:r>
    </w:p>
    <w:p w14:paraId="0C41A3F3">
      <w:pPr>
        <w:pStyle w:val="28"/>
        <w:spacing w:line="360" w:lineRule="auto"/>
        <w:ind w:left="25" w:leftChars="12" w:firstLine="352" w:firstLineChars="147"/>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□采购过程   </w:t>
      </w:r>
    </w:p>
    <w:p w14:paraId="4D3B6131">
      <w:pPr>
        <w:pStyle w:val="28"/>
        <w:spacing w:line="360" w:lineRule="auto"/>
        <w:ind w:left="25" w:leftChars="12" w:firstLine="352" w:firstLineChars="147"/>
        <w:contextualSpacing/>
        <w:rPr>
          <w:rFonts w:ascii="宋体" w:hAnsi="宋体" w:eastAsia="宋体"/>
          <w:bCs/>
          <w:color w:val="auto"/>
          <w:sz w:val="24"/>
          <w:szCs w:val="24"/>
          <w:highlight w:val="none"/>
          <w:u w:val="single"/>
        </w:rPr>
      </w:pPr>
      <w:r>
        <w:rPr>
          <w:rFonts w:hint="eastAsia" w:ascii="宋体" w:hAnsi="宋体" w:eastAsia="宋体"/>
          <w:color w:val="auto"/>
          <w:sz w:val="24"/>
          <w:szCs w:val="24"/>
          <w:highlight w:val="none"/>
        </w:rPr>
        <w:t xml:space="preserve">□成交结果   </w:t>
      </w:r>
    </w:p>
    <w:p w14:paraId="7A0C6C50">
      <w:pPr>
        <w:pStyle w:val="28"/>
        <w:spacing w:line="360" w:lineRule="auto"/>
        <w:ind w:left="25" w:leftChars="12" w:firstLine="472" w:firstLineChars="196"/>
        <w:contextualSpacing/>
        <w:rPr>
          <w:rFonts w:ascii="宋体" w:hAnsi="宋体" w:eastAsia="宋体"/>
          <w:b/>
          <w:color w:val="auto"/>
          <w:sz w:val="24"/>
          <w:szCs w:val="24"/>
          <w:highlight w:val="none"/>
        </w:rPr>
      </w:pPr>
      <w:r>
        <w:rPr>
          <w:rFonts w:hint="eastAsia" w:ascii="宋体" w:hAnsi="宋体" w:eastAsia="宋体"/>
          <w:b/>
          <w:color w:val="auto"/>
          <w:sz w:val="24"/>
          <w:szCs w:val="24"/>
          <w:highlight w:val="none"/>
        </w:rPr>
        <w:t>三、质疑事项具体内容</w:t>
      </w:r>
    </w:p>
    <w:p w14:paraId="49A43F42">
      <w:pPr>
        <w:pStyle w:val="28"/>
        <w:spacing w:line="360" w:lineRule="auto"/>
        <w:ind w:left="25" w:leftChars="12" w:firstLine="472" w:firstLineChars="197"/>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质疑事项1：</w:t>
      </w:r>
      <w:r>
        <w:rPr>
          <w:rFonts w:hint="eastAsia" w:ascii="宋体" w:hAnsi="宋体" w:eastAsia="宋体"/>
          <w:bCs/>
          <w:color w:val="auto"/>
          <w:sz w:val="24"/>
          <w:szCs w:val="24"/>
          <w:highlight w:val="none"/>
          <w:u w:val="single"/>
        </w:rPr>
        <w:t xml:space="preserve">                                                                    </w:t>
      </w:r>
    </w:p>
    <w:p w14:paraId="3D1BAD1B">
      <w:pPr>
        <w:pStyle w:val="28"/>
        <w:spacing w:line="360" w:lineRule="auto"/>
        <w:ind w:left="25" w:leftChars="12" w:firstLine="472" w:firstLineChars="197"/>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事实依据：</w:t>
      </w:r>
      <w:r>
        <w:rPr>
          <w:rFonts w:hint="eastAsia" w:ascii="宋体" w:hAnsi="宋体" w:eastAsia="宋体"/>
          <w:bCs/>
          <w:color w:val="auto"/>
          <w:sz w:val="24"/>
          <w:szCs w:val="24"/>
          <w:highlight w:val="none"/>
          <w:u w:val="single"/>
        </w:rPr>
        <w:t xml:space="preserve">                                                                      </w:t>
      </w:r>
    </w:p>
    <w:p w14:paraId="69CCAE63">
      <w:pPr>
        <w:pStyle w:val="28"/>
        <w:spacing w:line="360" w:lineRule="auto"/>
        <w:ind w:left="25" w:leftChars="12" w:firstLine="472" w:firstLineChars="197"/>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法律依据：</w:t>
      </w:r>
      <w:r>
        <w:rPr>
          <w:rFonts w:hint="eastAsia" w:ascii="宋体" w:hAnsi="宋体" w:eastAsia="宋体"/>
          <w:color w:val="auto"/>
          <w:sz w:val="24"/>
          <w:szCs w:val="24"/>
          <w:highlight w:val="none"/>
          <w:u w:val="single"/>
        </w:rPr>
        <w:t xml:space="preserve">                                                        </w:t>
      </w:r>
      <w:r>
        <w:rPr>
          <w:rFonts w:hint="eastAsia" w:ascii="宋体" w:hAnsi="宋体" w:eastAsia="宋体"/>
          <w:bCs/>
          <w:color w:val="auto"/>
          <w:sz w:val="24"/>
          <w:szCs w:val="24"/>
          <w:highlight w:val="none"/>
          <w:u w:val="single"/>
        </w:rPr>
        <w:t xml:space="preserve">               </w:t>
      </w:r>
    </w:p>
    <w:p w14:paraId="6C4AF40A">
      <w:pPr>
        <w:pStyle w:val="28"/>
        <w:spacing w:line="360" w:lineRule="auto"/>
        <w:ind w:left="25" w:leftChars="12" w:firstLine="472" w:firstLineChars="197"/>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质疑事项2</w:t>
      </w:r>
    </w:p>
    <w:p w14:paraId="128108F0">
      <w:pPr>
        <w:pStyle w:val="28"/>
        <w:spacing w:line="360" w:lineRule="auto"/>
        <w:ind w:left="25" w:leftChars="12" w:firstLine="472" w:firstLineChars="197"/>
        <w:contextualSpacing/>
        <w:rPr>
          <w:rFonts w:ascii="宋体" w:hAnsi="宋体" w:eastAsia="宋体"/>
          <w:color w:val="auto"/>
          <w:sz w:val="24"/>
          <w:szCs w:val="24"/>
          <w:highlight w:val="none"/>
        </w:rPr>
      </w:pPr>
      <w:r>
        <w:rPr>
          <w:rFonts w:ascii="宋体" w:hAnsi="宋体" w:eastAsia="宋体"/>
          <w:color w:val="auto"/>
          <w:sz w:val="24"/>
          <w:szCs w:val="24"/>
          <w:highlight w:val="none"/>
        </w:rPr>
        <w:t>……</w:t>
      </w:r>
    </w:p>
    <w:p w14:paraId="7B40A8D7">
      <w:pPr>
        <w:pStyle w:val="28"/>
        <w:spacing w:line="360" w:lineRule="auto"/>
        <w:ind w:left="25" w:leftChars="12" w:firstLine="472" w:firstLineChars="197"/>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四、与质疑事项相关的质疑请求：</w:t>
      </w:r>
    </w:p>
    <w:p w14:paraId="7A9A2F25">
      <w:pPr>
        <w:pStyle w:val="28"/>
        <w:spacing w:line="360" w:lineRule="auto"/>
        <w:ind w:left="25" w:leftChars="12" w:firstLine="472" w:firstLineChars="197"/>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请求：</w:t>
      </w:r>
      <w:r>
        <w:rPr>
          <w:rFonts w:hint="eastAsia" w:ascii="宋体" w:hAnsi="宋体" w:eastAsia="宋体"/>
          <w:bCs/>
          <w:color w:val="auto"/>
          <w:sz w:val="24"/>
          <w:szCs w:val="24"/>
          <w:highlight w:val="none"/>
          <w:u w:val="single"/>
        </w:rPr>
        <w:t xml:space="preserve">                                                                </w:t>
      </w:r>
    </w:p>
    <w:p w14:paraId="080FA624">
      <w:pPr>
        <w:pStyle w:val="28"/>
        <w:spacing w:line="360" w:lineRule="auto"/>
        <w:ind w:left="25" w:leftChars="12" w:firstLine="352" w:firstLineChars="147"/>
        <w:contextualSpacing/>
        <w:rPr>
          <w:rFonts w:ascii="宋体" w:hAnsi="宋体" w:eastAsia="宋体"/>
          <w:color w:val="auto"/>
          <w:sz w:val="24"/>
          <w:szCs w:val="24"/>
          <w:highlight w:val="none"/>
        </w:rPr>
      </w:pPr>
    </w:p>
    <w:p w14:paraId="5B6564C1">
      <w:pPr>
        <w:pStyle w:val="28"/>
        <w:spacing w:line="360" w:lineRule="auto"/>
        <w:ind w:left="25" w:leftChars="12" w:firstLine="472" w:firstLineChars="197"/>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签字（签章）：                                       公章：</w:t>
      </w:r>
    </w:p>
    <w:p w14:paraId="5BD72A5C">
      <w:pPr>
        <w:pStyle w:val="28"/>
        <w:spacing w:line="360" w:lineRule="auto"/>
        <w:ind w:firstLine="480" w:firstLineChars="200"/>
        <w:contextualSpacing/>
        <w:rPr>
          <w:rFonts w:ascii="宋体" w:hAnsi="宋体" w:eastAsia="宋体"/>
          <w:b/>
          <w:color w:val="auto"/>
          <w:sz w:val="24"/>
          <w:szCs w:val="24"/>
          <w:highlight w:val="none"/>
        </w:rPr>
      </w:pPr>
      <w:r>
        <w:rPr>
          <w:rFonts w:hint="eastAsia" w:ascii="宋体" w:hAnsi="宋体" w:eastAsia="宋体"/>
          <w:color w:val="auto"/>
          <w:sz w:val="24"/>
          <w:szCs w:val="24"/>
          <w:highlight w:val="none"/>
        </w:rPr>
        <w:t>日期：</w:t>
      </w:r>
    </w:p>
    <w:p w14:paraId="6880FAFD">
      <w:pPr>
        <w:pStyle w:val="28"/>
        <w:spacing w:line="360" w:lineRule="auto"/>
        <w:contextualSpacing/>
        <w:rPr>
          <w:rFonts w:ascii="宋体" w:hAnsi="宋体" w:eastAsia="宋体"/>
          <w:b/>
          <w:color w:val="auto"/>
          <w:sz w:val="24"/>
          <w:szCs w:val="24"/>
          <w:highlight w:val="none"/>
        </w:rPr>
      </w:pPr>
      <w:r>
        <w:rPr>
          <w:rFonts w:hint="eastAsia" w:ascii="宋体" w:hAnsi="宋体" w:eastAsia="宋体"/>
          <w:b/>
          <w:color w:val="auto"/>
          <w:sz w:val="24"/>
          <w:szCs w:val="24"/>
          <w:highlight w:val="none"/>
        </w:rPr>
        <w:t>说明：</w:t>
      </w:r>
    </w:p>
    <w:p w14:paraId="3729A782">
      <w:pPr>
        <w:pStyle w:val="28"/>
        <w:spacing w:line="360" w:lineRule="auto"/>
        <w:ind w:left="25" w:leftChars="12" w:firstLine="354" w:firstLineChars="147"/>
        <w:contextualSpacing/>
        <w:rPr>
          <w:rFonts w:ascii="宋体" w:hAnsi="宋体" w:eastAsia="宋体"/>
          <w:b/>
          <w:bCs/>
          <w:color w:val="auto"/>
          <w:sz w:val="24"/>
          <w:szCs w:val="24"/>
          <w:highlight w:val="none"/>
        </w:rPr>
      </w:pPr>
      <w:r>
        <w:rPr>
          <w:rFonts w:hint="eastAsia" w:ascii="宋体" w:hAnsi="宋体" w:eastAsia="宋体"/>
          <w:b/>
          <w:color w:val="auto"/>
          <w:sz w:val="24"/>
          <w:szCs w:val="24"/>
          <w:highlight w:val="none"/>
        </w:rPr>
        <w:t>1.供应商提出质疑时，应提交质疑函和必要的证明材料</w:t>
      </w:r>
      <w:r>
        <w:rPr>
          <w:rFonts w:hint="eastAsia" w:ascii="宋体" w:hAnsi="宋体" w:eastAsia="宋体"/>
          <w:b/>
          <w:bCs/>
          <w:color w:val="auto"/>
          <w:sz w:val="24"/>
          <w:szCs w:val="24"/>
          <w:highlight w:val="none"/>
        </w:rPr>
        <w:t>。</w:t>
      </w:r>
    </w:p>
    <w:p w14:paraId="540BF9C5">
      <w:pPr>
        <w:pStyle w:val="28"/>
        <w:spacing w:line="360" w:lineRule="auto"/>
        <w:ind w:left="25" w:leftChars="12" w:firstLine="354" w:firstLineChars="147"/>
        <w:contextualSpacing/>
        <w:rPr>
          <w:rFonts w:ascii="宋体" w:hAnsi="宋体" w:eastAsia="宋体"/>
          <w:b/>
          <w:color w:val="auto"/>
          <w:sz w:val="24"/>
          <w:szCs w:val="24"/>
          <w:highlight w:val="none"/>
        </w:rPr>
      </w:pPr>
      <w:r>
        <w:rPr>
          <w:rFonts w:hint="eastAsia" w:ascii="宋体" w:hAnsi="宋体" w:eastAsia="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A79E8B5">
      <w:pPr>
        <w:pStyle w:val="28"/>
        <w:spacing w:line="360" w:lineRule="auto"/>
        <w:ind w:left="25" w:leftChars="12" w:firstLine="354" w:firstLineChars="147"/>
        <w:contextualSpacing/>
        <w:rPr>
          <w:rFonts w:ascii="宋体" w:hAnsi="宋体" w:eastAsia="宋体"/>
          <w:b/>
          <w:color w:val="auto"/>
          <w:sz w:val="24"/>
          <w:szCs w:val="24"/>
          <w:highlight w:val="none"/>
        </w:rPr>
      </w:pPr>
      <w:r>
        <w:rPr>
          <w:rFonts w:hint="eastAsia" w:ascii="宋体" w:hAnsi="宋体" w:eastAsia="宋体"/>
          <w:b/>
          <w:color w:val="auto"/>
          <w:sz w:val="24"/>
          <w:szCs w:val="24"/>
          <w:highlight w:val="none"/>
        </w:rPr>
        <w:t>3.质疑函的质疑事项应具体、明确，并有必要的事实依据和法律依据。</w:t>
      </w:r>
    </w:p>
    <w:p w14:paraId="61E16867">
      <w:pPr>
        <w:pStyle w:val="28"/>
        <w:spacing w:line="360" w:lineRule="auto"/>
        <w:ind w:left="25" w:leftChars="12" w:firstLine="354" w:firstLineChars="147"/>
        <w:contextualSpacing/>
        <w:rPr>
          <w:rFonts w:ascii="宋体" w:hAnsi="宋体" w:eastAsia="宋体"/>
          <w:b/>
          <w:color w:val="auto"/>
          <w:sz w:val="24"/>
          <w:szCs w:val="24"/>
          <w:highlight w:val="none"/>
        </w:rPr>
      </w:pPr>
      <w:r>
        <w:rPr>
          <w:rFonts w:hint="eastAsia" w:ascii="宋体" w:hAnsi="宋体" w:eastAsia="宋体"/>
          <w:b/>
          <w:color w:val="auto"/>
          <w:sz w:val="24"/>
          <w:szCs w:val="24"/>
          <w:highlight w:val="none"/>
        </w:rPr>
        <w:t>4.质疑函的质疑请求应与质疑事项相关。</w:t>
      </w:r>
    </w:p>
    <w:p w14:paraId="1F6F32E7">
      <w:pPr>
        <w:pStyle w:val="28"/>
        <w:spacing w:line="360" w:lineRule="auto"/>
        <w:ind w:left="25" w:leftChars="12" w:firstLine="354" w:firstLineChars="147"/>
        <w:contextualSpacing/>
        <w:rPr>
          <w:rFonts w:ascii="宋体" w:hAnsi="宋体" w:eastAsia="宋体"/>
          <w:b/>
          <w:color w:val="auto"/>
          <w:highlight w:val="none"/>
        </w:rPr>
      </w:pPr>
      <w:r>
        <w:rPr>
          <w:rFonts w:hint="eastAsia" w:ascii="宋体" w:hAnsi="宋体" w:eastAsia="宋体"/>
          <w:b/>
          <w:color w:val="auto"/>
          <w:sz w:val="24"/>
          <w:szCs w:val="24"/>
          <w:highlight w:val="none"/>
        </w:rPr>
        <w:t>5.质疑供应商为法人或者其他组织的，质疑函应由法定代表人、主要负责人，或者其授权代表签字或者盖章，并加盖公章。</w:t>
      </w:r>
    </w:p>
    <w:p w14:paraId="08008896">
      <w:pPr>
        <w:widowControl/>
        <w:jc w:val="left"/>
        <w:rPr>
          <w:rFonts w:ascii="宋体" w:hAnsi="宋体" w:eastAsia="宋体" w:cs="Times New Roman"/>
          <w:b/>
          <w:color w:val="auto"/>
          <w:kern w:val="0"/>
          <w:sz w:val="24"/>
          <w:highlight w:val="none"/>
          <w:lang w:val="zh-CN"/>
        </w:rPr>
      </w:pPr>
      <w:r>
        <w:rPr>
          <w:rFonts w:ascii="宋体" w:hAnsi="宋体" w:eastAsia="宋体" w:cs="Times New Roman"/>
          <w:b/>
          <w:color w:val="auto"/>
          <w:kern w:val="0"/>
          <w:sz w:val="24"/>
          <w:highlight w:val="none"/>
          <w:lang w:val="zh-CN"/>
        </w:rPr>
        <w:br w:type="page"/>
      </w:r>
    </w:p>
    <w:p w14:paraId="17848C9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eastAsia="宋体" w:cs="Tahoma"/>
          <w:color w:val="auto"/>
          <w:sz w:val="44"/>
          <w:szCs w:val="44"/>
          <w:highlight w:val="none"/>
        </w:rPr>
      </w:pPr>
      <w:bookmarkStart w:id="146" w:name="_Toc30052"/>
      <w:r>
        <w:rPr>
          <w:rFonts w:hint="eastAsia" w:ascii="宋体" w:hAnsi="宋体" w:eastAsia="宋体" w:cs="Tahoma"/>
          <w:color w:val="auto"/>
          <w:sz w:val="44"/>
          <w:szCs w:val="44"/>
          <w:highlight w:val="none"/>
        </w:rPr>
        <w:t>投诉书（格式）</w:t>
      </w:r>
      <w:bookmarkEnd w:id="146"/>
    </w:p>
    <w:p w14:paraId="5312CCEE">
      <w:pPr>
        <w:pStyle w:val="28"/>
        <w:snapToGrid w:val="0"/>
        <w:spacing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一、投诉相关主体基本情况：</w:t>
      </w:r>
    </w:p>
    <w:p w14:paraId="134CB043">
      <w:pPr>
        <w:pStyle w:val="28"/>
        <w:snapToGrid w:val="0"/>
        <w:spacing w:line="360" w:lineRule="auto"/>
        <w:ind w:firstLine="480" w:firstLineChars="200"/>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供应商：</w:t>
      </w:r>
      <w:r>
        <w:rPr>
          <w:rFonts w:hint="eastAsia" w:ascii="宋体" w:hAnsi="宋体" w:eastAsia="宋体"/>
          <w:bCs/>
          <w:color w:val="auto"/>
          <w:sz w:val="24"/>
          <w:szCs w:val="24"/>
          <w:highlight w:val="none"/>
          <w:u w:val="single"/>
        </w:rPr>
        <w:t xml:space="preserve">                                                                 </w:t>
      </w:r>
    </w:p>
    <w:p w14:paraId="0012C01A">
      <w:pPr>
        <w:pStyle w:val="28"/>
        <w:snapToGrid w:val="0"/>
        <w:spacing w:line="360" w:lineRule="auto"/>
        <w:ind w:firstLine="480" w:firstLineChars="200"/>
        <w:rPr>
          <w:rFonts w:ascii="宋体" w:hAnsi="宋体" w:eastAsia="宋体"/>
          <w:bCs/>
          <w:color w:val="auto"/>
          <w:sz w:val="24"/>
          <w:szCs w:val="24"/>
          <w:highlight w:val="none"/>
        </w:rPr>
      </w:pPr>
      <w:r>
        <w:rPr>
          <w:rFonts w:ascii="宋体" w:hAnsi="宋体" w:eastAsia="宋体"/>
          <w:bCs/>
          <w:color w:val="auto"/>
          <w:sz w:val="24"/>
          <w:szCs w:val="24"/>
          <w:highlight w:val="none"/>
        </w:rPr>
        <w:t>地址</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邮编</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6A605D0A">
      <w:pPr>
        <w:pStyle w:val="28"/>
        <w:snapToGrid w:val="0"/>
        <w:spacing w:line="360" w:lineRule="auto"/>
        <w:ind w:firstLine="480" w:firstLineChars="200"/>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法定代表人/主要负责人：</w:t>
      </w:r>
      <w:r>
        <w:rPr>
          <w:rFonts w:hint="eastAsia" w:ascii="宋体" w:hAnsi="宋体" w:eastAsia="宋体"/>
          <w:bCs/>
          <w:color w:val="auto"/>
          <w:sz w:val="24"/>
          <w:szCs w:val="24"/>
          <w:highlight w:val="none"/>
          <w:u w:val="single"/>
        </w:rPr>
        <w:t xml:space="preserve">                                                  </w:t>
      </w:r>
    </w:p>
    <w:p w14:paraId="0DDE404C">
      <w:pPr>
        <w:pStyle w:val="28"/>
        <w:snapToGrid w:val="0"/>
        <w:spacing w:line="360" w:lineRule="auto"/>
        <w:ind w:firstLine="480" w:firstLineChars="200"/>
        <w:rPr>
          <w:rFonts w:ascii="宋体" w:hAnsi="宋体" w:eastAsia="宋体"/>
          <w:bCs/>
          <w:color w:val="auto"/>
          <w:sz w:val="24"/>
          <w:szCs w:val="24"/>
          <w:highlight w:val="none"/>
        </w:rPr>
      </w:pPr>
      <w:r>
        <w:rPr>
          <w:rFonts w:ascii="宋体" w:hAnsi="宋体" w:eastAsia="宋体"/>
          <w:bCs/>
          <w:color w:val="auto"/>
          <w:sz w:val="24"/>
          <w:szCs w:val="24"/>
          <w:highlight w:val="none"/>
        </w:rPr>
        <w:t>联系电话</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p>
    <w:p w14:paraId="225567CC">
      <w:pPr>
        <w:pStyle w:val="28"/>
        <w:snapToGrid w:val="0"/>
        <w:spacing w:line="360" w:lineRule="auto"/>
        <w:ind w:firstLine="480" w:firstLineChars="200"/>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授权代表：</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联系</w:t>
      </w:r>
      <w:r>
        <w:rPr>
          <w:rFonts w:hint="eastAsia" w:ascii="宋体" w:hAnsi="宋体" w:eastAsia="宋体"/>
          <w:bCs/>
          <w:color w:val="auto"/>
          <w:sz w:val="24"/>
          <w:szCs w:val="24"/>
          <w:highlight w:val="none"/>
        </w:rPr>
        <w:t>电话：</w:t>
      </w:r>
      <w:r>
        <w:rPr>
          <w:rFonts w:hint="eastAsia" w:ascii="宋体" w:hAnsi="宋体" w:eastAsia="宋体"/>
          <w:bCs/>
          <w:color w:val="auto"/>
          <w:sz w:val="24"/>
          <w:szCs w:val="24"/>
          <w:highlight w:val="none"/>
          <w:u w:val="single"/>
        </w:rPr>
        <w:t xml:space="preserve">             </w:t>
      </w:r>
    </w:p>
    <w:p w14:paraId="417BBBD3">
      <w:pPr>
        <w:pStyle w:val="28"/>
        <w:snapToGrid w:val="0"/>
        <w:spacing w:line="360" w:lineRule="auto"/>
        <w:ind w:firstLine="480" w:firstLineChars="200"/>
        <w:rPr>
          <w:rFonts w:ascii="宋体" w:hAnsi="宋体" w:eastAsia="宋体"/>
          <w:bCs/>
          <w:color w:val="auto"/>
          <w:sz w:val="24"/>
          <w:szCs w:val="24"/>
          <w:highlight w:val="none"/>
          <w:u w:val="single"/>
        </w:rPr>
      </w:pPr>
      <w:r>
        <w:rPr>
          <w:rFonts w:ascii="宋体" w:hAnsi="宋体" w:eastAsia="宋体"/>
          <w:bCs/>
          <w:color w:val="auto"/>
          <w:sz w:val="24"/>
          <w:szCs w:val="24"/>
          <w:highlight w:val="none"/>
        </w:rPr>
        <w:t>地址</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p>
    <w:p w14:paraId="42E168C4">
      <w:pPr>
        <w:pStyle w:val="28"/>
        <w:snapToGrid w:val="0"/>
        <w:spacing w:line="360" w:lineRule="auto"/>
        <w:ind w:firstLine="480" w:firstLineChars="200"/>
        <w:rPr>
          <w:rFonts w:ascii="宋体" w:hAnsi="宋体" w:eastAsia="宋体"/>
          <w:bCs/>
          <w:color w:val="auto"/>
          <w:sz w:val="24"/>
          <w:szCs w:val="24"/>
          <w:highlight w:val="none"/>
        </w:rPr>
      </w:pPr>
      <w:r>
        <w:rPr>
          <w:rFonts w:ascii="宋体" w:hAnsi="宋体" w:eastAsia="宋体"/>
          <w:bCs/>
          <w:color w:val="auto"/>
          <w:sz w:val="24"/>
          <w:szCs w:val="24"/>
          <w:highlight w:val="none"/>
        </w:rPr>
        <w:t>邮编</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5C7CFC3F">
      <w:pPr>
        <w:pStyle w:val="28"/>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被投诉人1：</w:t>
      </w:r>
    </w:p>
    <w:p w14:paraId="41E5DCF2">
      <w:pPr>
        <w:pStyle w:val="28"/>
        <w:snapToGrid w:val="0"/>
        <w:spacing w:line="360" w:lineRule="auto"/>
        <w:ind w:firstLine="480" w:firstLineChars="200"/>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地址：</w:t>
      </w:r>
      <w:r>
        <w:rPr>
          <w:rFonts w:hint="eastAsia" w:ascii="宋体" w:hAnsi="宋体" w:eastAsia="宋体"/>
          <w:bCs/>
          <w:color w:val="auto"/>
          <w:sz w:val="24"/>
          <w:szCs w:val="24"/>
          <w:highlight w:val="none"/>
          <w:u w:val="single"/>
        </w:rPr>
        <w:t xml:space="preserve">                                                            </w:t>
      </w:r>
    </w:p>
    <w:p w14:paraId="2A5A0482">
      <w:pPr>
        <w:pStyle w:val="28"/>
        <w:snapToGrid w:val="0"/>
        <w:spacing w:line="360" w:lineRule="auto"/>
        <w:ind w:firstLine="480" w:firstLineChars="200"/>
        <w:rPr>
          <w:rFonts w:ascii="宋体" w:hAnsi="宋体" w:eastAsia="宋体"/>
          <w:bCs/>
          <w:color w:val="auto"/>
          <w:sz w:val="24"/>
          <w:szCs w:val="24"/>
          <w:highlight w:val="none"/>
        </w:rPr>
      </w:pPr>
      <w:r>
        <w:rPr>
          <w:rFonts w:ascii="宋体" w:hAnsi="宋体" w:eastAsia="宋体"/>
          <w:bCs/>
          <w:color w:val="auto"/>
          <w:sz w:val="24"/>
          <w:szCs w:val="24"/>
          <w:highlight w:val="none"/>
        </w:rPr>
        <w:t>邮编</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r>
        <w:rPr>
          <w:rFonts w:hint="eastAsia" w:ascii="宋体" w:hAnsi="宋体" w:eastAsia="宋体"/>
          <w:bCs/>
          <w:color w:val="auto"/>
          <w:sz w:val="24"/>
          <w:szCs w:val="24"/>
          <w:highlight w:val="none"/>
        </w:rPr>
        <w:t xml:space="preserve">  </w:t>
      </w:r>
    </w:p>
    <w:p w14:paraId="5A6BCBD6">
      <w:pPr>
        <w:pStyle w:val="28"/>
        <w:snapToGrid w:val="0"/>
        <w:spacing w:line="360" w:lineRule="auto"/>
        <w:ind w:firstLine="480" w:firstLineChars="200"/>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联系人：</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联系</w:t>
      </w:r>
      <w:r>
        <w:rPr>
          <w:rFonts w:hint="eastAsia" w:ascii="宋体" w:hAnsi="宋体" w:eastAsia="宋体"/>
          <w:bCs/>
          <w:color w:val="auto"/>
          <w:sz w:val="24"/>
          <w:szCs w:val="24"/>
          <w:highlight w:val="none"/>
        </w:rPr>
        <w:t>电话：</w:t>
      </w:r>
      <w:r>
        <w:rPr>
          <w:rFonts w:hint="eastAsia" w:ascii="宋体" w:hAnsi="宋体" w:eastAsia="宋体"/>
          <w:bCs/>
          <w:color w:val="auto"/>
          <w:sz w:val="24"/>
          <w:szCs w:val="24"/>
          <w:highlight w:val="none"/>
          <w:u w:val="single"/>
        </w:rPr>
        <w:t xml:space="preserve">       </w:t>
      </w:r>
    </w:p>
    <w:p w14:paraId="7477BE0F">
      <w:pPr>
        <w:pStyle w:val="28"/>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被投诉人2：</w:t>
      </w:r>
    </w:p>
    <w:p w14:paraId="30C3462D">
      <w:pPr>
        <w:pStyle w:val="28"/>
        <w:snapToGrid w:val="0"/>
        <w:spacing w:line="360" w:lineRule="auto"/>
        <w:ind w:firstLine="480" w:firstLineChars="200"/>
        <w:rPr>
          <w:rFonts w:ascii="宋体" w:hAnsi="宋体" w:eastAsia="宋体"/>
          <w:bCs/>
          <w:color w:val="auto"/>
          <w:sz w:val="24"/>
          <w:szCs w:val="24"/>
          <w:highlight w:val="none"/>
        </w:rPr>
      </w:pPr>
      <w:r>
        <w:rPr>
          <w:rFonts w:ascii="宋体" w:hAnsi="宋体" w:eastAsia="宋体"/>
          <w:bCs/>
          <w:color w:val="auto"/>
          <w:sz w:val="24"/>
          <w:szCs w:val="24"/>
          <w:highlight w:val="none"/>
        </w:rPr>
        <w:t>……</w:t>
      </w:r>
    </w:p>
    <w:p w14:paraId="4E680895">
      <w:pPr>
        <w:pStyle w:val="28"/>
        <w:snapToGrid w:val="0"/>
        <w:spacing w:line="360" w:lineRule="auto"/>
        <w:ind w:firstLine="480" w:firstLineChars="200"/>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相关供应商：</w:t>
      </w:r>
      <w:r>
        <w:rPr>
          <w:rFonts w:hint="eastAsia" w:ascii="宋体" w:hAnsi="宋体" w:eastAsia="宋体"/>
          <w:bCs/>
          <w:color w:val="auto"/>
          <w:sz w:val="24"/>
          <w:szCs w:val="24"/>
          <w:highlight w:val="none"/>
          <w:u w:val="single"/>
        </w:rPr>
        <w:t xml:space="preserve">                                                              </w:t>
      </w:r>
    </w:p>
    <w:p w14:paraId="081E2CFA">
      <w:pPr>
        <w:pStyle w:val="28"/>
        <w:snapToGrid w:val="0"/>
        <w:spacing w:line="360" w:lineRule="auto"/>
        <w:ind w:firstLine="480" w:firstLineChars="200"/>
        <w:rPr>
          <w:rFonts w:ascii="宋体" w:hAnsi="宋体" w:eastAsia="宋体"/>
          <w:bCs/>
          <w:color w:val="auto"/>
          <w:sz w:val="24"/>
          <w:szCs w:val="24"/>
          <w:highlight w:val="none"/>
          <w:u w:val="single"/>
        </w:rPr>
      </w:pPr>
      <w:r>
        <w:rPr>
          <w:rFonts w:ascii="宋体" w:hAnsi="宋体" w:eastAsia="宋体"/>
          <w:bCs/>
          <w:color w:val="auto"/>
          <w:sz w:val="24"/>
          <w:szCs w:val="24"/>
          <w:highlight w:val="none"/>
        </w:rPr>
        <w:t>地址</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邮编</w:t>
      </w: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u w:val="single"/>
        </w:rPr>
        <w:t xml:space="preserve">               </w:t>
      </w:r>
    </w:p>
    <w:p w14:paraId="08B01511">
      <w:pPr>
        <w:pStyle w:val="28"/>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联系人：</w:t>
      </w:r>
      <w:r>
        <w:rPr>
          <w:rFonts w:hint="eastAsia" w:ascii="宋体" w:hAnsi="宋体" w:eastAsia="宋体"/>
          <w:bCs/>
          <w:color w:val="auto"/>
          <w:sz w:val="24"/>
          <w:szCs w:val="24"/>
          <w:highlight w:val="none"/>
          <w:u w:val="single"/>
        </w:rPr>
        <w:t xml:space="preserve">                                            </w:t>
      </w:r>
      <w:r>
        <w:rPr>
          <w:rFonts w:ascii="宋体" w:hAnsi="宋体" w:eastAsia="宋体"/>
          <w:bCs/>
          <w:color w:val="auto"/>
          <w:sz w:val="24"/>
          <w:szCs w:val="24"/>
          <w:highlight w:val="none"/>
        </w:rPr>
        <w:t>联系</w:t>
      </w:r>
      <w:r>
        <w:rPr>
          <w:rFonts w:hint="eastAsia" w:ascii="宋体" w:hAnsi="宋体" w:eastAsia="宋体"/>
          <w:bCs/>
          <w:color w:val="auto"/>
          <w:sz w:val="24"/>
          <w:szCs w:val="24"/>
          <w:highlight w:val="none"/>
        </w:rPr>
        <w:t>电话：</w:t>
      </w:r>
      <w:r>
        <w:rPr>
          <w:rFonts w:hint="eastAsia" w:ascii="宋体" w:hAnsi="宋体" w:eastAsia="宋体"/>
          <w:bCs/>
          <w:color w:val="auto"/>
          <w:sz w:val="24"/>
          <w:szCs w:val="24"/>
          <w:highlight w:val="none"/>
          <w:u w:val="single"/>
        </w:rPr>
        <w:t xml:space="preserve">           </w:t>
      </w:r>
    </w:p>
    <w:p w14:paraId="6624E106">
      <w:pPr>
        <w:pStyle w:val="28"/>
        <w:snapToGrid w:val="0"/>
        <w:spacing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二、投诉项目基本情况：</w:t>
      </w:r>
    </w:p>
    <w:p w14:paraId="2FD997B2">
      <w:pPr>
        <w:pStyle w:val="28"/>
        <w:spacing w:line="360" w:lineRule="auto"/>
        <w:ind w:left="25" w:leftChars="12" w:firstLine="472" w:firstLineChars="197"/>
        <w:rPr>
          <w:rFonts w:ascii="宋体" w:hAnsi="宋体" w:eastAsia="宋体"/>
          <w:color w:val="auto"/>
          <w:sz w:val="24"/>
          <w:szCs w:val="24"/>
          <w:highlight w:val="none"/>
        </w:rPr>
      </w:pPr>
      <w:r>
        <w:rPr>
          <w:rFonts w:hint="eastAsia" w:ascii="宋体" w:hAnsi="宋体" w:eastAsia="宋体"/>
          <w:bCs/>
          <w:color w:val="auto"/>
          <w:sz w:val="24"/>
          <w:szCs w:val="24"/>
          <w:highlight w:val="none"/>
        </w:rPr>
        <w:t>采购</w:t>
      </w:r>
      <w:r>
        <w:rPr>
          <w:rFonts w:hint="eastAsia" w:ascii="宋体" w:hAnsi="宋体" w:eastAsia="宋体"/>
          <w:color w:val="auto"/>
          <w:sz w:val="24"/>
          <w:szCs w:val="24"/>
          <w:highlight w:val="none"/>
        </w:rPr>
        <w:t>项目的名称：</w:t>
      </w:r>
      <w:r>
        <w:rPr>
          <w:rFonts w:hint="eastAsia" w:ascii="宋体" w:hAnsi="宋体" w:eastAsia="宋体"/>
          <w:bCs/>
          <w:color w:val="auto"/>
          <w:sz w:val="24"/>
          <w:szCs w:val="24"/>
          <w:highlight w:val="none"/>
          <w:u w:val="single"/>
        </w:rPr>
        <w:t xml:space="preserve">                                                          </w:t>
      </w:r>
    </w:p>
    <w:p w14:paraId="499D4C73">
      <w:pPr>
        <w:pStyle w:val="28"/>
        <w:spacing w:line="360" w:lineRule="auto"/>
        <w:ind w:left="25" w:leftChars="12" w:firstLine="472" w:firstLineChars="197"/>
        <w:rPr>
          <w:rFonts w:ascii="宋体" w:hAnsi="宋体" w:eastAsia="宋体"/>
          <w:color w:val="auto"/>
          <w:sz w:val="24"/>
          <w:szCs w:val="24"/>
          <w:highlight w:val="none"/>
        </w:rPr>
      </w:pPr>
      <w:r>
        <w:rPr>
          <w:rFonts w:hint="eastAsia" w:ascii="宋体" w:hAnsi="宋体" w:eastAsia="宋体"/>
          <w:bCs/>
          <w:color w:val="auto"/>
          <w:sz w:val="24"/>
          <w:szCs w:val="24"/>
          <w:highlight w:val="none"/>
        </w:rPr>
        <w:t>采购</w:t>
      </w:r>
      <w:r>
        <w:rPr>
          <w:rFonts w:hint="eastAsia" w:ascii="宋体" w:hAnsi="宋体" w:eastAsia="宋体"/>
          <w:color w:val="auto"/>
          <w:sz w:val="24"/>
          <w:szCs w:val="24"/>
          <w:highlight w:val="none"/>
        </w:rPr>
        <w:t>项目的编号：</w:t>
      </w:r>
      <w:r>
        <w:rPr>
          <w:rFonts w:hint="eastAsia" w:ascii="宋体" w:hAnsi="宋体" w:eastAsia="宋体"/>
          <w:bCs/>
          <w:color w:val="auto"/>
          <w:sz w:val="24"/>
          <w:szCs w:val="24"/>
          <w:highlight w:val="none"/>
          <w:u w:val="single"/>
        </w:rPr>
        <w:t xml:space="preserve">                                          </w:t>
      </w:r>
    </w:p>
    <w:p w14:paraId="328AA7E0">
      <w:pPr>
        <w:pStyle w:val="28"/>
        <w:spacing w:line="360" w:lineRule="auto"/>
        <w:ind w:left="25" w:leftChars="12" w:firstLine="472" w:firstLineChars="197"/>
        <w:rPr>
          <w:rFonts w:ascii="宋体" w:hAnsi="宋体" w:eastAsia="宋体"/>
          <w:bCs/>
          <w:color w:val="auto"/>
          <w:sz w:val="24"/>
          <w:szCs w:val="24"/>
          <w:highlight w:val="none"/>
          <w:u w:val="single"/>
        </w:rPr>
      </w:pPr>
      <w:r>
        <w:rPr>
          <w:rFonts w:hint="eastAsia" w:ascii="宋体" w:hAnsi="宋体" w:eastAsia="宋体"/>
          <w:color w:val="auto"/>
          <w:sz w:val="24"/>
          <w:szCs w:val="24"/>
          <w:highlight w:val="none"/>
        </w:rPr>
        <w:t>采购人名称：</w:t>
      </w:r>
      <w:r>
        <w:rPr>
          <w:rFonts w:hint="eastAsia" w:ascii="宋体" w:hAnsi="宋体" w:eastAsia="宋体"/>
          <w:bCs/>
          <w:color w:val="auto"/>
          <w:sz w:val="24"/>
          <w:szCs w:val="24"/>
          <w:highlight w:val="none"/>
          <w:u w:val="single"/>
        </w:rPr>
        <w:t xml:space="preserve">                                                               </w:t>
      </w:r>
    </w:p>
    <w:p w14:paraId="0C571CE3">
      <w:pPr>
        <w:pStyle w:val="28"/>
        <w:spacing w:line="360" w:lineRule="auto"/>
        <w:ind w:left="25" w:leftChars="12" w:firstLine="472" w:firstLineChars="197"/>
        <w:rPr>
          <w:rFonts w:ascii="宋体" w:hAnsi="宋体" w:eastAsia="宋体"/>
          <w:bCs/>
          <w:color w:val="auto"/>
          <w:sz w:val="24"/>
          <w:szCs w:val="24"/>
          <w:highlight w:val="none"/>
          <w:u w:val="single"/>
        </w:rPr>
      </w:pPr>
      <w:r>
        <w:rPr>
          <w:rFonts w:hint="eastAsia" w:ascii="宋体" w:hAnsi="宋体" w:eastAsia="宋体"/>
          <w:color w:val="auto"/>
          <w:sz w:val="24"/>
          <w:szCs w:val="24"/>
          <w:highlight w:val="none"/>
        </w:rPr>
        <w:t>代理机构名称：</w:t>
      </w:r>
      <w:r>
        <w:rPr>
          <w:rFonts w:hint="eastAsia" w:ascii="宋体" w:hAnsi="宋体" w:eastAsia="宋体"/>
          <w:bCs/>
          <w:color w:val="auto"/>
          <w:sz w:val="24"/>
          <w:szCs w:val="24"/>
          <w:highlight w:val="none"/>
          <w:u w:val="single"/>
        </w:rPr>
        <w:t xml:space="preserve">                                                              </w:t>
      </w:r>
    </w:p>
    <w:p w14:paraId="04FBE225">
      <w:pPr>
        <w:pStyle w:val="28"/>
        <w:spacing w:line="360" w:lineRule="auto"/>
        <w:ind w:left="25" w:leftChars="12" w:firstLine="472" w:firstLineChars="197"/>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采购文件公告：</w:t>
      </w:r>
      <w:r>
        <w:rPr>
          <w:rFonts w:hint="eastAsia" w:ascii="宋体" w:hAnsi="宋体" w:eastAsia="宋体"/>
          <w:bCs/>
          <w:color w:val="auto"/>
          <w:sz w:val="24"/>
          <w:szCs w:val="24"/>
          <w:highlight w:val="none"/>
          <w:u w:val="single"/>
        </w:rPr>
        <w:t>是/否</w:t>
      </w:r>
      <w:r>
        <w:rPr>
          <w:rFonts w:hint="eastAsia" w:ascii="宋体" w:hAnsi="宋体" w:eastAsia="宋体"/>
          <w:bCs/>
          <w:color w:val="auto"/>
          <w:sz w:val="24"/>
          <w:szCs w:val="24"/>
          <w:highlight w:val="none"/>
        </w:rPr>
        <w:t>公告期限：</w:t>
      </w:r>
      <w:r>
        <w:rPr>
          <w:rFonts w:hint="eastAsia" w:ascii="宋体" w:hAnsi="宋体" w:eastAsia="宋体"/>
          <w:bCs/>
          <w:color w:val="auto"/>
          <w:sz w:val="24"/>
          <w:szCs w:val="24"/>
          <w:highlight w:val="none"/>
          <w:u w:val="single"/>
        </w:rPr>
        <w:t xml:space="preserve">                                             </w:t>
      </w:r>
    </w:p>
    <w:p w14:paraId="4E1F6953">
      <w:pPr>
        <w:pStyle w:val="28"/>
        <w:spacing w:line="360" w:lineRule="auto"/>
        <w:ind w:left="25" w:leftChars="12" w:firstLine="472" w:firstLineChars="197"/>
        <w:rPr>
          <w:rFonts w:ascii="宋体" w:hAnsi="宋体" w:eastAsia="宋体"/>
          <w:b/>
          <w:color w:val="auto"/>
          <w:sz w:val="24"/>
          <w:szCs w:val="24"/>
          <w:highlight w:val="none"/>
        </w:rPr>
      </w:pPr>
      <w:r>
        <w:rPr>
          <w:rFonts w:hint="eastAsia" w:ascii="宋体" w:hAnsi="宋体" w:eastAsia="宋体"/>
          <w:bCs/>
          <w:color w:val="auto"/>
          <w:sz w:val="24"/>
          <w:szCs w:val="24"/>
          <w:highlight w:val="none"/>
        </w:rPr>
        <w:t>采购结果公告：</w:t>
      </w:r>
      <w:r>
        <w:rPr>
          <w:rFonts w:hint="eastAsia" w:ascii="宋体" w:hAnsi="宋体" w:eastAsia="宋体"/>
          <w:bCs/>
          <w:color w:val="auto"/>
          <w:sz w:val="24"/>
          <w:szCs w:val="24"/>
          <w:highlight w:val="none"/>
          <w:u w:val="single"/>
        </w:rPr>
        <w:t>是/否</w:t>
      </w:r>
      <w:r>
        <w:rPr>
          <w:rFonts w:hint="eastAsia" w:ascii="宋体" w:hAnsi="宋体" w:eastAsia="宋体"/>
          <w:bCs/>
          <w:color w:val="auto"/>
          <w:sz w:val="24"/>
          <w:szCs w:val="24"/>
          <w:highlight w:val="none"/>
        </w:rPr>
        <w:t>公告期限：</w:t>
      </w:r>
      <w:r>
        <w:rPr>
          <w:rFonts w:hint="eastAsia" w:ascii="宋体" w:hAnsi="宋体" w:eastAsia="宋体"/>
          <w:bCs/>
          <w:color w:val="auto"/>
          <w:sz w:val="24"/>
          <w:szCs w:val="24"/>
          <w:highlight w:val="none"/>
          <w:u w:val="single"/>
        </w:rPr>
        <w:t xml:space="preserve">                                               </w:t>
      </w:r>
    </w:p>
    <w:p w14:paraId="261884B9">
      <w:pPr>
        <w:pStyle w:val="28"/>
        <w:spacing w:line="360" w:lineRule="auto"/>
        <w:ind w:left="25" w:leftChars="12" w:firstLine="472" w:firstLineChars="196"/>
        <w:rPr>
          <w:rFonts w:ascii="宋体" w:hAnsi="宋体" w:eastAsia="宋体"/>
          <w:b/>
          <w:color w:val="auto"/>
          <w:sz w:val="24"/>
          <w:szCs w:val="24"/>
          <w:highlight w:val="none"/>
        </w:rPr>
      </w:pPr>
      <w:r>
        <w:rPr>
          <w:rFonts w:hint="eastAsia" w:ascii="宋体" w:hAnsi="宋体" w:eastAsia="宋体"/>
          <w:b/>
          <w:color w:val="auto"/>
          <w:sz w:val="24"/>
          <w:szCs w:val="24"/>
          <w:highlight w:val="none"/>
        </w:rPr>
        <w:t>三、质疑基本情况</w:t>
      </w:r>
    </w:p>
    <w:p w14:paraId="15A87272">
      <w:pPr>
        <w:pStyle w:val="28"/>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投诉人于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日，向</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提出质疑，质疑事项为：</w:t>
      </w:r>
    </w:p>
    <w:p w14:paraId="7A3B2C98">
      <w:pPr>
        <w:pStyle w:val="28"/>
        <w:spacing w:line="360" w:lineRule="auto"/>
        <w:ind w:firstLine="241"/>
        <w:rPr>
          <w:rFonts w:ascii="宋体" w:hAnsi="宋体" w:eastAsia="宋体"/>
          <w:bCs/>
          <w:color w:val="auto"/>
          <w:sz w:val="24"/>
          <w:szCs w:val="24"/>
          <w:highlight w:val="none"/>
          <w:u w:val="single"/>
        </w:rPr>
      </w:pPr>
      <w:r>
        <w:rPr>
          <w:rFonts w:hint="eastAsia" w:ascii="宋体" w:hAnsi="宋体" w:eastAsia="宋体"/>
          <w:color w:val="auto"/>
          <w:sz w:val="24"/>
          <w:szCs w:val="24"/>
          <w:highlight w:val="none"/>
        </w:rPr>
        <w:t xml:space="preserve">    </w:t>
      </w:r>
      <w:r>
        <w:rPr>
          <w:rFonts w:hint="eastAsia" w:ascii="宋体" w:hAnsi="宋体" w:eastAsia="宋体"/>
          <w:bCs/>
          <w:color w:val="auto"/>
          <w:sz w:val="24"/>
          <w:szCs w:val="24"/>
          <w:highlight w:val="none"/>
          <w:u w:val="single"/>
        </w:rPr>
        <w:t xml:space="preserve">                                                                       </w:t>
      </w:r>
    </w:p>
    <w:p w14:paraId="4B2AB15D">
      <w:pPr>
        <w:pStyle w:val="28"/>
        <w:spacing w:line="360" w:lineRule="auto"/>
        <w:ind w:firstLine="241"/>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 xml:space="preserve">    </w:t>
      </w:r>
      <w:r>
        <w:rPr>
          <w:rFonts w:hint="eastAsia" w:ascii="宋体" w:hAnsi="宋体" w:eastAsia="宋体"/>
          <w:bCs/>
          <w:color w:val="auto"/>
          <w:sz w:val="24"/>
          <w:szCs w:val="24"/>
          <w:highlight w:val="none"/>
          <w:u w:val="single"/>
        </w:rPr>
        <w:t xml:space="preserve">                                                                       </w:t>
      </w:r>
    </w:p>
    <w:p w14:paraId="3FE31739">
      <w:pPr>
        <w:pStyle w:val="28"/>
        <w:spacing w:line="360" w:lineRule="auto"/>
        <w:ind w:firstLine="480" w:firstLineChars="200"/>
        <w:rPr>
          <w:rFonts w:ascii="宋体" w:hAnsi="宋体" w:eastAsia="宋体"/>
          <w:color w:val="auto"/>
          <w:sz w:val="24"/>
          <w:szCs w:val="24"/>
          <w:highlight w:val="none"/>
        </w:rPr>
      </w:pPr>
      <w:r>
        <w:rPr>
          <w:rFonts w:hint="eastAsia" w:ascii="宋体" w:hAnsi="宋体" w:eastAsia="宋体"/>
          <w:bCs/>
          <w:color w:val="auto"/>
          <w:sz w:val="24"/>
          <w:szCs w:val="24"/>
          <w:highlight w:val="none"/>
          <w:u w:val="single"/>
        </w:rPr>
        <w:t>采购人/代理机构</w:t>
      </w:r>
      <w:r>
        <w:rPr>
          <w:rFonts w:hint="eastAsia" w:ascii="宋体" w:hAnsi="宋体" w:eastAsia="宋体"/>
          <w:bCs/>
          <w:color w:val="auto"/>
          <w:sz w:val="24"/>
          <w:szCs w:val="24"/>
          <w:highlight w:val="none"/>
        </w:rPr>
        <w:t>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r>
        <w:rPr>
          <w:rFonts w:hint="eastAsia" w:ascii="宋体" w:hAnsi="宋体" w:eastAsia="宋体"/>
          <w:bCs/>
          <w:color w:val="auto"/>
          <w:sz w:val="24"/>
          <w:szCs w:val="24"/>
          <w:highlight w:val="none"/>
        </w:rPr>
        <w:t xml:space="preserve">就质疑事项作出了答复/没有在法定期限内作出答复。                                                                  </w:t>
      </w:r>
    </w:p>
    <w:p w14:paraId="05FEC8C4">
      <w:pPr>
        <w:pStyle w:val="28"/>
        <w:spacing w:line="360" w:lineRule="auto"/>
        <w:ind w:left="25" w:leftChars="12" w:firstLine="472" w:firstLineChars="196"/>
        <w:rPr>
          <w:rFonts w:ascii="宋体" w:hAnsi="宋体" w:eastAsia="宋体"/>
          <w:b/>
          <w:color w:val="auto"/>
          <w:sz w:val="24"/>
          <w:szCs w:val="24"/>
          <w:highlight w:val="none"/>
        </w:rPr>
      </w:pPr>
      <w:r>
        <w:rPr>
          <w:rFonts w:hint="eastAsia" w:ascii="宋体" w:hAnsi="宋体" w:eastAsia="宋体"/>
          <w:b/>
          <w:color w:val="auto"/>
          <w:sz w:val="24"/>
          <w:szCs w:val="24"/>
          <w:highlight w:val="none"/>
        </w:rPr>
        <w:t>四、投诉事项具体内容</w:t>
      </w:r>
    </w:p>
    <w:p w14:paraId="1A68BFA0">
      <w:pPr>
        <w:pStyle w:val="28"/>
        <w:spacing w:line="360" w:lineRule="auto"/>
        <w:ind w:left="25" w:leftChars="12" w:firstLine="472" w:firstLineChars="197"/>
        <w:rPr>
          <w:rFonts w:ascii="宋体" w:hAnsi="宋体" w:eastAsia="宋体"/>
          <w:bCs/>
          <w:color w:val="auto"/>
          <w:sz w:val="24"/>
          <w:szCs w:val="24"/>
          <w:highlight w:val="none"/>
          <w:u w:val="single"/>
        </w:rPr>
      </w:pPr>
      <w:r>
        <w:rPr>
          <w:rFonts w:hint="eastAsia" w:ascii="宋体" w:hAnsi="宋体" w:eastAsia="宋体"/>
          <w:color w:val="auto"/>
          <w:sz w:val="24"/>
          <w:szCs w:val="24"/>
          <w:highlight w:val="none"/>
        </w:rPr>
        <w:t>投诉事项1：</w:t>
      </w:r>
      <w:r>
        <w:rPr>
          <w:rFonts w:hint="eastAsia" w:ascii="宋体" w:hAnsi="宋体" w:eastAsia="宋体"/>
          <w:bCs/>
          <w:color w:val="auto"/>
          <w:sz w:val="24"/>
          <w:szCs w:val="24"/>
          <w:highlight w:val="none"/>
          <w:u w:val="single"/>
        </w:rPr>
        <w:t xml:space="preserve">                                                             </w:t>
      </w:r>
    </w:p>
    <w:p w14:paraId="3F8C2E59">
      <w:pPr>
        <w:pStyle w:val="28"/>
        <w:spacing w:line="360" w:lineRule="auto"/>
        <w:ind w:firstLine="480" w:firstLineChars="200"/>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事实依据：</w:t>
      </w:r>
      <w:r>
        <w:rPr>
          <w:rFonts w:hint="eastAsia" w:ascii="宋体" w:hAnsi="宋体" w:eastAsia="宋体"/>
          <w:color w:val="auto"/>
          <w:sz w:val="24"/>
          <w:szCs w:val="24"/>
          <w:highlight w:val="none"/>
        </w:rPr>
        <w:t xml:space="preserve"> </w:t>
      </w:r>
      <w:r>
        <w:rPr>
          <w:rFonts w:hint="eastAsia" w:ascii="宋体" w:hAnsi="宋体" w:eastAsia="宋体"/>
          <w:bCs/>
          <w:color w:val="auto"/>
          <w:sz w:val="24"/>
          <w:szCs w:val="24"/>
          <w:highlight w:val="none"/>
          <w:u w:val="single"/>
        </w:rPr>
        <w:t xml:space="preserve">                                                              </w:t>
      </w:r>
    </w:p>
    <w:p w14:paraId="7FDAE245">
      <w:pPr>
        <w:pStyle w:val="28"/>
        <w:spacing w:line="360" w:lineRule="auto"/>
        <w:ind w:left="25" w:leftChars="12" w:firstLine="472" w:firstLineChars="197"/>
        <w:rPr>
          <w:rFonts w:ascii="宋体" w:hAnsi="宋体" w:eastAsia="宋体"/>
          <w:color w:val="auto"/>
          <w:sz w:val="24"/>
          <w:szCs w:val="24"/>
          <w:highlight w:val="none"/>
        </w:rPr>
      </w:pPr>
      <w:r>
        <w:rPr>
          <w:rFonts w:hint="eastAsia" w:ascii="宋体" w:hAnsi="宋体" w:eastAsia="宋体"/>
          <w:bCs/>
          <w:color w:val="auto"/>
          <w:sz w:val="24"/>
          <w:szCs w:val="24"/>
          <w:highlight w:val="none"/>
          <w:u w:val="single"/>
        </w:rPr>
        <w:t xml:space="preserve">                                                                          </w:t>
      </w:r>
    </w:p>
    <w:p w14:paraId="0B277E62">
      <w:pPr>
        <w:pStyle w:val="28"/>
        <w:spacing w:line="360" w:lineRule="auto"/>
        <w:ind w:firstLine="480" w:firstLineChars="200"/>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法律依据：</w:t>
      </w:r>
      <w:r>
        <w:rPr>
          <w:rFonts w:hint="eastAsia" w:ascii="宋体" w:hAnsi="宋体" w:eastAsia="宋体"/>
          <w:color w:val="auto"/>
          <w:sz w:val="24"/>
          <w:szCs w:val="24"/>
          <w:highlight w:val="none"/>
        </w:rPr>
        <w:t xml:space="preserve"> </w:t>
      </w:r>
      <w:r>
        <w:rPr>
          <w:rFonts w:hint="eastAsia" w:ascii="宋体" w:hAnsi="宋体" w:eastAsia="宋体"/>
          <w:bCs/>
          <w:color w:val="auto"/>
          <w:sz w:val="24"/>
          <w:szCs w:val="24"/>
          <w:highlight w:val="none"/>
          <w:u w:val="single"/>
        </w:rPr>
        <w:t xml:space="preserve">                                                              </w:t>
      </w:r>
    </w:p>
    <w:p w14:paraId="05283F43">
      <w:pPr>
        <w:pStyle w:val="28"/>
        <w:spacing w:line="360" w:lineRule="auto"/>
        <w:ind w:left="25" w:leftChars="12" w:firstLine="352" w:firstLineChars="147"/>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rPr>
        <w:t xml:space="preserve"> </w:t>
      </w:r>
      <w:r>
        <w:rPr>
          <w:rFonts w:hint="eastAsia" w:ascii="宋体" w:hAnsi="宋体" w:eastAsia="宋体"/>
          <w:bCs/>
          <w:color w:val="auto"/>
          <w:sz w:val="24"/>
          <w:szCs w:val="24"/>
          <w:highlight w:val="none"/>
          <w:u w:val="single"/>
        </w:rPr>
        <w:t xml:space="preserve">                                                                         </w:t>
      </w:r>
    </w:p>
    <w:p w14:paraId="740F8FA7">
      <w:pPr>
        <w:pStyle w:val="28"/>
        <w:spacing w:line="360" w:lineRule="auto"/>
        <w:ind w:left="25" w:leftChars="12" w:firstLine="472" w:firstLineChars="197"/>
        <w:rPr>
          <w:rFonts w:ascii="宋体" w:hAnsi="宋体" w:eastAsia="宋体"/>
          <w:bCs/>
          <w:color w:val="auto"/>
          <w:sz w:val="24"/>
          <w:szCs w:val="24"/>
          <w:highlight w:val="none"/>
        </w:rPr>
      </w:pPr>
      <w:r>
        <w:rPr>
          <w:rFonts w:hint="eastAsia" w:ascii="宋体" w:hAnsi="宋体" w:eastAsia="宋体"/>
          <w:color w:val="auto"/>
          <w:sz w:val="24"/>
          <w:szCs w:val="24"/>
          <w:highlight w:val="none"/>
        </w:rPr>
        <w:t xml:space="preserve">投诉事项2  </w:t>
      </w:r>
      <w:r>
        <w:rPr>
          <w:rFonts w:hint="eastAsia" w:ascii="宋体" w:hAnsi="宋体" w:eastAsia="宋体"/>
          <w:bCs/>
          <w:color w:val="auto"/>
          <w:sz w:val="24"/>
          <w:szCs w:val="24"/>
          <w:highlight w:val="none"/>
        </w:rPr>
        <w:t xml:space="preserve">   </w:t>
      </w:r>
    </w:p>
    <w:p w14:paraId="14070137">
      <w:pPr>
        <w:pStyle w:val="28"/>
        <w:spacing w:line="360" w:lineRule="auto"/>
        <w:ind w:left="25" w:leftChars="12" w:firstLine="472" w:firstLineChars="197"/>
        <w:rPr>
          <w:rFonts w:ascii="宋体" w:hAnsi="宋体" w:eastAsia="宋体"/>
          <w:bCs/>
          <w:color w:val="auto"/>
          <w:sz w:val="24"/>
          <w:szCs w:val="24"/>
          <w:highlight w:val="none"/>
        </w:rPr>
      </w:pPr>
      <w:r>
        <w:rPr>
          <w:rFonts w:ascii="宋体" w:hAnsi="宋体" w:eastAsia="宋体"/>
          <w:bCs/>
          <w:color w:val="auto"/>
          <w:sz w:val="24"/>
          <w:szCs w:val="24"/>
          <w:highlight w:val="none"/>
        </w:rPr>
        <w:t>……</w:t>
      </w:r>
    </w:p>
    <w:p w14:paraId="6BC66515">
      <w:pPr>
        <w:pStyle w:val="28"/>
        <w:spacing w:line="360" w:lineRule="auto"/>
        <w:ind w:left="25" w:leftChars="12" w:firstLine="472" w:firstLineChars="196"/>
        <w:rPr>
          <w:rFonts w:ascii="宋体" w:hAnsi="宋体" w:eastAsia="宋体"/>
          <w:b/>
          <w:color w:val="auto"/>
          <w:sz w:val="24"/>
          <w:szCs w:val="24"/>
          <w:highlight w:val="none"/>
        </w:rPr>
      </w:pPr>
      <w:r>
        <w:rPr>
          <w:rFonts w:hint="eastAsia" w:ascii="宋体" w:hAnsi="宋体" w:eastAsia="宋体"/>
          <w:b/>
          <w:color w:val="auto"/>
          <w:sz w:val="24"/>
          <w:szCs w:val="24"/>
          <w:highlight w:val="none"/>
        </w:rPr>
        <w:t>五、与投诉事项相关的投诉请求：</w:t>
      </w:r>
    </w:p>
    <w:p w14:paraId="3520C91F">
      <w:pPr>
        <w:pStyle w:val="28"/>
        <w:spacing w:line="360" w:lineRule="auto"/>
        <w:ind w:left="25" w:leftChars="12" w:firstLine="472" w:firstLineChars="197"/>
        <w:rPr>
          <w:rFonts w:ascii="宋体" w:hAnsi="宋体" w:eastAsia="宋体"/>
          <w:color w:val="auto"/>
          <w:sz w:val="24"/>
          <w:szCs w:val="24"/>
          <w:highlight w:val="none"/>
        </w:rPr>
      </w:pPr>
      <w:r>
        <w:rPr>
          <w:rFonts w:hint="eastAsia" w:ascii="宋体" w:hAnsi="宋体" w:eastAsia="宋体"/>
          <w:color w:val="auto"/>
          <w:sz w:val="24"/>
          <w:szCs w:val="24"/>
          <w:highlight w:val="none"/>
        </w:rPr>
        <w:t>请求：</w:t>
      </w:r>
      <w:r>
        <w:rPr>
          <w:rFonts w:hint="eastAsia" w:ascii="宋体" w:hAnsi="宋体" w:eastAsia="宋体"/>
          <w:bCs/>
          <w:color w:val="auto"/>
          <w:sz w:val="24"/>
          <w:szCs w:val="24"/>
          <w:highlight w:val="none"/>
          <w:u w:val="single"/>
        </w:rPr>
        <w:t xml:space="preserve">                                                                   </w:t>
      </w:r>
    </w:p>
    <w:p w14:paraId="45D072B8">
      <w:pPr>
        <w:pStyle w:val="28"/>
        <w:spacing w:line="360" w:lineRule="auto"/>
        <w:ind w:left="25" w:leftChars="12" w:firstLine="352" w:firstLineChars="147"/>
        <w:rPr>
          <w:rFonts w:ascii="宋体" w:hAnsi="宋体" w:eastAsia="宋体"/>
          <w:color w:val="auto"/>
          <w:sz w:val="24"/>
          <w:szCs w:val="24"/>
          <w:highlight w:val="none"/>
        </w:rPr>
      </w:pPr>
    </w:p>
    <w:p w14:paraId="68CDC91E">
      <w:pPr>
        <w:pStyle w:val="28"/>
        <w:spacing w:line="360" w:lineRule="auto"/>
        <w:ind w:left="25" w:leftChars="12" w:firstLine="472" w:firstLineChars="197"/>
        <w:rPr>
          <w:rFonts w:ascii="宋体" w:hAnsi="宋体" w:eastAsia="宋体"/>
          <w:color w:val="auto"/>
          <w:sz w:val="24"/>
          <w:szCs w:val="24"/>
          <w:highlight w:val="none"/>
        </w:rPr>
      </w:pPr>
      <w:r>
        <w:rPr>
          <w:rFonts w:hint="eastAsia" w:ascii="宋体" w:hAnsi="宋体" w:eastAsia="宋体"/>
          <w:color w:val="auto"/>
          <w:sz w:val="24"/>
          <w:szCs w:val="24"/>
          <w:highlight w:val="none"/>
        </w:rPr>
        <w:t>签字（签章）：                                       公章：</w:t>
      </w:r>
    </w:p>
    <w:p w14:paraId="39A980A8">
      <w:pPr>
        <w:pStyle w:val="28"/>
        <w:spacing w:line="360" w:lineRule="auto"/>
        <w:ind w:left="25" w:leftChars="12" w:firstLine="352" w:firstLineChars="147"/>
        <w:rPr>
          <w:rFonts w:ascii="宋体" w:hAnsi="宋体" w:eastAsia="宋体"/>
          <w:color w:val="auto"/>
          <w:sz w:val="24"/>
          <w:szCs w:val="24"/>
          <w:highlight w:val="none"/>
        </w:rPr>
      </w:pPr>
    </w:p>
    <w:p w14:paraId="36B97111">
      <w:pPr>
        <w:pStyle w:val="28"/>
        <w:spacing w:line="360" w:lineRule="auto"/>
        <w:ind w:left="25" w:leftChars="12" w:firstLine="472" w:firstLineChars="197"/>
        <w:rPr>
          <w:rFonts w:ascii="宋体" w:hAnsi="宋体" w:eastAsia="宋体"/>
          <w:color w:val="auto"/>
          <w:sz w:val="24"/>
          <w:szCs w:val="24"/>
          <w:highlight w:val="none"/>
        </w:rPr>
      </w:pPr>
      <w:r>
        <w:rPr>
          <w:rFonts w:hint="eastAsia" w:ascii="宋体" w:hAnsi="宋体" w:eastAsia="宋体"/>
          <w:color w:val="auto"/>
          <w:sz w:val="24"/>
          <w:szCs w:val="24"/>
          <w:highlight w:val="none"/>
        </w:rPr>
        <w:t>日期：</w:t>
      </w:r>
    </w:p>
    <w:p w14:paraId="03337052">
      <w:pPr>
        <w:pStyle w:val="28"/>
        <w:spacing w:line="360" w:lineRule="auto"/>
        <w:ind w:left="25" w:leftChars="12" w:firstLine="472" w:firstLineChars="197"/>
        <w:rPr>
          <w:rFonts w:ascii="宋体" w:hAnsi="宋体" w:eastAsia="宋体"/>
          <w:b/>
          <w:color w:val="auto"/>
          <w:sz w:val="24"/>
          <w:szCs w:val="24"/>
          <w:highlight w:val="none"/>
        </w:rPr>
      </w:pPr>
      <w:r>
        <w:rPr>
          <w:rFonts w:hint="eastAsia" w:ascii="宋体" w:hAnsi="宋体" w:eastAsia="宋体"/>
          <w:bCs/>
          <w:color w:val="auto"/>
          <w:sz w:val="24"/>
          <w:szCs w:val="24"/>
          <w:highlight w:val="none"/>
        </w:rPr>
        <w:t xml:space="preserve">                                                                                 </w:t>
      </w:r>
    </w:p>
    <w:p w14:paraId="6768B6C7">
      <w:pPr>
        <w:pStyle w:val="28"/>
        <w:snapToGrid w:val="0"/>
        <w:spacing w:line="360" w:lineRule="auto"/>
        <w:rPr>
          <w:rFonts w:ascii="宋体" w:hAnsi="宋体" w:eastAsia="宋体"/>
          <w:b/>
          <w:color w:val="auto"/>
          <w:sz w:val="24"/>
          <w:szCs w:val="24"/>
          <w:highlight w:val="none"/>
        </w:rPr>
      </w:pPr>
      <w:r>
        <w:rPr>
          <w:rFonts w:hint="eastAsia" w:ascii="宋体" w:hAnsi="宋体" w:eastAsia="宋体"/>
          <w:b/>
          <w:color w:val="auto"/>
          <w:sz w:val="24"/>
          <w:szCs w:val="24"/>
          <w:highlight w:val="none"/>
        </w:rPr>
        <w:t>说明：</w:t>
      </w:r>
    </w:p>
    <w:p w14:paraId="3738EAF4">
      <w:pPr>
        <w:pStyle w:val="28"/>
        <w:spacing w:line="360" w:lineRule="auto"/>
        <w:ind w:left="25" w:leftChars="12" w:firstLine="354" w:firstLineChars="147"/>
        <w:rPr>
          <w:rFonts w:ascii="宋体" w:hAnsi="宋体" w:eastAsia="宋体"/>
          <w:b/>
          <w:bCs/>
          <w:color w:val="auto"/>
          <w:sz w:val="24"/>
          <w:szCs w:val="24"/>
          <w:highlight w:val="none"/>
        </w:rPr>
      </w:pPr>
      <w:r>
        <w:rPr>
          <w:rFonts w:hint="eastAsia" w:ascii="宋体" w:hAnsi="宋体" w:eastAsia="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b/>
          <w:bCs/>
          <w:color w:val="auto"/>
          <w:sz w:val="24"/>
          <w:szCs w:val="24"/>
          <w:highlight w:val="none"/>
        </w:rPr>
        <w:t>。</w:t>
      </w:r>
    </w:p>
    <w:p w14:paraId="1D9A6A62">
      <w:pPr>
        <w:pStyle w:val="28"/>
        <w:spacing w:line="360" w:lineRule="auto"/>
        <w:ind w:left="25" w:leftChars="12" w:firstLine="354" w:firstLineChars="147"/>
        <w:rPr>
          <w:rFonts w:ascii="宋体" w:hAnsi="宋体" w:eastAsia="宋体"/>
          <w:b/>
          <w:color w:val="auto"/>
          <w:sz w:val="24"/>
          <w:szCs w:val="24"/>
          <w:highlight w:val="none"/>
        </w:rPr>
      </w:pPr>
      <w:r>
        <w:rPr>
          <w:rFonts w:hint="eastAsia" w:ascii="宋体" w:hAnsi="宋体" w:eastAsia="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7EFFFFA">
      <w:pPr>
        <w:pStyle w:val="28"/>
        <w:spacing w:line="360" w:lineRule="auto"/>
        <w:ind w:left="25" w:leftChars="12" w:firstLine="354" w:firstLineChars="147"/>
        <w:rPr>
          <w:rFonts w:ascii="宋体" w:hAnsi="宋体" w:eastAsia="宋体"/>
          <w:b/>
          <w:color w:val="auto"/>
          <w:sz w:val="24"/>
          <w:szCs w:val="24"/>
          <w:highlight w:val="none"/>
        </w:rPr>
      </w:pPr>
      <w:r>
        <w:rPr>
          <w:rFonts w:hint="eastAsia" w:ascii="宋体" w:hAnsi="宋体" w:eastAsia="宋体"/>
          <w:b/>
          <w:color w:val="auto"/>
          <w:sz w:val="24"/>
          <w:szCs w:val="24"/>
          <w:highlight w:val="none"/>
        </w:rPr>
        <w:t>3.投诉书应简要列明质疑事项，质疑函、质疑答复等作为附件材料提供。</w:t>
      </w:r>
    </w:p>
    <w:p w14:paraId="5D3BF382">
      <w:pPr>
        <w:pStyle w:val="28"/>
        <w:spacing w:line="360" w:lineRule="auto"/>
        <w:ind w:left="25" w:leftChars="12" w:firstLine="354" w:firstLineChars="147"/>
        <w:rPr>
          <w:rFonts w:ascii="宋体" w:hAnsi="宋体" w:eastAsia="宋体"/>
          <w:b/>
          <w:color w:val="auto"/>
          <w:sz w:val="24"/>
          <w:szCs w:val="24"/>
          <w:highlight w:val="none"/>
        </w:rPr>
      </w:pPr>
      <w:r>
        <w:rPr>
          <w:rFonts w:hint="eastAsia" w:ascii="宋体" w:hAnsi="宋体" w:eastAsia="宋体"/>
          <w:b/>
          <w:color w:val="auto"/>
          <w:sz w:val="24"/>
          <w:szCs w:val="24"/>
          <w:highlight w:val="none"/>
        </w:rPr>
        <w:t>4.投诉书的投诉事项应具体、明确，并有必要的事实依据和法律依据。</w:t>
      </w:r>
    </w:p>
    <w:p w14:paraId="5FF9AC53">
      <w:pPr>
        <w:pStyle w:val="28"/>
        <w:spacing w:line="360" w:lineRule="auto"/>
        <w:ind w:left="25" w:leftChars="12" w:firstLine="354" w:firstLineChars="147"/>
        <w:rPr>
          <w:rFonts w:ascii="宋体" w:hAnsi="宋体" w:eastAsia="宋体"/>
          <w:b/>
          <w:color w:val="auto"/>
          <w:sz w:val="24"/>
          <w:szCs w:val="24"/>
          <w:highlight w:val="none"/>
        </w:rPr>
      </w:pPr>
      <w:r>
        <w:rPr>
          <w:rFonts w:hint="eastAsia" w:ascii="宋体" w:hAnsi="宋体" w:eastAsia="宋体"/>
          <w:b/>
          <w:color w:val="auto"/>
          <w:sz w:val="24"/>
          <w:szCs w:val="24"/>
          <w:highlight w:val="none"/>
        </w:rPr>
        <w:t>5.投诉书的投诉请求应与投诉事项相关。</w:t>
      </w:r>
    </w:p>
    <w:p w14:paraId="0854CDCA">
      <w:pPr>
        <w:pStyle w:val="28"/>
        <w:spacing w:line="360" w:lineRule="auto"/>
        <w:ind w:left="25" w:leftChars="12" w:firstLine="354" w:firstLineChars="147"/>
        <w:rPr>
          <w:rFonts w:ascii="宋体" w:hAnsi="宋体" w:eastAsia="宋体"/>
          <w:b/>
          <w:color w:val="auto"/>
          <w:sz w:val="24"/>
          <w:szCs w:val="24"/>
          <w:highlight w:val="none"/>
        </w:rPr>
      </w:pPr>
      <w:r>
        <w:rPr>
          <w:rFonts w:hint="eastAsia" w:ascii="宋体" w:hAnsi="宋体" w:eastAsia="宋体"/>
          <w:b/>
          <w:color w:val="auto"/>
          <w:sz w:val="24"/>
          <w:szCs w:val="24"/>
          <w:highlight w:val="none"/>
        </w:rPr>
        <w:t>6.投诉人为法人或者其他组织的，投诉书应由法定代表人、主要负责人，或者其授权代表签字或者盖章，并加盖公章。</w:t>
      </w:r>
    </w:p>
    <w:p w14:paraId="3867657F">
      <w:pPr>
        <w:widowControl/>
        <w:jc w:val="left"/>
        <w:rPr>
          <w:rFonts w:ascii="宋体" w:hAnsi="宋体" w:eastAsia="宋体" w:cs="Times New Roman"/>
          <w:b/>
          <w:color w:val="auto"/>
          <w:kern w:val="0"/>
          <w:sz w:val="24"/>
          <w:highlight w:val="none"/>
          <w:lang w:val="zh-CN"/>
        </w:rPr>
      </w:pPr>
      <w:r>
        <w:rPr>
          <w:rFonts w:ascii="宋体" w:hAnsi="宋体" w:eastAsia="宋体"/>
          <w:b/>
          <w:color w:val="auto"/>
          <w:sz w:val="24"/>
          <w:highlight w:val="none"/>
        </w:rPr>
        <w:br w:type="page"/>
      </w:r>
    </w:p>
    <w:p w14:paraId="71AD8BEE">
      <w:pPr>
        <w:pStyle w:val="28"/>
        <w:spacing w:line="360" w:lineRule="auto"/>
        <w:ind w:left="25" w:leftChars="12" w:firstLine="295" w:firstLineChars="147"/>
        <w:rPr>
          <w:rFonts w:ascii="宋体" w:hAnsi="宋体" w:eastAsia="宋体"/>
          <w:b/>
          <w:color w:val="auto"/>
          <w:highlight w:val="none"/>
        </w:rPr>
      </w:pPr>
    </w:p>
    <w:p w14:paraId="29DE1EA7">
      <w:pPr>
        <w:pStyle w:val="2"/>
        <w:jc w:val="center"/>
        <w:rPr>
          <w:rFonts w:ascii="宋体" w:hAnsi="宋体" w:eastAsia="宋体"/>
          <w:color w:val="auto"/>
          <w:highlight w:val="none"/>
        </w:rPr>
      </w:pPr>
      <w:bookmarkStart w:id="147" w:name="_Toc3521"/>
      <w:r>
        <w:rPr>
          <w:rFonts w:hint="eastAsia" w:ascii="宋体" w:hAnsi="宋体" w:eastAsia="宋体"/>
          <w:color w:val="auto"/>
          <w:highlight w:val="none"/>
        </w:rPr>
        <w:t>第六章 合同文本</w:t>
      </w:r>
      <w:bookmarkEnd w:id="147"/>
    </w:p>
    <w:p w14:paraId="494AA371">
      <w:pPr>
        <w:widowControl/>
        <w:jc w:val="left"/>
        <w:rPr>
          <w:color w:val="auto"/>
          <w:highlight w:val="none"/>
          <w:lang w:val="zh-CN"/>
        </w:rPr>
      </w:pPr>
      <w:r>
        <w:rPr>
          <w:color w:val="auto"/>
          <w:highlight w:val="none"/>
          <w:lang w:val="zh-CN"/>
        </w:rPr>
        <w:br w:type="page"/>
      </w:r>
    </w:p>
    <w:p w14:paraId="4F6CF76C">
      <w:pPr>
        <w:spacing w:before="120" w:line="320" w:lineRule="atLeast"/>
        <w:ind w:firstLine="562" w:firstLineChars="200"/>
        <w:jc w:val="center"/>
        <w:outlineLvl w:val="1"/>
        <w:rPr>
          <w:rFonts w:ascii="Times New Roman" w:hAnsi="Times New Roman" w:eastAsia="宋体" w:cs="Times New Roman"/>
          <w:b/>
          <w:bCs/>
          <w:color w:val="auto"/>
          <w:kern w:val="0"/>
          <w:sz w:val="28"/>
          <w:szCs w:val="28"/>
          <w:highlight w:val="none"/>
        </w:rPr>
      </w:pPr>
      <w:bookmarkStart w:id="148" w:name="_Toc20125"/>
      <w:r>
        <w:rPr>
          <w:rFonts w:ascii="Times New Roman" w:hAnsi="Times New Roman" w:eastAsia="宋体" w:cs="Times New Roman"/>
          <w:b/>
          <w:bCs/>
          <w:color w:val="auto"/>
          <w:kern w:val="0"/>
          <w:sz w:val="28"/>
          <w:szCs w:val="28"/>
          <w:highlight w:val="none"/>
        </w:rPr>
        <w:t>广西壮族自治区政府采购合同</w:t>
      </w:r>
      <w:bookmarkEnd w:id="148"/>
    </w:p>
    <w:p w14:paraId="225CCE1E">
      <w:pPr>
        <w:snapToGrid w:val="0"/>
        <w:spacing w:line="360" w:lineRule="exact"/>
        <w:ind w:right="480" w:firstLine="5985" w:firstLineChars="2850"/>
        <w:rPr>
          <w:rFonts w:hint="eastAsia" w:ascii="Times New Roman" w:hAnsi="Times New Roman" w:eastAsia="宋体" w:cs="Times New Roman"/>
          <w:bCs/>
          <w:color w:val="auto"/>
          <w:szCs w:val="21"/>
          <w:highlight w:val="none"/>
          <w:lang w:val="en-US" w:eastAsia="zh-CN"/>
        </w:rPr>
      </w:pPr>
    </w:p>
    <w:p w14:paraId="5D5C0D3E">
      <w:pPr>
        <w:spacing w:line="360" w:lineRule="auto"/>
        <w:ind w:right="800"/>
        <w:rPr>
          <w:rFonts w:ascii="宋体" w:hAnsi="宋体" w:eastAsia="宋体" w:cs="宋体"/>
          <w:bCs/>
          <w:color w:val="auto"/>
          <w:szCs w:val="21"/>
          <w:highlight w:val="none"/>
          <w:u w:val="single"/>
        </w:rPr>
      </w:pPr>
      <w:r>
        <w:rPr>
          <w:rFonts w:hint="eastAsia" w:ascii="宋体" w:hAnsi="宋体" w:eastAsia="宋体" w:cs="宋体"/>
          <w:color w:val="auto"/>
          <w:szCs w:val="21"/>
          <w:highlight w:val="none"/>
        </w:rPr>
        <w:t>采购计划号：</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 xml:space="preserve">   </w:t>
      </w:r>
      <w:r>
        <w:rPr>
          <w:rFonts w:hint="eastAsia" w:ascii="宋体" w:hAnsi="宋体" w:eastAsia="宋体" w:cs="宋体"/>
          <w:bCs/>
          <w:color w:val="auto"/>
          <w:szCs w:val="21"/>
          <w:highlight w:val="none"/>
        </w:rPr>
        <w:t>合同编号：</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p>
    <w:p w14:paraId="2F74F424">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供应商（乙方）：</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4C6E325">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项目编号：</w:t>
      </w:r>
      <w:r>
        <w:rPr>
          <w:rFonts w:ascii="宋体" w:hAnsi="宋体" w:eastAsia="宋体" w:cs="宋体"/>
          <w:color w:val="auto"/>
          <w:szCs w:val="21"/>
          <w:highlight w:val="none"/>
          <w:u w:val="single"/>
        </w:rPr>
        <w:t xml:space="preserve">                          </w:t>
      </w:r>
    </w:p>
    <w:p w14:paraId="4D04C2A8">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签订时间：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p>
    <w:p w14:paraId="4AAC740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本合同为中小企业预留合同：</w:t>
      </w:r>
      <w:r>
        <w:rPr>
          <w:rFonts w:hint="eastAsia" w:ascii="宋体" w:hAnsi="宋体" w:eastAsia="宋体" w:cs="宋体"/>
          <w:color w:val="auto"/>
          <w:szCs w:val="21"/>
          <w:highlight w:val="none"/>
          <w:u w:val="single"/>
        </w:rPr>
        <w:t>（否）</w:t>
      </w:r>
      <w:r>
        <w:rPr>
          <w:rFonts w:hint="eastAsia" w:ascii="宋体" w:hAnsi="宋体" w:eastAsia="宋体" w:cs="宋体"/>
          <w:color w:val="auto"/>
          <w:szCs w:val="21"/>
          <w:highlight w:val="none"/>
        </w:rPr>
        <w:t>。</w:t>
      </w:r>
    </w:p>
    <w:p w14:paraId="54ED32CC">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根据《中华人民共和国政府采购法》《中华人民共和国民法典》等法律、法规规定，按照</w:t>
      </w:r>
      <w:r>
        <w:rPr>
          <w:rFonts w:hint="eastAsia" w:ascii="宋体" w:hAnsi="宋体" w:eastAsia="宋体" w:cs="Times New Roman"/>
          <w:color w:val="auto"/>
          <w:szCs w:val="21"/>
          <w:highlight w:val="none"/>
        </w:rPr>
        <w:t>磋商文件规定条款和乙方响应文件及其承诺，甲乙双方签订本合同。</w:t>
      </w:r>
    </w:p>
    <w:p w14:paraId="2AC2A3A9">
      <w:pPr>
        <w:keepNext w:val="0"/>
        <w:keepLines w:val="0"/>
        <w:pageBreakBefore w:val="0"/>
        <w:widowControl w:val="0"/>
        <w:kinsoku/>
        <w:wordWrap/>
        <w:overflowPunct/>
        <w:topLinePunct w:val="0"/>
        <w:autoSpaceDE/>
        <w:autoSpaceDN/>
        <w:bidi w:val="0"/>
        <w:adjustRightInd/>
        <w:spacing w:after="0" w:line="360" w:lineRule="auto"/>
        <w:ind w:firstLine="422" w:firstLineChars="200"/>
        <w:textAlignment w:val="auto"/>
        <w:rPr>
          <w:rFonts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p w14:paraId="080D6549">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1、项目一览表</w:t>
      </w:r>
    </w:p>
    <w:tbl>
      <w:tblPr>
        <w:tblStyle w:val="4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1835"/>
        <w:gridCol w:w="900"/>
        <w:gridCol w:w="790"/>
        <w:gridCol w:w="1487"/>
        <w:gridCol w:w="2415"/>
      </w:tblGrid>
      <w:tr w14:paraId="5E4A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4F361A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07F6567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835" w:type="dxa"/>
            <w:tcBorders>
              <w:top w:val="single" w:color="auto" w:sz="4" w:space="0"/>
              <w:left w:val="single" w:color="auto" w:sz="4" w:space="0"/>
              <w:bottom w:val="single" w:color="auto" w:sz="4" w:space="0"/>
              <w:right w:val="single" w:color="auto" w:sz="4" w:space="0"/>
            </w:tcBorders>
            <w:vAlign w:val="center"/>
          </w:tcPr>
          <w:p w14:paraId="105F739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900" w:type="dxa"/>
            <w:tcBorders>
              <w:top w:val="single" w:color="auto" w:sz="4" w:space="0"/>
              <w:left w:val="single" w:color="auto" w:sz="4" w:space="0"/>
              <w:bottom w:val="single" w:color="auto" w:sz="4" w:space="0"/>
              <w:right w:val="single" w:color="auto" w:sz="4" w:space="0"/>
            </w:tcBorders>
            <w:vAlign w:val="center"/>
          </w:tcPr>
          <w:p w14:paraId="38E30ED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790" w:type="dxa"/>
            <w:tcBorders>
              <w:top w:val="single" w:color="auto" w:sz="4" w:space="0"/>
              <w:left w:val="single" w:color="auto" w:sz="4" w:space="0"/>
              <w:bottom w:val="single" w:color="auto" w:sz="4" w:space="0"/>
              <w:right w:val="single" w:color="auto" w:sz="4" w:space="0"/>
            </w:tcBorders>
            <w:vAlign w:val="center"/>
          </w:tcPr>
          <w:p w14:paraId="79BD793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487" w:type="dxa"/>
            <w:tcBorders>
              <w:top w:val="single" w:color="auto" w:sz="4" w:space="0"/>
              <w:left w:val="single" w:color="auto" w:sz="4" w:space="0"/>
              <w:bottom w:val="single" w:color="auto" w:sz="4" w:space="0"/>
              <w:right w:val="single" w:color="auto" w:sz="4" w:space="0"/>
            </w:tcBorders>
            <w:vAlign w:val="center"/>
          </w:tcPr>
          <w:p w14:paraId="79D35F5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宋体" w:hAnsi="宋体" w:eastAsia="宋体" w:cs="宋体"/>
                <w:color w:val="auto"/>
                <w:szCs w:val="21"/>
                <w:highlight w:val="none"/>
              </w:rPr>
            </w:pPr>
            <w:r>
              <w:rPr>
                <w:rFonts w:hint="eastAsia" w:ascii="宋体" w:hAnsi="宋体" w:eastAsia="宋体" w:cs="宋体"/>
                <w:color w:val="auto"/>
                <w:szCs w:val="21"/>
                <w:highlight w:val="none"/>
              </w:rPr>
              <w:t>单  价（元）</w:t>
            </w:r>
          </w:p>
        </w:tc>
        <w:tc>
          <w:tcPr>
            <w:tcW w:w="2415" w:type="dxa"/>
            <w:tcBorders>
              <w:top w:val="single" w:color="auto" w:sz="4" w:space="0"/>
              <w:left w:val="single" w:color="auto" w:sz="4" w:space="0"/>
              <w:bottom w:val="single" w:color="auto" w:sz="4" w:space="0"/>
              <w:right w:val="single" w:color="auto" w:sz="4" w:space="0"/>
            </w:tcBorders>
            <w:vAlign w:val="center"/>
          </w:tcPr>
          <w:p w14:paraId="4C0E5E7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宋体" w:hAnsi="宋体" w:eastAsia="宋体" w:cs="宋体"/>
                <w:color w:val="auto"/>
                <w:szCs w:val="21"/>
                <w:highlight w:val="none"/>
              </w:rPr>
            </w:pPr>
            <w:r>
              <w:rPr>
                <w:rFonts w:hint="eastAsia" w:ascii="宋体" w:hAnsi="宋体" w:eastAsia="宋体" w:cs="宋体"/>
                <w:color w:val="auto"/>
                <w:szCs w:val="21"/>
                <w:highlight w:val="none"/>
              </w:rPr>
              <w:t xml:space="preserve">总 </w:t>
            </w:r>
            <w:r>
              <w:rPr>
                <w:rFonts w:hint="default" w:ascii="宋体" w:hAnsi="宋体" w:eastAsia="宋体" w:cs="宋体"/>
                <w:color w:val="auto"/>
                <w:szCs w:val="21"/>
                <w:highlight w:val="none"/>
              </w:rPr>
              <w:t xml:space="preserve"> </w:t>
            </w:r>
            <w:r>
              <w:rPr>
                <w:rFonts w:hint="eastAsia" w:ascii="宋体" w:hAnsi="宋体" w:eastAsia="宋体" w:cs="宋体"/>
                <w:color w:val="auto"/>
                <w:szCs w:val="21"/>
                <w:highlight w:val="none"/>
              </w:rPr>
              <w:t>价（元）</w:t>
            </w:r>
          </w:p>
        </w:tc>
      </w:tr>
      <w:tr w14:paraId="2085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7A087E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宋体" w:hAnsi="宋体" w:eastAsia="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648B724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宋体" w:hAnsi="宋体" w:eastAsia="宋体" w:cs="宋体"/>
                <w:color w:val="auto"/>
                <w:szCs w:val="21"/>
                <w:highlight w:val="none"/>
              </w:rPr>
            </w:pPr>
          </w:p>
        </w:tc>
        <w:tc>
          <w:tcPr>
            <w:tcW w:w="1835" w:type="dxa"/>
            <w:tcBorders>
              <w:top w:val="single" w:color="auto" w:sz="4" w:space="0"/>
              <w:left w:val="single" w:color="auto" w:sz="4" w:space="0"/>
              <w:bottom w:val="single" w:color="auto" w:sz="4" w:space="0"/>
              <w:right w:val="single" w:color="auto" w:sz="4" w:space="0"/>
            </w:tcBorders>
            <w:vAlign w:val="center"/>
          </w:tcPr>
          <w:p w14:paraId="54ACE0B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734D5A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宋体" w:hAnsi="宋体" w:eastAsia="宋体" w:cs="宋体"/>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10F4F1A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宋体" w:hAnsi="宋体" w:eastAsia="宋体" w:cs="宋体"/>
                <w:color w:val="auto"/>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1FE6B3C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宋体" w:hAnsi="宋体" w:eastAsia="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14:paraId="708B067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default" w:ascii="宋体" w:hAnsi="宋体" w:eastAsia="宋体" w:cs="宋体"/>
                <w:color w:val="auto"/>
                <w:szCs w:val="21"/>
                <w:highlight w:val="none"/>
              </w:rPr>
            </w:pPr>
          </w:p>
        </w:tc>
      </w:tr>
      <w:tr w14:paraId="7798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60" w:type="dxa"/>
            <w:gridSpan w:val="7"/>
            <w:tcBorders>
              <w:top w:val="single" w:color="auto" w:sz="4" w:space="0"/>
              <w:left w:val="single" w:color="auto" w:sz="4" w:space="0"/>
              <w:bottom w:val="single" w:color="auto" w:sz="4" w:space="0"/>
              <w:right w:val="single" w:color="auto" w:sz="4" w:space="0"/>
            </w:tcBorders>
            <w:vAlign w:val="center"/>
          </w:tcPr>
          <w:p w14:paraId="11AEBD1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s="宋体"/>
                <w:color w:val="auto"/>
                <w:szCs w:val="21"/>
                <w:highlight w:val="none"/>
              </w:rPr>
            </w:pPr>
            <w:r>
              <w:rPr>
                <w:rFonts w:hint="eastAsia" w:ascii="宋体" w:hAnsi="宋体" w:eastAsia="宋体" w:cs="宋体"/>
                <w:color w:val="auto"/>
                <w:szCs w:val="21"/>
                <w:highlight w:val="none"/>
              </w:rPr>
              <w:t>人民币合计金额（大写）：</w:t>
            </w:r>
            <w:r>
              <w:rPr>
                <w:rFonts w:hint="default"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default"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元整（¥</w:t>
            </w:r>
            <w:r>
              <w:rPr>
                <w:rFonts w:hint="default"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c>
      </w:tr>
    </w:tbl>
    <w:p w14:paraId="29088E23">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2、合同合计金额包括乙方</w:t>
      </w:r>
      <w:r>
        <w:rPr>
          <w:rFonts w:hint="eastAsia" w:ascii="宋体" w:hAnsi="宋体" w:eastAsia="宋体"/>
          <w:color w:val="auto"/>
          <w:szCs w:val="21"/>
          <w:highlight w:val="none"/>
        </w:rPr>
        <w:t>完成本项目服务所有内容及其他相关服务的投入、售后服务、税金、利润及其他所有可能发生的一切费用，合同履行期间甲方不再支付任何费用。</w:t>
      </w:r>
    </w:p>
    <w:p w14:paraId="378C7ECA">
      <w:pPr>
        <w:keepNext w:val="0"/>
        <w:keepLines w:val="0"/>
        <w:pageBreakBefore w:val="0"/>
        <w:widowControl w:val="0"/>
        <w:kinsoku/>
        <w:wordWrap/>
        <w:overflowPunct/>
        <w:topLinePunct w:val="0"/>
        <w:autoSpaceDE/>
        <w:autoSpaceDN/>
        <w:bidi w:val="0"/>
        <w:adjustRightInd/>
        <w:spacing w:after="0" w:line="360" w:lineRule="auto"/>
        <w:ind w:firstLine="422" w:firstLineChars="200"/>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第二条　</w:t>
      </w:r>
      <w:r>
        <w:rPr>
          <w:rFonts w:hint="eastAsia" w:ascii="宋体" w:hAnsi="宋体" w:eastAsia="宋体" w:cs="宋体"/>
          <w:b/>
          <w:color w:val="auto"/>
          <w:szCs w:val="21"/>
          <w:highlight w:val="none"/>
          <w:lang w:val="en-US" w:eastAsia="zh-CN"/>
        </w:rPr>
        <w:t>服务时间及地点</w:t>
      </w:r>
    </w:p>
    <w:p w14:paraId="602BC86F">
      <w:pPr>
        <w:keepNext w:val="0"/>
        <w:keepLines w:val="0"/>
        <w:pageBreakBefore w:val="0"/>
        <w:widowControl w:val="0"/>
        <w:kinsoku/>
        <w:wordWrap/>
        <w:overflowPunct/>
        <w:topLinePunct w:val="0"/>
        <w:autoSpaceDE/>
        <w:autoSpaceDN/>
        <w:bidi w:val="0"/>
        <w:adjustRightInd/>
        <w:spacing w:after="0" w:line="360" w:lineRule="auto"/>
        <w:ind w:firstLine="422" w:firstLineChars="200"/>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1、服务时间：自   年  月  日至   年  月  日止。</w:t>
      </w:r>
    </w:p>
    <w:p w14:paraId="127EFA0B">
      <w:pPr>
        <w:keepNext w:val="0"/>
        <w:keepLines w:val="0"/>
        <w:pageBreakBefore w:val="0"/>
        <w:widowControl w:val="0"/>
        <w:kinsoku/>
        <w:wordWrap/>
        <w:overflowPunct/>
        <w:topLinePunct w:val="0"/>
        <w:autoSpaceDE/>
        <w:autoSpaceDN/>
        <w:bidi w:val="0"/>
        <w:adjustRightInd/>
        <w:spacing w:after="0" w:line="360" w:lineRule="auto"/>
        <w:ind w:firstLine="422" w:firstLineChars="200"/>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服务地点</w:t>
      </w:r>
      <w:r>
        <w:rPr>
          <w:rFonts w:hint="eastAsia" w:ascii="宋体" w:hAnsi="宋体" w:eastAsia="宋体" w:cs="宋体"/>
          <w:b/>
          <w:color w:val="auto"/>
          <w:szCs w:val="21"/>
          <w:highlight w:val="none"/>
          <w:lang w:eastAsia="zh-CN"/>
        </w:rPr>
        <w:t>：</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w:t>
      </w:r>
    </w:p>
    <w:p w14:paraId="04A5B29A">
      <w:pPr>
        <w:keepNext w:val="0"/>
        <w:keepLines w:val="0"/>
        <w:pageBreakBefore w:val="0"/>
        <w:widowControl w:val="0"/>
        <w:kinsoku/>
        <w:wordWrap/>
        <w:overflowPunct/>
        <w:topLinePunct w:val="0"/>
        <w:autoSpaceDE/>
        <w:autoSpaceDN/>
        <w:bidi w:val="0"/>
        <w:adjustRightInd/>
        <w:spacing w:after="0" w:line="360" w:lineRule="auto"/>
        <w:ind w:firstLine="422" w:firstLineChars="200"/>
        <w:textAlignment w:val="auto"/>
        <w:rPr>
          <w:rFonts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第三条</w:t>
      </w:r>
      <w:r>
        <w:rPr>
          <w:rFonts w:hint="eastAsia" w:ascii="宋体" w:hAnsi="宋体" w:eastAsia="宋体" w:cs="宋体"/>
          <w:b/>
          <w:color w:val="auto"/>
          <w:szCs w:val="21"/>
          <w:highlight w:val="none"/>
        </w:rPr>
        <w:t>　</w:t>
      </w:r>
      <w:r>
        <w:rPr>
          <w:rFonts w:hint="eastAsia" w:ascii="宋体" w:hAnsi="宋体" w:eastAsia="宋体" w:cs="宋体"/>
          <w:b/>
          <w:color w:val="auto"/>
          <w:szCs w:val="21"/>
          <w:highlight w:val="none"/>
          <w:lang w:val="en-US" w:eastAsia="zh-CN"/>
        </w:rPr>
        <w:t>服务</w:t>
      </w:r>
      <w:r>
        <w:rPr>
          <w:rFonts w:hint="eastAsia" w:ascii="宋体" w:hAnsi="宋体" w:eastAsia="宋体" w:cs="宋体"/>
          <w:b/>
          <w:color w:val="auto"/>
          <w:szCs w:val="21"/>
          <w:highlight w:val="none"/>
        </w:rPr>
        <w:t>质量保证</w:t>
      </w:r>
    </w:p>
    <w:p w14:paraId="63C1770A">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乙方所提供的服务及服务成果必须与响应文件承诺及本合同规定相一致，有国家强制性标准的，还必须符合国家强制性标准的规定，没有国家强制性标准但有其他强制性标准的，必须符合其他强制性标准的规定。</w:t>
      </w:r>
    </w:p>
    <w:p w14:paraId="64D7CFA3">
      <w:pPr>
        <w:keepNext w:val="0"/>
        <w:keepLines w:val="0"/>
        <w:pageBreakBefore w:val="0"/>
        <w:widowControl w:val="0"/>
        <w:kinsoku/>
        <w:wordWrap/>
        <w:overflowPunct/>
        <w:topLinePunct w:val="0"/>
        <w:autoSpaceDE/>
        <w:autoSpaceDN/>
        <w:bidi w:val="0"/>
        <w:adjustRightInd/>
        <w:spacing w:after="0" w:line="360" w:lineRule="auto"/>
        <w:ind w:firstLine="422" w:firstLineChars="200"/>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第四条</w:t>
      </w:r>
      <w:r>
        <w:rPr>
          <w:rFonts w:hint="eastAsia" w:ascii="宋体" w:hAnsi="宋体" w:eastAsia="宋体" w:cs="宋体"/>
          <w:b/>
          <w:color w:val="auto"/>
          <w:szCs w:val="21"/>
          <w:highlight w:val="none"/>
        </w:rPr>
        <w:t>　</w:t>
      </w:r>
      <w:r>
        <w:rPr>
          <w:rFonts w:hint="eastAsia" w:ascii="宋体" w:hAnsi="宋体" w:eastAsia="宋体" w:cs="宋体"/>
          <w:b/>
          <w:color w:val="auto"/>
          <w:szCs w:val="21"/>
          <w:highlight w:val="none"/>
          <w:lang w:val="en-US" w:eastAsia="zh-CN"/>
        </w:rPr>
        <w:t>付款方式</w:t>
      </w:r>
    </w:p>
    <w:p w14:paraId="48D5A5ED">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olor w:val="auto"/>
          <w:highlight w:val="none"/>
          <w:lang w:val="zh-CN" w:eastAsia="zh-CN"/>
        </w:rPr>
      </w:pPr>
      <w:r>
        <w:rPr>
          <w:rFonts w:hint="eastAsia" w:ascii="宋体" w:hAnsi="宋体" w:eastAsia="宋体"/>
          <w:color w:val="auto"/>
          <w:highlight w:val="none"/>
          <w:lang w:val="zh-CN" w:eastAsia="zh-CN"/>
        </w:rPr>
        <w:t>合同签订后10个工作日内，采购人向成交供应商支付合同总金额的</w:t>
      </w:r>
      <w:r>
        <w:rPr>
          <w:rFonts w:hint="eastAsia" w:ascii="宋体" w:hAnsi="宋体" w:eastAsia="宋体"/>
          <w:color w:val="auto"/>
          <w:highlight w:val="none"/>
          <w:lang w:val="en-US" w:eastAsia="zh-CN"/>
        </w:rPr>
        <w:t>50</w:t>
      </w:r>
      <w:r>
        <w:rPr>
          <w:rFonts w:hint="eastAsia" w:ascii="宋体" w:hAnsi="宋体" w:eastAsia="宋体"/>
          <w:color w:val="auto"/>
          <w:highlight w:val="none"/>
          <w:lang w:val="zh-CN" w:eastAsia="zh-CN"/>
        </w:rPr>
        <w:t>%作为项目首款；在项目执行周期内，成交供应商完成60%任务（即以座谈、拜会、</w:t>
      </w:r>
      <w:r>
        <w:rPr>
          <w:rFonts w:hint="eastAsia" w:ascii="宋体" w:hAnsi="宋体" w:eastAsia="宋体"/>
          <w:color w:val="auto"/>
          <w:highlight w:val="none"/>
          <w:lang w:val="en-US" w:eastAsia="zh-CN"/>
        </w:rPr>
        <w:t>推介</w:t>
      </w:r>
      <w:r>
        <w:rPr>
          <w:rFonts w:hint="eastAsia" w:ascii="宋体" w:hAnsi="宋体" w:eastAsia="宋体"/>
          <w:color w:val="auto"/>
          <w:highlight w:val="none"/>
          <w:lang w:val="zh-CN" w:eastAsia="zh-CN"/>
        </w:rPr>
        <w:t>等形式</w:t>
      </w:r>
      <w:r>
        <w:rPr>
          <w:rFonts w:hint="eastAsia" w:ascii="宋体" w:hAnsi="宋体" w:eastAsia="宋体"/>
          <w:color w:val="auto"/>
          <w:highlight w:val="none"/>
          <w:lang w:val="en-US" w:eastAsia="zh-CN"/>
        </w:rPr>
        <w:t>在东盟国家举办至少14场活动，或与此持平的完成情况。</w:t>
      </w:r>
      <w:r>
        <w:rPr>
          <w:rFonts w:hint="eastAsia" w:ascii="宋体" w:hAnsi="宋体" w:eastAsia="宋体"/>
          <w:color w:val="auto"/>
          <w:highlight w:val="none"/>
          <w:lang w:val="zh-CN" w:eastAsia="zh-CN"/>
        </w:rPr>
        <w:t>）并经采购人确认后，采购人支付合同总金额的</w:t>
      </w:r>
      <w:r>
        <w:rPr>
          <w:rFonts w:hint="eastAsia" w:ascii="宋体" w:hAnsi="宋体" w:eastAsia="宋体"/>
          <w:color w:val="auto"/>
          <w:highlight w:val="none"/>
          <w:lang w:val="en-US" w:eastAsia="zh-CN"/>
        </w:rPr>
        <w:t>3</w:t>
      </w:r>
      <w:r>
        <w:rPr>
          <w:rFonts w:hint="eastAsia" w:ascii="宋体" w:hAnsi="宋体" w:eastAsia="宋体"/>
          <w:color w:val="auto"/>
          <w:highlight w:val="none"/>
          <w:lang w:val="zh-CN" w:eastAsia="zh-CN"/>
        </w:rPr>
        <w:t>0%；全部活动完成并通过最终验收后10个工作日内，采购人向成交供应商支付剩余合同总金额的20%。每次付款前，成交供应商必须提供请款函和等额正规合法发票。</w:t>
      </w:r>
    </w:p>
    <w:p w14:paraId="74D2C752">
      <w:pPr>
        <w:keepNext w:val="0"/>
        <w:keepLines w:val="0"/>
        <w:pageBreakBefore w:val="0"/>
        <w:widowControl w:val="0"/>
        <w:kinsoku/>
        <w:wordWrap/>
        <w:overflowPunct/>
        <w:topLinePunct w:val="0"/>
        <w:autoSpaceDE/>
        <w:autoSpaceDN/>
        <w:bidi w:val="0"/>
        <w:adjustRightInd/>
        <w:spacing w:after="0"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条　履约保证金</w:t>
      </w:r>
    </w:p>
    <w:p w14:paraId="37BFD210">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本项目不收取履约保证金。</w:t>
      </w:r>
    </w:p>
    <w:p w14:paraId="7AEEDA64">
      <w:pPr>
        <w:keepNext w:val="0"/>
        <w:keepLines w:val="0"/>
        <w:pageBreakBefore w:val="0"/>
        <w:widowControl w:val="0"/>
        <w:kinsoku/>
        <w:wordWrap/>
        <w:overflowPunct/>
        <w:topLinePunct w:val="0"/>
        <w:autoSpaceDE/>
        <w:autoSpaceDN/>
        <w:bidi w:val="0"/>
        <w:adjustRightInd/>
        <w:spacing w:after="0" w:line="360" w:lineRule="auto"/>
        <w:ind w:firstLine="422" w:firstLineChars="200"/>
        <w:textAlignment w:val="auto"/>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条  税费</w:t>
      </w:r>
    </w:p>
    <w:p w14:paraId="7843B432">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hint="default" w:ascii="宋体" w:hAnsi="宋体" w:eastAsia="宋体" w:cs="宋体"/>
          <w:b w:val="0"/>
          <w:bCs/>
          <w:color w:val="auto"/>
          <w:szCs w:val="21"/>
          <w:highlight w:val="none"/>
          <w:lang w:val="en-US" w:eastAsia="zh-CN"/>
        </w:rPr>
      </w:pPr>
      <w:r>
        <w:rPr>
          <w:rFonts w:hint="eastAsia" w:ascii="宋体" w:hAnsi="宋体" w:eastAsia="宋体" w:cs="宋体"/>
          <w:color w:val="auto"/>
          <w:szCs w:val="21"/>
          <w:highlight w:val="none"/>
        </w:rPr>
        <w:t>本合同执行中相关的一切税费均由乙方负担，合同另有约定的除外。</w:t>
      </w:r>
    </w:p>
    <w:p w14:paraId="5A83748B">
      <w:pPr>
        <w:keepNext w:val="0"/>
        <w:keepLines w:val="0"/>
        <w:pageBreakBefore w:val="0"/>
        <w:widowControl w:val="0"/>
        <w:kinsoku/>
        <w:wordWrap/>
        <w:overflowPunct/>
        <w:topLinePunct w:val="0"/>
        <w:autoSpaceDE/>
        <w:autoSpaceDN/>
        <w:bidi w:val="0"/>
        <w:adjustRightInd/>
        <w:spacing w:after="0" w:line="360" w:lineRule="auto"/>
        <w:ind w:firstLine="422" w:firstLineChars="200"/>
        <w:textAlignment w:val="auto"/>
        <w:rPr>
          <w:rFonts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第七条</w:t>
      </w:r>
      <w:r>
        <w:rPr>
          <w:rFonts w:hint="eastAsia" w:ascii="宋体" w:hAnsi="宋体" w:eastAsia="宋体" w:cs="宋体"/>
          <w:b/>
          <w:color w:val="auto"/>
          <w:szCs w:val="21"/>
          <w:highlight w:val="none"/>
        </w:rPr>
        <w:t>　验收</w:t>
      </w:r>
    </w:p>
    <w:p w14:paraId="0F6B9533">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、甲乙双方应按照《</w:t>
      </w:r>
      <w:r>
        <w:rPr>
          <w:rFonts w:ascii="宋体" w:hAnsi="宋体" w:eastAsia="宋体" w:cs="宋体"/>
          <w:color w:val="auto"/>
          <w:szCs w:val="21"/>
          <w:highlight w:val="none"/>
        </w:rPr>
        <w:t>广西壮族自治区政府采购项目履约验收管理办法</w:t>
      </w:r>
      <w:r>
        <w:rPr>
          <w:rFonts w:hint="eastAsia" w:ascii="宋体" w:hAnsi="宋体" w:eastAsia="宋体" w:cs="宋体"/>
          <w:color w:val="auto"/>
          <w:szCs w:val="21"/>
          <w:highlight w:val="none"/>
        </w:rPr>
        <w:t>》、双方合同、响应文件验收。</w:t>
      </w:r>
    </w:p>
    <w:p w14:paraId="7BA6A9D6">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乙方在约定的期限内完成服务成果，认为可以验收的，应当以书面方式通知甲方。甲方对乙方提交的服务依据</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文件上的服务要求和国家有关质量标准进行现场验收，符合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文件技术要求的，给予签收，验收不合格的不予签收。甲方应当在签收乙方的服务成果后七个工作日内进行验收。</w:t>
      </w:r>
    </w:p>
    <w:p w14:paraId="51F5D187">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乙方提交服务成果前应对提交的服务成果作出全面检查和对验收文件进行整理，并列出清单，作为甲方验收和使用的技术条件依据，</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检验的结果应随服务成果交给甲方。</w:t>
      </w:r>
    </w:p>
    <w:p w14:paraId="65ECD0E7">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验收时乙方必须在现场，验收完毕后，甲方作出验收结果报告，必要时甲方可委托第三方检测机构开展项目验收工作；验收费用由乙方负责。</w:t>
      </w:r>
      <w:r>
        <w:rPr>
          <w:rFonts w:hint="eastAsia" w:ascii="宋体" w:hAnsi="宋体" w:eastAsia="宋体" w:cs="Times New Roman"/>
          <w:color w:val="auto"/>
          <w:szCs w:val="21"/>
          <w:highlight w:val="none"/>
        </w:rPr>
        <w:t>验收合格后由甲乙双方签署验收单并加盖采购人公章，甲乙双方各执一份</w:t>
      </w:r>
    </w:p>
    <w:p w14:paraId="4C5D53F9">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甲方对乙方提交的服务成果有异议的，可在验收期限内以书面形式向乙方提出，乙方应自收到甲方书面异议后【</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】日内予以解决，直至符合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文件技术要求。乙方拒不解决或未在上述期限内解决的，视为验收不合格，由此导致逾期交付的，由乙方按本合同约定承担逾期交付</w:t>
      </w:r>
      <w:r>
        <w:rPr>
          <w:rFonts w:hint="eastAsia" w:ascii="宋体" w:hAnsi="宋体" w:eastAsia="宋体" w:cs="宋体"/>
          <w:color w:val="auto"/>
          <w:szCs w:val="21"/>
          <w:highlight w:val="none"/>
          <w:lang w:val="en-US" w:eastAsia="zh-CN"/>
        </w:rPr>
        <w:t>的违约</w:t>
      </w:r>
      <w:r>
        <w:rPr>
          <w:rFonts w:hint="eastAsia" w:ascii="宋体" w:hAnsi="宋体" w:eastAsia="宋体" w:cs="宋体"/>
          <w:color w:val="auto"/>
          <w:szCs w:val="21"/>
          <w:highlight w:val="none"/>
        </w:rPr>
        <w:t>责任。</w:t>
      </w:r>
    </w:p>
    <w:p w14:paraId="6C9C0EC8">
      <w:pPr>
        <w:keepNext w:val="0"/>
        <w:keepLines w:val="0"/>
        <w:pageBreakBefore w:val="0"/>
        <w:widowControl w:val="0"/>
        <w:kinsoku/>
        <w:wordWrap/>
        <w:overflowPunct/>
        <w:topLinePunct w:val="0"/>
        <w:autoSpaceDE/>
        <w:autoSpaceDN/>
        <w:bidi w:val="0"/>
        <w:adjustRightInd/>
        <w:spacing w:after="0" w:line="360" w:lineRule="auto"/>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 xml:space="preserve">第八条 </w:t>
      </w:r>
      <w:r>
        <w:rPr>
          <w:rFonts w:hint="eastAsia" w:ascii="宋体" w:hAnsi="宋体" w:eastAsia="宋体" w:cs="宋体"/>
          <w:b/>
          <w:color w:val="auto"/>
          <w:szCs w:val="21"/>
          <w:highlight w:val="none"/>
        </w:rPr>
        <w:t>权利保证</w:t>
      </w:r>
    </w:p>
    <w:p w14:paraId="6933FA8C">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0A2150DB">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w:t>
      </w:r>
      <w:r>
        <w:rPr>
          <w:rFonts w:hint="eastAsia" w:ascii="宋体" w:hAnsi="宋体" w:eastAsia="宋体" w:cs="宋体"/>
          <w:color w:val="auto"/>
          <w:szCs w:val="21"/>
          <w:highlight w:val="none"/>
          <w:lang w:val="en-US" w:eastAsia="zh-CN"/>
        </w:rPr>
        <w:t>长期</w:t>
      </w:r>
      <w:r>
        <w:rPr>
          <w:rFonts w:hint="eastAsia" w:ascii="宋体" w:hAnsi="宋体" w:eastAsia="宋体" w:cs="宋体"/>
          <w:color w:val="auto"/>
          <w:szCs w:val="21"/>
          <w:highlight w:val="none"/>
        </w:rPr>
        <w:t>有效，不因为本合同履行终止、解除或者无效而解除。</w:t>
      </w:r>
    </w:p>
    <w:p w14:paraId="116E3E23">
      <w:pPr>
        <w:keepNext w:val="0"/>
        <w:keepLines w:val="0"/>
        <w:pageBreakBefore w:val="0"/>
        <w:widowControl w:val="0"/>
        <w:kinsoku/>
        <w:wordWrap/>
        <w:overflowPunct/>
        <w:topLinePunct w:val="0"/>
        <w:autoSpaceDE/>
        <w:autoSpaceDN/>
        <w:bidi w:val="0"/>
        <w:adjustRightInd/>
        <w:spacing w:after="0" w:line="360" w:lineRule="auto"/>
        <w:ind w:firstLine="422" w:firstLineChars="200"/>
        <w:textAlignment w:val="auto"/>
        <w:rPr>
          <w:rFonts w:ascii="宋体" w:hAnsi="宋体" w:eastAsia="宋体" w:cs="宋体"/>
          <w:b/>
          <w:color w:val="auto"/>
          <w:szCs w:val="21"/>
          <w:highlight w:val="none"/>
        </w:rPr>
      </w:pPr>
      <w:r>
        <w:rPr>
          <w:rFonts w:hint="eastAsia" w:ascii="宋体" w:hAnsi="宋体" w:eastAsia="宋体" w:cs="宋体"/>
          <w:b/>
          <w:color w:val="auto"/>
          <w:szCs w:val="21"/>
          <w:highlight w:val="none"/>
        </w:rPr>
        <w:t>第九条　违约责任</w:t>
      </w:r>
    </w:p>
    <w:p w14:paraId="5B4215EB">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乙方所提交的服务成果不满足响应文件及本合同规定的，应在甲方要求期限内整改及完善，未在甲方要求期限内整改及完善的按逾期提供服务或逾期提交服务成果承担违约责任。因乙方所提交的服务成果质量问题甲方不同意接收的或特殊情况甲方同意接收的，乙方应向甲方支付合同总金额5%违约金并赔偿甲方因此产生的全部经济损失。</w:t>
      </w:r>
    </w:p>
    <w:p w14:paraId="3A5D9878">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2、除不可抗力原因外，乙方没有按照合同规定的时间提交服务成果的，甲方可要求乙方支付逾期违约金。每逾期一天按合同金额的万分之五支付违约金，该逾期违约金累计不超过合同金额的10%。 </w:t>
      </w:r>
    </w:p>
    <w:p w14:paraId="6CA0203C">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3、除不可抗力原因外，甲方延期付款的，每天向乙方偿付延期款额万分之五的违约金，但违约金累计不得超过延期款额的5%。</w:t>
      </w:r>
    </w:p>
    <w:p w14:paraId="392CB686">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4、乙方提供的服务如侵犯了第三方合法权益而引发的任何纠纷或者诉讼，均由乙方负责交涉并承担全部责任，同时乙方应当赔偿由此给甲方造成的全部损失。</w:t>
      </w:r>
    </w:p>
    <w:p w14:paraId="05EF50E6">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5、其它违约行为（如违反保密义务等）按合同总金额5%收取违约金。</w:t>
      </w:r>
    </w:p>
    <w:p w14:paraId="08041197">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kern w:val="21"/>
          <w:szCs w:val="21"/>
          <w:highlight w:val="none"/>
          <w:lang w:val="en-US" w:eastAsia="zh-CN"/>
        </w:rPr>
        <w:t>6</w:t>
      </w:r>
      <w:r>
        <w:rPr>
          <w:rFonts w:hint="eastAsia" w:ascii="宋体" w:hAnsi="宋体" w:eastAsia="宋体" w:cs="宋体"/>
          <w:color w:val="auto"/>
          <w:kern w:val="21"/>
          <w:szCs w:val="21"/>
          <w:highlight w:val="none"/>
        </w:rPr>
        <w:t>、</w:t>
      </w:r>
      <w:r>
        <w:rPr>
          <w:rFonts w:hint="eastAsia" w:ascii="宋体" w:hAnsi="宋体" w:eastAsia="宋体" w:cs="宋体"/>
          <w:color w:val="auto"/>
          <w:szCs w:val="21"/>
          <w:highlight w:val="none"/>
        </w:rPr>
        <w:t>本合同中约定乙方应承担的赔偿金、违约金等款项，甲方可从应付款项中直接扣除，不足部分甲方有权继续追索。</w:t>
      </w:r>
    </w:p>
    <w:p w14:paraId="2FBB1056">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val="en-US" w:eastAsia="zh-CN"/>
        </w:rPr>
        <w:t>承担</w:t>
      </w:r>
      <w:r>
        <w:rPr>
          <w:rFonts w:hint="eastAsia" w:ascii="宋体" w:hAnsi="宋体" w:eastAsia="宋体" w:cs="宋体"/>
          <w:color w:val="auto"/>
          <w:szCs w:val="21"/>
          <w:highlight w:val="none"/>
        </w:rPr>
        <w:t>相应的违约责任外，违约方还应承担守约方为实现债权和担保权利而支付的全部费用（包括但不限于：诉讼费用、财产保全费用、财产保全保险担保费用、调查取证费用、公证费用、律师费用、差旅费用等）。</w:t>
      </w:r>
    </w:p>
    <w:p w14:paraId="366E8BA9">
      <w:pPr>
        <w:keepNext w:val="0"/>
        <w:keepLines w:val="0"/>
        <w:pageBreakBefore w:val="0"/>
        <w:widowControl w:val="0"/>
        <w:kinsoku/>
        <w:wordWrap/>
        <w:overflowPunct/>
        <w:topLinePunct w:val="0"/>
        <w:autoSpaceDE/>
        <w:autoSpaceDN/>
        <w:bidi w:val="0"/>
        <w:adjustRightInd/>
        <w:spacing w:after="0" w:line="360" w:lineRule="auto"/>
        <w:ind w:firstLine="422" w:firstLineChars="200"/>
        <w:textAlignment w:val="auto"/>
        <w:rPr>
          <w:rFonts w:ascii="宋体" w:hAnsi="宋体" w:eastAsia="宋体" w:cs="宋体"/>
          <w:b/>
          <w:color w:val="auto"/>
          <w:szCs w:val="21"/>
          <w:highlight w:val="none"/>
        </w:rPr>
      </w:pPr>
      <w:r>
        <w:rPr>
          <w:rFonts w:hint="eastAsia" w:ascii="宋体" w:hAnsi="宋体" w:eastAsia="宋体" w:cs="宋体"/>
          <w:b/>
          <w:color w:val="auto"/>
          <w:szCs w:val="21"/>
          <w:highlight w:val="none"/>
        </w:rPr>
        <w:t>第十条  不可抗力事件处理</w:t>
      </w:r>
    </w:p>
    <w:p w14:paraId="49F092C2">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1、在合同有效期内，任何一方因不可抗力事件导致不能履行合同，则合同履行期可延长，其延长期与不可抗力影响期相同。</w:t>
      </w:r>
    </w:p>
    <w:p w14:paraId="2D3AF771">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2、不可抗力事件发生后，应立即通知对方，并寄送有关权威机构出具的证明。</w:t>
      </w:r>
    </w:p>
    <w:p w14:paraId="4A337128">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3、不可抗力事件延续一百二十天以上，双方应通过友好协商，确定是否继续履行合同。在双方协商一致的基础上决定终止本合同的，有关费用以实际履行部分进行结算。</w:t>
      </w:r>
    </w:p>
    <w:p w14:paraId="3288F3D5">
      <w:pPr>
        <w:keepNext w:val="0"/>
        <w:keepLines w:val="0"/>
        <w:pageBreakBefore w:val="0"/>
        <w:widowControl w:val="0"/>
        <w:kinsoku/>
        <w:wordWrap/>
        <w:overflowPunct/>
        <w:topLinePunct w:val="0"/>
        <w:autoSpaceDE/>
        <w:autoSpaceDN/>
        <w:bidi w:val="0"/>
        <w:adjustRightInd/>
        <w:spacing w:after="0" w:line="360" w:lineRule="auto"/>
        <w:ind w:firstLine="422" w:firstLineChars="200"/>
        <w:textAlignment w:val="auto"/>
        <w:rPr>
          <w:rFonts w:ascii="宋体" w:hAnsi="宋体" w:eastAsia="宋体" w:cs="宋体"/>
          <w:color w:val="auto"/>
          <w:szCs w:val="21"/>
          <w:highlight w:val="none"/>
        </w:rPr>
      </w:pPr>
      <w:r>
        <w:rPr>
          <w:rFonts w:hint="eastAsia" w:ascii="宋体" w:hAnsi="宋体" w:eastAsia="宋体" w:cs="宋体"/>
          <w:b/>
          <w:color w:val="auto"/>
          <w:szCs w:val="21"/>
          <w:highlight w:val="none"/>
        </w:rPr>
        <w:t>第十一条  合同争议解决</w:t>
      </w:r>
    </w:p>
    <w:p w14:paraId="4AFF0639">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因服务成果质量问题发生争议的，应由甲乙双方共同邀请国家认可的质量检测机构对服务成果进行鉴定。鉴定结果为服务成果质量符合响应文件和本合同规定标准的，鉴定费由甲方承担；鉴定结果为服务成果不符合响应文件和本合同规定标准的，鉴定费由乙方承担。</w:t>
      </w:r>
    </w:p>
    <w:p w14:paraId="349E9C5D">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2、因履行本合同引起的或者与本合同有关的争议，甲乙双方应首先通过友好协商解决，如果协商不能解决，应向甲方所在地有管辖权的人民法院提起诉讼。</w:t>
      </w:r>
    </w:p>
    <w:p w14:paraId="43E16597">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3、诉讼期间，除争议条款外，本合同继续履行。</w:t>
      </w:r>
    </w:p>
    <w:p w14:paraId="39032879">
      <w:pPr>
        <w:keepNext w:val="0"/>
        <w:keepLines w:val="0"/>
        <w:pageBreakBefore w:val="0"/>
        <w:widowControl w:val="0"/>
        <w:kinsoku/>
        <w:wordWrap/>
        <w:overflowPunct/>
        <w:topLinePunct w:val="0"/>
        <w:autoSpaceDE/>
        <w:autoSpaceDN/>
        <w:bidi w:val="0"/>
        <w:adjustRightInd/>
        <w:spacing w:after="0" w:line="360" w:lineRule="auto"/>
        <w:ind w:firstLine="422" w:firstLineChars="200"/>
        <w:textAlignment w:val="auto"/>
        <w:rPr>
          <w:rFonts w:ascii="宋体" w:hAnsi="宋体" w:eastAsia="宋体" w:cs="宋体"/>
          <w:b/>
          <w:color w:val="auto"/>
          <w:szCs w:val="21"/>
          <w:highlight w:val="none"/>
        </w:rPr>
      </w:pPr>
      <w:r>
        <w:rPr>
          <w:rFonts w:hint="eastAsia" w:ascii="宋体" w:hAnsi="宋体" w:eastAsia="宋体" w:cs="宋体"/>
          <w:b/>
          <w:color w:val="auto"/>
          <w:szCs w:val="21"/>
          <w:highlight w:val="none"/>
        </w:rPr>
        <w:t>第十二条  合同生效及其它</w:t>
      </w:r>
    </w:p>
    <w:p w14:paraId="493482E6">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1、本合同经双方法定代表人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或者授权代表签字并加盖单位公章后生效（授权代表签字的需后附授权委托书，格式自拟）。</w:t>
      </w:r>
    </w:p>
    <w:p w14:paraId="7E8E7C54">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2、本合同执行中涉及采购资金和采购内容修改或者补充的，须经财政部门审批，并签订书面补充协议报财政部门备案，方可作为主合同不可分割的一部分。</w:t>
      </w:r>
    </w:p>
    <w:p w14:paraId="3B44AD5C">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3、本合同未尽事宜，遵照《中华人民共和国民法典》有关条文执行。</w:t>
      </w:r>
    </w:p>
    <w:p w14:paraId="54BB6C3A">
      <w:pPr>
        <w:pStyle w:val="48"/>
        <w:keepNext w:val="0"/>
        <w:keepLines w:val="0"/>
        <w:pageBreakBefore w:val="0"/>
        <w:widowControl w:val="0"/>
        <w:kinsoku/>
        <w:wordWrap/>
        <w:overflowPunct/>
        <w:topLinePunct w:val="0"/>
        <w:autoSpaceDE/>
        <w:autoSpaceDN/>
        <w:bidi w:val="0"/>
        <w:adjustRightInd/>
        <w:spacing w:after="0" w:line="360" w:lineRule="auto"/>
        <w:ind w:left="0" w:leftChars="0"/>
        <w:textAlignment w:val="auto"/>
        <w:rPr>
          <w:rFonts w:ascii="宋体" w:hAnsi="宋体" w:cs="宋体"/>
          <w:color w:val="auto"/>
          <w:szCs w:val="21"/>
          <w:highlight w:val="none"/>
        </w:rPr>
      </w:pPr>
      <w:r>
        <w:rPr>
          <w:rFonts w:hint="eastAsia" w:ascii="宋体" w:hAnsi="宋体" w:cs="宋体"/>
          <w:color w:val="auto"/>
          <w:szCs w:val="21"/>
          <w:highlight w:val="none"/>
        </w:rPr>
        <w:t>4、甲乙双方确认本合同列明的地址作为文书送达地址，该地址适用于包括双方合同履行过程中的各类通知、协议等文件以及就合同发生争议进入民事诉讼程序后的一审、二审、再审和执行程序等阶段法律文书的送达。地址需要变更时应当提前15个工作日书面通知对方。因提供或者确认的地址不准确、地址变更后未及时依程序告知对方或受送达方拒绝签收等原因，导致文书未能被实际接收的，邮寄送达的，以文书退回之日视为送达之日。</w:t>
      </w:r>
    </w:p>
    <w:p w14:paraId="3533C3B0">
      <w:pPr>
        <w:keepNext w:val="0"/>
        <w:keepLines w:val="0"/>
        <w:pageBreakBefore w:val="0"/>
        <w:widowControl w:val="0"/>
        <w:kinsoku/>
        <w:wordWrap/>
        <w:overflowPunct/>
        <w:topLinePunct w:val="0"/>
        <w:autoSpaceDE/>
        <w:autoSpaceDN/>
        <w:bidi w:val="0"/>
        <w:adjustRightInd/>
        <w:spacing w:after="0" w:line="360" w:lineRule="auto"/>
        <w:ind w:firstLine="422" w:firstLineChars="200"/>
        <w:textAlignment w:val="auto"/>
        <w:rPr>
          <w:rFonts w:ascii="宋体" w:hAnsi="宋体" w:eastAsia="宋体" w:cs="宋体"/>
          <w:b/>
          <w:color w:val="auto"/>
          <w:szCs w:val="21"/>
          <w:highlight w:val="none"/>
        </w:rPr>
      </w:pPr>
      <w:r>
        <w:rPr>
          <w:rFonts w:hint="eastAsia" w:ascii="宋体" w:hAnsi="宋体" w:eastAsia="宋体" w:cs="宋体"/>
          <w:b/>
          <w:color w:val="auto"/>
          <w:szCs w:val="21"/>
          <w:highlight w:val="none"/>
        </w:rPr>
        <w:t>第十三条　合同的变更、终止与转让</w:t>
      </w:r>
    </w:p>
    <w:p w14:paraId="1DE70FE1">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1、除《中华人民共和国政府采购法》第五十条规定的情形外，本合同一经签订，甲乙双方不得擅自变更、中止或者终止。</w:t>
      </w:r>
    </w:p>
    <w:p w14:paraId="4458F584">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2、乙方不得擅自转让其应履行的合同义务。</w:t>
      </w:r>
    </w:p>
    <w:p w14:paraId="23CFAD6F">
      <w:pPr>
        <w:keepNext w:val="0"/>
        <w:keepLines w:val="0"/>
        <w:pageBreakBefore w:val="0"/>
        <w:widowControl w:val="0"/>
        <w:kinsoku/>
        <w:wordWrap/>
        <w:overflowPunct/>
        <w:topLinePunct w:val="0"/>
        <w:autoSpaceDE/>
        <w:autoSpaceDN/>
        <w:bidi w:val="0"/>
        <w:adjustRightInd/>
        <w:spacing w:after="0" w:line="360" w:lineRule="auto"/>
        <w:ind w:firstLine="422" w:firstLineChars="200"/>
        <w:textAlignment w:val="auto"/>
        <w:rPr>
          <w:rFonts w:ascii="宋体" w:hAnsi="宋体" w:eastAsia="宋体" w:cs="宋体"/>
          <w:b/>
          <w:color w:val="auto"/>
          <w:szCs w:val="21"/>
          <w:highlight w:val="none"/>
        </w:rPr>
      </w:pPr>
      <w:r>
        <w:rPr>
          <w:rFonts w:hint="eastAsia" w:ascii="宋体" w:hAnsi="宋体" w:eastAsia="宋体" w:cs="宋体"/>
          <w:b/>
          <w:color w:val="auto"/>
          <w:szCs w:val="21"/>
          <w:highlight w:val="none"/>
        </w:rPr>
        <w:t>第十四条　签订本合同依据</w:t>
      </w:r>
    </w:p>
    <w:p w14:paraId="713D450D">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color w:val="auto"/>
          <w:szCs w:val="21"/>
          <w:highlight w:val="none"/>
        </w:rPr>
        <w:t>成交通知书</w:t>
      </w:r>
      <w:r>
        <w:rPr>
          <w:rFonts w:hint="eastAsia" w:ascii="宋体" w:hAnsi="宋体" w:eastAsia="宋体" w:cs="宋体"/>
          <w:color w:val="auto"/>
          <w:szCs w:val="21"/>
          <w:highlight w:val="none"/>
        </w:rPr>
        <w:t>；</w:t>
      </w:r>
    </w:p>
    <w:p w14:paraId="568EF9BC">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2、竞标报价表；</w:t>
      </w:r>
    </w:p>
    <w:p w14:paraId="460F7E6F">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3、商务要求偏离表和技术要求偏离表；</w:t>
      </w:r>
    </w:p>
    <w:p w14:paraId="5B7239B2">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ascii="宋体" w:hAnsi="宋体" w:eastAsia="宋体" w:cs="宋体"/>
          <w:color w:val="auto"/>
          <w:szCs w:val="21"/>
          <w:highlight w:val="none"/>
        </w:rPr>
      </w:pPr>
      <w:r>
        <w:rPr>
          <w:rFonts w:ascii="宋体" w:hAnsi="宋体" w:eastAsia="宋体" w:cs="宋体"/>
          <w:color w:val="auto"/>
          <w:szCs w:val="21"/>
          <w:highlight w:val="none"/>
        </w:rPr>
        <w:t>4</w:t>
      </w:r>
      <w:r>
        <w:rPr>
          <w:rFonts w:hint="eastAsia" w:ascii="宋体" w:hAnsi="宋体" w:eastAsia="宋体" w:cs="宋体"/>
          <w:color w:val="auto"/>
          <w:szCs w:val="21"/>
          <w:highlight w:val="none"/>
        </w:rPr>
        <w:t>、服务方案；</w:t>
      </w:r>
    </w:p>
    <w:p w14:paraId="481C458B">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5、响应文件中的其他相关文件。</w:t>
      </w:r>
    </w:p>
    <w:p w14:paraId="7FA4C434">
      <w:pPr>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ascii="宋体" w:hAnsi="宋体" w:eastAsia="宋体" w:cs="宋体"/>
          <w:color w:val="auto"/>
          <w:szCs w:val="21"/>
          <w:highlight w:val="none"/>
        </w:rPr>
      </w:pPr>
      <w:r>
        <w:rPr>
          <w:rFonts w:ascii="宋体" w:hAnsi="宋体" w:eastAsia="宋体" w:cs="宋体"/>
          <w:color w:val="auto"/>
          <w:szCs w:val="21"/>
          <w:highlight w:val="none"/>
        </w:rPr>
        <w:t>6</w:t>
      </w:r>
      <w:r>
        <w:rPr>
          <w:rFonts w:hint="eastAsia" w:ascii="宋体" w:hAnsi="宋体" w:eastAsia="宋体" w:cs="宋体"/>
          <w:color w:val="auto"/>
          <w:szCs w:val="21"/>
          <w:highlight w:val="none"/>
        </w:rPr>
        <w:t>、上述合同文件互相补充和解释。如果合同文件之间存在矛盾或者不一致之处，以上述文件的排列顺序在先者为准。</w:t>
      </w:r>
    </w:p>
    <w:p w14:paraId="1E7C285E">
      <w:pPr>
        <w:keepNext w:val="0"/>
        <w:keepLines w:val="0"/>
        <w:pageBreakBefore w:val="0"/>
        <w:widowControl w:val="0"/>
        <w:kinsoku/>
        <w:wordWrap/>
        <w:overflowPunct/>
        <w:topLinePunct w:val="0"/>
        <w:autoSpaceDE/>
        <w:autoSpaceDN/>
        <w:bidi w:val="0"/>
        <w:adjustRightInd/>
        <w:spacing w:after="0" w:line="360" w:lineRule="auto"/>
        <w:ind w:firstLine="422" w:firstLineChars="200"/>
        <w:textAlignment w:val="auto"/>
        <w:rPr>
          <w:rFonts w:ascii="宋体" w:hAnsi="宋体" w:eastAsia="宋体" w:cs="宋体"/>
          <w:color w:val="auto"/>
          <w:szCs w:val="21"/>
          <w:highlight w:val="none"/>
        </w:rPr>
      </w:pPr>
      <w:r>
        <w:rPr>
          <w:rFonts w:hint="eastAsia" w:ascii="宋体" w:hAnsi="宋体" w:eastAsia="宋体" w:cs="宋体"/>
          <w:b/>
          <w:color w:val="auto"/>
          <w:szCs w:val="21"/>
          <w:highlight w:val="none"/>
        </w:rPr>
        <w:t>第十五条　</w:t>
      </w:r>
      <w:r>
        <w:rPr>
          <w:rFonts w:hint="eastAsia" w:ascii="宋体" w:hAnsi="宋体" w:eastAsia="宋体" w:cs="宋体"/>
          <w:color w:val="auto"/>
          <w:szCs w:val="21"/>
          <w:highlight w:val="none"/>
        </w:rPr>
        <w:t>本合同一式六份，具有同等法律效力，采购代理机构一份，甲方三份，乙方二份。</w:t>
      </w:r>
    </w:p>
    <w:tbl>
      <w:tblPr>
        <w:tblStyle w:val="49"/>
        <w:tblpPr w:leftFromText="180" w:rightFromText="180" w:vertAnchor="text" w:horzAnchor="margin" w:tblpXSpec="center" w:tblpY="214"/>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25A2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9"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3B61F6A2">
            <w:pPr>
              <w:keepNext w:val="0"/>
              <w:keepLines w:val="0"/>
              <w:suppressLineNumbers w:val="0"/>
              <w:snapToGrid w:val="0"/>
              <w:spacing w:before="0" w:beforeAutospacing="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甲方：（章）</w:t>
            </w:r>
          </w:p>
          <w:p w14:paraId="383F8942">
            <w:pPr>
              <w:keepNext w:val="0"/>
              <w:keepLines w:val="0"/>
              <w:suppressLineNumbers w:val="0"/>
              <w:snapToGrid w:val="0"/>
              <w:spacing w:before="0" w:beforeAutospacing="0" w:afterAutospacing="0" w:line="360" w:lineRule="auto"/>
              <w:ind w:left="0" w:right="0" w:firstLine="945" w:firstLineChars="450"/>
              <w:jc w:val="right"/>
              <w:rPr>
                <w:rFonts w:hint="default" w:ascii="宋体" w:hAnsi="宋体" w:eastAsia="宋体" w:cs="宋体"/>
                <w:color w:val="auto"/>
                <w:szCs w:val="21"/>
                <w:highlight w:val="none"/>
              </w:rPr>
            </w:pPr>
          </w:p>
          <w:p w14:paraId="78816BBC">
            <w:pPr>
              <w:keepNext w:val="0"/>
              <w:keepLines w:val="0"/>
              <w:suppressLineNumbers w:val="0"/>
              <w:snapToGrid w:val="0"/>
              <w:spacing w:before="0" w:beforeAutospacing="0" w:afterAutospacing="0" w:line="360" w:lineRule="auto"/>
              <w:ind w:left="0" w:right="0" w:firstLine="945" w:firstLineChars="450"/>
              <w:jc w:val="right"/>
              <w:rPr>
                <w:rFonts w:hint="default"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056052FA">
            <w:pPr>
              <w:keepNext w:val="0"/>
              <w:keepLines w:val="0"/>
              <w:suppressLineNumbers w:val="0"/>
              <w:snapToGrid w:val="0"/>
              <w:spacing w:before="0" w:beforeAutospacing="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5B5BE875">
            <w:pPr>
              <w:keepNext w:val="0"/>
              <w:keepLines w:val="0"/>
              <w:suppressLineNumbers w:val="0"/>
              <w:snapToGrid w:val="0"/>
              <w:spacing w:before="0" w:beforeAutospacing="0" w:afterAutospacing="0" w:line="360" w:lineRule="auto"/>
              <w:ind w:left="0" w:right="0"/>
              <w:jc w:val="right"/>
              <w:rPr>
                <w:rFonts w:hint="default" w:ascii="宋体" w:hAnsi="宋体" w:eastAsia="宋体" w:cs="宋体"/>
                <w:color w:val="auto"/>
                <w:szCs w:val="21"/>
                <w:highlight w:val="none"/>
              </w:rPr>
            </w:pPr>
          </w:p>
          <w:p w14:paraId="6FF1ADB6">
            <w:pPr>
              <w:keepNext w:val="0"/>
              <w:keepLines w:val="0"/>
              <w:suppressLineNumbers w:val="0"/>
              <w:snapToGrid w:val="0"/>
              <w:spacing w:before="0" w:beforeAutospacing="0" w:afterAutospacing="0" w:line="360" w:lineRule="auto"/>
              <w:ind w:left="0" w:right="0"/>
              <w:jc w:val="right"/>
              <w:rPr>
                <w:rFonts w:hint="default"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0FB6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575EE11F">
            <w:pPr>
              <w:keepNext w:val="0"/>
              <w:keepLines w:val="0"/>
              <w:suppressLineNumbers w:val="0"/>
              <w:snapToGrid w:val="0"/>
              <w:spacing w:before="0" w:beforeAutospacing="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default" w:ascii="宋体" w:hAnsi="宋体" w:eastAsia="宋体" w:cs="宋体"/>
                <w:color w:val="auto"/>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vAlign w:val="center"/>
          </w:tcPr>
          <w:p w14:paraId="6DEF4850">
            <w:pPr>
              <w:keepNext w:val="0"/>
              <w:keepLines w:val="0"/>
              <w:suppressLineNumbers w:val="0"/>
              <w:snapToGrid w:val="0"/>
              <w:spacing w:before="0" w:beforeAutospacing="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14:paraId="48C2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56455B8A">
            <w:pPr>
              <w:keepNext w:val="0"/>
              <w:keepLines w:val="0"/>
              <w:suppressLineNumbers w:val="0"/>
              <w:snapToGrid w:val="0"/>
              <w:spacing w:before="0" w:beforeAutospacing="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tc>
        <w:tc>
          <w:tcPr>
            <w:tcW w:w="4583" w:type="dxa"/>
            <w:tcBorders>
              <w:top w:val="single" w:color="auto" w:sz="4" w:space="0"/>
              <w:left w:val="single" w:color="auto" w:sz="4" w:space="0"/>
              <w:bottom w:val="single" w:color="auto" w:sz="4" w:space="0"/>
              <w:right w:val="single" w:color="auto" w:sz="4" w:space="0"/>
            </w:tcBorders>
            <w:vAlign w:val="center"/>
          </w:tcPr>
          <w:p w14:paraId="3DD5A908">
            <w:pPr>
              <w:keepNext w:val="0"/>
              <w:keepLines w:val="0"/>
              <w:suppressLineNumbers w:val="0"/>
              <w:snapToGrid w:val="0"/>
              <w:spacing w:before="0" w:beforeAutospacing="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tc>
      </w:tr>
      <w:tr w14:paraId="7C7D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640E9B07">
            <w:pPr>
              <w:keepNext w:val="0"/>
              <w:keepLines w:val="0"/>
              <w:suppressLineNumbers w:val="0"/>
              <w:snapToGrid w:val="0"/>
              <w:spacing w:before="0" w:beforeAutospacing="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授权代表：</w:t>
            </w:r>
          </w:p>
        </w:tc>
        <w:tc>
          <w:tcPr>
            <w:tcW w:w="4583" w:type="dxa"/>
            <w:tcBorders>
              <w:top w:val="single" w:color="auto" w:sz="4" w:space="0"/>
              <w:left w:val="single" w:color="auto" w:sz="4" w:space="0"/>
              <w:bottom w:val="single" w:color="auto" w:sz="4" w:space="0"/>
              <w:right w:val="single" w:color="auto" w:sz="4" w:space="0"/>
            </w:tcBorders>
            <w:vAlign w:val="center"/>
          </w:tcPr>
          <w:p w14:paraId="1F5E3755">
            <w:pPr>
              <w:keepNext w:val="0"/>
              <w:keepLines w:val="0"/>
              <w:suppressLineNumbers w:val="0"/>
              <w:snapToGrid w:val="0"/>
              <w:spacing w:before="0" w:beforeAutospacing="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授权代表：</w:t>
            </w:r>
          </w:p>
        </w:tc>
      </w:tr>
      <w:tr w14:paraId="5D51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757A91F9">
            <w:pPr>
              <w:keepNext w:val="0"/>
              <w:keepLines w:val="0"/>
              <w:suppressLineNumbers w:val="0"/>
              <w:snapToGrid w:val="0"/>
              <w:spacing w:before="0" w:beforeAutospacing="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7A3EFBDC">
            <w:pPr>
              <w:keepNext w:val="0"/>
              <w:keepLines w:val="0"/>
              <w:suppressLineNumbers w:val="0"/>
              <w:snapToGrid w:val="0"/>
              <w:spacing w:before="0" w:beforeAutospacing="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79EE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0A0F6E23">
            <w:pPr>
              <w:keepNext w:val="0"/>
              <w:keepLines w:val="0"/>
              <w:suppressLineNumbers w:val="0"/>
              <w:snapToGrid w:val="0"/>
              <w:spacing w:before="0" w:beforeAutospacing="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0D00FCCD">
            <w:pPr>
              <w:keepNext w:val="0"/>
              <w:keepLines w:val="0"/>
              <w:suppressLineNumbers w:val="0"/>
              <w:snapToGrid w:val="0"/>
              <w:spacing w:before="0" w:beforeAutospacing="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14:paraId="70E4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5E29C847">
            <w:pPr>
              <w:keepNext w:val="0"/>
              <w:keepLines w:val="0"/>
              <w:suppressLineNumbers w:val="0"/>
              <w:snapToGrid w:val="0"/>
              <w:spacing w:before="0" w:beforeAutospacing="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03F53452">
            <w:pPr>
              <w:keepNext w:val="0"/>
              <w:keepLines w:val="0"/>
              <w:suppressLineNumbers w:val="0"/>
              <w:snapToGrid w:val="0"/>
              <w:spacing w:before="0" w:beforeAutospacing="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0E43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11306A63">
            <w:pPr>
              <w:keepNext w:val="0"/>
              <w:keepLines w:val="0"/>
              <w:suppressLineNumbers w:val="0"/>
              <w:snapToGrid w:val="0"/>
              <w:spacing w:before="0" w:beforeAutospacing="0" w:afterAutospacing="0" w:line="360" w:lineRule="auto"/>
              <w:ind w:left="0" w:right="0"/>
              <w:rPr>
                <w:rFonts w:hint="eastAsia" w:ascii="宋体" w:hAnsi="宋体" w:eastAsia="宋体" w:cs="宋体"/>
                <w:color w:val="auto"/>
                <w:szCs w:val="21"/>
                <w:highlight w:val="none"/>
              </w:rPr>
            </w:pPr>
            <w:r>
              <w:rPr>
                <w:rFonts w:hint="eastAsia" w:ascii="宋体" w:hAnsi="宋体" w:eastAsia="宋体" w:cs="Times New Roman"/>
                <w:color w:val="auto"/>
                <w:kern w:val="2"/>
                <w:sz w:val="21"/>
                <w:szCs w:val="24"/>
                <w:highlight w:val="none"/>
                <w:lang w:val="en-US" w:eastAsia="zh-CN" w:bidi="ar"/>
              </w:rPr>
              <w:t>纳税人识别号或统一社会信用代码：</w:t>
            </w:r>
          </w:p>
        </w:tc>
        <w:tc>
          <w:tcPr>
            <w:tcW w:w="4583" w:type="dxa"/>
            <w:tcBorders>
              <w:top w:val="single" w:color="auto" w:sz="4" w:space="0"/>
              <w:left w:val="single" w:color="auto" w:sz="4" w:space="0"/>
              <w:bottom w:val="single" w:color="auto" w:sz="4" w:space="0"/>
              <w:right w:val="single" w:color="auto" w:sz="4" w:space="0"/>
            </w:tcBorders>
            <w:vAlign w:val="center"/>
          </w:tcPr>
          <w:p w14:paraId="6BC72859">
            <w:pPr>
              <w:keepNext w:val="0"/>
              <w:keepLines w:val="0"/>
              <w:suppressLineNumbers w:val="0"/>
              <w:snapToGrid w:val="0"/>
              <w:spacing w:before="0" w:beforeAutospacing="0" w:afterAutospacing="0" w:line="360" w:lineRule="auto"/>
              <w:ind w:left="0" w:right="0"/>
              <w:rPr>
                <w:rFonts w:hint="eastAsia" w:ascii="宋体" w:hAnsi="宋体" w:eastAsia="宋体" w:cs="宋体"/>
                <w:color w:val="auto"/>
                <w:szCs w:val="21"/>
                <w:highlight w:val="none"/>
              </w:rPr>
            </w:pPr>
            <w:r>
              <w:rPr>
                <w:rFonts w:hint="eastAsia" w:ascii="宋体" w:hAnsi="宋体" w:eastAsia="宋体" w:cs="Times New Roman"/>
                <w:color w:val="auto"/>
                <w:kern w:val="2"/>
                <w:sz w:val="21"/>
                <w:szCs w:val="24"/>
                <w:highlight w:val="none"/>
                <w:lang w:val="en-US" w:eastAsia="zh-CN" w:bidi="ar"/>
              </w:rPr>
              <w:t>纳税人识别号或统一社会信用代码：</w:t>
            </w:r>
          </w:p>
        </w:tc>
      </w:tr>
      <w:tr w14:paraId="4603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19DEC5A4">
            <w:pPr>
              <w:keepNext w:val="0"/>
              <w:keepLines w:val="0"/>
              <w:suppressLineNumbers w:val="0"/>
              <w:snapToGrid w:val="0"/>
              <w:spacing w:before="0" w:beforeAutospacing="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1250EF96">
            <w:pPr>
              <w:keepNext w:val="0"/>
              <w:keepLines w:val="0"/>
              <w:suppressLineNumbers w:val="0"/>
              <w:snapToGrid w:val="0"/>
              <w:spacing w:before="0" w:beforeAutospacing="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21A06789">
      <w:pPr>
        <w:widowControl/>
        <w:jc w:val="left"/>
        <w:rPr>
          <w:rFonts w:ascii="宋体" w:hAnsi="宋体" w:eastAsia="宋体" w:cs="宋体"/>
          <w:color w:val="auto"/>
          <w:sz w:val="20"/>
          <w:szCs w:val="20"/>
          <w:highlight w:val="none"/>
        </w:rPr>
      </w:pPr>
    </w:p>
    <w:p w14:paraId="21B0C38B">
      <w:pPr>
        <w:spacing w:before="4"/>
        <w:rPr>
          <w:rFonts w:ascii="宋体" w:hAnsi="宋体" w:eastAsia="宋体" w:cs="宋体"/>
          <w:color w:val="auto"/>
          <w:sz w:val="6"/>
          <w:szCs w:val="6"/>
          <w:highlight w:val="none"/>
        </w:rPr>
      </w:pPr>
    </w:p>
    <w:p w14:paraId="154A7DFF">
      <w:pPr>
        <w:snapToGrid w:val="0"/>
        <w:spacing w:line="360" w:lineRule="auto"/>
        <w:ind w:firstLine="120" w:firstLineChars="200"/>
        <w:rPr>
          <w:rFonts w:ascii="宋体" w:hAnsi="宋体" w:eastAsia="宋体" w:cs="Calibri"/>
          <w:color w:val="auto"/>
          <w:sz w:val="6"/>
          <w:szCs w:val="6"/>
          <w:highlight w:val="none"/>
        </w:rPr>
      </w:pPr>
    </w:p>
    <w:p w14:paraId="76FD104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32"/>
          <w:szCs w:val="32"/>
          <w:highlight w:val="none"/>
        </w:rPr>
      </w:pPr>
    </w:p>
    <w:p w14:paraId="6042F7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32"/>
          <w:szCs w:val="32"/>
          <w:highlight w:val="none"/>
        </w:rPr>
      </w:pPr>
    </w:p>
    <w:p w14:paraId="1E6CF8F8">
      <w:pPr>
        <w:rPr>
          <w:rFonts w:hint="eastAsia"/>
          <w:color w:val="auto"/>
          <w:highlight w:val="none"/>
        </w:rPr>
      </w:pPr>
    </w:p>
    <w:p w14:paraId="73B26F40">
      <w:pPr>
        <w:keepNext/>
        <w:keepLines/>
        <w:pageBreakBefore/>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附件1：</w:t>
      </w:r>
    </w:p>
    <w:p w14:paraId="5572BBAB">
      <w:pPr>
        <w:keepNext w:val="0"/>
        <w:keepLines w:val="0"/>
        <w:pageBreakBefore w:val="0"/>
        <w:widowControl w:val="0"/>
        <w:kinsoku/>
        <w:wordWrap w:val="0"/>
        <w:overflowPunct/>
        <w:topLinePunct w:val="0"/>
        <w:autoSpaceDE/>
        <w:autoSpaceDN/>
        <w:bidi w:val="0"/>
        <w:adjustRightInd/>
        <w:snapToGrid/>
        <w:jc w:val="center"/>
        <w:textAlignment w:val="auto"/>
        <w:outlineLvl w:val="9"/>
        <w:rPr>
          <w:rFonts w:hint="eastAsia" w:ascii="宋体" w:hAnsi="宋体" w:eastAsia="宋体" w:cs="宋体"/>
          <w:color w:val="auto"/>
          <w:sz w:val="32"/>
          <w:szCs w:val="32"/>
          <w:highlight w:val="none"/>
        </w:rPr>
      </w:pPr>
      <w:r>
        <w:rPr>
          <w:rFonts w:hint="eastAsia" w:ascii="宋体" w:hAnsi="宋体" w:eastAsia="宋体" w:cs="宋体"/>
          <w:b/>
          <w:color w:val="auto"/>
          <w:kern w:val="0"/>
          <w:sz w:val="32"/>
          <w:szCs w:val="32"/>
          <w:highlight w:val="none"/>
          <w:lang w:bidi="ar"/>
        </w:rPr>
        <w:t>广西壮族自治区政府采购项目</w:t>
      </w:r>
      <w:r>
        <w:rPr>
          <w:rFonts w:hint="eastAsia" w:ascii="宋体" w:hAnsi="宋体" w:eastAsia="宋体" w:cs="宋体"/>
          <w:color w:val="auto"/>
          <w:kern w:val="0"/>
          <w:sz w:val="32"/>
          <w:szCs w:val="32"/>
          <w:highlight w:val="none"/>
          <w:lang w:bidi="ar"/>
        </w:rPr>
        <w:t xml:space="preserve"> 合同验收书 （格式） </w:t>
      </w:r>
    </w:p>
    <w:p w14:paraId="6601375F">
      <w:pPr>
        <w:keepNext w:val="0"/>
        <w:keepLines w:val="0"/>
        <w:pageBreakBefore w:val="0"/>
        <w:widowControl w:val="0"/>
        <w:kinsoku/>
        <w:wordWrap w:val="0"/>
        <w:overflowPunct/>
        <w:topLinePunct w:val="0"/>
        <w:autoSpaceDE/>
        <w:autoSpaceDN/>
        <w:bidi w:val="0"/>
        <w:adjustRightInd/>
        <w:snapToGrid/>
        <w:spacing w:line="320" w:lineRule="atLeast"/>
        <w:ind w:left="-359" w:firstLine="48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根据政府采购项目（</w:t>
      </w:r>
      <w:r>
        <w:rPr>
          <w:rFonts w:hint="eastAsia" w:ascii="宋体" w:hAnsi="宋体" w:eastAsia="宋体" w:cs="宋体"/>
          <w:color w:val="auto"/>
          <w:kern w:val="0"/>
          <w:sz w:val="21"/>
          <w:szCs w:val="21"/>
          <w:highlight w:val="none"/>
          <w:u w:val="single"/>
          <w:lang w:bidi="ar"/>
        </w:rPr>
        <w:t>采购合同编号：</w:t>
      </w:r>
      <w:r>
        <w:rPr>
          <w:rFonts w:hint="eastAsia" w:ascii="宋体" w:hAnsi="宋体" w:eastAsia="宋体" w:cs="宋体"/>
          <w:color w:val="auto"/>
          <w:kern w:val="0"/>
          <w:sz w:val="21"/>
          <w:szCs w:val="21"/>
          <w:highlight w:val="none"/>
          <w:lang w:bidi="ar"/>
        </w:rPr>
        <w:t xml:space="preserve"> ）的约定，我单位对（</w:t>
      </w:r>
      <w:r>
        <w:rPr>
          <w:rFonts w:hint="eastAsia" w:ascii="宋体" w:hAnsi="宋体" w:eastAsia="宋体" w:cs="宋体"/>
          <w:color w:val="auto"/>
          <w:kern w:val="0"/>
          <w:sz w:val="21"/>
          <w:szCs w:val="21"/>
          <w:highlight w:val="none"/>
          <w:u w:val="single"/>
          <w:lang w:bidi="ar"/>
        </w:rPr>
        <w:t> 项目名称</w:t>
      </w:r>
      <w:r>
        <w:rPr>
          <w:rFonts w:hint="eastAsia" w:ascii="宋体" w:hAnsi="宋体" w:eastAsia="宋体" w:cs="宋体"/>
          <w:color w:val="auto"/>
          <w:kern w:val="0"/>
          <w:sz w:val="21"/>
          <w:szCs w:val="21"/>
          <w:highlight w:val="none"/>
          <w:lang w:bidi="ar"/>
        </w:rPr>
        <w:t>） 政府采购项目中标（或成交）供应商（</w:t>
      </w:r>
      <w:r>
        <w:rPr>
          <w:rFonts w:hint="eastAsia" w:ascii="宋体" w:hAnsi="宋体" w:eastAsia="宋体" w:cs="宋体"/>
          <w:color w:val="auto"/>
          <w:kern w:val="0"/>
          <w:sz w:val="21"/>
          <w:szCs w:val="21"/>
          <w:highlight w:val="none"/>
          <w:u w:val="single"/>
          <w:lang w:bidi="ar"/>
        </w:rPr>
        <w:t>     公司名称</w:t>
      </w:r>
      <w:r>
        <w:rPr>
          <w:rFonts w:hint="eastAsia" w:ascii="宋体" w:hAnsi="宋体" w:eastAsia="宋体" w:cs="宋体"/>
          <w:color w:val="auto"/>
          <w:kern w:val="0"/>
          <w:sz w:val="21"/>
          <w:szCs w:val="21"/>
          <w:highlight w:val="none"/>
          <w:lang w:bidi="ar"/>
        </w:rPr>
        <w:t xml:space="preserve">）提供的货物（或工程、服务）进行了验收，验收情况如下： </w:t>
      </w:r>
    </w:p>
    <w:tbl>
      <w:tblPr>
        <w:tblStyle w:val="49"/>
        <w:tblW w:w="962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527"/>
        <w:gridCol w:w="2294"/>
        <w:gridCol w:w="946"/>
        <w:gridCol w:w="2495"/>
        <w:gridCol w:w="205"/>
        <w:gridCol w:w="793"/>
        <w:gridCol w:w="1367"/>
      </w:tblGrid>
      <w:tr w14:paraId="14B6EA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noWrap w:val="0"/>
            <w:vAlign w:val="center"/>
          </w:tcPr>
          <w:p w14:paraId="3805DAB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验收方式： </w:t>
            </w:r>
          </w:p>
        </w:tc>
        <w:tc>
          <w:tcPr>
            <w:tcW w:w="5806" w:type="dxa"/>
            <w:gridSpan w:val="5"/>
            <w:tcBorders>
              <w:top w:val="single" w:color="auto" w:sz="8" w:space="0"/>
              <w:left w:val="nil"/>
              <w:bottom w:val="single" w:color="auto" w:sz="8" w:space="0"/>
              <w:right w:val="single" w:color="auto" w:sz="8" w:space="0"/>
            </w:tcBorders>
            <w:noWrap w:val="0"/>
            <w:vAlign w:val="center"/>
          </w:tcPr>
          <w:p w14:paraId="2E035FC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48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□自行验收          □委托验收 </w:t>
            </w:r>
          </w:p>
        </w:tc>
      </w:tr>
      <w:tr w14:paraId="605A96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622" w:hRule="atLeast"/>
          <w:jc w:val="center"/>
        </w:trPr>
        <w:tc>
          <w:tcPr>
            <w:tcW w:w="1527" w:type="dxa"/>
            <w:tcBorders>
              <w:top w:val="nil"/>
              <w:left w:val="single" w:color="auto" w:sz="8" w:space="0"/>
              <w:bottom w:val="single" w:color="auto" w:sz="8" w:space="0"/>
              <w:right w:val="single" w:color="auto" w:sz="8" w:space="0"/>
            </w:tcBorders>
            <w:noWrap w:val="0"/>
            <w:vAlign w:val="center"/>
          </w:tcPr>
          <w:p w14:paraId="684F185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序号 </w:t>
            </w:r>
          </w:p>
        </w:tc>
        <w:tc>
          <w:tcPr>
            <w:tcW w:w="2294" w:type="dxa"/>
            <w:tcBorders>
              <w:top w:val="nil"/>
              <w:left w:val="nil"/>
              <w:bottom w:val="single" w:color="auto" w:sz="8" w:space="0"/>
              <w:right w:val="single" w:color="auto" w:sz="8" w:space="0"/>
            </w:tcBorders>
            <w:noWrap w:val="0"/>
            <w:vAlign w:val="center"/>
          </w:tcPr>
          <w:p w14:paraId="5C5315E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名  称 </w:t>
            </w:r>
          </w:p>
        </w:tc>
        <w:tc>
          <w:tcPr>
            <w:tcW w:w="3441" w:type="dxa"/>
            <w:gridSpan w:val="2"/>
            <w:tcBorders>
              <w:top w:val="nil"/>
              <w:left w:val="nil"/>
              <w:bottom w:val="single" w:color="auto" w:sz="8" w:space="0"/>
              <w:right w:val="single" w:color="auto" w:sz="8" w:space="0"/>
            </w:tcBorders>
            <w:noWrap w:val="0"/>
            <w:vAlign w:val="center"/>
          </w:tcPr>
          <w:p w14:paraId="544CB4D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服务内容、标准</w:t>
            </w:r>
          </w:p>
        </w:tc>
        <w:tc>
          <w:tcPr>
            <w:tcW w:w="998" w:type="dxa"/>
            <w:gridSpan w:val="2"/>
            <w:tcBorders>
              <w:top w:val="nil"/>
              <w:left w:val="nil"/>
              <w:bottom w:val="single" w:color="auto" w:sz="8" w:space="0"/>
              <w:right w:val="single" w:color="auto" w:sz="8" w:space="0"/>
            </w:tcBorders>
            <w:noWrap w:val="0"/>
            <w:vAlign w:val="center"/>
          </w:tcPr>
          <w:p w14:paraId="49BDD39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数量 </w:t>
            </w:r>
          </w:p>
        </w:tc>
        <w:tc>
          <w:tcPr>
            <w:tcW w:w="1367" w:type="dxa"/>
            <w:tcBorders>
              <w:top w:val="nil"/>
              <w:left w:val="nil"/>
              <w:bottom w:val="single" w:color="auto" w:sz="8" w:space="0"/>
              <w:right w:val="single" w:color="auto" w:sz="8" w:space="0"/>
            </w:tcBorders>
            <w:noWrap w:val="0"/>
            <w:vAlign w:val="center"/>
          </w:tcPr>
          <w:p w14:paraId="7BDDEE2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金  额 </w:t>
            </w:r>
          </w:p>
        </w:tc>
      </w:tr>
      <w:tr w14:paraId="717D80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487" w:hRule="atLeast"/>
          <w:jc w:val="center"/>
        </w:trPr>
        <w:tc>
          <w:tcPr>
            <w:tcW w:w="1527" w:type="dxa"/>
            <w:tcBorders>
              <w:top w:val="nil"/>
              <w:left w:val="single" w:color="auto" w:sz="8" w:space="0"/>
              <w:bottom w:val="single" w:color="auto" w:sz="8" w:space="0"/>
              <w:right w:val="single" w:color="auto" w:sz="8" w:space="0"/>
            </w:tcBorders>
            <w:noWrap w:val="0"/>
            <w:vAlign w:val="center"/>
          </w:tcPr>
          <w:p w14:paraId="5988BE7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5"/>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2294" w:type="dxa"/>
            <w:tcBorders>
              <w:top w:val="nil"/>
              <w:left w:val="nil"/>
              <w:bottom w:val="single" w:color="auto" w:sz="8" w:space="0"/>
              <w:right w:val="single" w:color="auto" w:sz="8" w:space="0"/>
            </w:tcBorders>
            <w:noWrap w:val="0"/>
            <w:vAlign w:val="center"/>
          </w:tcPr>
          <w:p w14:paraId="0F2E55E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3441" w:type="dxa"/>
            <w:gridSpan w:val="2"/>
            <w:tcBorders>
              <w:top w:val="nil"/>
              <w:left w:val="nil"/>
              <w:bottom w:val="single" w:color="auto" w:sz="8" w:space="0"/>
              <w:right w:val="single" w:color="auto" w:sz="8" w:space="0"/>
            </w:tcBorders>
            <w:noWrap w:val="0"/>
            <w:vAlign w:val="center"/>
          </w:tcPr>
          <w:p w14:paraId="29C79DC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998" w:type="dxa"/>
            <w:gridSpan w:val="2"/>
            <w:tcBorders>
              <w:top w:val="nil"/>
              <w:left w:val="nil"/>
              <w:bottom w:val="single" w:color="auto" w:sz="8" w:space="0"/>
              <w:right w:val="single" w:color="auto" w:sz="8" w:space="0"/>
            </w:tcBorders>
            <w:noWrap w:val="0"/>
            <w:vAlign w:val="center"/>
          </w:tcPr>
          <w:p w14:paraId="4D8A948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1367" w:type="dxa"/>
            <w:tcBorders>
              <w:top w:val="nil"/>
              <w:left w:val="nil"/>
              <w:bottom w:val="single" w:color="auto" w:sz="8" w:space="0"/>
              <w:right w:val="single" w:color="auto" w:sz="8" w:space="0"/>
            </w:tcBorders>
            <w:noWrap w:val="0"/>
            <w:vAlign w:val="center"/>
          </w:tcPr>
          <w:p w14:paraId="48928F6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r>
      <w:tr w14:paraId="76EB05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487" w:hRule="atLeast"/>
          <w:jc w:val="center"/>
        </w:trPr>
        <w:tc>
          <w:tcPr>
            <w:tcW w:w="1527" w:type="dxa"/>
            <w:tcBorders>
              <w:top w:val="nil"/>
              <w:left w:val="single" w:color="auto" w:sz="8" w:space="0"/>
              <w:bottom w:val="single" w:color="auto" w:sz="8" w:space="0"/>
              <w:right w:val="single" w:color="auto" w:sz="8" w:space="0"/>
            </w:tcBorders>
            <w:noWrap w:val="0"/>
            <w:vAlign w:val="center"/>
          </w:tcPr>
          <w:p w14:paraId="229DB58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2294" w:type="dxa"/>
            <w:tcBorders>
              <w:top w:val="nil"/>
              <w:left w:val="nil"/>
              <w:bottom w:val="single" w:color="auto" w:sz="8" w:space="0"/>
              <w:right w:val="single" w:color="auto" w:sz="8" w:space="0"/>
            </w:tcBorders>
            <w:noWrap w:val="0"/>
            <w:vAlign w:val="center"/>
          </w:tcPr>
          <w:p w14:paraId="724954D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3441" w:type="dxa"/>
            <w:gridSpan w:val="2"/>
            <w:tcBorders>
              <w:top w:val="nil"/>
              <w:left w:val="nil"/>
              <w:bottom w:val="single" w:color="auto" w:sz="8" w:space="0"/>
              <w:right w:val="single" w:color="auto" w:sz="8" w:space="0"/>
            </w:tcBorders>
            <w:noWrap w:val="0"/>
            <w:vAlign w:val="center"/>
          </w:tcPr>
          <w:p w14:paraId="7FAFBE7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998" w:type="dxa"/>
            <w:gridSpan w:val="2"/>
            <w:tcBorders>
              <w:top w:val="nil"/>
              <w:left w:val="nil"/>
              <w:bottom w:val="single" w:color="auto" w:sz="8" w:space="0"/>
              <w:right w:val="single" w:color="auto" w:sz="8" w:space="0"/>
            </w:tcBorders>
            <w:noWrap w:val="0"/>
            <w:vAlign w:val="center"/>
          </w:tcPr>
          <w:p w14:paraId="0C5BF87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1367" w:type="dxa"/>
            <w:tcBorders>
              <w:top w:val="nil"/>
              <w:left w:val="nil"/>
              <w:bottom w:val="single" w:color="auto" w:sz="8" w:space="0"/>
              <w:right w:val="single" w:color="auto" w:sz="8" w:space="0"/>
            </w:tcBorders>
            <w:noWrap w:val="0"/>
            <w:vAlign w:val="center"/>
          </w:tcPr>
          <w:p w14:paraId="1E0A509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r>
      <w:tr w14:paraId="1360AA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487" w:hRule="atLeast"/>
          <w:jc w:val="center"/>
        </w:trPr>
        <w:tc>
          <w:tcPr>
            <w:tcW w:w="1527" w:type="dxa"/>
            <w:tcBorders>
              <w:top w:val="nil"/>
              <w:left w:val="single" w:color="auto" w:sz="8" w:space="0"/>
              <w:bottom w:val="single" w:color="auto" w:sz="8" w:space="0"/>
              <w:right w:val="single" w:color="auto" w:sz="8" w:space="0"/>
            </w:tcBorders>
            <w:noWrap w:val="0"/>
            <w:vAlign w:val="center"/>
          </w:tcPr>
          <w:p w14:paraId="092A085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2294" w:type="dxa"/>
            <w:tcBorders>
              <w:top w:val="nil"/>
              <w:left w:val="nil"/>
              <w:bottom w:val="single" w:color="auto" w:sz="8" w:space="0"/>
              <w:right w:val="single" w:color="auto" w:sz="8" w:space="0"/>
            </w:tcBorders>
            <w:noWrap w:val="0"/>
            <w:vAlign w:val="center"/>
          </w:tcPr>
          <w:p w14:paraId="347CE59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3441" w:type="dxa"/>
            <w:gridSpan w:val="2"/>
            <w:tcBorders>
              <w:top w:val="nil"/>
              <w:left w:val="nil"/>
              <w:bottom w:val="single" w:color="auto" w:sz="8" w:space="0"/>
              <w:right w:val="single" w:color="auto" w:sz="8" w:space="0"/>
            </w:tcBorders>
            <w:noWrap w:val="0"/>
            <w:vAlign w:val="center"/>
          </w:tcPr>
          <w:p w14:paraId="607BE7A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998" w:type="dxa"/>
            <w:gridSpan w:val="2"/>
            <w:tcBorders>
              <w:top w:val="nil"/>
              <w:left w:val="nil"/>
              <w:bottom w:val="single" w:color="auto" w:sz="8" w:space="0"/>
              <w:right w:val="single" w:color="auto" w:sz="8" w:space="0"/>
            </w:tcBorders>
            <w:noWrap w:val="0"/>
            <w:vAlign w:val="center"/>
          </w:tcPr>
          <w:p w14:paraId="74AB341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1367" w:type="dxa"/>
            <w:tcBorders>
              <w:top w:val="nil"/>
              <w:left w:val="nil"/>
              <w:bottom w:val="single" w:color="auto" w:sz="8" w:space="0"/>
              <w:right w:val="single" w:color="auto" w:sz="8" w:space="0"/>
            </w:tcBorders>
            <w:noWrap w:val="0"/>
            <w:vAlign w:val="center"/>
          </w:tcPr>
          <w:p w14:paraId="555AE0E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r>
      <w:tr w14:paraId="50F279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487" w:hRule="atLeast"/>
          <w:jc w:val="center"/>
        </w:trPr>
        <w:tc>
          <w:tcPr>
            <w:tcW w:w="7262" w:type="dxa"/>
            <w:gridSpan w:val="4"/>
            <w:tcBorders>
              <w:top w:val="nil"/>
              <w:left w:val="single" w:color="auto" w:sz="8" w:space="0"/>
              <w:bottom w:val="single" w:color="auto" w:sz="8" w:space="0"/>
              <w:right w:val="single" w:color="auto" w:sz="8" w:space="0"/>
            </w:tcBorders>
            <w:noWrap w:val="0"/>
            <w:vAlign w:val="center"/>
          </w:tcPr>
          <w:p w14:paraId="19809B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3" w:right="0" w:firstLine="5"/>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合         计 </w:t>
            </w:r>
          </w:p>
        </w:tc>
        <w:tc>
          <w:tcPr>
            <w:tcW w:w="998" w:type="dxa"/>
            <w:gridSpan w:val="2"/>
            <w:tcBorders>
              <w:top w:val="nil"/>
              <w:left w:val="nil"/>
              <w:bottom w:val="single" w:color="auto" w:sz="8" w:space="0"/>
              <w:right w:val="single" w:color="auto" w:sz="8" w:space="0"/>
            </w:tcBorders>
            <w:noWrap w:val="0"/>
            <w:vAlign w:val="center"/>
          </w:tcPr>
          <w:p w14:paraId="19C7D78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1367" w:type="dxa"/>
            <w:tcBorders>
              <w:top w:val="nil"/>
              <w:left w:val="nil"/>
              <w:bottom w:val="single" w:color="auto" w:sz="8" w:space="0"/>
              <w:right w:val="single" w:color="auto" w:sz="8" w:space="0"/>
            </w:tcBorders>
            <w:noWrap w:val="0"/>
            <w:vAlign w:val="center"/>
          </w:tcPr>
          <w:p w14:paraId="0F83903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r>
      <w:tr w14:paraId="2273F3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641" w:hRule="atLeast"/>
          <w:jc w:val="center"/>
        </w:trPr>
        <w:tc>
          <w:tcPr>
            <w:tcW w:w="9627" w:type="dxa"/>
            <w:gridSpan w:val="7"/>
            <w:tcBorders>
              <w:top w:val="nil"/>
              <w:left w:val="single" w:color="auto" w:sz="8" w:space="0"/>
              <w:bottom w:val="single" w:color="auto" w:sz="8" w:space="0"/>
              <w:right w:val="single" w:color="auto" w:sz="8" w:space="0"/>
            </w:tcBorders>
            <w:noWrap w:val="0"/>
            <w:vAlign w:val="center"/>
          </w:tcPr>
          <w:p w14:paraId="2508691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2"/>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合计大写金额：    仟     佰     拾     万     仟     佰    拾    元 </w:t>
            </w:r>
          </w:p>
        </w:tc>
      </w:tr>
      <w:tr w14:paraId="20C786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641" w:hRule="atLeast"/>
          <w:jc w:val="center"/>
        </w:trPr>
        <w:tc>
          <w:tcPr>
            <w:tcW w:w="1527" w:type="dxa"/>
            <w:tcBorders>
              <w:top w:val="nil"/>
              <w:left w:val="single" w:color="auto" w:sz="8" w:space="0"/>
              <w:bottom w:val="single" w:color="auto" w:sz="8" w:space="0"/>
              <w:right w:val="single" w:color="auto" w:sz="8" w:space="0"/>
            </w:tcBorders>
            <w:noWrap w:val="0"/>
            <w:vAlign w:val="center"/>
          </w:tcPr>
          <w:p w14:paraId="7C9ECAE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bidi="ar"/>
              </w:rPr>
              <w:t>服务期限</w:t>
            </w:r>
          </w:p>
        </w:tc>
        <w:tc>
          <w:tcPr>
            <w:tcW w:w="3240" w:type="dxa"/>
            <w:gridSpan w:val="2"/>
            <w:tcBorders>
              <w:top w:val="nil"/>
              <w:left w:val="nil"/>
              <w:bottom w:val="single" w:color="auto" w:sz="8" w:space="0"/>
              <w:right w:val="single" w:color="auto" w:sz="8" w:space="0"/>
            </w:tcBorders>
            <w:noWrap w:val="0"/>
            <w:vAlign w:val="center"/>
          </w:tcPr>
          <w:p w14:paraId="591FA1A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2700" w:type="dxa"/>
            <w:gridSpan w:val="2"/>
            <w:tcBorders>
              <w:top w:val="nil"/>
              <w:left w:val="nil"/>
              <w:bottom w:val="single" w:color="auto" w:sz="8" w:space="0"/>
              <w:right w:val="single" w:color="auto" w:sz="8" w:space="0"/>
            </w:tcBorders>
            <w:noWrap w:val="0"/>
            <w:vAlign w:val="center"/>
          </w:tcPr>
          <w:p w14:paraId="324812B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合同</w:t>
            </w:r>
            <w:r>
              <w:rPr>
                <w:rFonts w:hint="eastAsia" w:ascii="宋体" w:hAnsi="宋体" w:eastAsia="宋体" w:cs="宋体"/>
                <w:color w:val="auto"/>
                <w:kern w:val="0"/>
                <w:sz w:val="21"/>
                <w:szCs w:val="21"/>
                <w:highlight w:val="none"/>
                <w:lang w:eastAsia="zh-CN" w:bidi="ar"/>
              </w:rPr>
              <w:t>服务</w:t>
            </w:r>
            <w:r>
              <w:rPr>
                <w:rFonts w:hint="eastAsia" w:ascii="宋体" w:hAnsi="宋体" w:eastAsia="宋体" w:cs="宋体"/>
                <w:color w:val="auto"/>
                <w:kern w:val="0"/>
                <w:sz w:val="21"/>
                <w:szCs w:val="21"/>
                <w:highlight w:val="none"/>
                <w:lang w:bidi="ar"/>
              </w:rPr>
              <w:t xml:space="preserve">验收日期 </w:t>
            </w:r>
          </w:p>
        </w:tc>
        <w:tc>
          <w:tcPr>
            <w:tcW w:w="2160" w:type="dxa"/>
            <w:gridSpan w:val="2"/>
            <w:tcBorders>
              <w:top w:val="nil"/>
              <w:left w:val="nil"/>
              <w:bottom w:val="single" w:color="auto" w:sz="8" w:space="0"/>
              <w:right w:val="single" w:color="auto" w:sz="8" w:space="0"/>
            </w:tcBorders>
            <w:noWrap w:val="0"/>
            <w:vAlign w:val="center"/>
          </w:tcPr>
          <w:p w14:paraId="57DBA24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r>
      <w:tr w14:paraId="4BFD46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394" w:hRule="atLeast"/>
          <w:jc w:val="center"/>
        </w:trPr>
        <w:tc>
          <w:tcPr>
            <w:tcW w:w="1527" w:type="dxa"/>
            <w:tcBorders>
              <w:top w:val="nil"/>
              <w:left w:val="single" w:color="auto" w:sz="8" w:space="0"/>
              <w:bottom w:val="single" w:color="auto" w:sz="8" w:space="0"/>
              <w:right w:val="single" w:color="auto" w:sz="8" w:space="0"/>
            </w:tcBorders>
            <w:noWrap w:val="0"/>
            <w:vAlign w:val="center"/>
          </w:tcPr>
          <w:p w14:paraId="30D9EFD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3240" w:type="dxa"/>
            <w:gridSpan w:val="2"/>
            <w:tcBorders>
              <w:top w:val="nil"/>
              <w:left w:val="nil"/>
              <w:bottom w:val="single" w:color="auto" w:sz="8" w:space="0"/>
              <w:right w:val="single" w:color="auto" w:sz="8" w:space="0"/>
            </w:tcBorders>
            <w:noWrap w:val="0"/>
            <w:vAlign w:val="center"/>
          </w:tcPr>
          <w:p w14:paraId="550E0EB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2700" w:type="dxa"/>
            <w:gridSpan w:val="2"/>
            <w:tcBorders>
              <w:top w:val="nil"/>
              <w:left w:val="nil"/>
              <w:bottom w:val="single" w:color="auto" w:sz="8" w:space="0"/>
              <w:right w:val="single" w:color="auto" w:sz="8" w:space="0"/>
            </w:tcBorders>
            <w:noWrap w:val="0"/>
            <w:vAlign w:val="center"/>
          </w:tcPr>
          <w:p w14:paraId="070F553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59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c>
          <w:tcPr>
            <w:tcW w:w="2160" w:type="dxa"/>
            <w:gridSpan w:val="2"/>
            <w:tcBorders>
              <w:top w:val="nil"/>
              <w:left w:val="nil"/>
              <w:bottom w:val="single" w:color="auto" w:sz="8" w:space="0"/>
              <w:right w:val="single" w:color="auto" w:sz="8" w:space="0"/>
            </w:tcBorders>
            <w:noWrap w:val="0"/>
            <w:vAlign w:val="center"/>
          </w:tcPr>
          <w:p w14:paraId="5680AD8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r>
      <w:tr w14:paraId="19339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693" w:hRule="atLeast"/>
          <w:jc w:val="center"/>
        </w:trPr>
        <w:tc>
          <w:tcPr>
            <w:tcW w:w="152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16E717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验收具体内容 </w:t>
            </w:r>
          </w:p>
        </w:tc>
        <w:tc>
          <w:tcPr>
            <w:tcW w:w="8100" w:type="dxa"/>
            <w:gridSpan w:val="6"/>
            <w:tcBorders>
              <w:top w:val="nil"/>
              <w:left w:val="nil"/>
              <w:bottom w:val="single" w:color="auto" w:sz="8" w:space="0"/>
              <w:right w:val="single" w:color="auto" w:sz="8" w:space="0"/>
            </w:tcBorders>
            <w:noWrap w:val="0"/>
            <w:tcMar>
              <w:left w:w="108" w:type="dxa"/>
              <w:right w:w="108" w:type="dxa"/>
            </w:tcMar>
            <w:vAlign w:val="center"/>
          </w:tcPr>
          <w:p w14:paraId="68687DB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（应按采购合同、采购文件、投标响应文件及验收方案等进行验收；并核对 中标或者成交供应商在安装调试等方面是否违反合同约定或服务规范要求、提供的质量保证证明材料是否齐全、应有的配件及附件是否达到合同约定等 。可附件) </w:t>
            </w:r>
          </w:p>
        </w:tc>
      </w:tr>
      <w:tr w14:paraId="148EBD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1281" w:hRule="atLeast"/>
          <w:jc w:val="center"/>
        </w:trPr>
        <w:tc>
          <w:tcPr>
            <w:tcW w:w="152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0DE850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验收小组意见 </w:t>
            </w:r>
          </w:p>
        </w:tc>
        <w:tc>
          <w:tcPr>
            <w:tcW w:w="8100" w:type="dxa"/>
            <w:gridSpan w:val="6"/>
            <w:tcBorders>
              <w:top w:val="nil"/>
              <w:left w:val="nil"/>
              <w:bottom w:val="single" w:color="auto" w:sz="8" w:space="0"/>
              <w:right w:val="single" w:color="auto" w:sz="8" w:space="0"/>
            </w:tcBorders>
            <w:noWrap w:val="0"/>
            <w:vAlign w:val="center"/>
          </w:tcPr>
          <w:p w14:paraId="39CCCFD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验收结论性意见： </w:t>
            </w:r>
          </w:p>
          <w:p w14:paraId="3D90D55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tc>
      </w:tr>
      <w:tr w14:paraId="2E33CB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607" w:hRule="atLeast"/>
          <w:jc w:val="center"/>
        </w:trPr>
        <w:tc>
          <w:tcPr>
            <w:tcW w:w="152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65F101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ind w:left="0" w:right="0"/>
              <w:textAlignment w:val="auto"/>
              <w:rPr>
                <w:rFonts w:hint="eastAsia" w:ascii="宋体" w:hAnsi="宋体" w:eastAsia="宋体" w:cs="宋体"/>
                <w:color w:val="auto"/>
                <w:sz w:val="21"/>
                <w:szCs w:val="21"/>
                <w:highlight w:val="none"/>
              </w:rPr>
            </w:pPr>
          </w:p>
        </w:tc>
        <w:tc>
          <w:tcPr>
            <w:tcW w:w="8100" w:type="dxa"/>
            <w:gridSpan w:val="6"/>
            <w:tcBorders>
              <w:top w:val="nil"/>
              <w:left w:val="nil"/>
              <w:bottom w:val="single" w:color="auto" w:sz="8" w:space="0"/>
              <w:right w:val="single" w:color="auto" w:sz="8" w:space="0"/>
            </w:tcBorders>
            <w:noWrap w:val="0"/>
            <w:vAlign w:val="center"/>
          </w:tcPr>
          <w:p w14:paraId="35F35F0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96"/>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有异议的意见和说明理由： </w:t>
            </w:r>
          </w:p>
          <w:p w14:paraId="3AECD30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签字： </w:t>
            </w:r>
          </w:p>
        </w:tc>
      </w:tr>
      <w:tr w14:paraId="13A755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07" w:hRule="atLeast"/>
          <w:jc w:val="center"/>
        </w:trPr>
        <w:tc>
          <w:tcPr>
            <w:tcW w:w="9627" w:type="dxa"/>
            <w:gridSpan w:val="7"/>
            <w:tcBorders>
              <w:top w:val="nil"/>
              <w:left w:val="single" w:color="auto" w:sz="8" w:space="0"/>
              <w:bottom w:val="single" w:color="auto" w:sz="8" w:space="0"/>
              <w:right w:val="single" w:color="auto" w:sz="8" w:space="0"/>
            </w:tcBorders>
            <w:noWrap w:val="0"/>
            <w:tcMar>
              <w:left w:w="108" w:type="dxa"/>
              <w:right w:w="108" w:type="dxa"/>
            </w:tcMar>
            <w:vAlign w:val="center"/>
          </w:tcPr>
          <w:p w14:paraId="542AC54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验收小组成员签字： </w:t>
            </w:r>
          </w:p>
        </w:tc>
      </w:tr>
      <w:tr w14:paraId="122EE4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736" w:hRule="atLeast"/>
          <w:jc w:val="center"/>
        </w:trPr>
        <w:tc>
          <w:tcPr>
            <w:tcW w:w="9627" w:type="dxa"/>
            <w:gridSpan w:val="7"/>
            <w:tcBorders>
              <w:top w:val="nil"/>
              <w:left w:val="single" w:color="auto" w:sz="8" w:space="0"/>
              <w:bottom w:val="single" w:color="auto" w:sz="8" w:space="0"/>
              <w:right w:val="single" w:color="auto" w:sz="8" w:space="0"/>
            </w:tcBorders>
            <w:noWrap w:val="0"/>
            <w:tcMar>
              <w:left w:w="108" w:type="dxa"/>
              <w:right w:w="108" w:type="dxa"/>
            </w:tcMar>
            <w:vAlign w:val="center"/>
          </w:tcPr>
          <w:p w14:paraId="5FED1B5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监督人员或其他相关人员签字： </w:t>
            </w:r>
          </w:p>
          <w:p w14:paraId="5D20FA2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firstLine="74"/>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或受邀机构的意见（盖章）： </w:t>
            </w:r>
          </w:p>
        </w:tc>
      </w:tr>
      <w:tr w14:paraId="24232F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758" w:hRule="atLeast"/>
          <w:jc w:val="center"/>
        </w:trPr>
        <w:tc>
          <w:tcPr>
            <w:tcW w:w="4767" w:type="dxa"/>
            <w:gridSpan w:val="3"/>
            <w:tcBorders>
              <w:top w:val="nil"/>
              <w:left w:val="single" w:color="auto" w:sz="8" w:space="0"/>
              <w:bottom w:val="single" w:color="auto" w:sz="8" w:space="0"/>
              <w:right w:val="nil"/>
            </w:tcBorders>
            <w:noWrap w:val="0"/>
            <w:tcMar>
              <w:left w:w="108" w:type="dxa"/>
              <w:right w:w="108" w:type="dxa"/>
            </w:tcMar>
            <w:vAlign w:val="center"/>
          </w:tcPr>
          <w:p w14:paraId="33FA06B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中标或者成交供应商负责人签字或盖章： </w:t>
            </w:r>
          </w:p>
          <w:p w14:paraId="78913C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联系电话：           年  月  日 </w:t>
            </w:r>
          </w:p>
        </w:tc>
        <w:tc>
          <w:tcPr>
            <w:tcW w:w="4860" w:type="dxa"/>
            <w:gridSpan w:val="4"/>
            <w:tcBorders>
              <w:top w:val="nil"/>
              <w:left w:val="nil"/>
              <w:bottom w:val="single" w:color="auto" w:sz="8" w:space="0"/>
              <w:right w:val="single" w:color="auto" w:sz="8" w:space="0"/>
            </w:tcBorders>
            <w:noWrap w:val="0"/>
            <w:vAlign w:val="center"/>
          </w:tcPr>
          <w:p w14:paraId="2985206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采购人或受托机构的意见（盖章）： </w:t>
            </w:r>
          </w:p>
          <w:p w14:paraId="45FC202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320" w:lineRule="atLeas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联系电话：        年   月   日 </w:t>
            </w:r>
          </w:p>
        </w:tc>
      </w:tr>
    </w:tbl>
    <w:p w14:paraId="256A0680">
      <w:pPr>
        <w:pStyle w:val="22"/>
        <w:rPr>
          <w:rFonts w:hint="eastAsia" w:ascii="宋体" w:hAnsi="宋体" w:eastAsia="宋体" w:cs="宋体"/>
          <w:color w:val="auto"/>
          <w:sz w:val="21"/>
          <w:szCs w:val="21"/>
          <w:highlight w:val="none"/>
          <w:lang w:bidi="zh-TW"/>
        </w:rPr>
      </w:pPr>
    </w:p>
    <w:p w14:paraId="34FFE89D">
      <w:pPr>
        <w:snapToGrid w:val="0"/>
        <w:spacing w:line="360" w:lineRule="auto"/>
        <w:ind w:firstLine="120" w:firstLineChars="200"/>
        <w:rPr>
          <w:rFonts w:ascii="宋体" w:hAnsi="宋体" w:eastAsia="宋体" w:cs="Calibri"/>
          <w:color w:val="auto"/>
          <w:sz w:val="6"/>
          <w:szCs w:val="6"/>
          <w:highlight w:val="none"/>
        </w:rPr>
      </w:pPr>
    </w:p>
    <w:sectPr>
      <w:footerReference r:id="rId12" w:type="first"/>
      <w:footerReference r:id="rId11" w:type="default"/>
      <w:pgSz w:w="11906" w:h="16838"/>
      <w:pgMar w:top="1417" w:right="1417" w:bottom="1417" w:left="1417" w:header="851" w:footer="992" w:gutter="0"/>
      <w:pgNumType w:fmt="decimal" w:start="1"/>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E"/>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
    <w:altName w:val="宋体"/>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00000287" w:usb1="00000000" w:usb2="00000000" w:usb3="00000000" w:csb0="2000009F" w:csb1="DFD7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Futura Bk">
    <w:altName w:val="Arial"/>
    <w:panose1 w:val="00000000000000000000"/>
    <w:charset w:val="00"/>
    <w:family w:val="swiss"/>
    <w:pitch w:val="default"/>
    <w:sig w:usb0="00000000" w:usb1="00000000" w:usb2="00000000" w:usb3="00000000" w:csb0="000001FB" w:csb1="00000000"/>
  </w:font>
  <w:font w:name="新宋体">
    <w:panose1 w:val="02010609030101010101"/>
    <w:charset w:val="86"/>
    <w:family w:val="modern"/>
    <w:pitch w:val="default"/>
    <w:sig w:usb0="00000003" w:usb1="288F0000" w:usb2="00000006" w:usb3="00000000" w:csb0="00040001" w:csb1="00000000"/>
  </w:font>
  <w:font w:name="长城仿宋">
    <w:altName w:val="宋体"/>
    <w:panose1 w:val="00000000000000000000"/>
    <w:charset w:val="86"/>
    <w:family w:val="modern"/>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Garamond">
    <w:panose1 w:val="02020404030301010803"/>
    <w:charset w:val="00"/>
    <w:family w:val="roman"/>
    <w:pitch w:val="default"/>
    <w:sig w:usb0="00000287" w:usb1="00000000" w:usb2="00000000" w:usb3="00000000" w:csb0="0000009F" w:csb1="DFD70000"/>
  </w:font>
  <w:font w:name="??">
    <w:altName w:val="Times New Roman"/>
    <w:panose1 w:val="00000000000000000000"/>
    <w:charset w:val="00"/>
    <w:family w:val="auto"/>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BA60">
    <w:pPr>
      <w:pStyle w:val="33"/>
      <w:tabs>
        <w:tab w:val="center" w:pos="4439"/>
        <w:tab w:val="clear" w:pos="4153"/>
      </w:tabs>
      <w:jc w:val="both"/>
    </w:pPr>
  </w:p>
  <w:p w14:paraId="3297328F">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4872">
    <w:pPr>
      <w:pStyle w:val="33"/>
      <w:tabs>
        <w:tab w:val="center" w:pos="4439"/>
        <w:tab w:val="clear" w:pos="4153"/>
      </w:tabs>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80340"/>
              <wp:effectExtent l="0" t="0" r="0" b="0"/>
              <wp:wrapNone/>
              <wp:docPr id="7" name="文本框 5124"/>
              <wp:cNvGraphicFramePr/>
              <a:graphic xmlns:a="http://schemas.openxmlformats.org/drawingml/2006/main">
                <a:graphicData uri="http://schemas.microsoft.com/office/word/2010/wordprocessingShape">
                  <wps:wsp>
                    <wps:cNvSpPr txBox="1">
                      <a:spLocks noChangeArrowheads="1"/>
                    </wps:cNvSpPr>
                    <wps:spPr bwMode="auto">
                      <a:xfrm>
                        <a:off x="0" y="0"/>
                        <a:ext cx="114935" cy="180340"/>
                      </a:xfrm>
                      <a:prstGeom prst="rect">
                        <a:avLst/>
                      </a:prstGeom>
                      <a:noFill/>
                      <a:ln>
                        <a:noFill/>
                      </a:ln>
                      <a:effectLst/>
                    </wps:spPr>
                    <wps:txbx>
                      <w:txbxContent>
                        <w:p w14:paraId="0E1D8A0C"/>
                      </w:txbxContent>
                    </wps:txbx>
                    <wps:bodyPr rot="0" vert="horz" wrap="none" lIns="0" tIns="0" rIns="0" bIns="0" anchor="t" anchorCtr="0" upright="1">
                      <a:spAutoFit/>
                    </wps:bodyPr>
                  </wps:wsp>
                </a:graphicData>
              </a:graphic>
            </wp:anchor>
          </w:drawing>
        </mc:Choice>
        <mc:Fallback>
          <w:pict>
            <v:shape id="文本框 5124" o:spid="_x0000_s1026" o:spt="202" type="#_x0000_t202" style="position:absolute;left:0pt;margin-top:0pt;height:14.2pt;width:9.05pt;mso-position-horizontal:center;mso-position-horizontal-relative:margin;mso-wrap-style:none;z-index:251659264;mso-width-relative:page;mso-height-relative:page;" filled="f" stroked="f" coordsize="21600,21600" o:gfxdata="UEsDBAoAAAAAAIdO4kAAAAAAAAAAAAAAAAAEAAAAZHJzL1BLAwQUAAAACACHTuJAWLXzd9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LXzd9AAAAADAQAADwAAAAAAAAABACAAAAAi&#10;AAAAZHJzL2Rvd25yZXYueG1sUEsBAhQAFAAAAAgAh07iQH2EeV8SAgAAEwQAAA4AAAAAAAAAAQAg&#10;AAAAHwEAAGRycy9lMm9Eb2MueG1sUEsFBgAAAAAGAAYAWQEAAKMFAAAAAA==&#10;">
              <v:fill on="f" focussize="0,0"/>
              <v:stroke on="f"/>
              <v:imagedata o:title=""/>
              <o:lock v:ext="edit" aspectratio="f"/>
              <v:textbox inset="0mm,0mm,0mm,0mm" style="mso-fit-shape-to-text:t;">
                <w:txbxContent>
                  <w:p w14:paraId="0E1D8A0C"/>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CECBC">
    <w:pPr>
      <w:pStyle w:val="33"/>
      <w:tabs>
        <w:tab w:val="center" w:pos="4439"/>
        <w:tab w:val="clear" w:pos="4153"/>
      </w:tabs>
      <w:jc w:val="both"/>
    </w:pPr>
  </w:p>
  <w:p w14:paraId="73B9B73C">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7CED4">
    <w:pPr>
      <w:pStyle w:val="33"/>
      <w:tabs>
        <w:tab w:val="center" w:pos="4439"/>
        <w:tab w:val="clear" w:pos="4153"/>
      </w:tabs>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80340"/>
              <wp:effectExtent l="0" t="0" r="0" b="0"/>
              <wp:wrapNone/>
              <wp:docPr id="12" name="文本框 5124"/>
              <wp:cNvGraphicFramePr/>
              <a:graphic xmlns:a="http://schemas.openxmlformats.org/drawingml/2006/main">
                <a:graphicData uri="http://schemas.microsoft.com/office/word/2010/wordprocessingShape">
                  <wps:wsp>
                    <wps:cNvSpPr txBox="1">
                      <a:spLocks noChangeArrowheads="1"/>
                    </wps:cNvSpPr>
                    <wps:spPr bwMode="auto">
                      <a:xfrm>
                        <a:off x="0" y="0"/>
                        <a:ext cx="114935" cy="180340"/>
                      </a:xfrm>
                      <a:prstGeom prst="rect">
                        <a:avLst/>
                      </a:prstGeom>
                      <a:noFill/>
                      <a:ln>
                        <a:noFill/>
                      </a:ln>
                      <a:effectLst/>
                    </wps:spPr>
                    <wps:txbx>
                      <w:txbxContent>
                        <w:p w14:paraId="1094A478"/>
                      </w:txbxContent>
                    </wps:txbx>
                    <wps:bodyPr rot="0" vert="horz" wrap="none" lIns="0" tIns="0" rIns="0" bIns="0" anchor="t" anchorCtr="0" upright="1">
                      <a:spAutoFit/>
                    </wps:bodyPr>
                  </wps:wsp>
                </a:graphicData>
              </a:graphic>
            </wp:anchor>
          </w:drawing>
        </mc:Choice>
        <mc:Fallback>
          <w:pict>
            <v:shape id="文本框 5124" o:spid="_x0000_s1026" o:spt="202" type="#_x0000_t202" style="position:absolute;left:0pt;margin-top:0pt;height:14.2pt;width:9.05pt;mso-position-horizontal:center;mso-position-horizontal-relative:margin;mso-wrap-style:none;z-index:251660288;mso-width-relative:page;mso-height-relative:page;" filled="f" stroked="f" coordsize="21600,21600" o:gfxdata="UEsDBAoAAAAAAIdO4kAAAAAAAAAAAAAAAAAEAAAAZHJzL1BLAwQUAAAACACHTuJAWLXzd9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LXzd9AAAAADAQAADwAAAAAAAAABACAAAAAi&#10;AAAAZHJzL2Rvd25yZXYueG1sUEsBAhQAFAAAAAgAh07iQJi1HRcSAgAAFAQAAA4AAAAAAAAAAQAg&#10;AAAAHwEAAGRycy9lMm9Eb2MueG1sUEsFBgAAAAAGAAYAWQEAAKMFAAAAAA==&#10;">
              <v:fill on="f" focussize="0,0"/>
              <v:stroke on="f"/>
              <v:imagedata o:title=""/>
              <o:lock v:ext="edit" aspectratio="f"/>
              <v:textbox inset="0mm,0mm,0mm,0mm" style="mso-fit-shape-to-text:t;">
                <w:txbxContent>
                  <w:p w14:paraId="1094A478"/>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A56A">
    <w:pPr>
      <w:pStyle w:val="3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6E406">
                          <w:pPr>
                            <w:pStyle w:val="3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D6E406">
                    <w:pPr>
                      <w:pStyle w:val="3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15B3E">
    <w:pPr>
      <w:pStyle w:val="3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17DA1">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517DA1">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5C33578">
      <w:pPr>
        <w:pStyle w:val="3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31A2B">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85844">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7DBBE"/>
    <w:multiLevelType w:val="singleLevel"/>
    <w:tmpl w:val="9AE7DBBE"/>
    <w:lvl w:ilvl="0" w:tentative="0">
      <w:start w:val="1"/>
      <w:numFmt w:val="decimal"/>
      <w:lvlText w:val="%1."/>
      <w:lvlJc w:val="left"/>
      <w:pPr>
        <w:tabs>
          <w:tab w:val="left" w:pos="312"/>
        </w:tabs>
      </w:pPr>
    </w:lvl>
  </w:abstractNum>
  <w:abstractNum w:abstractNumId="1">
    <w:nsid w:val="B319485E"/>
    <w:multiLevelType w:val="singleLevel"/>
    <w:tmpl w:val="B319485E"/>
    <w:lvl w:ilvl="0" w:tentative="0">
      <w:start w:val="2"/>
      <w:numFmt w:val="decimal"/>
      <w:suff w:val="nothing"/>
      <w:lvlText w:val="%1）"/>
      <w:lvlJc w:val="left"/>
    </w:lvl>
  </w:abstractNum>
  <w:abstractNum w:abstractNumId="2">
    <w:nsid w:val="D64373B6"/>
    <w:multiLevelType w:val="singleLevel"/>
    <w:tmpl w:val="D64373B6"/>
    <w:lvl w:ilvl="0" w:tentative="0">
      <w:start w:val="1"/>
      <w:numFmt w:val="decimal"/>
      <w:suff w:val="space"/>
      <w:lvlText w:val="%1."/>
      <w:lvlJc w:val="left"/>
    </w:lvl>
  </w:abstractNum>
  <w:abstractNum w:abstractNumId="3">
    <w:nsid w:val="2F30B965"/>
    <w:multiLevelType w:val="singleLevel"/>
    <w:tmpl w:val="2F30B965"/>
    <w:lvl w:ilvl="0" w:tentative="0">
      <w:start w:val="23"/>
      <w:numFmt w:val="decimal"/>
      <w:lvlText w:val="%1."/>
      <w:lvlJc w:val="left"/>
      <w:pPr>
        <w:tabs>
          <w:tab w:val="left" w:pos="312"/>
        </w:tabs>
      </w:pPr>
    </w:lvl>
  </w:abstractNum>
  <w:abstractNum w:abstractNumId="4">
    <w:nsid w:val="32714F5E"/>
    <w:multiLevelType w:val="multilevel"/>
    <w:tmpl w:val="32714F5E"/>
    <w:lvl w:ilvl="0" w:tentative="0">
      <w:start w:val="1"/>
      <w:numFmt w:val="chineseCountingThousand"/>
      <w:pStyle w:val="24"/>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lvlOverride w:ilvl="0">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3ZWI1YTAxMWUyZjE0NjZkNjQzODUyZmE4MzQ5YjUifQ=="/>
  </w:docVars>
  <w:rsids>
    <w:rsidRoot w:val="00F34B14"/>
    <w:rsid w:val="000002E0"/>
    <w:rsid w:val="0000057F"/>
    <w:rsid w:val="00000672"/>
    <w:rsid w:val="00001013"/>
    <w:rsid w:val="0000123A"/>
    <w:rsid w:val="00001799"/>
    <w:rsid w:val="00001AF2"/>
    <w:rsid w:val="00001E8D"/>
    <w:rsid w:val="00001ECA"/>
    <w:rsid w:val="00002D29"/>
    <w:rsid w:val="000032C3"/>
    <w:rsid w:val="00003B93"/>
    <w:rsid w:val="0000474D"/>
    <w:rsid w:val="00004D35"/>
    <w:rsid w:val="00005FDF"/>
    <w:rsid w:val="0000644A"/>
    <w:rsid w:val="000064D2"/>
    <w:rsid w:val="00006836"/>
    <w:rsid w:val="000070B3"/>
    <w:rsid w:val="000076B8"/>
    <w:rsid w:val="0001016A"/>
    <w:rsid w:val="000109DC"/>
    <w:rsid w:val="00010D39"/>
    <w:rsid w:val="0001172C"/>
    <w:rsid w:val="00011BC9"/>
    <w:rsid w:val="00012854"/>
    <w:rsid w:val="00012C21"/>
    <w:rsid w:val="00012EA6"/>
    <w:rsid w:val="0001324F"/>
    <w:rsid w:val="00013359"/>
    <w:rsid w:val="000136FE"/>
    <w:rsid w:val="000139CF"/>
    <w:rsid w:val="00013AA4"/>
    <w:rsid w:val="00013DFE"/>
    <w:rsid w:val="000141EA"/>
    <w:rsid w:val="00015AD7"/>
    <w:rsid w:val="0001636C"/>
    <w:rsid w:val="00016ABC"/>
    <w:rsid w:val="000177DB"/>
    <w:rsid w:val="000179C9"/>
    <w:rsid w:val="00017CCC"/>
    <w:rsid w:val="00020227"/>
    <w:rsid w:val="00020263"/>
    <w:rsid w:val="00020455"/>
    <w:rsid w:val="00020813"/>
    <w:rsid w:val="000215D0"/>
    <w:rsid w:val="00021C0F"/>
    <w:rsid w:val="000220B2"/>
    <w:rsid w:val="00022328"/>
    <w:rsid w:val="0002264C"/>
    <w:rsid w:val="00022731"/>
    <w:rsid w:val="00022792"/>
    <w:rsid w:val="000233AF"/>
    <w:rsid w:val="00024463"/>
    <w:rsid w:val="0002450C"/>
    <w:rsid w:val="00024DB8"/>
    <w:rsid w:val="00025461"/>
    <w:rsid w:val="00025636"/>
    <w:rsid w:val="00025E36"/>
    <w:rsid w:val="00025EC2"/>
    <w:rsid w:val="000267E8"/>
    <w:rsid w:val="00026855"/>
    <w:rsid w:val="00026886"/>
    <w:rsid w:val="000277D8"/>
    <w:rsid w:val="0002785D"/>
    <w:rsid w:val="000307BE"/>
    <w:rsid w:val="000308C3"/>
    <w:rsid w:val="00032755"/>
    <w:rsid w:val="000329E0"/>
    <w:rsid w:val="00033D5F"/>
    <w:rsid w:val="000345F8"/>
    <w:rsid w:val="000352E9"/>
    <w:rsid w:val="00035494"/>
    <w:rsid w:val="00035550"/>
    <w:rsid w:val="00035BF1"/>
    <w:rsid w:val="00036125"/>
    <w:rsid w:val="00036A07"/>
    <w:rsid w:val="00036E38"/>
    <w:rsid w:val="0003780B"/>
    <w:rsid w:val="000378AD"/>
    <w:rsid w:val="00040571"/>
    <w:rsid w:val="00040973"/>
    <w:rsid w:val="0004156E"/>
    <w:rsid w:val="00041713"/>
    <w:rsid w:val="00041A17"/>
    <w:rsid w:val="00041ECF"/>
    <w:rsid w:val="0004440C"/>
    <w:rsid w:val="00045663"/>
    <w:rsid w:val="00045834"/>
    <w:rsid w:val="00046B5E"/>
    <w:rsid w:val="000470CB"/>
    <w:rsid w:val="000509D9"/>
    <w:rsid w:val="000512AF"/>
    <w:rsid w:val="00051343"/>
    <w:rsid w:val="00051A90"/>
    <w:rsid w:val="00051ACB"/>
    <w:rsid w:val="00051E6A"/>
    <w:rsid w:val="000533E7"/>
    <w:rsid w:val="00054446"/>
    <w:rsid w:val="00054868"/>
    <w:rsid w:val="00055D41"/>
    <w:rsid w:val="00056EF6"/>
    <w:rsid w:val="00057CD6"/>
    <w:rsid w:val="00060DCE"/>
    <w:rsid w:val="00060DD9"/>
    <w:rsid w:val="000610E3"/>
    <w:rsid w:val="000614F3"/>
    <w:rsid w:val="000618D4"/>
    <w:rsid w:val="000623B4"/>
    <w:rsid w:val="00062405"/>
    <w:rsid w:val="00062592"/>
    <w:rsid w:val="000634A7"/>
    <w:rsid w:val="00063B0B"/>
    <w:rsid w:val="00063F81"/>
    <w:rsid w:val="00064847"/>
    <w:rsid w:val="00065E08"/>
    <w:rsid w:val="00067242"/>
    <w:rsid w:val="000673E2"/>
    <w:rsid w:val="00067EF1"/>
    <w:rsid w:val="0007063F"/>
    <w:rsid w:val="000707FD"/>
    <w:rsid w:val="00070949"/>
    <w:rsid w:val="000711E4"/>
    <w:rsid w:val="000718CB"/>
    <w:rsid w:val="00071E9B"/>
    <w:rsid w:val="000720A1"/>
    <w:rsid w:val="000724D9"/>
    <w:rsid w:val="00072A24"/>
    <w:rsid w:val="00072AED"/>
    <w:rsid w:val="00073F47"/>
    <w:rsid w:val="0007492F"/>
    <w:rsid w:val="000749DA"/>
    <w:rsid w:val="00074E07"/>
    <w:rsid w:val="00074ED8"/>
    <w:rsid w:val="00075B7E"/>
    <w:rsid w:val="000771F9"/>
    <w:rsid w:val="00077471"/>
    <w:rsid w:val="00077ACA"/>
    <w:rsid w:val="00077C70"/>
    <w:rsid w:val="000813B5"/>
    <w:rsid w:val="0008191E"/>
    <w:rsid w:val="00081BA3"/>
    <w:rsid w:val="00081D2E"/>
    <w:rsid w:val="00081F89"/>
    <w:rsid w:val="00082619"/>
    <w:rsid w:val="00082D02"/>
    <w:rsid w:val="0008381A"/>
    <w:rsid w:val="00083871"/>
    <w:rsid w:val="00083B91"/>
    <w:rsid w:val="0008473C"/>
    <w:rsid w:val="00084825"/>
    <w:rsid w:val="00084934"/>
    <w:rsid w:val="0008520B"/>
    <w:rsid w:val="000857DE"/>
    <w:rsid w:val="000860BD"/>
    <w:rsid w:val="0008687D"/>
    <w:rsid w:val="00086BB4"/>
    <w:rsid w:val="00087102"/>
    <w:rsid w:val="000871B8"/>
    <w:rsid w:val="00087B0A"/>
    <w:rsid w:val="00087FE0"/>
    <w:rsid w:val="00090B93"/>
    <w:rsid w:val="000916DA"/>
    <w:rsid w:val="000919B5"/>
    <w:rsid w:val="00091AAB"/>
    <w:rsid w:val="00092442"/>
    <w:rsid w:val="000929EF"/>
    <w:rsid w:val="00092C26"/>
    <w:rsid w:val="00093387"/>
    <w:rsid w:val="000933BE"/>
    <w:rsid w:val="0009560F"/>
    <w:rsid w:val="0009588E"/>
    <w:rsid w:val="000959EE"/>
    <w:rsid w:val="00096181"/>
    <w:rsid w:val="00096DB9"/>
    <w:rsid w:val="00097183"/>
    <w:rsid w:val="000972CB"/>
    <w:rsid w:val="00097608"/>
    <w:rsid w:val="000A05E4"/>
    <w:rsid w:val="000A0F35"/>
    <w:rsid w:val="000A1175"/>
    <w:rsid w:val="000A13F3"/>
    <w:rsid w:val="000A23B1"/>
    <w:rsid w:val="000A2A68"/>
    <w:rsid w:val="000A2B0E"/>
    <w:rsid w:val="000A2DDA"/>
    <w:rsid w:val="000A398F"/>
    <w:rsid w:val="000A448C"/>
    <w:rsid w:val="000A45F2"/>
    <w:rsid w:val="000A509C"/>
    <w:rsid w:val="000A54A7"/>
    <w:rsid w:val="000A5A17"/>
    <w:rsid w:val="000A6007"/>
    <w:rsid w:val="000A65A6"/>
    <w:rsid w:val="000A70E3"/>
    <w:rsid w:val="000A7275"/>
    <w:rsid w:val="000A7A12"/>
    <w:rsid w:val="000A7A72"/>
    <w:rsid w:val="000B1202"/>
    <w:rsid w:val="000B1801"/>
    <w:rsid w:val="000B1D0C"/>
    <w:rsid w:val="000B2273"/>
    <w:rsid w:val="000B2626"/>
    <w:rsid w:val="000B2BC6"/>
    <w:rsid w:val="000B2D03"/>
    <w:rsid w:val="000B37F2"/>
    <w:rsid w:val="000B3815"/>
    <w:rsid w:val="000B3C7B"/>
    <w:rsid w:val="000B3E68"/>
    <w:rsid w:val="000B4321"/>
    <w:rsid w:val="000B4C45"/>
    <w:rsid w:val="000B5671"/>
    <w:rsid w:val="000B6227"/>
    <w:rsid w:val="000B693A"/>
    <w:rsid w:val="000B6A6B"/>
    <w:rsid w:val="000B6C95"/>
    <w:rsid w:val="000B79FC"/>
    <w:rsid w:val="000C1679"/>
    <w:rsid w:val="000C1EE3"/>
    <w:rsid w:val="000C3AE7"/>
    <w:rsid w:val="000C3CC9"/>
    <w:rsid w:val="000C440D"/>
    <w:rsid w:val="000C59C6"/>
    <w:rsid w:val="000C6DE4"/>
    <w:rsid w:val="000C7202"/>
    <w:rsid w:val="000C7DBB"/>
    <w:rsid w:val="000D0A89"/>
    <w:rsid w:val="000D1389"/>
    <w:rsid w:val="000D1798"/>
    <w:rsid w:val="000D2626"/>
    <w:rsid w:val="000D34DD"/>
    <w:rsid w:val="000D400B"/>
    <w:rsid w:val="000D411D"/>
    <w:rsid w:val="000D44A3"/>
    <w:rsid w:val="000D4589"/>
    <w:rsid w:val="000D4809"/>
    <w:rsid w:val="000D4A53"/>
    <w:rsid w:val="000D4C20"/>
    <w:rsid w:val="000D6A7F"/>
    <w:rsid w:val="000D6F4A"/>
    <w:rsid w:val="000D73DD"/>
    <w:rsid w:val="000D7909"/>
    <w:rsid w:val="000E0F86"/>
    <w:rsid w:val="000E1C51"/>
    <w:rsid w:val="000E1EE9"/>
    <w:rsid w:val="000E28AB"/>
    <w:rsid w:val="000E2E3E"/>
    <w:rsid w:val="000E3583"/>
    <w:rsid w:val="000E3852"/>
    <w:rsid w:val="000E3AF0"/>
    <w:rsid w:val="000E482D"/>
    <w:rsid w:val="000E4E04"/>
    <w:rsid w:val="000E693B"/>
    <w:rsid w:val="000E6D5C"/>
    <w:rsid w:val="000E6EC9"/>
    <w:rsid w:val="000E70B2"/>
    <w:rsid w:val="000E70B4"/>
    <w:rsid w:val="000E7B62"/>
    <w:rsid w:val="000F0E1E"/>
    <w:rsid w:val="000F1A1B"/>
    <w:rsid w:val="000F1B98"/>
    <w:rsid w:val="000F1C92"/>
    <w:rsid w:val="000F217C"/>
    <w:rsid w:val="000F24C7"/>
    <w:rsid w:val="000F299A"/>
    <w:rsid w:val="000F2A95"/>
    <w:rsid w:val="000F2D48"/>
    <w:rsid w:val="000F2DB9"/>
    <w:rsid w:val="000F3281"/>
    <w:rsid w:val="000F32FD"/>
    <w:rsid w:val="000F3733"/>
    <w:rsid w:val="000F3E66"/>
    <w:rsid w:val="000F42B4"/>
    <w:rsid w:val="000F470A"/>
    <w:rsid w:val="000F47D4"/>
    <w:rsid w:val="000F508B"/>
    <w:rsid w:val="000F5F8B"/>
    <w:rsid w:val="000F6153"/>
    <w:rsid w:val="000F64AA"/>
    <w:rsid w:val="000F7086"/>
    <w:rsid w:val="000F7AF4"/>
    <w:rsid w:val="000F7C33"/>
    <w:rsid w:val="000F7F0C"/>
    <w:rsid w:val="001004D6"/>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1713"/>
    <w:rsid w:val="00111C6E"/>
    <w:rsid w:val="0011247D"/>
    <w:rsid w:val="00113496"/>
    <w:rsid w:val="00113678"/>
    <w:rsid w:val="00113A7D"/>
    <w:rsid w:val="00113C3E"/>
    <w:rsid w:val="00113F5F"/>
    <w:rsid w:val="001155B0"/>
    <w:rsid w:val="00115E11"/>
    <w:rsid w:val="00115EEE"/>
    <w:rsid w:val="00115F56"/>
    <w:rsid w:val="00116CA9"/>
    <w:rsid w:val="00116F38"/>
    <w:rsid w:val="001170A4"/>
    <w:rsid w:val="00117AE7"/>
    <w:rsid w:val="00117B85"/>
    <w:rsid w:val="00117CBD"/>
    <w:rsid w:val="0012006A"/>
    <w:rsid w:val="00120259"/>
    <w:rsid w:val="00121979"/>
    <w:rsid w:val="00122064"/>
    <w:rsid w:val="00122071"/>
    <w:rsid w:val="00122136"/>
    <w:rsid w:val="001237C9"/>
    <w:rsid w:val="00124341"/>
    <w:rsid w:val="00124492"/>
    <w:rsid w:val="00124B12"/>
    <w:rsid w:val="001250A0"/>
    <w:rsid w:val="001263B8"/>
    <w:rsid w:val="00126B3B"/>
    <w:rsid w:val="00130134"/>
    <w:rsid w:val="00130217"/>
    <w:rsid w:val="00130783"/>
    <w:rsid w:val="00130A47"/>
    <w:rsid w:val="00130FB0"/>
    <w:rsid w:val="00131DCF"/>
    <w:rsid w:val="00132B47"/>
    <w:rsid w:val="00132F06"/>
    <w:rsid w:val="001337F8"/>
    <w:rsid w:val="001348B4"/>
    <w:rsid w:val="001351CB"/>
    <w:rsid w:val="00135530"/>
    <w:rsid w:val="00135947"/>
    <w:rsid w:val="001359A2"/>
    <w:rsid w:val="00135BA5"/>
    <w:rsid w:val="00135F92"/>
    <w:rsid w:val="00136020"/>
    <w:rsid w:val="00136445"/>
    <w:rsid w:val="0013661E"/>
    <w:rsid w:val="00136A9C"/>
    <w:rsid w:val="00137389"/>
    <w:rsid w:val="0013791B"/>
    <w:rsid w:val="00140132"/>
    <w:rsid w:val="00140C99"/>
    <w:rsid w:val="00141C9C"/>
    <w:rsid w:val="0014277F"/>
    <w:rsid w:val="001434BE"/>
    <w:rsid w:val="00143AAD"/>
    <w:rsid w:val="00143B0B"/>
    <w:rsid w:val="00144050"/>
    <w:rsid w:val="00144369"/>
    <w:rsid w:val="0014479F"/>
    <w:rsid w:val="001447A0"/>
    <w:rsid w:val="001452B4"/>
    <w:rsid w:val="00145320"/>
    <w:rsid w:val="001476D3"/>
    <w:rsid w:val="00147C8C"/>
    <w:rsid w:val="001509CF"/>
    <w:rsid w:val="00150D1D"/>
    <w:rsid w:val="001525AA"/>
    <w:rsid w:val="00152A87"/>
    <w:rsid w:val="00152AC1"/>
    <w:rsid w:val="00153BB5"/>
    <w:rsid w:val="00154336"/>
    <w:rsid w:val="00154396"/>
    <w:rsid w:val="00154518"/>
    <w:rsid w:val="00156220"/>
    <w:rsid w:val="00156359"/>
    <w:rsid w:val="00156DD6"/>
    <w:rsid w:val="00157875"/>
    <w:rsid w:val="0016086E"/>
    <w:rsid w:val="001609B9"/>
    <w:rsid w:val="00160D0C"/>
    <w:rsid w:val="00160DD1"/>
    <w:rsid w:val="00161172"/>
    <w:rsid w:val="00161998"/>
    <w:rsid w:val="00161E65"/>
    <w:rsid w:val="00162597"/>
    <w:rsid w:val="001629AF"/>
    <w:rsid w:val="001629FD"/>
    <w:rsid w:val="0016327F"/>
    <w:rsid w:val="0016428A"/>
    <w:rsid w:val="001647C9"/>
    <w:rsid w:val="00165620"/>
    <w:rsid w:val="00165627"/>
    <w:rsid w:val="001661A3"/>
    <w:rsid w:val="00166C5B"/>
    <w:rsid w:val="00166F19"/>
    <w:rsid w:val="00167226"/>
    <w:rsid w:val="0016782B"/>
    <w:rsid w:val="0016784D"/>
    <w:rsid w:val="00167853"/>
    <w:rsid w:val="00167887"/>
    <w:rsid w:val="00172CA8"/>
    <w:rsid w:val="00173256"/>
    <w:rsid w:val="00173B0E"/>
    <w:rsid w:val="00173E03"/>
    <w:rsid w:val="0017512C"/>
    <w:rsid w:val="0017547F"/>
    <w:rsid w:val="001756AF"/>
    <w:rsid w:val="0017586A"/>
    <w:rsid w:val="00175BA6"/>
    <w:rsid w:val="00175C67"/>
    <w:rsid w:val="00176CA7"/>
    <w:rsid w:val="00176D0C"/>
    <w:rsid w:val="00176E4F"/>
    <w:rsid w:val="00176F8E"/>
    <w:rsid w:val="001778C5"/>
    <w:rsid w:val="00177E56"/>
    <w:rsid w:val="00177F0A"/>
    <w:rsid w:val="00180DA0"/>
    <w:rsid w:val="00181319"/>
    <w:rsid w:val="00181687"/>
    <w:rsid w:val="00181B0A"/>
    <w:rsid w:val="00181EAD"/>
    <w:rsid w:val="00182018"/>
    <w:rsid w:val="00182862"/>
    <w:rsid w:val="00184F57"/>
    <w:rsid w:val="00185091"/>
    <w:rsid w:val="00185544"/>
    <w:rsid w:val="00185617"/>
    <w:rsid w:val="001862AD"/>
    <w:rsid w:val="00186FE1"/>
    <w:rsid w:val="00187A14"/>
    <w:rsid w:val="00187EC5"/>
    <w:rsid w:val="0019171E"/>
    <w:rsid w:val="00192368"/>
    <w:rsid w:val="001923A0"/>
    <w:rsid w:val="001928B1"/>
    <w:rsid w:val="00193537"/>
    <w:rsid w:val="00193541"/>
    <w:rsid w:val="00193846"/>
    <w:rsid w:val="00193F05"/>
    <w:rsid w:val="00195379"/>
    <w:rsid w:val="00195424"/>
    <w:rsid w:val="001955FF"/>
    <w:rsid w:val="001956D3"/>
    <w:rsid w:val="001978C8"/>
    <w:rsid w:val="00197EDD"/>
    <w:rsid w:val="001A02B3"/>
    <w:rsid w:val="001A04BB"/>
    <w:rsid w:val="001A08D0"/>
    <w:rsid w:val="001A139F"/>
    <w:rsid w:val="001A1B39"/>
    <w:rsid w:val="001A1D49"/>
    <w:rsid w:val="001A2120"/>
    <w:rsid w:val="001A28C6"/>
    <w:rsid w:val="001A2E69"/>
    <w:rsid w:val="001A3C34"/>
    <w:rsid w:val="001A3EDE"/>
    <w:rsid w:val="001A4222"/>
    <w:rsid w:val="001A50EA"/>
    <w:rsid w:val="001A5380"/>
    <w:rsid w:val="001A5E24"/>
    <w:rsid w:val="001A661D"/>
    <w:rsid w:val="001A6795"/>
    <w:rsid w:val="001A6B27"/>
    <w:rsid w:val="001A6D8B"/>
    <w:rsid w:val="001A6DAA"/>
    <w:rsid w:val="001A7717"/>
    <w:rsid w:val="001A793A"/>
    <w:rsid w:val="001B0701"/>
    <w:rsid w:val="001B0CCB"/>
    <w:rsid w:val="001B125A"/>
    <w:rsid w:val="001B1EBA"/>
    <w:rsid w:val="001B2142"/>
    <w:rsid w:val="001B21D1"/>
    <w:rsid w:val="001B2626"/>
    <w:rsid w:val="001B29C4"/>
    <w:rsid w:val="001B2F2B"/>
    <w:rsid w:val="001B327A"/>
    <w:rsid w:val="001B3348"/>
    <w:rsid w:val="001B35DE"/>
    <w:rsid w:val="001B3A13"/>
    <w:rsid w:val="001B3F5C"/>
    <w:rsid w:val="001B57C9"/>
    <w:rsid w:val="001B59FF"/>
    <w:rsid w:val="001B6512"/>
    <w:rsid w:val="001B65D7"/>
    <w:rsid w:val="001B6752"/>
    <w:rsid w:val="001B6768"/>
    <w:rsid w:val="001B6F1F"/>
    <w:rsid w:val="001B7158"/>
    <w:rsid w:val="001B7ECC"/>
    <w:rsid w:val="001C025B"/>
    <w:rsid w:val="001C115F"/>
    <w:rsid w:val="001C1B33"/>
    <w:rsid w:val="001C1EAB"/>
    <w:rsid w:val="001C25A7"/>
    <w:rsid w:val="001C2775"/>
    <w:rsid w:val="001C318C"/>
    <w:rsid w:val="001C35C4"/>
    <w:rsid w:val="001C4287"/>
    <w:rsid w:val="001C4479"/>
    <w:rsid w:val="001C452C"/>
    <w:rsid w:val="001C5190"/>
    <w:rsid w:val="001C5E85"/>
    <w:rsid w:val="001C6081"/>
    <w:rsid w:val="001C6731"/>
    <w:rsid w:val="001C73EB"/>
    <w:rsid w:val="001C785F"/>
    <w:rsid w:val="001C7B48"/>
    <w:rsid w:val="001D0CFB"/>
    <w:rsid w:val="001D17F8"/>
    <w:rsid w:val="001D1A0D"/>
    <w:rsid w:val="001D343C"/>
    <w:rsid w:val="001D36AE"/>
    <w:rsid w:val="001D56E2"/>
    <w:rsid w:val="001D58A1"/>
    <w:rsid w:val="001D58C2"/>
    <w:rsid w:val="001D5A8A"/>
    <w:rsid w:val="001D61CA"/>
    <w:rsid w:val="001D61CE"/>
    <w:rsid w:val="001D6D8D"/>
    <w:rsid w:val="001D6E87"/>
    <w:rsid w:val="001D735E"/>
    <w:rsid w:val="001D73C8"/>
    <w:rsid w:val="001D79EF"/>
    <w:rsid w:val="001D7BC6"/>
    <w:rsid w:val="001E129E"/>
    <w:rsid w:val="001E175C"/>
    <w:rsid w:val="001E1B0E"/>
    <w:rsid w:val="001E28BE"/>
    <w:rsid w:val="001E2D82"/>
    <w:rsid w:val="001E3325"/>
    <w:rsid w:val="001E3B63"/>
    <w:rsid w:val="001E3D38"/>
    <w:rsid w:val="001E5A94"/>
    <w:rsid w:val="001E62A3"/>
    <w:rsid w:val="001E7113"/>
    <w:rsid w:val="001E7D7E"/>
    <w:rsid w:val="001E7DE6"/>
    <w:rsid w:val="001F13FD"/>
    <w:rsid w:val="001F1410"/>
    <w:rsid w:val="001F19BC"/>
    <w:rsid w:val="001F2A2E"/>
    <w:rsid w:val="001F2DA0"/>
    <w:rsid w:val="001F3341"/>
    <w:rsid w:val="001F3356"/>
    <w:rsid w:val="001F3525"/>
    <w:rsid w:val="001F3C63"/>
    <w:rsid w:val="001F4460"/>
    <w:rsid w:val="001F48AE"/>
    <w:rsid w:val="001F6C96"/>
    <w:rsid w:val="001F711A"/>
    <w:rsid w:val="001F75B0"/>
    <w:rsid w:val="00200269"/>
    <w:rsid w:val="0020057C"/>
    <w:rsid w:val="0020083C"/>
    <w:rsid w:val="00200CE5"/>
    <w:rsid w:val="00200F7C"/>
    <w:rsid w:val="002014DB"/>
    <w:rsid w:val="0020150B"/>
    <w:rsid w:val="00201E12"/>
    <w:rsid w:val="00202295"/>
    <w:rsid w:val="002033B5"/>
    <w:rsid w:val="0020382C"/>
    <w:rsid w:val="0020437A"/>
    <w:rsid w:val="0020454C"/>
    <w:rsid w:val="00204740"/>
    <w:rsid w:val="00204D4B"/>
    <w:rsid w:val="00205129"/>
    <w:rsid w:val="0020521F"/>
    <w:rsid w:val="0020532C"/>
    <w:rsid w:val="002054CF"/>
    <w:rsid w:val="00207780"/>
    <w:rsid w:val="002114C7"/>
    <w:rsid w:val="0021302C"/>
    <w:rsid w:val="002134EA"/>
    <w:rsid w:val="00213B1C"/>
    <w:rsid w:val="00213F1E"/>
    <w:rsid w:val="00214202"/>
    <w:rsid w:val="002148E3"/>
    <w:rsid w:val="0021552D"/>
    <w:rsid w:val="002156AE"/>
    <w:rsid w:val="00215921"/>
    <w:rsid w:val="00215E99"/>
    <w:rsid w:val="002165CF"/>
    <w:rsid w:val="00217DD7"/>
    <w:rsid w:val="0022054D"/>
    <w:rsid w:val="0022107B"/>
    <w:rsid w:val="002220CA"/>
    <w:rsid w:val="00223DDB"/>
    <w:rsid w:val="00223FA4"/>
    <w:rsid w:val="00223FB0"/>
    <w:rsid w:val="0022405A"/>
    <w:rsid w:val="00224067"/>
    <w:rsid w:val="0022421C"/>
    <w:rsid w:val="002244AC"/>
    <w:rsid w:val="002245FC"/>
    <w:rsid w:val="00224C4A"/>
    <w:rsid w:val="00224E83"/>
    <w:rsid w:val="002252E0"/>
    <w:rsid w:val="0022533A"/>
    <w:rsid w:val="00225664"/>
    <w:rsid w:val="002261E9"/>
    <w:rsid w:val="0022663D"/>
    <w:rsid w:val="00227C56"/>
    <w:rsid w:val="00227F2D"/>
    <w:rsid w:val="00231851"/>
    <w:rsid w:val="002319FB"/>
    <w:rsid w:val="00231B89"/>
    <w:rsid w:val="00231F11"/>
    <w:rsid w:val="00231F5E"/>
    <w:rsid w:val="00232D45"/>
    <w:rsid w:val="002346B4"/>
    <w:rsid w:val="00234C01"/>
    <w:rsid w:val="00234F6E"/>
    <w:rsid w:val="002355BE"/>
    <w:rsid w:val="002358EA"/>
    <w:rsid w:val="00236578"/>
    <w:rsid w:val="00236DE9"/>
    <w:rsid w:val="00237342"/>
    <w:rsid w:val="00237D5A"/>
    <w:rsid w:val="00240D75"/>
    <w:rsid w:val="002415AE"/>
    <w:rsid w:val="00241D3C"/>
    <w:rsid w:val="00242109"/>
    <w:rsid w:val="00243189"/>
    <w:rsid w:val="002439AB"/>
    <w:rsid w:val="00243C19"/>
    <w:rsid w:val="00244AE8"/>
    <w:rsid w:val="00244CCF"/>
    <w:rsid w:val="00244DC9"/>
    <w:rsid w:val="00245587"/>
    <w:rsid w:val="00245F2B"/>
    <w:rsid w:val="002466CD"/>
    <w:rsid w:val="00247F3A"/>
    <w:rsid w:val="00250122"/>
    <w:rsid w:val="0025024D"/>
    <w:rsid w:val="00250481"/>
    <w:rsid w:val="00250755"/>
    <w:rsid w:val="00251043"/>
    <w:rsid w:val="00251C4A"/>
    <w:rsid w:val="0025271C"/>
    <w:rsid w:val="0025277A"/>
    <w:rsid w:val="002533CD"/>
    <w:rsid w:val="002535EA"/>
    <w:rsid w:val="002546E9"/>
    <w:rsid w:val="00254EAB"/>
    <w:rsid w:val="002557AF"/>
    <w:rsid w:val="0025589C"/>
    <w:rsid w:val="00255B62"/>
    <w:rsid w:val="002566B1"/>
    <w:rsid w:val="002575E3"/>
    <w:rsid w:val="00257A74"/>
    <w:rsid w:val="00257C5D"/>
    <w:rsid w:val="002603C1"/>
    <w:rsid w:val="002609A1"/>
    <w:rsid w:val="002612B1"/>
    <w:rsid w:val="002616A9"/>
    <w:rsid w:val="00264729"/>
    <w:rsid w:val="00265111"/>
    <w:rsid w:val="00265691"/>
    <w:rsid w:val="00265A12"/>
    <w:rsid w:val="00266165"/>
    <w:rsid w:val="00266F2C"/>
    <w:rsid w:val="0027125E"/>
    <w:rsid w:val="00271767"/>
    <w:rsid w:val="00272293"/>
    <w:rsid w:val="002723C8"/>
    <w:rsid w:val="00273C2A"/>
    <w:rsid w:val="00273CBE"/>
    <w:rsid w:val="00274546"/>
    <w:rsid w:val="002746B1"/>
    <w:rsid w:val="00274BAD"/>
    <w:rsid w:val="00275C5F"/>
    <w:rsid w:val="0027728B"/>
    <w:rsid w:val="002807B0"/>
    <w:rsid w:val="00282D56"/>
    <w:rsid w:val="002835B0"/>
    <w:rsid w:val="00283C74"/>
    <w:rsid w:val="0028407E"/>
    <w:rsid w:val="0028410F"/>
    <w:rsid w:val="00284572"/>
    <w:rsid w:val="002845AC"/>
    <w:rsid w:val="002850AA"/>
    <w:rsid w:val="00285221"/>
    <w:rsid w:val="00286FB5"/>
    <w:rsid w:val="00287763"/>
    <w:rsid w:val="00290606"/>
    <w:rsid w:val="002909B2"/>
    <w:rsid w:val="00291D6D"/>
    <w:rsid w:val="00291FF1"/>
    <w:rsid w:val="002925A3"/>
    <w:rsid w:val="00292AA2"/>
    <w:rsid w:val="00293361"/>
    <w:rsid w:val="00294F10"/>
    <w:rsid w:val="002952B1"/>
    <w:rsid w:val="00295D11"/>
    <w:rsid w:val="00295E50"/>
    <w:rsid w:val="00296FB6"/>
    <w:rsid w:val="002978CB"/>
    <w:rsid w:val="002978D9"/>
    <w:rsid w:val="002A0001"/>
    <w:rsid w:val="002A0BD9"/>
    <w:rsid w:val="002A0C3A"/>
    <w:rsid w:val="002A0DF8"/>
    <w:rsid w:val="002A0F1C"/>
    <w:rsid w:val="002A1130"/>
    <w:rsid w:val="002A17CD"/>
    <w:rsid w:val="002A1880"/>
    <w:rsid w:val="002A23B7"/>
    <w:rsid w:val="002A361D"/>
    <w:rsid w:val="002A38C1"/>
    <w:rsid w:val="002A3A57"/>
    <w:rsid w:val="002A4B4F"/>
    <w:rsid w:val="002A57A8"/>
    <w:rsid w:val="002A5AB6"/>
    <w:rsid w:val="002A6572"/>
    <w:rsid w:val="002A6DEF"/>
    <w:rsid w:val="002A7365"/>
    <w:rsid w:val="002A770B"/>
    <w:rsid w:val="002B013E"/>
    <w:rsid w:val="002B058D"/>
    <w:rsid w:val="002B0C16"/>
    <w:rsid w:val="002B1F0B"/>
    <w:rsid w:val="002B215B"/>
    <w:rsid w:val="002B2456"/>
    <w:rsid w:val="002B2AC5"/>
    <w:rsid w:val="002B3528"/>
    <w:rsid w:val="002B3539"/>
    <w:rsid w:val="002B4395"/>
    <w:rsid w:val="002B4532"/>
    <w:rsid w:val="002B4DD9"/>
    <w:rsid w:val="002B5042"/>
    <w:rsid w:val="002B5CC4"/>
    <w:rsid w:val="002B611B"/>
    <w:rsid w:val="002B69CC"/>
    <w:rsid w:val="002B6D71"/>
    <w:rsid w:val="002C02BA"/>
    <w:rsid w:val="002C03AE"/>
    <w:rsid w:val="002C0C1C"/>
    <w:rsid w:val="002C18BD"/>
    <w:rsid w:val="002C2713"/>
    <w:rsid w:val="002C2B77"/>
    <w:rsid w:val="002C3680"/>
    <w:rsid w:val="002C410E"/>
    <w:rsid w:val="002C41BF"/>
    <w:rsid w:val="002C432A"/>
    <w:rsid w:val="002C4E74"/>
    <w:rsid w:val="002C54C2"/>
    <w:rsid w:val="002C553C"/>
    <w:rsid w:val="002C56B1"/>
    <w:rsid w:val="002C5D34"/>
    <w:rsid w:val="002C60BB"/>
    <w:rsid w:val="002C661A"/>
    <w:rsid w:val="002C6AA7"/>
    <w:rsid w:val="002C7446"/>
    <w:rsid w:val="002D057C"/>
    <w:rsid w:val="002D0D6F"/>
    <w:rsid w:val="002D1796"/>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2AEA"/>
    <w:rsid w:val="002E30A5"/>
    <w:rsid w:val="002E318C"/>
    <w:rsid w:val="002E47E4"/>
    <w:rsid w:val="002E4BF9"/>
    <w:rsid w:val="002E4D61"/>
    <w:rsid w:val="002E4EBE"/>
    <w:rsid w:val="002E59FC"/>
    <w:rsid w:val="002E5AA6"/>
    <w:rsid w:val="002E68A7"/>
    <w:rsid w:val="002E6E6C"/>
    <w:rsid w:val="002E6E76"/>
    <w:rsid w:val="002F016E"/>
    <w:rsid w:val="002F051C"/>
    <w:rsid w:val="002F0522"/>
    <w:rsid w:val="002F16DD"/>
    <w:rsid w:val="002F18D5"/>
    <w:rsid w:val="002F199D"/>
    <w:rsid w:val="002F213C"/>
    <w:rsid w:val="002F2453"/>
    <w:rsid w:val="002F352D"/>
    <w:rsid w:val="002F36E0"/>
    <w:rsid w:val="002F381E"/>
    <w:rsid w:val="002F4084"/>
    <w:rsid w:val="002F48B4"/>
    <w:rsid w:val="002F4A08"/>
    <w:rsid w:val="002F4ADB"/>
    <w:rsid w:val="002F531E"/>
    <w:rsid w:val="002F548D"/>
    <w:rsid w:val="002F57BC"/>
    <w:rsid w:val="002F5ACC"/>
    <w:rsid w:val="002F5D66"/>
    <w:rsid w:val="002F6878"/>
    <w:rsid w:val="002F704B"/>
    <w:rsid w:val="002F71E1"/>
    <w:rsid w:val="002F72C3"/>
    <w:rsid w:val="002F74F7"/>
    <w:rsid w:val="002F768C"/>
    <w:rsid w:val="002F7D1E"/>
    <w:rsid w:val="00300201"/>
    <w:rsid w:val="0030025A"/>
    <w:rsid w:val="0030227B"/>
    <w:rsid w:val="00302EFC"/>
    <w:rsid w:val="00303243"/>
    <w:rsid w:val="003035DA"/>
    <w:rsid w:val="00303BCC"/>
    <w:rsid w:val="00303F2B"/>
    <w:rsid w:val="00303F8D"/>
    <w:rsid w:val="003043D8"/>
    <w:rsid w:val="0030572D"/>
    <w:rsid w:val="0030586A"/>
    <w:rsid w:val="0030622D"/>
    <w:rsid w:val="00306811"/>
    <w:rsid w:val="00306F32"/>
    <w:rsid w:val="003074C5"/>
    <w:rsid w:val="00307A3C"/>
    <w:rsid w:val="00307FA4"/>
    <w:rsid w:val="00310290"/>
    <w:rsid w:val="003105F1"/>
    <w:rsid w:val="00310CC1"/>
    <w:rsid w:val="00312504"/>
    <w:rsid w:val="00312B89"/>
    <w:rsid w:val="00313026"/>
    <w:rsid w:val="00313913"/>
    <w:rsid w:val="0031421F"/>
    <w:rsid w:val="00314B31"/>
    <w:rsid w:val="00314F8A"/>
    <w:rsid w:val="00315A65"/>
    <w:rsid w:val="00315F3F"/>
    <w:rsid w:val="003165D7"/>
    <w:rsid w:val="0031666B"/>
    <w:rsid w:val="00316ABE"/>
    <w:rsid w:val="00317BA7"/>
    <w:rsid w:val="0032069B"/>
    <w:rsid w:val="00320BE2"/>
    <w:rsid w:val="00321886"/>
    <w:rsid w:val="00321EDC"/>
    <w:rsid w:val="00322462"/>
    <w:rsid w:val="00323694"/>
    <w:rsid w:val="00323BE7"/>
    <w:rsid w:val="003243FF"/>
    <w:rsid w:val="00324C3A"/>
    <w:rsid w:val="00324D63"/>
    <w:rsid w:val="003255AF"/>
    <w:rsid w:val="00325616"/>
    <w:rsid w:val="003256EB"/>
    <w:rsid w:val="003259DB"/>
    <w:rsid w:val="00327744"/>
    <w:rsid w:val="0032795B"/>
    <w:rsid w:val="0033016E"/>
    <w:rsid w:val="003303CD"/>
    <w:rsid w:val="003314D9"/>
    <w:rsid w:val="00331653"/>
    <w:rsid w:val="00331A48"/>
    <w:rsid w:val="00331BCC"/>
    <w:rsid w:val="0033256A"/>
    <w:rsid w:val="00332DAA"/>
    <w:rsid w:val="003330C9"/>
    <w:rsid w:val="0033364C"/>
    <w:rsid w:val="00334415"/>
    <w:rsid w:val="00335719"/>
    <w:rsid w:val="00335EA1"/>
    <w:rsid w:val="0033691E"/>
    <w:rsid w:val="00336A6A"/>
    <w:rsid w:val="00336BD0"/>
    <w:rsid w:val="00336CCB"/>
    <w:rsid w:val="003411D1"/>
    <w:rsid w:val="0034141C"/>
    <w:rsid w:val="003416BA"/>
    <w:rsid w:val="00342148"/>
    <w:rsid w:val="00342F99"/>
    <w:rsid w:val="0034575A"/>
    <w:rsid w:val="00345F57"/>
    <w:rsid w:val="00346717"/>
    <w:rsid w:val="00346D0F"/>
    <w:rsid w:val="00347AF2"/>
    <w:rsid w:val="00350458"/>
    <w:rsid w:val="00350589"/>
    <w:rsid w:val="00350E6C"/>
    <w:rsid w:val="003518A6"/>
    <w:rsid w:val="00351E7F"/>
    <w:rsid w:val="00352953"/>
    <w:rsid w:val="003534C8"/>
    <w:rsid w:val="00354062"/>
    <w:rsid w:val="0035459E"/>
    <w:rsid w:val="00354AE9"/>
    <w:rsid w:val="00355C0D"/>
    <w:rsid w:val="003566A9"/>
    <w:rsid w:val="00356988"/>
    <w:rsid w:val="003569D3"/>
    <w:rsid w:val="00356CE9"/>
    <w:rsid w:val="00356E2F"/>
    <w:rsid w:val="003570BB"/>
    <w:rsid w:val="00357128"/>
    <w:rsid w:val="0035755E"/>
    <w:rsid w:val="00357A80"/>
    <w:rsid w:val="00360D1E"/>
    <w:rsid w:val="00361441"/>
    <w:rsid w:val="00361B8B"/>
    <w:rsid w:val="00362071"/>
    <w:rsid w:val="0036245E"/>
    <w:rsid w:val="00362FBD"/>
    <w:rsid w:val="0036387F"/>
    <w:rsid w:val="00363A1A"/>
    <w:rsid w:val="00363F39"/>
    <w:rsid w:val="003640FC"/>
    <w:rsid w:val="0036445C"/>
    <w:rsid w:val="00364488"/>
    <w:rsid w:val="00364627"/>
    <w:rsid w:val="00364AB0"/>
    <w:rsid w:val="00364D71"/>
    <w:rsid w:val="003667B0"/>
    <w:rsid w:val="003667DD"/>
    <w:rsid w:val="00366B48"/>
    <w:rsid w:val="00367764"/>
    <w:rsid w:val="00370316"/>
    <w:rsid w:val="00370DC7"/>
    <w:rsid w:val="0037192E"/>
    <w:rsid w:val="00371CBD"/>
    <w:rsid w:val="00371F20"/>
    <w:rsid w:val="003721E3"/>
    <w:rsid w:val="00372B98"/>
    <w:rsid w:val="003737B7"/>
    <w:rsid w:val="00373F45"/>
    <w:rsid w:val="003740CC"/>
    <w:rsid w:val="00374163"/>
    <w:rsid w:val="003745F4"/>
    <w:rsid w:val="0037491A"/>
    <w:rsid w:val="00374E79"/>
    <w:rsid w:val="0037529A"/>
    <w:rsid w:val="00375388"/>
    <w:rsid w:val="00375559"/>
    <w:rsid w:val="00375D9F"/>
    <w:rsid w:val="00375FB9"/>
    <w:rsid w:val="00376170"/>
    <w:rsid w:val="00376851"/>
    <w:rsid w:val="00376CA8"/>
    <w:rsid w:val="00376FA2"/>
    <w:rsid w:val="00377133"/>
    <w:rsid w:val="00377245"/>
    <w:rsid w:val="00377A3B"/>
    <w:rsid w:val="00377E3C"/>
    <w:rsid w:val="00380874"/>
    <w:rsid w:val="00380BBE"/>
    <w:rsid w:val="00381D70"/>
    <w:rsid w:val="0038235E"/>
    <w:rsid w:val="003829D0"/>
    <w:rsid w:val="0038326A"/>
    <w:rsid w:val="00383D5E"/>
    <w:rsid w:val="0038444F"/>
    <w:rsid w:val="00385167"/>
    <w:rsid w:val="003861F0"/>
    <w:rsid w:val="003868B5"/>
    <w:rsid w:val="00387051"/>
    <w:rsid w:val="00387ECF"/>
    <w:rsid w:val="0039021B"/>
    <w:rsid w:val="00390429"/>
    <w:rsid w:val="003906A0"/>
    <w:rsid w:val="003923D5"/>
    <w:rsid w:val="003931AF"/>
    <w:rsid w:val="0039366C"/>
    <w:rsid w:val="003939D6"/>
    <w:rsid w:val="00393EC8"/>
    <w:rsid w:val="0039520E"/>
    <w:rsid w:val="00395E42"/>
    <w:rsid w:val="00396409"/>
    <w:rsid w:val="0039690E"/>
    <w:rsid w:val="00396A2D"/>
    <w:rsid w:val="00396FC3"/>
    <w:rsid w:val="003A0B48"/>
    <w:rsid w:val="003A1431"/>
    <w:rsid w:val="003A1A94"/>
    <w:rsid w:val="003A204E"/>
    <w:rsid w:val="003A2317"/>
    <w:rsid w:val="003A2D25"/>
    <w:rsid w:val="003A5101"/>
    <w:rsid w:val="003A53ED"/>
    <w:rsid w:val="003A5728"/>
    <w:rsid w:val="003A60E7"/>
    <w:rsid w:val="003A61FE"/>
    <w:rsid w:val="003A67BF"/>
    <w:rsid w:val="003A7092"/>
    <w:rsid w:val="003A72A1"/>
    <w:rsid w:val="003A7611"/>
    <w:rsid w:val="003A7D1F"/>
    <w:rsid w:val="003B0A81"/>
    <w:rsid w:val="003B0B46"/>
    <w:rsid w:val="003B0B6A"/>
    <w:rsid w:val="003B22F7"/>
    <w:rsid w:val="003B29CF"/>
    <w:rsid w:val="003B2ACC"/>
    <w:rsid w:val="003B2E17"/>
    <w:rsid w:val="003B3A90"/>
    <w:rsid w:val="003B3D01"/>
    <w:rsid w:val="003B534F"/>
    <w:rsid w:val="003B53F8"/>
    <w:rsid w:val="003B7A79"/>
    <w:rsid w:val="003C034B"/>
    <w:rsid w:val="003C0FE1"/>
    <w:rsid w:val="003C151A"/>
    <w:rsid w:val="003C1D30"/>
    <w:rsid w:val="003C350C"/>
    <w:rsid w:val="003C3733"/>
    <w:rsid w:val="003C3903"/>
    <w:rsid w:val="003C3BA0"/>
    <w:rsid w:val="003C4580"/>
    <w:rsid w:val="003C46F8"/>
    <w:rsid w:val="003C50EC"/>
    <w:rsid w:val="003C516D"/>
    <w:rsid w:val="003C5AB4"/>
    <w:rsid w:val="003C5C5E"/>
    <w:rsid w:val="003C6746"/>
    <w:rsid w:val="003C6D2C"/>
    <w:rsid w:val="003C7555"/>
    <w:rsid w:val="003C7898"/>
    <w:rsid w:val="003D0FF5"/>
    <w:rsid w:val="003D11A3"/>
    <w:rsid w:val="003D1537"/>
    <w:rsid w:val="003D183C"/>
    <w:rsid w:val="003D188F"/>
    <w:rsid w:val="003D2298"/>
    <w:rsid w:val="003D2D1B"/>
    <w:rsid w:val="003D48C7"/>
    <w:rsid w:val="003D4C27"/>
    <w:rsid w:val="003D513F"/>
    <w:rsid w:val="003D53B9"/>
    <w:rsid w:val="003D7109"/>
    <w:rsid w:val="003D7234"/>
    <w:rsid w:val="003D7C13"/>
    <w:rsid w:val="003D7CE8"/>
    <w:rsid w:val="003E0419"/>
    <w:rsid w:val="003E0514"/>
    <w:rsid w:val="003E1032"/>
    <w:rsid w:val="003E1904"/>
    <w:rsid w:val="003E285E"/>
    <w:rsid w:val="003E3110"/>
    <w:rsid w:val="003E3124"/>
    <w:rsid w:val="003E3300"/>
    <w:rsid w:val="003E3C57"/>
    <w:rsid w:val="003E43D3"/>
    <w:rsid w:val="003E48E1"/>
    <w:rsid w:val="003E50F4"/>
    <w:rsid w:val="003E59BB"/>
    <w:rsid w:val="003E6225"/>
    <w:rsid w:val="003E65AC"/>
    <w:rsid w:val="003E66AE"/>
    <w:rsid w:val="003E72B9"/>
    <w:rsid w:val="003E7612"/>
    <w:rsid w:val="003E7D12"/>
    <w:rsid w:val="003E7ED4"/>
    <w:rsid w:val="003F0E52"/>
    <w:rsid w:val="003F0F6B"/>
    <w:rsid w:val="003F12E8"/>
    <w:rsid w:val="003F1FC6"/>
    <w:rsid w:val="003F1FE3"/>
    <w:rsid w:val="003F2359"/>
    <w:rsid w:val="003F3232"/>
    <w:rsid w:val="003F3865"/>
    <w:rsid w:val="003F38AC"/>
    <w:rsid w:val="003F3D55"/>
    <w:rsid w:val="003F44E2"/>
    <w:rsid w:val="003F4632"/>
    <w:rsid w:val="003F47BA"/>
    <w:rsid w:val="003F4FE6"/>
    <w:rsid w:val="003F5638"/>
    <w:rsid w:val="003F5EF6"/>
    <w:rsid w:val="003F6617"/>
    <w:rsid w:val="003F7E54"/>
    <w:rsid w:val="00402139"/>
    <w:rsid w:val="00402332"/>
    <w:rsid w:val="004025C2"/>
    <w:rsid w:val="00403195"/>
    <w:rsid w:val="004033A9"/>
    <w:rsid w:val="00403E55"/>
    <w:rsid w:val="0040407C"/>
    <w:rsid w:val="0040416C"/>
    <w:rsid w:val="004041CA"/>
    <w:rsid w:val="00404681"/>
    <w:rsid w:val="00405445"/>
    <w:rsid w:val="00405AC1"/>
    <w:rsid w:val="00406923"/>
    <w:rsid w:val="0040763D"/>
    <w:rsid w:val="00407D71"/>
    <w:rsid w:val="00410D17"/>
    <w:rsid w:val="00411C4C"/>
    <w:rsid w:val="00411CBF"/>
    <w:rsid w:val="00411EEC"/>
    <w:rsid w:val="00412614"/>
    <w:rsid w:val="00412AA9"/>
    <w:rsid w:val="00413442"/>
    <w:rsid w:val="00413821"/>
    <w:rsid w:val="00413BA5"/>
    <w:rsid w:val="004141A3"/>
    <w:rsid w:val="00414909"/>
    <w:rsid w:val="0041582F"/>
    <w:rsid w:val="00416112"/>
    <w:rsid w:val="00417A18"/>
    <w:rsid w:val="00417AE0"/>
    <w:rsid w:val="00417BAA"/>
    <w:rsid w:val="0042042B"/>
    <w:rsid w:val="00420725"/>
    <w:rsid w:val="00420B45"/>
    <w:rsid w:val="00420D7A"/>
    <w:rsid w:val="00420EF7"/>
    <w:rsid w:val="00421257"/>
    <w:rsid w:val="00422193"/>
    <w:rsid w:val="004223DE"/>
    <w:rsid w:val="00422A10"/>
    <w:rsid w:val="00424D17"/>
    <w:rsid w:val="00424D51"/>
    <w:rsid w:val="00425C68"/>
    <w:rsid w:val="00425DFD"/>
    <w:rsid w:val="004263A3"/>
    <w:rsid w:val="00427713"/>
    <w:rsid w:val="00427C20"/>
    <w:rsid w:val="00427CCC"/>
    <w:rsid w:val="0043013A"/>
    <w:rsid w:val="00430421"/>
    <w:rsid w:val="00430A36"/>
    <w:rsid w:val="00430B4F"/>
    <w:rsid w:val="00431084"/>
    <w:rsid w:val="004310D7"/>
    <w:rsid w:val="004322D6"/>
    <w:rsid w:val="00432589"/>
    <w:rsid w:val="00432A94"/>
    <w:rsid w:val="00432C95"/>
    <w:rsid w:val="00433827"/>
    <w:rsid w:val="00433A40"/>
    <w:rsid w:val="00433FF0"/>
    <w:rsid w:val="00434B70"/>
    <w:rsid w:val="00434DEE"/>
    <w:rsid w:val="00435F9D"/>
    <w:rsid w:val="004360C8"/>
    <w:rsid w:val="00436823"/>
    <w:rsid w:val="004371D5"/>
    <w:rsid w:val="004377B9"/>
    <w:rsid w:val="00437919"/>
    <w:rsid w:val="0044006B"/>
    <w:rsid w:val="004401E2"/>
    <w:rsid w:val="0044033F"/>
    <w:rsid w:val="00440630"/>
    <w:rsid w:val="00441F0F"/>
    <w:rsid w:val="00442965"/>
    <w:rsid w:val="00442E67"/>
    <w:rsid w:val="004432B6"/>
    <w:rsid w:val="00444157"/>
    <w:rsid w:val="0044417C"/>
    <w:rsid w:val="00444DB3"/>
    <w:rsid w:val="004452A9"/>
    <w:rsid w:val="00445617"/>
    <w:rsid w:val="00445A2F"/>
    <w:rsid w:val="0044684E"/>
    <w:rsid w:val="00446F22"/>
    <w:rsid w:val="0045019F"/>
    <w:rsid w:val="004503A4"/>
    <w:rsid w:val="00450555"/>
    <w:rsid w:val="004506FA"/>
    <w:rsid w:val="00450DC6"/>
    <w:rsid w:val="00451058"/>
    <w:rsid w:val="004516A5"/>
    <w:rsid w:val="00451E9C"/>
    <w:rsid w:val="0045280F"/>
    <w:rsid w:val="004535AE"/>
    <w:rsid w:val="0045444D"/>
    <w:rsid w:val="0045463A"/>
    <w:rsid w:val="00454AC9"/>
    <w:rsid w:val="00454C76"/>
    <w:rsid w:val="00455050"/>
    <w:rsid w:val="00455111"/>
    <w:rsid w:val="00455329"/>
    <w:rsid w:val="004554A3"/>
    <w:rsid w:val="00455A6E"/>
    <w:rsid w:val="00455EAD"/>
    <w:rsid w:val="004576A2"/>
    <w:rsid w:val="004578EB"/>
    <w:rsid w:val="00457DEE"/>
    <w:rsid w:val="004603FC"/>
    <w:rsid w:val="004604D5"/>
    <w:rsid w:val="00460697"/>
    <w:rsid w:val="0046117B"/>
    <w:rsid w:val="004611D6"/>
    <w:rsid w:val="00461FC2"/>
    <w:rsid w:val="00464090"/>
    <w:rsid w:val="00464AB7"/>
    <w:rsid w:val="00465564"/>
    <w:rsid w:val="00465DE5"/>
    <w:rsid w:val="004662E6"/>
    <w:rsid w:val="00466FB9"/>
    <w:rsid w:val="00467EF8"/>
    <w:rsid w:val="00471AC3"/>
    <w:rsid w:val="0047215E"/>
    <w:rsid w:val="00472429"/>
    <w:rsid w:val="004725E5"/>
    <w:rsid w:val="00472751"/>
    <w:rsid w:val="00473128"/>
    <w:rsid w:val="0047366B"/>
    <w:rsid w:val="0047414C"/>
    <w:rsid w:val="00475078"/>
    <w:rsid w:val="00475253"/>
    <w:rsid w:val="00475767"/>
    <w:rsid w:val="00475D7B"/>
    <w:rsid w:val="00476A50"/>
    <w:rsid w:val="00476F3F"/>
    <w:rsid w:val="004779A0"/>
    <w:rsid w:val="004808E3"/>
    <w:rsid w:val="00481016"/>
    <w:rsid w:val="004815E2"/>
    <w:rsid w:val="0048204C"/>
    <w:rsid w:val="004821BB"/>
    <w:rsid w:val="0048237A"/>
    <w:rsid w:val="004826FE"/>
    <w:rsid w:val="004827D5"/>
    <w:rsid w:val="00482AF2"/>
    <w:rsid w:val="004830C9"/>
    <w:rsid w:val="00483347"/>
    <w:rsid w:val="004833B0"/>
    <w:rsid w:val="00483E2E"/>
    <w:rsid w:val="00484B69"/>
    <w:rsid w:val="00485406"/>
    <w:rsid w:val="0048590F"/>
    <w:rsid w:val="00485C6A"/>
    <w:rsid w:val="004864A2"/>
    <w:rsid w:val="00486D60"/>
    <w:rsid w:val="00487FF1"/>
    <w:rsid w:val="00491DAB"/>
    <w:rsid w:val="00491FA1"/>
    <w:rsid w:val="00492A25"/>
    <w:rsid w:val="004937C7"/>
    <w:rsid w:val="004938A3"/>
    <w:rsid w:val="00494E97"/>
    <w:rsid w:val="0049558B"/>
    <w:rsid w:val="0049599F"/>
    <w:rsid w:val="00496350"/>
    <w:rsid w:val="0049797C"/>
    <w:rsid w:val="004A0C80"/>
    <w:rsid w:val="004A0DC3"/>
    <w:rsid w:val="004A0EFD"/>
    <w:rsid w:val="004A0F11"/>
    <w:rsid w:val="004A1405"/>
    <w:rsid w:val="004A15BD"/>
    <w:rsid w:val="004A1929"/>
    <w:rsid w:val="004A1E28"/>
    <w:rsid w:val="004A1FC6"/>
    <w:rsid w:val="004A2233"/>
    <w:rsid w:val="004A2E5F"/>
    <w:rsid w:val="004A2EF7"/>
    <w:rsid w:val="004A38C2"/>
    <w:rsid w:val="004A3C03"/>
    <w:rsid w:val="004A3DB7"/>
    <w:rsid w:val="004A463B"/>
    <w:rsid w:val="004A5088"/>
    <w:rsid w:val="004A5255"/>
    <w:rsid w:val="004A5309"/>
    <w:rsid w:val="004A601B"/>
    <w:rsid w:val="004A6B28"/>
    <w:rsid w:val="004A6CB0"/>
    <w:rsid w:val="004A70FF"/>
    <w:rsid w:val="004A7EDE"/>
    <w:rsid w:val="004B0D93"/>
    <w:rsid w:val="004B1FA4"/>
    <w:rsid w:val="004B292A"/>
    <w:rsid w:val="004B29AC"/>
    <w:rsid w:val="004B35DF"/>
    <w:rsid w:val="004B3627"/>
    <w:rsid w:val="004B4922"/>
    <w:rsid w:val="004B4BFE"/>
    <w:rsid w:val="004B4F30"/>
    <w:rsid w:val="004B57DF"/>
    <w:rsid w:val="004B5976"/>
    <w:rsid w:val="004B722E"/>
    <w:rsid w:val="004B72E8"/>
    <w:rsid w:val="004B7CA2"/>
    <w:rsid w:val="004C01A5"/>
    <w:rsid w:val="004C0412"/>
    <w:rsid w:val="004C051B"/>
    <w:rsid w:val="004C1311"/>
    <w:rsid w:val="004C15D7"/>
    <w:rsid w:val="004C2138"/>
    <w:rsid w:val="004C21FF"/>
    <w:rsid w:val="004C3940"/>
    <w:rsid w:val="004C40ED"/>
    <w:rsid w:val="004C51FD"/>
    <w:rsid w:val="004C56C3"/>
    <w:rsid w:val="004C5EDE"/>
    <w:rsid w:val="004C61C3"/>
    <w:rsid w:val="004C65A8"/>
    <w:rsid w:val="004C6689"/>
    <w:rsid w:val="004C6CAA"/>
    <w:rsid w:val="004D0010"/>
    <w:rsid w:val="004D0196"/>
    <w:rsid w:val="004D098B"/>
    <w:rsid w:val="004D139A"/>
    <w:rsid w:val="004D14DC"/>
    <w:rsid w:val="004D17C6"/>
    <w:rsid w:val="004D2858"/>
    <w:rsid w:val="004D2E49"/>
    <w:rsid w:val="004D30C6"/>
    <w:rsid w:val="004D35BA"/>
    <w:rsid w:val="004D38E5"/>
    <w:rsid w:val="004D3C5A"/>
    <w:rsid w:val="004D4425"/>
    <w:rsid w:val="004D449A"/>
    <w:rsid w:val="004D4701"/>
    <w:rsid w:val="004D47C7"/>
    <w:rsid w:val="004D4B2B"/>
    <w:rsid w:val="004D4F35"/>
    <w:rsid w:val="004D51EE"/>
    <w:rsid w:val="004D5D45"/>
    <w:rsid w:val="004D618D"/>
    <w:rsid w:val="004D62A9"/>
    <w:rsid w:val="004D6FC3"/>
    <w:rsid w:val="004D7476"/>
    <w:rsid w:val="004D7716"/>
    <w:rsid w:val="004E0045"/>
    <w:rsid w:val="004E0306"/>
    <w:rsid w:val="004E0572"/>
    <w:rsid w:val="004E1580"/>
    <w:rsid w:val="004E1641"/>
    <w:rsid w:val="004E1818"/>
    <w:rsid w:val="004E1990"/>
    <w:rsid w:val="004E25A8"/>
    <w:rsid w:val="004E37C2"/>
    <w:rsid w:val="004E3930"/>
    <w:rsid w:val="004E3D78"/>
    <w:rsid w:val="004E3ED9"/>
    <w:rsid w:val="004E3EE5"/>
    <w:rsid w:val="004E578C"/>
    <w:rsid w:val="004E5866"/>
    <w:rsid w:val="004E5984"/>
    <w:rsid w:val="004E6097"/>
    <w:rsid w:val="004E61EF"/>
    <w:rsid w:val="004E63C6"/>
    <w:rsid w:val="004E76A7"/>
    <w:rsid w:val="004E7B03"/>
    <w:rsid w:val="004F0064"/>
    <w:rsid w:val="004F0260"/>
    <w:rsid w:val="004F06AC"/>
    <w:rsid w:val="004F0E50"/>
    <w:rsid w:val="004F1D2A"/>
    <w:rsid w:val="004F243F"/>
    <w:rsid w:val="004F252C"/>
    <w:rsid w:val="004F36A3"/>
    <w:rsid w:val="004F3E0C"/>
    <w:rsid w:val="004F4308"/>
    <w:rsid w:val="004F5E7A"/>
    <w:rsid w:val="004F62BA"/>
    <w:rsid w:val="004F70CC"/>
    <w:rsid w:val="004F7160"/>
    <w:rsid w:val="00500258"/>
    <w:rsid w:val="00500B2D"/>
    <w:rsid w:val="00501A99"/>
    <w:rsid w:val="00501D9A"/>
    <w:rsid w:val="00502D04"/>
    <w:rsid w:val="0050311D"/>
    <w:rsid w:val="00503180"/>
    <w:rsid w:val="005038A4"/>
    <w:rsid w:val="005040B5"/>
    <w:rsid w:val="00504CD4"/>
    <w:rsid w:val="00505026"/>
    <w:rsid w:val="00505163"/>
    <w:rsid w:val="0050524B"/>
    <w:rsid w:val="00505450"/>
    <w:rsid w:val="00505FC6"/>
    <w:rsid w:val="00506180"/>
    <w:rsid w:val="00507C7B"/>
    <w:rsid w:val="005100B7"/>
    <w:rsid w:val="005105DE"/>
    <w:rsid w:val="005113C9"/>
    <w:rsid w:val="00511CC2"/>
    <w:rsid w:val="00511D0F"/>
    <w:rsid w:val="00512050"/>
    <w:rsid w:val="00512055"/>
    <w:rsid w:val="0051280C"/>
    <w:rsid w:val="00512842"/>
    <w:rsid w:val="005128BE"/>
    <w:rsid w:val="0051356F"/>
    <w:rsid w:val="00513E7C"/>
    <w:rsid w:val="005140BB"/>
    <w:rsid w:val="00514FBE"/>
    <w:rsid w:val="00514FD9"/>
    <w:rsid w:val="0051550A"/>
    <w:rsid w:val="0051608F"/>
    <w:rsid w:val="0051613C"/>
    <w:rsid w:val="00516480"/>
    <w:rsid w:val="00516CA2"/>
    <w:rsid w:val="00520EF8"/>
    <w:rsid w:val="005210F7"/>
    <w:rsid w:val="005216D2"/>
    <w:rsid w:val="00521753"/>
    <w:rsid w:val="0052239D"/>
    <w:rsid w:val="005224EE"/>
    <w:rsid w:val="00522879"/>
    <w:rsid w:val="0052330D"/>
    <w:rsid w:val="00523BB1"/>
    <w:rsid w:val="00523C49"/>
    <w:rsid w:val="00523CD2"/>
    <w:rsid w:val="00524B23"/>
    <w:rsid w:val="0052570E"/>
    <w:rsid w:val="005260B2"/>
    <w:rsid w:val="005260CD"/>
    <w:rsid w:val="00526265"/>
    <w:rsid w:val="0052655D"/>
    <w:rsid w:val="005265E0"/>
    <w:rsid w:val="00526BC3"/>
    <w:rsid w:val="00526FA3"/>
    <w:rsid w:val="00530064"/>
    <w:rsid w:val="00530B4A"/>
    <w:rsid w:val="00531761"/>
    <w:rsid w:val="0053248F"/>
    <w:rsid w:val="005327AB"/>
    <w:rsid w:val="0053318D"/>
    <w:rsid w:val="0053332A"/>
    <w:rsid w:val="0053358A"/>
    <w:rsid w:val="00534668"/>
    <w:rsid w:val="00534853"/>
    <w:rsid w:val="00534DDD"/>
    <w:rsid w:val="00535291"/>
    <w:rsid w:val="005358F4"/>
    <w:rsid w:val="00535A94"/>
    <w:rsid w:val="005363DD"/>
    <w:rsid w:val="00537874"/>
    <w:rsid w:val="0053795F"/>
    <w:rsid w:val="00537D3D"/>
    <w:rsid w:val="00540511"/>
    <w:rsid w:val="00540578"/>
    <w:rsid w:val="00540808"/>
    <w:rsid w:val="0054080E"/>
    <w:rsid w:val="00540D1A"/>
    <w:rsid w:val="00540DE5"/>
    <w:rsid w:val="00540EA1"/>
    <w:rsid w:val="005412CA"/>
    <w:rsid w:val="00541E5A"/>
    <w:rsid w:val="00542053"/>
    <w:rsid w:val="0054358E"/>
    <w:rsid w:val="005438F8"/>
    <w:rsid w:val="00543AF4"/>
    <w:rsid w:val="00543F53"/>
    <w:rsid w:val="00544191"/>
    <w:rsid w:val="0054440C"/>
    <w:rsid w:val="005444A6"/>
    <w:rsid w:val="005448EC"/>
    <w:rsid w:val="00544C0A"/>
    <w:rsid w:val="00544F39"/>
    <w:rsid w:val="00545720"/>
    <w:rsid w:val="005457FB"/>
    <w:rsid w:val="00546B96"/>
    <w:rsid w:val="00546F90"/>
    <w:rsid w:val="00547EFB"/>
    <w:rsid w:val="00550192"/>
    <w:rsid w:val="00550D48"/>
    <w:rsid w:val="00551A08"/>
    <w:rsid w:val="005522F2"/>
    <w:rsid w:val="0055298C"/>
    <w:rsid w:val="005531DF"/>
    <w:rsid w:val="00553874"/>
    <w:rsid w:val="00553DCE"/>
    <w:rsid w:val="00554577"/>
    <w:rsid w:val="005545B1"/>
    <w:rsid w:val="00554AD8"/>
    <w:rsid w:val="00554F78"/>
    <w:rsid w:val="00555DA1"/>
    <w:rsid w:val="00556434"/>
    <w:rsid w:val="00556BF7"/>
    <w:rsid w:val="00556E53"/>
    <w:rsid w:val="00556E57"/>
    <w:rsid w:val="00557F60"/>
    <w:rsid w:val="00561730"/>
    <w:rsid w:val="00561B97"/>
    <w:rsid w:val="00561D91"/>
    <w:rsid w:val="00562030"/>
    <w:rsid w:val="00562149"/>
    <w:rsid w:val="00563D80"/>
    <w:rsid w:val="00563FF0"/>
    <w:rsid w:val="005640EB"/>
    <w:rsid w:val="0056426F"/>
    <w:rsid w:val="00565080"/>
    <w:rsid w:val="005666A4"/>
    <w:rsid w:val="00567B5D"/>
    <w:rsid w:val="005705FA"/>
    <w:rsid w:val="00570757"/>
    <w:rsid w:val="00573733"/>
    <w:rsid w:val="00573764"/>
    <w:rsid w:val="00573F8B"/>
    <w:rsid w:val="00574554"/>
    <w:rsid w:val="00574E06"/>
    <w:rsid w:val="005751BB"/>
    <w:rsid w:val="00575307"/>
    <w:rsid w:val="00576089"/>
    <w:rsid w:val="005764B1"/>
    <w:rsid w:val="00576852"/>
    <w:rsid w:val="00576B24"/>
    <w:rsid w:val="00576D06"/>
    <w:rsid w:val="005779AA"/>
    <w:rsid w:val="005779E4"/>
    <w:rsid w:val="00580CE6"/>
    <w:rsid w:val="00580EC7"/>
    <w:rsid w:val="00581CBA"/>
    <w:rsid w:val="0058289C"/>
    <w:rsid w:val="005836C7"/>
    <w:rsid w:val="0058408E"/>
    <w:rsid w:val="005844C3"/>
    <w:rsid w:val="00585374"/>
    <w:rsid w:val="005854CA"/>
    <w:rsid w:val="00585A9F"/>
    <w:rsid w:val="00585FAB"/>
    <w:rsid w:val="00587143"/>
    <w:rsid w:val="00590444"/>
    <w:rsid w:val="00590B77"/>
    <w:rsid w:val="00590D9A"/>
    <w:rsid w:val="005913A3"/>
    <w:rsid w:val="005914E9"/>
    <w:rsid w:val="00591A5A"/>
    <w:rsid w:val="00591B0D"/>
    <w:rsid w:val="005923A0"/>
    <w:rsid w:val="00592B49"/>
    <w:rsid w:val="00593D9D"/>
    <w:rsid w:val="005940D4"/>
    <w:rsid w:val="00594454"/>
    <w:rsid w:val="005944BC"/>
    <w:rsid w:val="00594A7B"/>
    <w:rsid w:val="00594AD4"/>
    <w:rsid w:val="0059580E"/>
    <w:rsid w:val="00595D90"/>
    <w:rsid w:val="00596A6F"/>
    <w:rsid w:val="00596FCE"/>
    <w:rsid w:val="00597EE0"/>
    <w:rsid w:val="005A11BC"/>
    <w:rsid w:val="005A1525"/>
    <w:rsid w:val="005A19D8"/>
    <w:rsid w:val="005A1E17"/>
    <w:rsid w:val="005A252B"/>
    <w:rsid w:val="005A2A8F"/>
    <w:rsid w:val="005A3008"/>
    <w:rsid w:val="005A3204"/>
    <w:rsid w:val="005A3341"/>
    <w:rsid w:val="005A3C3D"/>
    <w:rsid w:val="005A46EC"/>
    <w:rsid w:val="005A5B24"/>
    <w:rsid w:val="005A5EAE"/>
    <w:rsid w:val="005A6407"/>
    <w:rsid w:val="005A726C"/>
    <w:rsid w:val="005B07EC"/>
    <w:rsid w:val="005B182E"/>
    <w:rsid w:val="005B26D0"/>
    <w:rsid w:val="005B2B11"/>
    <w:rsid w:val="005B32A4"/>
    <w:rsid w:val="005B3371"/>
    <w:rsid w:val="005B338D"/>
    <w:rsid w:val="005B33A1"/>
    <w:rsid w:val="005B3852"/>
    <w:rsid w:val="005B3BAF"/>
    <w:rsid w:val="005B4DA3"/>
    <w:rsid w:val="005B5BEE"/>
    <w:rsid w:val="005B77D2"/>
    <w:rsid w:val="005C0195"/>
    <w:rsid w:val="005C019B"/>
    <w:rsid w:val="005C08D0"/>
    <w:rsid w:val="005C1AED"/>
    <w:rsid w:val="005C2136"/>
    <w:rsid w:val="005C22EE"/>
    <w:rsid w:val="005C2F9E"/>
    <w:rsid w:val="005C30F5"/>
    <w:rsid w:val="005C3840"/>
    <w:rsid w:val="005C4A22"/>
    <w:rsid w:val="005C51A5"/>
    <w:rsid w:val="005C557A"/>
    <w:rsid w:val="005C566F"/>
    <w:rsid w:val="005C5C47"/>
    <w:rsid w:val="005C61DD"/>
    <w:rsid w:val="005C6438"/>
    <w:rsid w:val="005C6B8B"/>
    <w:rsid w:val="005C727F"/>
    <w:rsid w:val="005C7ACE"/>
    <w:rsid w:val="005D0209"/>
    <w:rsid w:val="005D02E3"/>
    <w:rsid w:val="005D0709"/>
    <w:rsid w:val="005D1F34"/>
    <w:rsid w:val="005D2C1F"/>
    <w:rsid w:val="005D34B2"/>
    <w:rsid w:val="005D3B54"/>
    <w:rsid w:val="005D40CD"/>
    <w:rsid w:val="005D594F"/>
    <w:rsid w:val="005D6B59"/>
    <w:rsid w:val="005D71C7"/>
    <w:rsid w:val="005D784B"/>
    <w:rsid w:val="005E03E4"/>
    <w:rsid w:val="005E0454"/>
    <w:rsid w:val="005E05F6"/>
    <w:rsid w:val="005E1B9D"/>
    <w:rsid w:val="005E1BDA"/>
    <w:rsid w:val="005E2028"/>
    <w:rsid w:val="005E2442"/>
    <w:rsid w:val="005E3111"/>
    <w:rsid w:val="005E321F"/>
    <w:rsid w:val="005E3CA0"/>
    <w:rsid w:val="005E3F85"/>
    <w:rsid w:val="005E4A5F"/>
    <w:rsid w:val="005E516A"/>
    <w:rsid w:val="005E57B0"/>
    <w:rsid w:val="005E5B01"/>
    <w:rsid w:val="005E6D3B"/>
    <w:rsid w:val="005E7CFD"/>
    <w:rsid w:val="005E7D1B"/>
    <w:rsid w:val="005F009E"/>
    <w:rsid w:val="005F0DF1"/>
    <w:rsid w:val="005F1516"/>
    <w:rsid w:val="005F1A6F"/>
    <w:rsid w:val="005F229E"/>
    <w:rsid w:val="005F2564"/>
    <w:rsid w:val="005F34FB"/>
    <w:rsid w:val="005F3822"/>
    <w:rsid w:val="005F4635"/>
    <w:rsid w:val="005F4900"/>
    <w:rsid w:val="005F4E52"/>
    <w:rsid w:val="005F6540"/>
    <w:rsid w:val="005F6D58"/>
    <w:rsid w:val="005F7383"/>
    <w:rsid w:val="0060058E"/>
    <w:rsid w:val="00601325"/>
    <w:rsid w:val="00601B19"/>
    <w:rsid w:val="00602A3C"/>
    <w:rsid w:val="00603079"/>
    <w:rsid w:val="00603DB9"/>
    <w:rsid w:val="00603EFD"/>
    <w:rsid w:val="0060475B"/>
    <w:rsid w:val="00604BED"/>
    <w:rsid w:val="00604FB6"/>
    <w:rsid w:val="00605387"/>
    <w:rsid w:val="0060621D"/>
    <w:rsid w:val="00606302"/>
    <w:rsid w:val="0060709D"/>
    <w:rsid w:val="006076FD"/>
    <w:rsid w:val="00607B94"/>
    <w:rsid w:val="00610811"/>
    <w:rsid w:val="0061143F"/>
    <w:rsid w:val="006114D8"/>
    <w:rsid w:val="00613553"/>
    <w:rsid w:val="00613601"/>
    <w:rsid w:val="00613791"/>
    <w:rsid w:val="006150D6"/>
    <w:rsid w:val="00615245"/>
    <w:rsid w:val="0061590D"/>
    <w:rsid w:val="00615AAB"/>
    <w:rsid w:val="00617EEE"/>
    <w:rsid w:val="00620A1F"/>
    <w:rsid w:val="00620ABB"/>
    <w:rsid w:val="0062169D"/>
    <w:rsid w:val="0062181E"/>
    <w:rsid w:val="0062211B"/>
    <w:rsid w:val="00622BB7"/>
    <w:rsid w:val="00622C1E"/>
    <w:rsid w:val="00622E91"/>
    <w:rsid w:val="006230EC"/>
    <w:rsid w:val="00623389"/>
    <w:rsid w:val="006235EA"/>
    <w:rsid w:val="00623DAA"/>
    <w:rsid w:val="00623FAF"/>
    <w:rsid w:val="00624903"/>
    <w:rsid w:val="006265C4"/>
    <w:rsid w:val="0062678A"/>
    <w:rsid w:val="006270AF"/>
    <w:rsid w:val="00630E7B"/>
    <w:rsid w:val="006315D3"/>
    <w:rsid w:val="00632950"/>
    <w:rsid w:val="00634367"/>
    <w:rsid w:val="0063542B"/>
    <w:rsid w:val="00636CE3"/>
    <w:rsid w:val="00640082"/>
    <w:rsid w:val="00640291"/>
    <w:rsid w:val="00640750"/>
    <w:rsid w:val="00640EFE"/>
    <w:rsid w:val="00641D6D"/>
    <w:rsid w:val="00641FAC"/>
    <w:rsid w:val="00642B2C"/>
    <w:rsid w:val="00642F02"/>
    <w:rsid w:val="0064330D"/>
    <w:rsid w:val="00643664"/>
    <w:rsid w:val="00643CAA"/>
    <w:rsid w:val="006448EA"/>
    <w:rsid w:val="00644B50"/>
    <w:rsid w:val="00644F16"/>
    <w:rsid w:val="006455EB"/>
    <w:rsid w:val="006456C2"/>
    <w:rsid w:val="006456F6"/>
    <w:rsid w:val="00645A65"/>
    <w:rsid w:val="00646959"/>
    <w:rsid w:val="006477F0"/>
    <w:rsid w:val="006478E4"/>
    <w:rsid w:val="00647CAD"/>
    <w:rsid w:val="00650475"/>
    <w:rsid w:val="00650764"/>
    <w:rsid w:val="0065171A"/>
    <w:rsid w:val="00652680"/>
    <w:rsid w:val="00653CDE"/>
    <w:rsid w:val="00654585"/>
    <w:rsid w:val="006555A0"/>
    <w:rsid w:val="0065566E"/>
    <w:rsid w:val="00655AB6"/>
    <w:rsid w:val="00655EFA"/>
    <w:rsid w:val="00656061"/>
    <w:rsid w:val="00656281"/>
    <w:rsid w:val="0065636A"/>
    <w:rsid w:val="00657003"/>
    <w:rsid w:val="0065745C"/>
    <w:rsid w:val="00660238"/>
    <w:rsid w:val="006602EF"/>
    <w:rsid w:val="00660B0C"/>
    <w:rsid w:val="00661277"/>
    <w:rsid w:val="006619E0"/>
    <w:rsid w:val="00663FEA"/>
    <w:rsid w:val="006644EA"/>
    <w:rsid w:val="00664803"/>
    <w:rsid w:val="006657C5"/>
    <w:rsid w:val="006661A4"/>
    <w:rsid w:val="00666AC0"/>
    <w:rsid w:val="006670E0"/>
    <w:rsid w:val="006671B8"/>
    <w:rsid w:val="00667275"/>
    <w:rsid w:val="00667532"/>
    <w:rsid w:val="0066783E"/>
    <w:rsid w:val="00667E53"/>
    <w:rsid w:val="006711C4"/>
    <w:rsid w:val="006713AB"/>
    <w:rsid w:val="00672769"/>
    <w:rsid w:val="00672CA5"/>
    <w:rsid w:val="00673711"/>
    <w:rsid w:val="00673F82"/>
    <w:rsid w:val="00674929"/>
    <w:rsid w:val="00674F74"/>
    <w:rsid w:val="0067508F"/>
    <w:rsid w:val="00675783"/>
    <w:rsid w:val="0067699E"/>
    <w:rsid w:val="0067736F"/>
    <w:rsid w:val="00677576"/>
    <w:rsid w:val="00677FD7"/>
    <w:rsid w:val="0068051E"/>
    <w:rsid w:val="00680B9D"/>
    <w:rsid w:val="006810FF"/>
    <w:rsid w:val="0068139C"/>
    <w:rsid w:val="00681F13"/>
    <w:rsid w:val="0068231C"/>
    <w:rsid w:val="00682332"/>
    <w:rsid w:val="00682344"/>
    <w:rsid w:val="00682F28"/>
    <w:rsid w:val="00683515"/>
    <w:rsid w:val="00684842"/>
    <w:rsid w:val="0068561A"/>
    <w:rsid w:val="0068591F"/>
    <w:rsid w:val="006859AA"/>
    <w:rsid w:val="00685BD6"/>
    <w:rsid w:val="00686EAF"/>
    <w:rsid w:val="00687116"/>
    <w:rsid w:val="006878A6"/>
    <w:rsid w:val="00687C82"/>
    <w:rsid w:val="00687D5F"/>
    <w:rsid w:val="00690437"/>
    <w:rsid w:val="00690DC3"/>
    <w:rsid w:val="00690E65"/>
    <w:rsid w:val="006911B7"/>
    <w:rsid w:val="00691387"/>
    <w:rsid w:val="0069188E"/>
    <w:rsid w:val="00691974"/>
    <w:rsid w:val="00691A23"/>
    <w:rsid w:val="00692BF6"/>
    <w:rsid w:val="00692CE6"/>
    <w:rsid w:val="00693186"/>
    <w:rsid w:val="00693381"/>
    <w:rsid w:val="00693B6C"/>
    <w:rsid w:val="00693C8D"/>
    <w:rsid w:val="006942AE"/>
    <w:rsid w:val="00695421"/>
    <w:rsid w:val="00697626"/>
    <w:rsid w:val="00697BD3"/>
    <w:rsid w:val="00697DFA"/>
    <w:rsid w:val="006A1532"/>
    <w:rsid w:val="006A16D5"/>
    <w:rsid w:val="006A1772"/>
    <w:rsid w:val="006A1780"/>
    <w:rsid w:val="006A21DD"/>
    <w:rsid w:val="006A23DC"/>
    <w:rsid w:val="006A26C6"/>
    <w:rsid w:val="006A29E9"/>
    <w:rsid w:val="006A2A7D"/>
    <w:rsid w:val="006A2AA7"/>
    <w:rsid w:val="006A3302"/>
    <w:rsid w:val="006A3B28"/>
    <w:rsid w:val="006A40B3"/>
    <w:rsid w:val="006A4FEE"/>
    <w:rsid w:val="006A5078"/>
    <w:rsid w:val="006A5549"/>
    <w:rsid w:val="006A55FC"/>
    <w:rsid w:val="006A5DEF"/>
    <w:rsid w:val="006A5FDA"/>
    <w:rsid w:val="006A703E"/>
    <w:rsid w:val="006A7721"/>
    <w:rsid w:val="006A7BE3"/>
    <w:rsid w:val="006A7D32"/>
    <w:rsid w:val="006B01D1"/>
    <w:rsid w:val="006B0DF4"/>
    <w:rsid w:val="006B16EA"/>
    <w:rsid w:val="006B1780"/>
    <w:rsid w:val="006B18CD"/>
    <w:rsid w:val="006B21DC"/>
    <w:rsid w:val="006B224E"/>
    <w:rsid w:val="006B376E"/>
    <w:rsid w:val="006B3F4A"/>
    <w:rsid w:val="006B4589"/>
    <w:rsid w:val="006B4831"/>
    <w:rsid w:val="006B5157"/>
    <w:rsid w:val="006B57D2"/>
    <w:rsid w:val="006B610E"/>
    <w:rsid w:val="006B6805"/>
    <w:rsid w:val="006B6C07"/>
    <w:rsid w:val="006B6CD8"/>
    <w:rsid w:val="006B6DE0"/>
    <w:rsid w:val="006C0C58"/>
    <w:rsid w:val="006C16C3"/>
    <w:rsid w:val="006C1CFC"/>
    <w:rsid w:val="006C2187"/>
    <w:rsid w:val="006C252C"/>
    <w:rsid w:val="006C27D9"/>
    <w:rsid w:val="006C32F4"/>
    <w:rsid w:val="006C3C54"/>
    <w:rsid w:val="006C4B6B"/>
    <w:rsid w:val="006C4CE1"/>
    <w:rsid w:val="006C4F9F"/>
    <w:rsid w:val="006C68F4"/>
    <w:rsid w:val="006C71A2"/>
    <w:rsid w:val="006C73EC"/>
    <w:rsid w:val="006D0502"/>
    <w:rsid w:val="006D06F2"/>
    <w:rsid w:val="006D0C1D"/>
    <w:rsid w:val="006D1671"/>
    <w:rsid w:val="006D1999"/>
    <w:rsid w:val="006D28F3"/>
    <w:rsid w:val="006D2E9D"/>
    <w:rsid w:val="006D4A28"/>
    <w:rsid w:val="006D4A4E"/>
    <w:rsid w:val="006D4C42"/>
    <w:rsid w:val="006D5389"/>
    <w:rsid w:val="006D53A2"/>
    <w:rsid w:val="006D5809"/>
    <w:rsid w:val="006D607E"/>
    <w:rsid w:val="006D6E12"/>
    <w:rsid w:val="006D70CB"/>
    <w:rsid w:val="006D715C"/>
    <w:rsid w:val="006D7363"/>
    <w:rsid w:val="006D774E"/>
    <w:rsid w:val="006E0754"/>
    <w:rsid w:val="006E091E"/>
    <w:rsid w:val="006E2668"/>
    <w:rsid w:val="006E2D39"/>
    <w:rsid w:val="006E2F46"/>
    <w:rsid w:val="006E2FE9"/>
    <w:rsid w:val="006E32B0"/>
    <w:rsid w:val="006E348E"/>
    <w:rsid w:val="006E396A"/>
    <w:rsid w:val="006E3B26"/>
    <w:rsid w:val="006E3D63"/>
    <w:rsid w:val="006E58BF"/>
    <w:rsid w:val="006E5DD8"/>
    <w:rsid w:val="006E5EA1"/>
    <w:rsid w:val="006E6DEE"/>
    <w:rsid w:val="006E7D4B"/>
    <w:rsid w:val="006F018A"/>
    <w:rsid w:val="006F0760"/>
    <w:rsid w:val="006F11E2"/>
    <w:rsid w:val="006F222C"/>
    <w:rsid w:val="006F2574"/>
    <w:rsid w:val="006F3231"/>
    <w:rsid w:val="006F3B61"/>
    <w:rsid w:val="006F3DE3"/>
    <w:rsid w:val="006F4787"/>
    <w:rsid w:val="006F61D8"/>
    <w:rsid w:val="006F62B7"/>
    <w:rsid w:val="006F70BC"/>
    <w:rsid w:val="006F712B"/>
    <w:rsid w:val="006F726C"/>
    <w:rsid w:val="006F7E7C"/>
    <w:rsid w:val="0070174E"/>
    <w:rsid w:val="007018DB"/>
    <w:rsid w:val="00701DE6"/>
    <w:rsid w:val="00701FFA"/>
    <w:rsid w:val="00702700"/>
    <w:rsid w:val="00702740"/>
    <w:rsid w:val="00703794"/>
    <w:rsid w:val="0070381B"/>
    <w:rsid w:val="007045AB"/>
    <w:rsid w:val="00706981"/>
    <w:rsid w:val="00706DA9"/>
    <w:rsid w:val="0070796C"/>
    <w:rsid w:val="007109BB"/>
    <w:rsid w:val="00710EBF"/>
    <w:rsid w:val="007110B8"/>
    <w:rsid w:val="00711818"/>
    <w:rsid w:val="00711B92"/>
    <w:rsid w:val="0071209F"/>
    <w:rsid w:val="007125A2"/>
    <w:rsid w:val="0071279D"/>
    <w:rsid w:val="00713DD9"/>
    <w:rsid w:val="00713EC6"/>
    <w:rsid w:val="00713F79"/>
    <w:rsid w:val="007148A8"/>
    <w:rsid w:val="00716045"/>
    <w:rsid w:val="00716AC8"/>
    <w:rsid w:val="00716D99"/>
    <w:rsid w:val="00716E54"/>
    <w:rsid w:val="0072033C"/>
    <w:rsid w:val="0072082E"/>
    <w:rsid w:val="00720B1B"/>
    <w:rsid w:val="00721062"/>
    <w:rsid w:val="00721E5D"/>
    <w:rsid w:val="007229D4"/>
    <w:rsid w:val="007230F8"/>
    <w:rsid w:val="0072323B"/>
    <w:rsid w:val="007233F4"/>
    <w:rsid w:val="00724044"/>
    <w:rsid w:val="007248D3"/>
    <w:rsid w:val="00724DF8"/>
    <w:rsid w:val="007250D2"/>
    <w:rsid w:val="00725137"/>
    <w:rsid w:val="007252DA"/>
    <w:rsid w:val="00725378"/>
    <w:rsid w:val="007258E9"/>
    <w:rsid w:val="00727A43"/>
    <w:rsid w:val="00727FF2"/>
    <w:rsid w:val="00730550"/>
    <w:rsid w:val="00730C2A"/>
    <w:rsid w:val="00730FEC"/>
    <w:rsid w:val="00731434"/>
    <w:rsid w:val="00731E59"/>
    <w:rsid w:val="007323E0"/>
    <w:rsid w:val="00732911"/>
    <w:rsid w:val="00733721"/>
    <w:rsid w:val="00733DE2"/>
    <w:rsid w:val="00734142"/>
    <w:rsid w:val="00734BC1"/>
    <w:rsid w:val="007352EA"/>
    <w:rsid w:val="00736918"/>
    <w:rsid w:val="00737345"/>
    <w:rsid w:val="0073792F"/>
    <w:rsid w:val="00740C81"/>
    <w:rsid w:val="00740DA6"/>
    <w:rsid w:val="00740E3B"/>
    <w:rsid w:val="007415C8"/>
    <w:rsid w:val="00741B4B"/>
    <w:rsid w:val="00741D1E"/>
    <w:rsid w:val="00741DD6"/>
    <w:rsid w:val="00741DD8"/>
    <w:rsid w:val="00741EE2"/>
    <w:rsid w:val="0074207F"/>
    <w:rsid w:val="00742367"/>
    <w:rsid w:val="00742EAA"/>
    <w:rsid w:val="00743313"/>
    <w:rsid w:val="00743360"/>
    <w:rsid w:val="00743818"/>
    <w:rsid w:val="00743857"/>
    <w:rsid w:val="007441FB"/>
    <w:rsid w:val="00744517"/>
    <w:rsid w:val="00744B8D"/>
    <w:rsid w:val="0074522A"/>
    <w:rsid w:val="0074558A"/>
    <w:rsid w:val="00747295"/>
    <w:rsid w:val="0074757F"/>
    <w:rsid w:val="00747829"/>
    <w:rsid w:val="0074789C"/>
    <w:rsid w:val="00747DE2"/>
    <w:rsid w:val="007502D0"/>
    <w:rsid w:val="007504BF"/>
    <w:rsid w:val="007506CD"/>
    <w:rsid w:val="00750DEB"/>
    <w:rsid w:val="0075267F"/>
    <w:rsid w:val="007526EC"/>
    <w:rsid w:val="00753C48"/>
    <w:rsid w:val="00753F78"/>
    <w:rsid w:val="00754250"/>
    <w:rsid w:val="00754FE4"/>
    <w:rsid w:val="00755216"/>
    <w:rsid w:val="007558B5"/>
    <w:rsid w:val="00756236"/>
    <w:rsid w:val="00756271"/>
    <w:rsid w:val="00756348"/>
    <w:rsid w:val="00756521"/>
    <w:rsid w:val="00756AB7"/>
    <w:rsid w:val="0076106D"/>
    <w:rsid w:val="007623FB"/>
    <w:rsid w:val="00762517"/>
    <w:rsid w:val="00762C18"/>
    <w:rsid w:val="00763240"/>
    <w:rsid w:val="007634B0"/>
    <w:rsid w:val="0076376A"/>
    <w:rsid w:val="007640C3"/>
    <w:rsid w:val="007648AD"/>
    <w:rsid w:val="0076504E"/>
    <w:rsid w:val="007657DA"/>
    <w:rsid w:val="00766721"/>
    <w:rsid w:val="00767BFD"/>
    <w:rsid w:val="00767EA0"/>
    <w:rsid w:val="0077068F"/>
    <w:rsid w:val="00770BC3"/>
    <w:rsid w:val="00771EDF"/>
    <w:rsid w:val="00772A90"/>
    <w:rsid w:val="00772F8D"/>
    <w:rsid w:val="00773752"/>
    <w:rsid w:val="0077408D"/>
    <w:rsid w:val="00774270"/>
    <w:rsid w:val="007743F6"/>
    <w:rsid w:val="00775679"/>
    <w:rsid w:val="0077574F"/>
    <w:rsid w:val="00775823"/>
    <w:rsid w:val="00777153"/>
    <w:rsid w:val="007777CC"/>
    <w:rsid w:val="00777B32"/>
    <w:rsid w:val="0078051E"/>
    <w:rsid w:val="00780F90"/>
    <w:rsid w:val="00781089"/>
    <w:rsid w:val="007838F3"/>
    <w:rsid w:val="00783DA6"/>
    <w:rsid w:val="00784F02"/>
    <w:rsid w:val="007856FE"/>
    <w:rsid w:val="00785985"/>
    <w:rsid w:val="00785F46"/>
    <w:rsid w:val="00785FB0"/>
    <w:rsid w:val="007865F4"/>
    <w:rsid w:val="00786886"/>
    <w:rsid w:val="00786D5C"/>
    <w:rsid w:val="00786E96"/>
    <w:rsid w:val="007871B0"/>
    <w:rsid w:val="00787BB6"/>
    <w:rsid w:val="00787CD3"/>
    <w:rsid w:val="00787DFF"/>
    <w:rsid w:val="00787F93"/>
    <w:rsid w:val="007906E2"/>
    <w:rsid w:val="00791E6D"/>
    <w:rsid w:val="00791EB5"/>
    <w:rsid w:val="0079326D"/>
    <w:rsid w:val="0079343F"/>
    <w:rsid w:val="00793696"/>
    <w:rsid w:val="007937C5"/>
    <w:rsid w:val="00794832"/>
    <w:rsid w:val="00794AA6"/>
    <w:rsid w:val="007955DA"/>
    <w:rsid w:val="00795D43"/>
    <w:rsid w:val="0079667B"/>
    <w:rsid w:val="00796CDD"/>
    <w:rsid w:val="00796F65"/>
    <w:rsid w:val="007A11C2"/>
    <w:rsid w:val="007A18BB"/>
    <w:rsid w:val="007A2714"/>
    <w:rsid w:val="007A27DD"/>
    <w:rsid w:val="007A2CB7"/>
    <w:rsid w:val="007A338C"/>
    <w:rsid w:val="007A4161"/>
    <w:rsid w:val="007A41BF"/>
    <w:rsid w:val="007A490A"/>
    <w:rsid w:val="007A5107"/>
    <w:rsid w:val="007A5AC3"/>
    <w:rsid w:val="007A7B95"/>
    <w:rsid w:val="007B0297"/>
    <w:rsid w:val="007B02FA"/>
    <w:rsid w:val="007B0F53"/>
    <w:rsid w:val="007B1F05"/>
    <w:rsid w:val="007B21AE"/>
    <w:rsid w:val="007B2369"/>
    <w:rsid w:val="007B2570"/>
    <w:rsid w:val="007B3113"/>
    <w:rsid w:val="007B3304"/>
    <w:rsid w:val="007B3BF0"/>
    <w:rsid w:val="007B73F2"/>
    <w:rsid w:val="007B7490"/>
    <w:rsid w:val="007C0525"/>
    <w:rsid w:val="007C13F7"/>
    <w:rsid w:val="007C1D77"/>
    <w:rsid w:val="007C218D"/>
    <w:rsid w:val="007C2D28"/>
    <w:rsid w:val="007C327D"/>
    <w:rsid w:val="007C3647"/>
    <w:rsid w:val="007C3E22"/>
    <w:rsid w:val="007C554F"/>
    <w:rsid w:val="007C58C1"/>
    <w:rsid w:val="007C6218"/>
    <w:rsid w:val="007C621B"/>
    <w:rsid w:val="007C6484"/>
    <w:rsid w:val="007C67C6"/>
    <w:rsid w:val="007C76F4"/>
    <w:rsid w:val="007C78BE"/>
    <w:rsid w:val="007C7A5D"/>
    <w:rsid w:val="007C7E59"/>
    <w:rsid w:val="007D0476"/>
    <w:rsid w:val="007D0B91"/>
    <w:rsid w:val="007D0FE7"/>
    <w:rsid w:val="007D1452"/>
    <w:rsid w:val="007D1563"/>
    <w:rsid w:val="007D330A"/>
    <w:rsid w:val="007D37CE"/>
    <w:rsid w:val="007D3DCB"/>
    <w:rsid w:val="007D460C"/>
    <w:rsid w:val="007D4996"/>
    <w:rsid w:val="007D4AD3"/>
    <w:rsid w:val="007D59DA"/>
    <w:rsid w:val="007D5D19"/>
    <w:rsid w:val="007D5FDC"/>
    <w:rsid w:val="007D6176"/>
    <w:rsid w:val="007D69CD"/>
    <w:rsid w:val="007D6D68"/>
    <w:rsid w:val="007E06FB"/>
    <w:rsid w:val="007E194F"/>
    <w:rsid w:val="007E32DA"/>
    <w:rsid w:val="007E4998"/>
    <w:rsid w:val="007E4A9C"/>
    <w:rsid w:val="007E55CF"/>
    <w:rsid w:val="007E6914"/>
    <w:rsid w:val="007E7F78"/>
    <w:rsid w:val="007F0179"/>
    <w:rsid w:val="007F01BC"/>
    <w:rsid w:val="007F160C"/>
    <w:rsid w:val="007F2C13"/>
    <w:rsid w:val="007F2CEC"/>
    <w:rsid w:val="007F2ED1"/>
    <w:rsid w:val="007F3435"/>
    <w:rsid w:val="007F505D"/>
    <w:rsid w:val="007F531B"/>
    <w:rsid w:val="007F55DE"/>
    <w:rsid w:val="007F762D"/>
    <w:rsid w:val="007F78F0"/>
    <w:rsid w:val="007F78FF"/>
    <w:rsid w:val="007F7ED1"/>
    <w:rsid w:val="008001C5"/>
    <w:rsid w:val="00800F6C"/>
    <w:rsid w:val="00801065"/>
    <w:rsid w:val="00801DBC"/>
    <w:rsid w:val="00801F6B"/>
    <w:rsid w:val="00802C0B"/>
    <w:rsid w:val="00805040"/>
    <w:rsid w:val="008051FC"/>
    <w:rsid w:val="008055A9"/>
    <w:rsid w:val="008056C4"/>
    <w:rsid w:val="008057FD"/>
    <w:rsid w:val="00805D8B"/>
    <w:rsid w:val="0081010F"/>
    <w:rsid w:val="00810472"/>
    <w:rsid w:val="0081072E"/>
    <w:rsid w:val="00810BB6"/>
    <w:rsid w:val="00810E8E"/>
    <w:rsid w:val="008124F5"/>
    <w:rsid w:val="00812C44"/>
    <w:rsid w:val="00812F3D"/>
    <w:rsid w:val="00813471"/>
    <w:rsid w:val="008135E1"/>
    <w:rsid w:val="00813779"/>
    <w:rsid w:val="00813CAD"/>
    <w:rsid w:val="00813E26"/>
    <w:rsid w:val="00813FD0"/>
    <w:rsid w:val="0081481D"/>
    <w:rsid w:val="00814BE8"/>
    <w:rsid w:val="00814F6E"/>
    <w:rsid w:val="008156A7"/>
    <w:rsid w:val="00815B84"/>
    <w:rsid w:val="00816342"/>
    <w:rsid w:val="008166F6"/>
    <w:rsid w:val="00816BE9"/>
    <w:rsid w:val="00816C72"/>
    <w:rsid w:val="00817D10"/>
    <w:rsid w:val="00822518"/>
    <w:rsid w:val="008226F5"/>
    <w:rsid w:val="00823FC6"/>
    <w:rsid w:val="00823FFC"/>
    <w:rsid w:val="00824306"/>
    <w:rsid w:val="0082513D"/>
    <w:rsid w:val="00825C74"/>
    <w:rsid w:val="00825CFA"/>
    <w:rsid w:val="008262D9"/>
    <w:rsid w:val="00826AB9"/>
    <w:rsid w:val="00826E0E"/>
    <w:rsid w:val="008275C2"/>
    <w:rsid w:val="00827D11"/>
    <w:rsid w:val="00827E0F"/>
    <w:rsid w:val="00827F6E"/>
    <w:rsid w:val="008301E3"/>
    <w:rsid w:val="00831758"/>
    <w:rsid w:val="008317D9"/>
    <w:rsid w:val="00831AEC"/>
    <w:rsid w:val="0083279F"/>
    <w:rsid w:val="00832CE9"/>
    <w:rsid w:val="00832D80"/>
    <w:rsid w:val="008334DB"/>
    <w:rsid w:val="00833B7F"/>
    <w:rsid w:val="00833CDC"/>
    <w:rsid w:val="00833E8E"/>
    <w:rsid w:val="008345DD"/>
    <w:rsid w:val="00834906"/>
    <w:rsid w:val="00836075"/>
    <w:rsid w:val="00836417"/>
    <w:rsid w:val="008370C2"/>
    <w:rsid w:val="00837526"/>
    <w:rsid w:val="00837BED"/>
    <w:rsid w:val="008407A7"/>
    <w:rsid w:val="00842C81"/>
    <w:rsid w:val="0084322B"/>
    <w:rsid w:val="00843F81"/>
    <w:rsid w:val="00844087"/>
    <w:rsid w:val="008445E6"/>
    <w:rsid w:val="008448F1"/>
    <w:rsid w:val="0084519E"/>
    <w:rsid w:val="00845CAE"/>
    <w:rsid w:val="008462C5"/>
    <w:rsid w:val="008462FA"/>
    <w:rsid w:val="00846367"/>
    <w:rsid w:val="00846370"/>
    <w:rsid w:val="0084644C"/>
    <w:rsid w:val="00846873"/>
    <w:rsid w:val="00846B4C"/>
    <w:rsid w:val="00846F4F"/>
    <w:rsid w:val="008477E7"/>
    <w:rsid w:val="00847C2B"/>
    <w:rsid w:val="00850272"/>
    <w:rsid w:val="008506B9"/>
    <w:rsid w:val="0085086F"/>
    <w:rsid w:val="00850F29"/>
    <w:rsid w:val="00851541"/>
    <w:rsid w:val="00851822"/>
    <w:rsid w:val="00851C16"/>
    <w:rsid w:val="008532BF"/>
    <w:rsid w:val="0085362B"/>
    <w:rsid w:val="008539B2"/>
    <w:rsid w:val="00853BE7"/>
    <w:rsid w:val="00853BF4"/>
    <w:rsid w:val="00854294"/>
    <w:rsid w:val="00854295"/>
    <w:rsid w:val="0085484B"/>
    <w:rsid w:val="0085572E"/>
    <w:rsid w:val="008558E3"/>
    <w:rsid w:val="008574F4"/>
    <w:rsid w:val="0085788B"/>
    <w:rsid w:val="00857A9E"/>
    <w:rsid w:val="00857DE2"/>
    <w:rsid w:val="0086003D"/>
    <w:rsid w:val="00861DF3"/>
    <w:rsid w:val="00863A8E"/>
    <w:rsid w:val="00863E5E"/>
    <w:rsid w:val="0086407F"/>
    <w:rsid w:val="008645E3"/>
    <w:rsid w:val="00864E79"/>
    <w:rsid w:val="0086572B"/>
    <w:rsid w:val="00866615"/>
    <w:rsid w:val="0086661F"/>
    <w:rsid w:val="00866A0D"/>
    <w:rsid w:val="00866DB5"/>
    <w:rsid w:val="0086701D"/>
    <w:rsid w:val="0086702B"/>
    <w:rsid w:val="008672E2"/>
    <w:rsid w:val="0086784E"/>
    <w:rsid w:val="00871127"/>
    <w:rsid w:val="0087121C"/>
    <w:rsid w:val="00871FD2"/>
    <w:rsid w:val="00872084"/>
    <w:rsid w:val="008722CA"/>
    <w:rsid w:val="00872827"/>
    <w:rsid w:val="00872A32"/>
    <w:rsid w:val="00873FCB"/>
    <w:rsid w:val="00874911"/>
    <w:rsid w:val="008754E4"/>
    <w:rsid w:val="00876EAE"/>
    <w:rsid w:val="00880106"/>
    <w:rsid w:val="00880821"/>
    <w:rsid w:val="00880F95"/>
    <w:rsid w:val="00882B44"/>
    <w:rsid w:val="00882C0F"/>
    <w:rsid w:val="008838AD"/>
    <w:rsid w:val="00883EB1"/>
    <w:rsid w:val="00884DBF"/>
    <w:rsid w:val="00884DC8"/>
    <w:rsid w:val="00885BC9"/>
    <w:rsid w:val="008864B3"/>
    <w:rsid w:val="008865E5"/>
    <w:rsid w:val="008868FB"/>
    <w:rsid w:val="008871B0"/>
    <w:rsid w:val="008904F8"/>
    <w:rsid w:val="00890B57"/>
    <w:rsid w:val="00890CCC"/>
    <w:rsid w:val="008916BA"/>
    <w:rsid w:val="0089217C"/>
    <w:rsid w:val="00892790"/>
    <w:rsid w:val="00893671"/>
    <w:rsid w:val="00894410"/>
    <w:rsid w:val="00894A5E"/>
    <w:rsid w:val="008950BF"/>
    <w:rsid w:val="00895838"/>
    <w:rsid w:val="00895A1E"/>
    <w:rsid w:val="00895A72"/>
    <w:rsid w:val="00895CDF"/>
    <w:rsid w:val="00895E99"/>
    <w:rsid w:val="00896679"/>
    <w:rsid w:val="00896D8C"/>
    <w:rsid w:val="00896EEE"/>
    <w:rsid w:val="008976AE"/>
    <w:rsid w:val="008979F6"/>
    <w:rsid w:val="008A02B7"/>
    <w:rsid w:val="008A0C2B"/>
    <w:rsid w:val="008A0FC9"/>
    <w:rsid w:val="008A1823"/>
    <w:rsid w:val="008A1956"/>
    <w:rsid w:val="008A1A7C"/>
    <w:rsid w:val="008A2CE2"/>
    <w:rsid w:val="008A40D3"/>
    <w:rsid w:val="008A469C"/>
    <w:rsid w:val="008A4E75"/>
    <w:rsid w:val="008A50FB"/>
    <w:rsid w:val="008A51D1"/>
    <w:rsid w:val="008A5ACE"/>
    <w:rsid w:val="008A5DCE"/>
    <w:rsid w:val="008A68B3"/>
    <w:rsid w:val="008A75D3"/>
    <w:rsid w:val="008B05DD"/>
    <w:rsid w:val="008B07B8"/>
    <w:rsid w:val="008B17E8"/>
    <w:rsid w:val="008B2C45"/>
    <w:rsid w:val="008B2DEB"/>
    <w:rsid w:val="008B2E7C"/>
    <w:rsid w:val="008B399A"/>
    <w:rsid w:val="008B45F0"/>
    <w:rsid w:val="008B4742"/>
    <w:rsid w:val="008B4A70"/>
    <w:rsid w:val="008B502F"/>
    <w:rsid w:val="008B6DFC"/>
    <w:rsid w:val="008B7227"/>
    <w:rsid w:val="008C02FB"/>
    <w:rsid w:val="008C04E0"/>
    <w:rsid w:val="008C191C"/>
    <w:rsid w:val="008C1DA4"/>
    <w:rsid w:val="008C2138"/>
    <w:rsid w:val="008C29B0"/>
    <w:rsid w:val="008C2A6C"/>
    <w:rsid w:val="008C2CD5"/>
    <w:rsid w:val="008C3618"/>
    <w:rsid w:val="008C39E7"/>
    <w:rsid w:val="008C43AD"/>
    <w:rsid w:val="008C4EC2"/>
    <w:rsid w:val="008C6118"/>
    <w:rsid w:val="008C6341"/>
    <w:rsid w:val="008C653D"/>
    <w:rsid w:val="008C65A8"/>
    <w:rsid w:val="008C731F"/>
    <w:rsid w:val="008C74D9"/>
    <w:rsid w:val="008D2050"/>
    <w:rsid w:val="008D208E"/>
    <w:rsid w:val="008D3B1A"/>
    <w:rsid w:val="008D3B2D"/>
    <w:rsid w:val="008D43B5"/>
    <w:rsid w:val="008D4B90"/>
    <w:rsid w:val="008D5168"/>
    <w:rsid w:val="008D58D9"/>
    <w:rsid w:val="008D5AD4"/>
    <w:rsid w:val="008D5E24"/>
    <w:rsid w:val="008D5EA6"/>
    <w:rsid w:val="008D695E"/>
    <w:rsid w:val="008D6DD5"/>
    <w:rsid w:val="008D6E59"/>
    <w:rsid w:val="008D7155"/>
    <w:rsid w:val="008D76E0"/>
    <w:rsid w:val="008E0B29"/>
    <w:rsid w:val="008E141A"/>
    <w:rsid w:val="008E1A44"/>
    <w:rsid w:val="008E28E6"/>
    <w:rsid w:val="008E3232"/>
    <w:rsid w:val="008E3674"/>
    <w:rsid w:val="008E3B6C"/>
    <w:rsid w:val="008E3DE7"/>
    <w:rsid w:val="008E4215"/>
    <w:rsid w:val="008E51B7"/>
    <w:rsid w:val="008E5227"/>
    <w:rsid w:val="008E562C"/>
    <w:rsid w:val="008E6540"/>
    <w:rsid w:val="008E77D4"/>
    <w:rsid w:val="008E7880"/>
    <w:rsid w:val="008E7ADD"/>
    <w:rsid w:val="008E7DF1"/>
    <w:rsid w:val="008F091F"/>
    <w:rsid w:val="008F17B2"/>
    <w:rsid w:val="008F214F"/>
    <w:rsid w:val="008F22B3"/>
    <w:rsid w:val="008F357B"/>
    <w:rsid w:val="008F44CA"/>
    <w:rsid w:val="008F472D"/>
    <w:rsid w:val="008F49D3"/>
    <w:rsid w:val="008F6519"/>
    <w:rsid w:val="008F6852"/>
    <w:rsid w:val="008F7012"/>
    <w:rsid w:val="008F7ADA"/>
    <w:rsid w:val="008F7B17"/>
    <w:rsid w:val="00900042"/>
    <w:rsid w:val="0090034B"/>
    <w:rsid w:val="0090087C"/>
    <w:rsid w:val="00901121"/>
    <w:rsid w:val="00901B8B"/>
    <w:rsid w:val="00902623"/>
    <w:rsid w:val="00902A67"/>
    <w:rsid w:val="00902C5E"/>
    <w:rsid w:val="00903091"/>
    <w:rsid w:val="00903E9F"/>
    <w:rsid w:val="00904BE4"/>
    <w:rsid w:val="00904DD1"/>
    <w:rsid w:val="0090504A"/>
    <w:rsid w:val="009051F5"/>
    <w:rsid w:val="00905221"/>
    <w:rsid w:val="00905664"/>
    <w:rsid w:val="00905A7C"/>
    <w:rsid w:val="00905D7E"/>
    <w:rsid w:val="00907037"/>
    <w:rsid w:val="00907259"/>
    <w:rsid w:val="00907C3E"/>
    <w:rsid w:val="00910BA1"/>
    <w:rsid w:val="00910C5D"/>
    <w:rsid w:val="0091112C"/>
    <w:rsid w:val="0091160A"/>
    <w:rsid w:val="00911FA4"/>
    <w:rsid w:val="009126E2"/>
    <w:rsid w:val="00912E04"/>
    <w:rsid w:val="00913258"/>
    <w:rsid w:val="00913851"/>
    <w:rsid w:val="00913BB0"/>
    <w:rsid w:val="0091456C"/>
    <w:rsid w:val="00914C58"/>
    <w:rsid w:val="00914D78"/>
    <w:rsid w:val="009152B6"/>
    <w:rsid w:val="0091564D"/>
    <w:rsid w:val="009156DA"/>
    <w:rsid w:val="00915774"/>
    <w:rsid w:val="0091589D"/>
    <w:rsid w:val="00915CA1"/>
    <w:rsid w:val="00916622"/>
    <w:rsid w:val="00916BC5"/>
    <w:rsid w:val="0091726A"/>
    <w:rsid w:val="00917C01"/>
    <w:rsid w:val="00920184"/>
    <w:rsid w:val="00920EA4"/>
    <w:rsid w:val="00921792"/>
    <w:rsid w:val="00921BEA"/>
    <w:rsid w:val="009227BE"/>
    <w:rsid w:val="00923158"/>
    <w:rsid w:val="009236F5"/>
    <w:rsid w:val="0092385C"/>
    <w:rsid w:val="009238FD"/>
    <w:rsid w:val="00923998"/>
    <w:rsid w:val="00923DB4"/>
    <w:rsid w:val="0092420B"/>
    <w:rsid w:val="0092430E"/>
    <w:rsid w:val="00926112"/>
    <w:rsid w:val="0092625F"/>
    <w:rsid w:val="00926B28"/>
    <w:rsid w:val="00926D9C"/>
    <w:rsid w:val="00927028"/>
    <w:rsid w:val="00927763"/>
    <w:rsid w:val="00927A2D"/>
    <w:rsid w:val="00927B37"/>
    <w:rsid w:val="00931C60"/>
    <w:rsid w:val="009321B1"/>
    <w:rsid w:val="009327F0"/>
    <w:rsid w:val="00932ED7"/>
    <w:rsid w:val="00933BBB"/>
    <w:rsid w:val="0093422D"/>
    <w:rsid w:val="0093483B"/>
    <w:rsid w:val="00934CF9"/>
    <w:rsid w:val="00934DD7"/>
    <w:rsid w:val="00935CB2"/>
    <w:rsid w:val="00936757"/>
    <w:rsid w:val="009369A9"/>
    <w:rsid w:val="00936CF7"/>
    <w:rsid w:val="00937783"/>
    <w:rsid w:val="00937EAD"/>
    <w:rsid w:val="00937F28"/>
    <w:rsid w:val="00940FE1"/>
    <w:rsid w:val="00941474"/>
    <w:rsid w:val="00942306"/>
    <w:rsid w:val="009424B8"/>
    <w:rsid w:val="009429D4"/>
    <w:rsid w:val="009430DE"/>
    <w:rsid w:val="009432E2"/>
    <w:rsid w:val="00944668"/>
    <w:rsid w:val="00944DC6"/>
    <w:rsid w:val="0094532B"/>
    <w:rsid w:val="009458B0"/>
    <w:rsid w:val="00945B52"/>
    <w:rsid w:val="00945B7A"/>
    <w:rsid w:val="00945F05"/>
    <w:rsid w:val="00946348"/>
    <w:rsid w:val="009471BE"/>
    <w:rsid w:val="00947224"/>
    <w:rsid w:val="00947797"/>
    <w:rsid w:val="009478A2"/>
    <w:rsid w:val="0095036D"/>
    <w:rsid w:val="00950EE3"/>
    <w:rsid w:val="009533BD"/>
    <w:rsid w:val="009536FB"/>
    <w:rsid w:val="00953808"/>
    <w:rsid w:val="009539A6"/>
    <w:rsid w:val="00954032"/>
    <w:rsid w:val="00954537"/>
    <w:rsid w:val="0095472D"/>
    <w:rsid w:val="00955342"/>
    <w:rsid w:val="00955DF9"/>
    <w:rsid w:val="00955FBB"/>
    <w:rsid w:val="009564C3"/>
    <w:rsid w:val="0095694B"/>
    <w:rsid w:val="00956BD5"/>
    <w:rsid w:val="00956D84"/>
    <w:rsid w:val="009577B5"/>
    <w:rsid w:val="009608E6"/>
    <w:rsid w:val="00960F57"/>
    <w:rsid w:val="00961C90"/>
    <w:rsid w:val="009620AF"/>
    <w:rsid w:val="00965443"/>
    <w:rsid w:val="00965954"/>
    <w:rsid w:val="00965A21"/>
    <w:rsid w:val="00965E55"/>
    <w:rsid w:val="0096608E"/>
    <w:rsid w:val="0096626A"/>
    <w:rsid w:val="00966522"/>
    <w:rsid w:val="00966C33"/>
    <w:rsid w:val="00967218"/>
    <w:rsid w:val="009674DC"/>
    <w:rsid w:val="00970F18"/>
    <w:rsid w:val="00971CF1"/>
    <w:rsid w:val="00971F5D"/>
    <w:rsid w:val="0097206B"/>
    <w:rsid w:val="009721E9"/>
    <w:rsid w:val="00973772"/>
    <w:rsid w:val="0097560A"/>
    <w:rsid w:val="00975E1E"/>
    <w:rsid w:val="00975E70"/>
    <w:rsid w:val="00976029"/>
    <w:rsid w:val="009761DE"/>
    <w:rsid w:val="009765B7"/>
    <w:rsid w:val="0097664C"/>
    <w:rsid w:val="009766FA"/>
    <w:rsid w:val="00977CD6"/>
    <w:rsid w:val="0098048B"/>
    <w:rsid w:val="00980908"/>
    <w:rsid w:val="00980DF9"/>
    <w:rsid w:val="00981676"/>
    <w:rsid w:val="00981CD8"/>
    <w:rsid w:val="0098243D"/>
    <w:rsid w:val="00982D26"/>
    <w:rsid w:val="00983B6E"/>
    <w:rsid w:val="00983FE5"/>
    <w:rsid w:val="009846F3"/>
    <w:rsid w:val="009849E9"/>
    <w:rsid w:val="00984AFF"/>
    <w:rsid w:val="0098587B"/>
    <w:rsid w:val="009859E4"/>
    <w:rsid w:val="00985D7F"/>
    <w:rsid w:val="00986799"/>
    <w:rsid w:val="0098755F"/>
    <w:rsid w:val="00987812"/>
    <w:rsid w:val="00990225"/>
    <w:rsid w:val="00991307"/>
    <w:rsid w:val="00991FAA"/>
    <w:rsid w:val="00992A13"/>
    <w:rsid w:val="00992B11"/>
    <w:rsid w:val="00994AAD"/>
    <w:rsid w:val="00995150"/>
    <w:rsid w:val="00995A35"/>
    <w:rsid w:val="00995D67"/>
    <w:rsid w:val="009973B7"/>
    <w:rsid w:val="00997613"/>
    <w:rsid w:val="009A00CE"/>
    <w:rsid w:val="009A013B"/>
    <w:rsid w:val="009A02F4"/>
    <w:rsid w:val="009A06BF"/>
    <w:rsid w:val="009A0D17"/>
    <w:rsid w:val="009A12DB"/>
    <w:rsid w:val="009A1C8D"/>
    <w:rsid w:val="009A2494"/>
    <w:rsid w:val="009A32B1"/>
    <w:rsid w:val="009A33A3"/>
    <w:rsid w:val="009A36F2"/>
    <w:rsid w:val="009A40C3"/>
    <w:rsid w:val="009A40D5"/>
    <w:rsid w:val="009A50D4"/>
    <w:rsid w:val="009A5268"/>
    <w:rsid w:val="009A56B1"/>
    <w:rsid w:val="009A57D0"/>
    <w:rsid w:val="009A617A"/>
    <w:rsid w:val="009A64D5"/>
    <w:rsid w:val="009A6559"/>
    <w:rsid w:val="009A68FC"/>
    <w:rsid w:val="009A6CE4"/>
    <w:rsid w:val="009A72D9"/>
    <w:rsid w:val="009A7514"/>
    <w:rsid w:val="009A7699"/>
    <w:rsid w:val="009A7E7A"/>
    <w:rsid w:val="009B0925"/>
    <w:rsid w:val="009B0EBC"/>
    <w:rsid w:val="009B1584"/>
    <w:rsid w:val="009B18F0"/>
    <w:rsid w:val="009B1F4C"/>
    <w:rsid w:val="009B2471"/>
    <w:rsid w:val="009B2491"/>
    <w:rsid w:val="009B314F"/>
    <w:rsid w:val="009B32F3"/>
    <w:rsid w:val="009B3AF7"/>
    <w:rsid w:val="009B439C"/>
    <w:rsid w:val="009B49A1"/>
    <w:rsid w:val="009B4A6C"/>
    <w:rsid w:val="009B4DA8"/>
    <w:rsid w:val="009B519A"/>
    <w:rsid w:val="009B56D7"/>
    <w:rsid w:val="009B620C"/>
    <w:rsid w:val="009B6753"/>
    <w:rsid w:val="009B676C"/>
    <w:rsid w:val="009B6A26"/>
    <w:rsid w:val="009C0489"/>
    <w:rsid w:val="009C079D"/>
    <w:rsid w:val="009C0D70"/>
    <w:rsid w:val="009C13D1"/>
    <w:rsid w:val="009C19C1"/>
    <w:rsid w:val="009C2913"/>
    <w:rsid w:val="009C2BD4"/>
    <w:rsid w:val="009C4135"/>
    <w:rsid w:val="009C59C8"/>
    <w:rsid w:val="009C5AFE"/>
    <w:rsid w:val="009C6606"/>
    <w:rsid w:val="009C6CE5"/>
    <w:rsid w:val="009C6D50"/>
    <w:rsid w:val="009C7547"/>
    <w:rsid w:val="009C7AC9"/>
    <w:rsid w:val="009D00CA"/>
    <w:rsid w:val="009D05EC"/>
    <w:rsid w:val="009D18D4"/>
    <w:rsid w:val="009D1FCF"/>
    <w:rsid w:val="009D2F60"/>
    <w:rsid w:val="009D3485"/>
    <w:rsid w:val="009D3A2E"/>
    <w:rsid w:val="009D4ECB"/>
    <w:rsid w:val="009D5ADE"/>
    <w:rsid w:val="009D5BAC"/>
    <w:rsid w:val="009D5C56"/>
    <w:rsid w:val="009D5CE0"/>
    <w:rsid w:val="009D6265"/>
    <w:rsid w:val="009D64BD"/>
    <w:rsid w:val="009D6CB1"/>
    <w:rsid w:val="009D7D65"/>
    <w:rsid w:val="009E0286"/>
    <w:rsid w:val="009E153F"/>
    <w:rsid w:val="009E18C5"/>
    <w:rsid w:val="009E322A"/>
    <w:rsid w:val="009E393E"/>
    <w:rsid w:val="009E41E3"/>
    <w:rsid w:val="009E444E"/>
    <w:rsid w:val="009E4968"/>
    <w:rsid w:val="009E663C"/>
    <w:rsid w:val="009E684A"/>
    <w:rsid w:val="009E6BB1"/>
    <w:rsid w:val="009E6C0C"/>
    <w:rsid w:val="009E6E14"/>
    <w:rsid w:val="009E794A"/>
    <w:rsid w:val="009E7C14"/>
    <w:rsid w:val="009F0494"/>
    <w:rsid w:val="009F078B"/>
    <w:rsid w:val="009F0CD9"/>
    <w:rsid w:val="009F1A79"/>
    <w:rsid w:val="009F1F57"/>
    <w:rsid w:val="009F20CF"/>
    <w:rsid w:val="009F2DDD"/>
    <w:rsid w:val="009F3447"/>
    <w:rsid w:val="009F65F4"/>
    <w:rsid w:val="009F676B"/>
    <w:rsid w:val="009F6D2D"/>
    <w:rsid w:val="009F6D54"/>
    <w:rsid w:val="00A004DF"/>
    <w:rsid w:val="00A007B9"/>
    <w:rsid w:val="00A00FD5"/>
    <w:rsid w:val="00A012C0"/>
    <w:rsid w:val="00A019A8"/>
    <w:rsid w:val="00A01B03"/>
    <w:rsid w:val="00A01B89"/>
    <w:rsid w:val="00A02C66"/>
    <w:rsid w:val="00A02C84"/>
    <w:rsid w:val="00A0464C"/>
    <w:rsid w:val="00A050BB"/>
    <w:rsid w:val="00A0521B"/>
    <w:rsid w:val="00A054E0"/>
    <w:rsid w:val="00A05D91"/>
    <w:rsid w:val="00A0615B"/>
    <w:rsid w:val="00A06505"/>
    <w:rsid w:val="00A0740B"/>
    <w:rsid w:val="00A07ED3"/>
    <w:rsid w:val="00A1070B"/>
    <w:rsid w:val="00A10CA8"/>
    <w:rsid w:val="00A11042"/>
    <w:rsid w:val="00A12579"/>
    <w:rsid w:val="00A12CDC"/>
    <w:rsid w:val="00A133D8"/>
    <w:rsid w:val="00A149DC"/>
    <w:rsid w:val="00A15655"/>
    <w:rsid w:val="00A160B0"/>
    <w:rsid w:val="00A16840"/>
    <w:rsid w:val="00A1740C"/>
    <w:rsid w:val="00A17904"/>
    <w:rsid w:val="00A1798D"/>
    <w:rsid w:val="00A20069"/>
    <w:rsid w:val="00A20248"/>
    <w:rsid w:val="00A22153"/>
    <w:rsid w:val="00A2244D"/>
    <w:rsid w:val="00A2253D"/>
    <w:rsid w:val="00A2267F"/>
    <w:rsid w:val="00A22CDB"/>
    <w:rsid w:val="00A23D0F"/>
    <w:rsid w:val="00A247B8"/>
    <w:rsid w:val="00A2495A"/>
    <w:rsid w:val="00A24BA9"/>
    <w:rsid w:val="00A24C7A"/>
    <w:rsid w:val="00A24D8F"/>
    <w:rsid w:val="00A251D0"/>
    <w:rsid w:val="00A25B8B"/>
    <w:rsid w:val="00A2666D"/>
    <w:rsid w:val="00A2689F"/>
    <w:rsid w:val="00A26ECA"/>
    <w:rsid w:val="00A27461"/>
    <w:rsid w:val="00A27D67"/>
    <w:rsid w:val="00A30ABC"/>
    <w:rsid w:val="00A32626"/>
    <w:rsid w:val="00A33115"/>
    <w:rsid w:val="00A33B74"/>
    <w:rsid w:val="00A3467F"/>
    <w:rsid w:val="00A34B4C"/>
    <w:rsid w:val="00A35030"/>
    <w:rsid w:val="00A3551A"/>
    <w:rsid w:val="00A35B45"/>
    <w:rsid w:val="00A35FA8"/>
    <w:rsid w:val="00A366A0"/>
    <w:rsid w:val="00A37209"/>
    <w:rsid w:val="00A37584"/>
    <w:rsid w:val="00A376E8"/>
    <w:rsid w:val="00A379F3"/>
    <w:rsid w:val="00A37C40"/>
    <w:rsid w:val="00A37F8E"/>
    <w:rsid w:val="00A402F9"/>
    <w:rsid w:val="00A41537"/>
    <w:rsid w:val="00A41737"/>
    <w:rsid w:val="00A42B8F"/>
    <w:rsid w:val="00A42D8E"/>
    <w:rsid w:val="00A43254"/>
    <w:rsid w:val="00A43896"/>
    <w:rsid w:val="00A43951"/>
    <w:rsid w:val="00A43A26"/>
    <w:rsid w:val="00A447A0"/>
    <w:rsid w:val="00A459F5"/>
    <w:rsid w:val="00A45FC0"/>
    <w:rsid w:val="00A46B74"/>
    <w:rsid w:val="00A47BF7"/>
    <w:rsid w:val="00A47ECC"/>
    <w:rsid w:val="00A50171"/>
    <w:rsid w:val="00A504FA"/>
    <w:rsid w:val="00A5102E"/>
    <w:rsid w:val="00A5132E"/>
    <w:rsid w:val="00A51375"/>
    <w:rsid w:val="00A51533"/>
    <w:rsid w:val="00A52D3B"/>
    <w:rsid w:val="00A531D4"/>
    <w:rsid w:val="00A536C3"/>
    <w:rsid w:val="00A539E9"/>
    <w:rsid w:val="00A54572"/>
    <w:rsid w:val="00A558AC"/>
    <w:rsid w:val="00A575B8"/>
    <w:rsid w:val="00A619BB"/>
    <w:rsid w:val="00A61C60"/>
    <w:rsid w:val="00A61ECB"/>
    <w:rsid w:val="00A6410C"/>
    <w:rsid w:val="00A647B1"/>
    <w:rsid w:val="00A64DEF"/>
    <w:rsid w:val="00A654D2"/>
    <w:rsid w:val="00A661F3"/>
    <w:rsid w:val="00A665DF"/>
    <w:rsid w:val="00A67FCC"/>
    <w:rsid w:val="00A7084F"/>
    <w:rsid w:val="00A70AA5"/>
    <w:rsid w:val="00A70C03"/>
    <w:rsid w:val="00A71256"/>
    <w:rsid w:val="00A7217B"/>
    <w:rsid w:val="00A722D7"/>
    <w:rsid w:val="00A723A3"/>
    <w:rsid w:val="00A723A4"/>
    <w:rsid w:val="00A72590"/>
    <w:rsid w:val="00A73861"/>
    <w:rsid w:val="00A739A6"/>
    <w:rsid w:val="00A73C95"/>
    <w:rsid w:val="00A740ED"/>
    <w:rsid w:val="00A74C29"/>
    <w:rsid w:val="00A74C62"/>
    <w:rsid w:val="00A74CCC"/>
    <w:rsid w:val="00A75EF9"/>
    <w:rsid w:val="00A75F5F"/>
    <w:rsid w:val="00A7657C"/>
    <w:rsid w:val="00A77920"/>
    <w:rsid w:val="00A81D9B"/>
    <w:rsid w:val="00A8311C"/>
    <w:rsid w:val="00A835D0"/>
    <w:rsid w:val="00A84C5F"/>
    <w:rsid w:val="00A85930"/>
    <w:rsid w:val="00A863F7"/>
    <w:rsid w:val="00A86604"/>
    <w:rsid w:val="00A87519"/>
    <w:rsid w:val="00A90AA5"/>
    <w:rsid w:val="00A9180F"/>
    <w:rsid w:val="00A9246D"/>
    <w:rsid w:val="00A92CCA"/>
    <w:rsid w:val="00A93BD0"/>
    <w:rsid w:val="00A93CC2"/>
    <w:rsid w:val="00A948CA"/>
    <w:rsid w:val="00A94D4B"/>
    <w:rsid w:val="00A955AC"/>
    <w:rsid w:val="00A96CC8"/>
    <w:rsid w:val="00A974CC"/>
    <w:rsid w:val="00A97A1D"/>
    <w:rsid w:val="00AA0D19"/>
    <w:rsid w:val="00AA1B35"/>
    <w:rsid w:val="00AA1DE0"/>
    <w:rsid w:val="00AA2001"/>
    <w:rsid w:val="00AA2A7A"/>
    <w:rsid w:val="00AA2B5C"/>
    <w:rsid w:val="00AA32D2"/>
    <w:rsid w:val="00AA3B8B"/>
    <w:rsid w:val="00AA4016"/>
    <w:rsid w:val="00AA4C1F"/>
    <w:rsid w:val="00AA4F20"/>
    <w:rsid w:val="00AA5328"/>
    <w:rsid w:val="00AA5393"/>
    <w:rsid w:val="00AA5CBA"/>
    <w:rsid w:val="00AA63D4"/>
    <w:rsid w:val="00AA7761"/>
    <w:rsid w:val="00AB03FD"/>
    <w:rsid w:val="00AB0566"/>
    <w:rsid w:val="00AB087F"/>
    <w:rsid w:val="00AB1156"/>
    <w:rsid w:val="00AB1DB4"/>
    <w:rsid w:val="00AB2000"/>
    <w:rsid w:val="00AB38CB"/>
    <w:rsid w:val="00AB3BEC"/>
    <w:rsid w:val="00AB44E4"/>
    <w:rsid w:val="00AB4AEB"/>
    <w:rsid w:val="00AB4E5F"/>
    <w:rsid w:val="00AB5352"/>
    <w:rsid w:val="00AB56AE"/>
    <w:rsid w:val="00AB62D5"/>
    <w:rsid w:val="00AB65B5"/>
    <w:rsid w:val="00AB6DCD"/>
    <w:rsid w:val="00AB6EE0"/>
    <w:rsid w:val="00AC0831"/>
    <w:rsid w:val="00AC1041"/>
    <w:rsid w:val="00AC17A2"/>
    <w:rsid w:val="00AC1BFF"/>
    <w:rsid w:val="00AC272D"/>
    <w:rsid w:val="00AC274B"/>
    <w:rsid w:val="00AC279B"/>
    <w:rsid w:val="00AC3B1A"/>
    <w:rsid w:val="00AC40B7"/>
    <w:rsid w:val="00AC531F"/>
    <w:rsid w:val="00AC5B36"/>
    <w:rsid w:val="00AC6377"/>
    <w:rsid w:val="00AC66A4"/>
    <w:rsid w:val="00AC6941"/>
    <w:rsid w:val="00AC6A62"/>
    <w:rsid w:val="00AC6C1C"/>
    <w:rsid w:val="00AC6CB1"/>
    <w:rsid w:val="00AC75E9"/>
    <w:rsid w:val="00AC7D6D"/>
    <w:rsid w:val="00AD0091"/>
    <w:rsid w:val="00AD07E6"/>
    <w:rsid w:val="00AD23EF"/>
    <w:rsid w:val="00AD2662"/>
    <w:rsid w:val="00AD307B"/>
    <w:rsid w:val="00AD33A7"/>
    <w:rsid w:val="00AD4014"/>
    <w:rsid w:val="00AD41B3"/>
    <w:rsid w:val="00AD5721"/>
    <w:rsid w:val="00AD69F0"/>
    <w:rsid w:val="00AD7127"/>
    <w:rsid w:val="00AD730C"/>
    <w:rsid w:val="00AE0D33"/>
    <w:rsid w:val="00AE123A"/>
    <w:rsid w:val="00AE1539"/>
    <w:rsid w:val="00AE28A7"/>
    <w:rsid w:val="00AE2A98"/>
    <w:rsid w:val="00AE2CF2"/>
    <w:rsid w:val="00AE3012"/>
    <w:rsid w:val="00AE3297"/>
    <w:rsid w:val="00AE33A6"/>
    <w:rsid w:val="00AE3513"/>
    <w:rsid w:val="00AE3729"/>
    <w:rsid w:val="00AE4A3E"/>
    <w:rsid w:val="00AE4CCE"/>
    <w:rsid w:val="00AE5C6A"/>
    <w:rsid w:val="00AE7280"/>
    <w:rsid w:val="00AE7380"/>
    <w:rsid w:val="00AE7542"/>
    <w:rsid w:val="00AE75AB"/>
    <w:rsid w:val="00AF01FA"/>
    <w:rsid w:val="00AF033A"/>
    <w:rsid w:val="00AF13DA"/>
    <w:rsid w:val="00AF1658"/>
    <w:rsid w:val="00AF1699"/>
    <w:rsid w:val="00AF1FD3"/>
    <w:rsid w:val="00AF2910"/>
    <w:rsid w:val="00AF306E"/>
    <w:rsid w:val="00AF34B8"/>
    <w:rsid w:val="00AF3896"/>
    <w:rsid w:val="00AF39C9"/>
    <w:rsid w:val="00AF3FC2"/>
    <w:rsid w:val="00AF4DEC"/>
    <w:rsid w:val="00B003FF"/>
    <w:rsid w:val="00B008A9"/>
    <w:rsid w:val="00B0098A"/>
    <w:rsid w:val="00B00A5F"/>
    <w:rsid w:val="00B0139D"/>
    <w:rsid w:val="00B025F8"/>
    <w:rsid w:val="00B029B8"/>
    <w:rsid w:val="00B02F60"/>
    <w:rsid w:val="00B02F94"/>
    <w:rsid w:val="00B032B8"/>
    <w:rsid w:val="00B03C82"/>
    <w:rsid w:val="00B04721"/>
    <w:rsid w:val="00B04935"/>
    <w:rsid w:val="00B04B15"/>
    <w:rsid w:val="00B04B46"/>
    <w:rsid w:val="00B0534D"/>
    <w:rsid w:val="00B05685"/>
    <w:rsid w:val="00B05874"/>
    <w:rsid w:val="00B05F9F"/>
    <w:rsid w:val="00B06368"/>
    <w:rsid w:val="00B068DA"/>
    <w:rsid w:val="00B06A00"/>
    <w:rsid w:val="00B06EFB"/>
    <w:rsid w:val="00B06FC6"/>
    <w:rsid w:val="00B074C9"/>
    <w:rsid w:val="00B07BE3"/>
    <w:rsid w:val="00B07D9D"/>
    <w:rsid w:val="00B11468"/>
    <w:rsid w:val="00B11839"/>
    <w:rsid w:val="00B11946"/>
    <w:rsid w:val="00B11AE5"/>
    <w:rsid w:val="00B1236E"/>
    <w:rsid w:val="00B12FE6"/>
    <w:rsid w:val="00B1303F"/>
    <w:rsid w:val="00B1364A"/>
    <w:rsid w:val="00B13859"/>
    <w:rsid w:val="00B13EC9"/>
    <w:rsid w:val="00B14319"/>
    <w:rsid w:val="00B149EA"/>
    <w:rsid w:val="00B14A06"/>
    <w:rsid w:val="00B14F7B"/>
    <w:rsid w:val="00B158E1"/>
    <w:rsid w:val="00B16715"/>
    <w:rsid w:val="00B1768E"/>
    <w:rsid w:val="00B17910"/>
    <w:rsid w:val="00B2058C"/>
    <w:rsid w:val="00B20F18"/>
    <w:rsid w:val="00B2106F"/>
    <w:rsid w:val="00B21516"/>
    <w:rsid w:val="00B21A37"/>
    <w:rsid w:val="00B21D23"/>
    <w:rsid w:val="00B21F62"/>
    <w:rsid w:val="00B22CE0"/>
    <w:rsid w:val="00B23738"/>
    <w:rsid w:val="00B23BEF"/>
    <w:rsid w:val="00B23E0C"/>
    <w:rsid w:val="00B247BB"/>
    <w:rsid w:val="00B2504A"/>
    <w:rsid w:val="00B25EE6"/>
    <w:rsid w:val="00B2618D"/>
    <w:rsid w:val="00B3115A"/>
    <w:rsid w:val="00B311F9"/>
    <w:rsid w:val="00B3178B"/>
    <w:rsid w:val="00B31825"/>
    <w:rsid w:val="00B31A5C"/>
    <w:rsid w:val="00B32265"/>
    <w:rsid w:val="00B3276D"/>
    <w:rsid w:val="00B33B06"/>
    <w:rsid w:val="00B33C19"/>
    <w:rsid w:val="00B34608"/>
    <w:rsid w:val="00B34AC9"/>
    <w:rsid w:val="00B3528C"/>
    <w:rsid w:val="00B35A15"/>
    <w:rsid w:val="00B35B45"/>
    <w:rsid w:val="00B36165"/>
    <w:rsid w:val="00B36A99"/>
    <w:rsid w:val="00B36E37"/>
    <w:rsid w:val="00B37058"/>
    <w:rsid w:val="00B37F30"/>
    <w:rsid w:val="00B41A14"/>
    <w:rsid w:val="00B42264"/>
    <w:rsid w:val="00B42D34"/>
    <w:rsid w:val="00B4341B"/>
    <w:rsid w:val="00B434B2"/>
    <w:rsid w:val="00B43D45"/>
    <w:rsid w:val="00B44947"/>
    <w:rsid w:val="00B44AEE"/>
    <w:rsid w:val="00B458BD"/>
    <w:rsid w:val="00B459AF"/>
    <w:rsid w:val="00B4652A"/>
    <w:rsid w:val="00B468F2"/>
    <w:rsid w:val="00B469DE"/>
    <w:rsid w:val="00B47286"/>
    <w:rsid w:val="00B47EB4"/>
    <w:rsid w:val="00B50234"/>
    <w:rsid w:val="00B51BF4"/>
    <w:rsid w:val="00B52C68"/>
    <w:rsid w:val="00B52CD3"/>
    <w:rsid w:val="00B5372B"/>
    <w:rsid w:val="00B542FE"/>
    <w:rsid w:val="00B554FC"/>
    <w:rsid w:val="00B55A1B"/>
    <w:rsid w:val="00B561DB"/>
    <w:rsid w:val="00B56DF9"/>
    <w:rsid w:val="00B56E80"/>
    <w:rsid w:val="00B571F1"/>
    <w:rsid w:val="00B5739A"/>
    <w:rsid w:val="00B600BD"/>
    <w:rsid w:val="00B60E4E"/>
    <w:rsid w:val="00B61274"/>
    <w:rsid w:val="00B61DCE"/>
    <w:rsid w:val="00B62188"/>
    <w:rsid w:val="00B62938"/>
    <w:rsid w:val="00B62F79"/>
    <w:rsid w:val="00B62F82"/>
    <w:rsid w:val="00B6306A"/>
    <w:rsid w:val="00B635E3"/>
    <w:rsid w:val="00B63898"/>
    <w:rsid w:val="00B63FDA"/>
    <w:rsid w:val="00B662FF"/>
    <w:rsid w:val="00B66679"/>
    <w:rsid w:val="00B67A12"/>
    <w:rsid w:val="00B70145"/>
    <w:rsid w:val="00B71853"/>
    <w:rsid w:val="00B71A92"/>
    <w:rsid w:val="00B71CC4"/>
    <w:rsid w:val="00B721D8"/>
    <w:rsid w:val="00B72631"/>
    <w:rsid w:val="00B730CA"/>
    <w:rsid w:val="00B732EA"/>
    <w:rsid w:val="00B73747"/>
    <w:rsid w:val="00B7454A"/>
    <w:rsid w:val="00B747C5"/>
    <w:rsid w:val="00B74F2F"/>
    <w:rsid w:val="00B752FD"/>
    <w:rsid w:val="00B753ED"/>
    <w:rsid w:val="00B758E7"/>
    <w:rsid w:val="00B75969"/>
    <w:rsid w:val="00B7665F"/>
    <w:rsid w:val="00B769BC"/>
    <w:rsid w:val="00B770F7"/>
    <w:rsid w:val="00B77349"/>
    <w:rsid w:val="00B7761E"/>
    <w:rsid w:val="00B80A3D"/>
    <w:rsid w:val="00B80B04"/>
    <w:rsid w:val="00B821E4"/>
    <w:rsid w:val="00B823E0"/>
    <w:rsid w:val="00B8260D"/>
    <w:rsid w:val="00B82B78"/>
    <w:rsid w:val="00B83945"/>
    <w:rsid w:val="00B845B4"/>
    <w:rsid w:val="00B84662"/>
    <w:rsid w:val="00B84AA4"/>
    <w:rsid w:val="00B84C74"/>
    <w:rsid w:val="00B84CE9"/>
    <w:rsid w:val="00B84F30"/>
    <w:rsid w:val="00B85191"/>
    <w:rsid w:val="00B858A1"/>
    <w:rsid w:val="00B85FEC"/>
    <w:rsid w:val="00B864A3"/>
    <w:rsid w:val="00B86C2A"/>
    <w:rsid w:val="00B902A5"/>
    <w:rsid w:val="00B90420"/>
    <w:rsid w:val="00B90848"/>
    <w:rsid w:val="00B90E4E"/>
    <w:rsid w:val="00B91146"/>
    <w:rsid w:val="00B913E4"/>
    <w:rsid w:val="00B91DB9"/>
    <w:rsid w:val="00B91FF3"/>
    <w:rsid w:val="00B925F8"/>
    <w:rsid w:val="00B93C61"/>
    <w:rsid w:val="00B93EFE"/>
    <w:rsid w:val="00B9437B"/>
    <w:rsid w:val="00B944B9"/>
    <w:rsid w:val="00B945C3"/>
    <w:rsid w:val="00B94956"/>
    <w:rsid w:val="00B94C7F"/>
    <w:rsid w:val="00B94E93"/>
    <w:rsid w:val="00B956B5"/>
    <w:rsid w:val="00B95956"/>
    <w:rsid w:val="00B95B89"/>
    <w:rsid w:val="00B96DF2"/>
    <w:rsid w:val="00B96E18"/>
    <w:rsid w:val="00B96F5A"/>
    <w:rsid w:val="00B974EB"/>
    <w:rsid w:val="00BA0B39"/>
    <w:rsid w:val="00BA0CB2"/>
    <w:rsid w:val="00BA0E26"/>
    <w:rsid w:val="00BA0E6E"/>
    <w:rsid w:val="00BA138B"/>
    <w:rsid w:val="00BA1B0E"/>
    <w:rsid w:val="00BA305B"/>
    <w:rsid w:val="00BA31BF"/>
    <w:rsid w:val="00BA38AA"/>
    <w:rsid w:val="00BA3C0F"/>
    <w:rsid w:val="00BA3FC7"/>
    <w:rsid w:val="00BA478B"/>
    <w:rsid w:val="00BA5224"/>
    <w:rsid w:val="00BA575E"/>
    <w:rsid w:val="00BA76B7"/>
    <w:rsid w:val="00BA7E3B"/>
    <w:rsid w:val="00BB0568"/>
    <w:rsid w:val="00BB078D"/>
    <w:rsid w:val="00BB079C"/>
    <w:rsid w:val="00BB0D7A"/>
    <w:rsid w:val="00BB10E1"/>
    <w:rsid w:val="00BB2471"/>
    <w:rsid w:val="00BB2DAF"/>
    <w:rsid w:val="00BB3035"/>
    <w:rsid w:val="00BB366E"/>
    <w:rsid w:val="00BB39C1"/>
    <w:rsid w:val="00BB3B00"/>
    <w:rsid w:val="00BB3DF5"/>
    <w:rsid w:val="00BB3EA7"/>
    <w:rsid w:val="00BB3FE0"/>
    <w:rsid w:val="00BB4BD6"/>
    <w:rsid w:val="00BB58BA"/>
    <w:rsid w:val="00BB5D16"/>
    <w:rsid w:val="00BB6180"/>
    <w:rsid w:val="00BB69E6"/>
    <w:rsid w:val="00BB7323"/>
    <w:rsid w:val="00BB7BE5"/>
    <w:rsid w:val="00BC075E"/>
    <w:rsid w:val="00BC08BD"/>
    <w:rsid w:val="00BC11E8"/>
    <w:rsid w:val="00BC15A3"/>
    <w:rsid w:val="00BC1B7A"/>
    <w:rsid w:val="00BC2C17"/>
    <w:rsid w:val="00BC3ACD"/>
    <w:rsid w:val="00BC3B20"/>
    <w:rsid w:val="00BC3EE4"/>
    <w:rsid w:val="00BC4B80"/>
    <w:rsid w:val="00BC4C71"/>
    <w:rsid w:val="00BC588C"/>
    <w:rsid w:val="00BC6E73"/>
    <w:rsid w:val="00BC74D3"/>
    <w:rsid w:val="00BD0014"/>
    <w:rsid w:val="00BD01D8"/>
    <w:rsid w:val="00BD15F8"/>
    <w:rsid w:val="00BD255F"/>
    <w:rsid w:val="00BD2895"/>
    <w:rsid w:val="00BD413F"/>
    <w:rsid w:val="00BD4236"/>
    <w:rsid w:val="00BD483B"/>
    <w:rsid w:val="00BD51F9"/>
    <w:rsid w:val="00BD5CD4"/>
    <w:rsid w:val="00BD6032"/>
    <w:rsid w:val="00BD60E6"/>
    <w:rsid w:val="00BD65D9"/>
    <w:rsid w:val="00BD6DF3"/>
    <w:rsid w:val="00BD6E09"/>
    <w:rsid w:val="00BD6EF9"/>
    <w:rsid w:val="00BE0ACB"/>
    <w:rsid w:val="00BE1C07"/>
    <w:rsid w:val="00BE2260"/>
    <w:rsid w:val="00BE2DF5"/>
    <w:rsid w:val="00BE3917"/>
    <w:rsid w:val="00BE50FD"/>
    <w:rsid w:val="00BE51CA"/>
    <w:rsid w:val="00BE537F"/>
    <w:rsid w:val="00BE5D77"/>
    <w:rsid w:val="00BE6D47"/>
    <w:rsid w:val="00BE7032"/>
    <w:rsid w:val="00BE7330"/>
    <w:rsid w:val="00BF0032"/>
    <w:rsid w:val="00BF01C5"/>
    <w:rsid w:val="00BF061A"/>
    <w:rsid w:val="00BF066A"/>
    <w:rsid w:val="00BF14CC"/>
    <w:rsid w:val="00BF1821"/>
    <w:rsid w:val="00BF1850"/>
    <w:rsid w:val="00BF19EF"/>
    <w:rsid w:val="00BF1D2B"/>
    <w:rsid w:val="00BF22E9"/>
    <w:rsid w:val="00BF4342"/>
    <w:rsid w:val="00BF4704"/>
    <w:rsid w:val="00BF4FFC"/>
    <w:rsid w:val="00BF5050"/>
    <w:rsid w:val="00BF50D1"/>
    <w:rsid w:val="00BF5422"/>
    <w:rsid w:val="00BF59B1"/>
    <w:rsid w:val="00BF606A"/>
    <w:rsid w:val="00BF6297"/>
    <w:rsid w:val="00BF6625"/>
    <w:rsid w:val="00BF6A78"/>
    <w:rsid w:val="00BF7695"/>
    <w:rsid w:val="00BF79B4"/>
    <w:rsid w:val="00BF7BBD"/>
    <w:rsid w:val="00BF7C61"/>
    <w:rsid w:val="00C0017E"/>
    <w:rsid w:val="00C01427"/>
    <w:rsid w:val="00C014C7"/>
    <w:rsid w:val="00C031CF"/>
    <w:rsid w:val="00C04387"/>
    <w:rsid w:val="00C045C1"/>
    <w:rsid w:val="00C047AB"/>
    <w:rsid w:val="00C058AF"/>
    <w:rsid w:val="00C05EDD"/>
    <w:rsid w:val="00C075B6"/>
    <w:rsid w:val="00C10AE8"/>
    <w:rsid w:val="00C11681"/>
    <w:rsid w:val="00C1194F"/>
    <w:rsid w:val="00C11AFF"/>
    <w:rsid w:val="00C124C1"/>
    <w:rsid w:val="00C128AE"/>
    <w:rsid w:val="00C12BA8"/>
    <w:rsid w:val="00C13094"/>
    <w:rsid w:val="00C136D6"/>
    <w:rsid w:val="00C13D5B"/>
    <w:rsid w:val="00C1410F"/>
    <w:rsid w:val="00C141D7"/>
    <w:rsid w:val="00C146C9"/>
    <w:rsid w:val="00C166B3"/>
    <w:rsid w:val="00C1711B"/>
    <w:rsid w:val="00C17AE2"/>
    <w:rsid w:val="00C20140"/>
    <w:rsid w:val="00C20F27"/>
    <w:rsid w:val="00C215CF"/>
    <w:rsid w:val="00C223CD"/>
    <w:rsid w:val="00C2244B"/>
    <w:rsid w:val="00C22711"/>
    <w:rsid w:val="00C2280A"/>
    <w:rsid w:val="00C22B0D"/>
    <w:rsid w:val="00C22BFF"/>
    <w:rsid w:val="00C23522"/>
    <w:rsid w:val="00C240C1"/>
    <w:rsid w:val="00C244A1"/>
    <w:rsid w:val="00C24AED"/>
    <w:rsid w:val="00C250D0"/>
    <w:rsid w:val="00C252AC"/>
    <w:rsid w:val="00C25C0F"/>
    <w:rsid w:val="00C25EC1"/>
    <w:rsid w:val="00C26567"/>
    <w:rsid w:val="00C26923"/>
    <w:rsid w:val="00C27214"/>
    <w:rsid w:val="00C27597"/>
    <w:rsid w:val="00C27E5E"/>
    <w:rsid w:val="00C30382"/>
    <w:rsid w:val="00C30772"/>
    <w:rsid w:val="00C30D6F"/>
    <w:rsid w:val="00C31063"/>
    <w:rsid w:val="00C31B7E"/>
    <w:rsid w:val="00C32024"/>
    <w:rsid w:val="00C322D1"/>
    <w:rsid w:val="00C3242A"/>
    <w:rsid w:val="00C33201"/>
    <w:rsid w:val="00C33317"/>
    <w:rsid w:val="00C337E7"/>
    <w:rsid w:val="00C33A39"/>
    <w:rsid w:val="00C34619"/>
    <w:rsid w:val="00C348D9"/>
    <w:rsid w:val="00C34D1A"/>
    <w:rsid w:val="00C357D6"/>
    <w:rsid w:val="00C35D01"/>
    <w:rsid w:val="00C360B3"/>
    <w:rsid w:val="00C36BF0"/>
    <w:rsid w:val="00C37027"/>
    <w:rsid w:val="00C373BF"/>
    <w:rsid w:val="00C37B19"/>
    <w:rsid w:val="00C41349"/>
    <w:rsid w:val="00C413CB"/>
    <w:rsid w:val="00C42752"/>
    <w:rsid w:val="00C42973"/>
    <w:rsid w:val="00C45AC5"/>
    <w:rsid w:val="00C46B95"/>
    <w:rsid w:val="00C4712A"/>
    <w:rsid w:val="00C5034F"/>
    <w:rsid w:val="00C50830"/>
    <w:rsid w:val="00C52479"/>
    <w:rsid w:val="00C5266E"/>
    <w:rsid w:val="00C52C59"/>
    <w:rsid w:val="00C531C0"/>
    <w:rsid w:val="00C5349E"/>
    <w:rsid w:val="00C538E7"/>
    <w:rsid w:val="00C539FF"/>
    <w:rsid w:val="00C544BD"/>
    <w:rsid w:val="00C54D3D"/>
    <w:rsid w:val="00C54F3C"/>
    <w:rsid w:val="00C55A30"/>
    <w:rsid w:val="00C56384"/>
    <w:rsid w:val="00C57961"/>
    <w:rsid w:val="00C601A5"/>
    <w:rsid w:val="00C60F8C"/>
    <w:rsid w:val="00C611A8"/>
    <w:rsid w:val="00C61424"/>
    <w:rsid w:val="00C61794"/>
    <w:rsid w:val="00C61F3C"/>
    <w:rsid w:val="00C62A48"/>
    <w:rsid w:val="00C62AC4"/>
    <w:rsid w:val="00C62B59"/>
    <w:rsid w:val="00C62F96"/>
    <w:rsid w:val="00C631E1"/>
    <w:rsid w:val="00C638D8"/>
    <w:rsid w:val="00C63A43"/>
    <w:rsid w:val="00C63AE7"/>
    <w:rsid w:val="00C63D26"/>
    <w:rsid w:val="00C63E89"/>
    <w:rsid w:val="00C64ABB"/>
    <w:rsid w:val="00C6540A"/>
    <w:rsid w:val="00C6688D"/>
    <w:rsid w:val="00C668A1"/>
    <w:rsid w:val="00C67223"/>
    <w:rsid w:val="00C70697"/>
    <w:rsid w:val="00C707B8"/>
    <w:rsid w:val="00C712AC"/>
    <w:rsid w:val="00C71C15"/>
    <w:rsid w:val="00C71F3D"/>
    <w:rsid w:val="00C72C9F"/>
    <w:rsid w:val="00C72F53"/>
    <w:rsid w:val="00C74035"/>
    <w:rsid w:val="00C748EA"/>
    <w:rsid w:val="00C77818"/>
    <w:rsid w:val="00C80488"/>
    <w:rsid w:val="00C80586"/>
    <w:rsid w:val="00C8063F"/>
    <w:rsid w:val="00C80978"/>
    <w:rsid w:val="00C8125B"/>
    <w:rsid w:val="00C81282"/>
    <w:rsid w:val="00C827B4"/>
    <w:rsid w:val="00C82AAF"/>
    <w:rsid w:val="00C83075"/>
    <w:rsid w:val="00C83214"/>
    <w:rsid w:val="00C8329F"/>
    <w:rsid w:val="00C84F8A"/>
    <w:rsid w:val="00C85BA4"/>
    <w:rsid w:val="00C8618F"/>
    <w:rsid w:val="00C8625D"/>
    <w:rsid w:val="00C901F4"/>
    <w:rsid w:val="00C90372"/>
    <w:rsid w:val="00C9041F"/>
    <w:rsid w:val="00C9166B"/>
    <w:rsid w:val="00C91945"/>
    <w:rsid w:val="00C91A45"/>
    <w:rsid w:val="00C91FB4"/>
    <w:rsid w:val="00C92150"/>
    <w:rsid w:val="00C92328"/>
    <w:rsid w:val="00C923D5"/>
    <w:rsid w:val="00C92A4C"/>
    <w:rsid w:val="00C92D42"/>
    <w:rsid w:val="00C938C2"/>
    <w:rsid w:val="00C93F8A"/>
    <w:rsid w:val="00C9450D"/>
    <w:rsid w:val="00C94C28"/>
    <w:rsid w:val="00C94EA1"/>
    <w:rsid w:val="00C9548C"/>
    <w:rsid w:val="00C95745"/>
    <w:rsid w:val="00C95902"/>
    <w:rsid w:val="00C962E3"/>
    <w:rsid w:val="00C97223"/>
    <w:rsid w:val="00C978E2"/>
    <w:rsid w:val="00C97997"/>
    <w:rsid w:val="00CA0517"/>
    <w:rsid w:val="00CA10A2"/>
    <w:rsid w:val="00CA1D83"/>
    <w:rsid w:val="00CA24C6"/>
    <w:rsid w:val="00CA25C0"/>
    <w:rsid w:val="00CA2867"/>
    <w:rsid w:val="00CA2E47"/>
    <w:rsid w:val="00CA2ECE"/>
    <w:rsid w:val="00CA328D"/>
    <w:rsid w:val="00CA3451"/>
    <w:rsid w:val="00CA35C6"/>
    <w:rsid w:val="00CA4948"/>
    <w:rsid w:val="00CA52F9"/>
    <w:rsid w:val="00CA5368"/>
    <w:rsid w:val="00CA568B"/>
    <w:rsid w:val="00CA573A"/>
    <w:rsid w:val="00CA5C58"/>
    <w:rsid w:val="00CB0626"/>
    <w:rsid w:val="00CB0D38"/>
    <w:rsid w:val="00CB19D7"/>
    <w:rsid w:val="00CB19FE"/>
    <w:rsid w:val="00CB1C3F"/>
    <w:rsid w:val="00CB2364"/>
    <w:rsid w:val="00CB2ED8"/>
    <w:rsid w:val="00CB304C"/>
    <w:rsid w:val="00CB3933"/>
    <w:rsid w:val="00CB5010"/>
    <w:rsid w:val="00CB53E8"/>
    <w:rsid w:val="00CB594A"/>
    <w:rsid w:val="00CB5CB2"/>
    <w:rsid w:val="00CB6979"/>
    <w:rsid w:val="00CB7DDE"/>
    <w:rsid w:val="00CC0A3D"/>
    <w:rsid w:val="00CC0FA1"/>
    <w:rsid w:val="00CC1904"/>
    <w:rsid w:val="00CC2FF0"/>
    <w:rsid w:val="00CC3C53"/>
    <w:rsid w:val="00CC3D24"/>
    <w:rsid w:val="00CC3F91"/>
    <w:rsid w:val="00CC47EE"/>
    <w:rsid w:val="00CC4ACD"/>
    <w:rsid w:val="00CC4B0A"/>
    <w:rsid w:val="00CC544A"/>
    <w:rsid w:val="00CC57EA"/>
    <w:rsid w:val="00CC5954"/>
    <w:rsid w:val="00CC629B"/>
    <w:rsid w:val="00CC6C4E"/>
    <w:rsid w:val="00CC72A4"/>
    <w:rsid w:val="00CD009D"/>
    <w:rsid w:val="00CD05A2"/>
    <w:rsid w:val="00CD29D4"/>
    <w:rsid w:val="00CD2B5C"/>
    <w:rsid w:val="00CD2FF3"/>
    <w:rsid w:val="00CD3323"/>
    <w:rsid w:val="00CD38F5"/>
    <w:rsid w:val="00CD3BF2"/>
    <w:rsid w:val="00CD437E"/>
    <w:rsid w:val="00CD5DAD"/>
    <w:rsid w:val="00CD72C5"/>
    <w:rsid w:val="00CD79A7"/>
    <w:rsid w:val="00CD7DC1"/>
    <w:rsid w:val="00CD7FAD"/>
    <w:rsid w:val="00CE0789"/>
    <w:rsid w:val="00CE0E8D"/>
    <w:rsid w:val="00CE1A03"/>
    <w:rsid w:val="00CE2346"/>
    <w:rsid w:val="00CE25B2"/>
    <w:rsid w:val="00CE3529"/>
    <w:rsid w:val="00CE35C8"/>
    <w:rsid w:val="00CE3962"/>
    <w:rsid w:val="00CE3C3D"/>
    <w:rsid w:val="00CE4D0A"/>
    <w:rsid w:val="00CE4D1A"/>
    <w:rsid w:val="00CE4E8A"/>
    <w:rsid w:val="00CE5105"/>
    <w:rsid w:val="00CE56BD"/>
    <w:rsid w:val="00CE5EC0"/>
    <w:rsid w:val="00CE62AB"/>
    <w:rsid w:val="00CE68AD"/>
    <w:rsid w:val="00CE6F9F"/>
    <w:rsid w:val="00CE781A"/>
    <w:rsid w:val="00CE7B08"/>
    <w:rsid w:val="00CE7D52"/>
    <w:rsid w:val="00CF05B6"/>
    <w:rsid w:val="00CF0AB7"/>
    <w:rsid w:val="00CF1D74"/>
    <w:rsid w:val="00CF1E5F"/>
    <w:rsid w:val="00CF2BE2"/>
    <w:rsid w:val="00CF3616"/>
    <w:rsid w:val="00CF3DEB"/>
    <w:rsid w:val="00CF5123"/>
    <w:rsid w:val="00CF51FB"/>
    <w:rsid w:val="00CF55F9"/>
    <w:rsid w:val="00CF7074"/>
    <w:rsid w:val="00CF7495"/>
    <w:rsid w:val="00D0147A"/>
    <w:rsid w:val="00D01CF9"/>
    <w:rsid w:val="00D0334D"/>
    <w:rsid w:val="00D0374D"/>
    <w:rsid w:val="00D04967"/>
    <w:rsid w:val="00D06D7B"/>
    <w:rsid w:val="00D06DA5"/>
    <w:rsid w:val="00D07191"/>
    <w:rsid w:val="00D07F1D"/>
    <w:rsid w:val="00D10558"/>
    <w:rsid w:val="00D11CF4"/>
    <w:rsid w:val="00D11D4D"/>
    <w:rsid w:val="00D11DB1"/>
    <w:rsid w:val="00D126DC"/>
    <w:rsid w:val="00D12AAC"/>
    <w:rsid w:val="00D12B03"/>
    <w:rsid w:val="00D13003"/>
    <w:rsid w:val="00D13E70"/>
    <w:rsid w:val="00D13EE7"/>
    <w:rsid w:val="00D15FCD"/>
    <w:rsid w:val="00D16C58"/>
    <w:rsid w:val="00D17019"/>
    <w:rsid w:val="00D17F9A"/>
    <w:rsid w:val="00D17FC8"/>
    <w:rsid w:val="00D2015B"/>
    <w:rsid w:val="00D20B44"/>
    <w:rsid w:val="00D21168"/>
    <w:rsid w:val="00D2220A"/>
    <w:rsid w:val="00D2294A"/>
    <w:rsid w:val="00D23A4B"/>
    <w:rsid w:val="00D2438C"/>
    <w:rsid w:val="00D2585A"/>
    <w:rsid w:val="00D259B0"/>
    <w:rsid w:val="00D259C2"/>
    <w:rsid w:val="00D260F5"/>
    <w:rsid w:val="00D26C3F"/>
    <w:rsid w:val="00D27185"/>
    <w:rsid w:val="00D3028A"/>
    <w:rsid w:val="00D304CE"/>
    <w:rsid w:val="00D31618"/>
    <w:rsid w:val="00D319B1"/>
    <w:rsid w:val="00D33488"/>
    <w:rsid w:val="00D33AB3"/>
    <w:rsid w:val="00D33F24"/>
    <w:rsid w:val="00D34160"/>
    <w:rsid w:val="00D346B8"/>
    <w:rsid w:val="00D347E0"/>
    <w:rsid w:val="00D34DCA"/>
    <w:rsid w:val="00D34E64"/>
    <w:rsid w:val="00D35AC8"/>
    <w:rsid w:val="00D35E80"/>
    <w:rsid w:val="00D366AF"/>
    <w:rsid w:val="00D36D65"/>
    <w:rsid w:val="00D36F87"/>
    <w:rsid w:val="00D37E4E"/>
    <w:rsid w:val="00D40CC9"/>
    <w:rsid w:val="00D417D8"/>
    <w:rsid w:val="00D41F78"/>
    <w:rsid w:val="00D425E2"/>
    <w:rsid w:val="00D426C3"/>
    <w:rsid w:val="00D42E6C"/>
    <w:rsid w:val="00D43474"/>
    <w:rsid w:val="00D4351C"/>
    <w:rsid w:val="00D43B80"/>
    <w:rsid w:val="00D4483A"/>
    <w:rsid w:val="00D44988"/>
    <w:rsid w:val="00D45B4C"/>
    <w:rsid w:val="00D45BA4"/>
    <w:rsid w:val="00D45D8F"/>
    <w:rsid w:val="00D471AF"/>
    <w:rsid w:val="00D471E2"/>
    <w:rsid w:val="00D4724F"/>
    <w:rsid w:val="00D50519"/>
    <w:rsid w:val="00D50779"/>
    <w:rsid w:val="00D510B9"/>
    <w:rsid w:val="00D51601"/>
    <w:rsid w:val="00D51816"/>
    <w:rsid w:val="00D519B7"/>
    <w:rsid w:val="00D51ECB"/>
    <w:rsid w:val="00D5264C"/>
    <w:rsid w:val="00D52780"/>
    <w:rsid w:val="00D52BBC"/>
    <w:rsid w:val="00D530EE"/>
    <w:rsid w:val="00D537FE"/>
    <w:rsid w:val="00D53A58"/>
    <w:rsid w:val="00D53C76"/>
    <w:rsid w:val="00D53CC9"/>
    <w:rsid w:val="00D53FA4"/>
    <w:rsid w:val="00D54A6A"/>
    <w:rsid w:val="00D54B8F"/>
    <w:rsid w:val="00D552F7"/>
    <w:rsid w:val="00D55848"/>
    <w:rsid w:val="00D55951"/>
    <w:rsid w:val="00D559F0"/>
    <w:rsid w:val="00D55E0C"/>
    <w:rsid w:val="00D561A3"/>
    <w:rsid w:val="00D56397"/>
    <w:rsid w:val="00D5650F"/>
    <w:rsid w:val="00D57EB6"/>
    <w:rsid w:val="00D60636"/>
    <w:rsid w:val="00D608C0"/>
    <w:rsid w:val="00D60A6F"/>
    <w:rsid w:val="00D60D6D"/>
    <w:rsid w:val="00D6128C"/>
    <w:rsid w:val="00D62EE5"/>
    <w:rsid w:val="00D63087"/>
    <w:rsid w:val="00D63507"/>
    <w:rsid w:val="00D63B22"/>
    <w:rsid w:val="00D63D89"/>
    <w:rsid w:val="00D63EA5"/>
    <w:rsid w:val="00D6421E"/>
    <w:rsid w:val="00D647B0"/>
    <w:rsid w:val="00D66D8B"/>
    <w:rsid w:val="00D700AC"/>
    <w:rsid w:val="00D70849"/>
    <w:rsid w:val="00D709D1"/>
    <w:rsid w:val="00D70D0A"/>
    <w:rsid w:val="00D71076"/>
    <w:rsid w:val="00D71803"/>
    <w:rsid w:val="00D71A6E"/>
    <w:rsid w:val="00D72297"/>
    <w:rsid w:val="00D72A1C"/>
    <w:rsid w:val="00D7308F"/>
    <w:rsid w:val="00D7313E"/>
    <w:rsid w:val="00D73580"/>
    <w:rsid w:val="00D73802"/>
    <w:rsid w:val="00D73C2C"/>
    <w:rsid w:val="00D73D52"/>
    <w:rsid w:val="00D745E7"/>
    <w:rsid w:val="00D746AE"/>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3E2C"/>
    <w:rsid w:val="00D84181"/>
    <w:rsid w:val="00D846AD"/>
    <w:rsid w:val="00D84754"/>
    <w:rsid w:val="00D84F27"/>
    <w:rsid w:val="00D853F0"/>
    <w:rsid w:val="00D85862"/>
    <w:rsid w:val="00D86D47"/>
    <w:rsid w:val="00D8710C"/>
    <w:rsid w:val="00D871C0"/>
    <w:rsid w:val="00D873C6"/>
    <w:rsid w:val="00D9074A"/>
    <w:rsid w:val="00D9099E"/>
    <w:rsid w:val="00D9193A"/>
    <w:rsid w:val="00D923B2"/>
    <w:rsid w:val="00D92463"/>
    <w:rsid w:val="00D9336B"/>
    <w:rsid w:val="00D93E64"/>
    <w:rsid w:val="00D93F64"/>
    <w:rsid w:val="00D9478D"/>
    <w:rsid w:val="00D94CA4"/>
    <w:rsid w:val="00D95E99"/>
    <w:rsid w:val="00D965D5"/>
    <w:rsid w:val="00D9681B"/>
    <w:rsid w:val="00D97106"/>
    <w:rsid w:val="00D97222"/>
    <w:rsid w:val="00D97DA2"/>
    <w:rsid w:val="00DA0156"/>
    <w:rsid w:val="00DA0485"/>
    <w:rsid w:val="00DA1A3A"/>
    <w:rsid w:val="00DA2351"/>
    <w:rsid w:val="00DA249E"/>
    <w:rsid w:val="00DA2D3D"/>
    <w:rsid w:val="00DA3855"/>
    <w:rsid w:val="00DA39BA"/>
    <w:rsid w:val="00DA4C30"/>
    <w:rsid w:val="00DA52ED"/>
    <w:rsid w:val="00DA6197"/>
    <w:rsid w:val="00DA641B"/>
    <w:rsid w:val="00DA6A44"/>
    <w:rsid w:val="00DA6F41"/>
    <w:rsid w:val="00DA7A3C"/>
    <w:rsid w:val="00DB0BD7"/>
    <w:rsid w:val="00DB145E"/>
    <w:rsid w:val="00DB14C5"/>
    <w:rsid w:val="00DB1A94"/>
    <w:rsid w:val="00DB1D52"/>
    <w:rsid w:val="00DB1E2B"/>
    <w:rsid w:val="00DB1F62"/>
    <w:rsid w:val="00DB21E7"/>
    <w:rsid w:val="00DB265D"/>
    <w:rsid w:val="00DB2865"/>
    <w:rsid w:val="00DB2E03"/>
    <w:rsid w:val="00DB34E5"/>
    <w:rsid w:val="00DB3742"/>
    <w:rsid w:val="00DB3B76"/>
    <w:rsid w:val="00DB3E2E"/>
    <w:rsid w:val="00DB3E9B"/>
    <w:rsid w:val="00DB3F4B"/>
    <w:rsid w:val="00DB49DF"/>
    <w:rsid w:val="00DB5375"/>
    <w:rsid w:val="00DB67C1"/>
    <w:rsid w:val="00DB6C0B"/>
    <w:rsid w:val="00DB70F4"/>
    <w:rsid w:val="00DB7170"/>
    <w:rsid w:val="00DB748A"/>
    <w:rsid w:val="00DB7D10"/>
    <w:rsid w:val="00DC1056"/>
    <w:rsid w:val="00DC1442"/>
    <w:rsid w:val="00DC21D8"/>
    <w:rsid w:val="00DC282A"/>
    <w:rsid w:val="00DC2DE8"/>
    <w:rsid w:val="00DC34DC"/>
    <w:rsid w:val="00DC3780"/>
    <w:rsid w:val="00DC3ADA"/>
    <w:rsid w:val="00DC3CC6"/>
    <w:rsid w:val="00DC3F55"/>
    <w:rsid w:val="00DC4431"/>
    <w:rsid w:val="00DC4782"/>
    <w:rsid w:val="00DC514A"/>
    <w:rsid w:val="00DC58A8"/>
    <w:rsid w:val="00DC6386"/>
    <w:rsid w:val="00DC67B1"/>
    <w:rsid w:val="00DC7FBC"/>
    <w:rsid w:val="00DD0019"/>
    <w:rsid w:val="00DD0219"/>
    <w:rsid w:val="00DD132B"/>
    <w:rsid w:val="00DD1725"/>
    <w:rsid w:val="00DD2159"/>
    <w:rsid w:val="00DD218B"/>
    <w:rsid w:val="00DD2A18"/>
    <w:rsid w:val="00DD3044"/>
    <w:rsid w:val="00DD34E4"/>
    <w:rsid w:val="00DD3985"/>
    <w:rsid w:val="00DD3AA6"/>
    <w:rsid w:val="00DD61E8"/>
    <w:rsid w:val="00DD62C0"/>
    <w:rsid w:val="00DD64DE"/>
    <w:rsid w:val="00DD66DE"/>
    <w:rsid w:val="00DD7254"/>
    <w:rsid w:val="00DD7859"/>
    <w:rsid w:val="00DD7B41"/>
    <w:rsid w:val="00DE048F"/>
    <w:rsid w:val="00DE0784"/>
    <w:rsid w:val="00DE0A1D"/>
    <w:rsid w:val="00DE15B2"/>
    <w:rsid w:val="00DE1A9A"/>
    <w:rsid w:val="00DE285C"/>
    <w:rsid w:val="00DE3D2C"/>
    <w:rsid w:val="00DE3FCE"/>
    <w:rsid w:val="00DE5E82"/>
    <w:rsid w:val="00DE5FA6"/>
    <w:rsid w:val="00DE6516"/>
    <w:rsid w:val="00DE6792"/>
    <w:rsid w:val="00DE6AA1"/>
    <w:rsid w:val="00DE797D"/>
    <w:rsid w:val="00DE7EF7"/>
    <w:rsid w:val="00DF015B"/>
    <w:rsid w:val="00DF01AB"/>
    <w:rsid w:val="00DF02EC"/>
    <w:rsid w:val="00DF10FC"/>
    <w:rsid w:val="00DF1185"/>
    <w:rsid w:val="00DF1299"/>
    <w:rsid w:val="00DF1A70"/>
    <w:rsid w:val="00DF1E5F"/>
    <w:rsid w:val="00DF23A8"/>
    <w:rsid w:val="00DF2514"/>
    <w:rsid w:val="00DF276A"/>
    <w:rsid w:val="00DF2B0B"/>
    <w:rsid w:val="00DF2F27"/>
    <w:rsid w:val="00DF3473"/>
    <w:rsid w:val="00DF36B6"/>
    <w:rsid w:val="00DF4019"/>
    <w:rsid w:val="00DF4296"/>
    <w:rsid w:val="00DF5267"/>
    <w:rsid w:val="00DF53F0"/>
    <w:rsid w:val="00DF5F38"/>
    <w:rsid w:val="00DF6608"/>
    <w:rsid w:val="00DF6CCC"/>
    <w:rsid w:val="00DF6D0C"/>
    <w:rsid w:val="00DF6F64"/>
    <w:rsid w:val="00DF721E"/>
    <w:rsid w:val="00DF735C"/>
    <w:rsid w:val="00DF7549"/>
    <w:rsid w:val="00DF7B8A"/>
    <w:rsid w:val="00DF7C87"/>
    <w:rsid w:val="00E00411"/>
    <w:rsid w:val="00E005B9"/>
    <w:rsid w:val="00E009B0"/>
    <w:rsid w:val="00E00A12"/>
    <w:rsid w:val="00E00B39"/>
    <w:rsid w:val="00E00C49"/>
    <w:rsid w:val="00E01568"/>
    <w:rsid w:val="00E01C9C"/>
    <w:rsid w:val="00E0219D"/>
    <w:rsid w:val="00E039AC"/>
    <w:rsid w:val="00E03D76"/>
    <w:rsid w:val="00E04C0F"/>
    <w:rsid w:val="00E0570B"/>
    <w:rsid w:val="00E069C5"/>
    <w:rsid w:val="00E1090B"/>
    <w:rsid w:val="00E10913"/>
    <w:rsid w:val="00E10B87"/>
    <w:rsid w:val="00E11111"/>
    <w:rsid w:val="00E121CE"/>
    <w:rsid w:val="00E12209"/>
    <w:rsid w:val="00E1264F"/>
    <w:rsid w:val="00E13633"/>
    <w:rsid w:val="00E13954"/>
    <w:rsid w:val="00E1478B"/>
    <w:rsid w:val="00E14FAC"/>
    <w:rsid w:val="00E15007"/>
    <w:rsid w:val="00E159B3"/>
    <w:rsid w:val="00E15A62"/>
    <w:rsid w:val="00E16277"/>
    <w:rsid w:val="00E16B3F"/>
    <w:rsid w:val="00E16EC7"/>
    <w:rsid w:val="00E17DCC"/>
    <w:rsid w:val="00E17F45"/>
    <w:rsid w:val="00E200C9"/>
    <w:rsid w:val="00E207C7"/>
    <w:rsid w:val="00E219CE"/>
    <w:rsid w:val="00E21CE2"/>
    <w:rsid w:val="00E21D93"/>
    <w:rsid w:val="00E22D2A"/>
    <w:rsid w:val="00E24071"/>
    <w:rsid w:val="00E24DCA"/>
    <w:rsid w:val="00E24EBC"/>
    <w:rsid w:val="00E2522C"/>
    <w:rsid w:val="00E2552F"/>
    <w:rsid w:val="00E2599B"/>
    <w:rsid w:val="00E2710C"/>
    <w:rsid w:val="00E272BD"/>
    <w:rsid w:val="00E27428"/>
    <w:rsid w:val="00E27489"/>
    <w:rsid w:val="00E305B4"/>
    <w:rsid w:val="00E31170"/>
    <w:rsid w:val="00E317A6"/>
    <w:rsid w:val="00E31AFA"/>
    <w:rsid w:val="00E31CB7"/>
    <w:rsid w:val="00E324EE"/>
    <w:rsid w:val="00E34DB1"/>
    <w:rsid w:val="00E35931"/>
    <w:rsid w:val="00E359FF"/>
    <w:rsid w:val="00E3699A"/>
    <w:rsid w:val="00E37F1C"/>
    <w:rsid w:val="00E402C5"/>
    <w:rsid w:val="00E402F4"/>
    <w:rsid w:val="00E405F1"/>
    <w:rsid w:val="00E417DB"/>
    <w:rsid w:val="00E43054"/>
    <w:rsid w:val="00E43655"/>
    <w:rsid w:val="00E44440"/>
    <w:rsid w:val="00E44ECB"/>
    <w:rsid w:val="00E459E7"/>
    <w:rsid w:val="00E46013"/>
    <w:rsid w:val="00E47099"/>
    <w:rsid w:val="00E47284"/>
    <w:rsid w:val="00E477C3"/>
    <w:rsid w:val="00E50133"/>
    <w:rsid w:val="00E51E16"/>
    <w:rsid w:val="00E52DED"/>
    <w:rsid w:val="00E53584"/>
    <w:rsid w:val="00E53730"/>
    <w:rsid w:val="00E53737"/>
    <w:rsid w:val="00E542FA"/>
    <w:rsid w:val="00E5438D"/>
    <w:rsid w:val="00E54511"/>
    <w:rsid w:val="00E54E50"/>
    <w:rsid w:val="00E55288"/>
    <w:rsid w:val="00E554E8"/>
    <w:rsid w:val="00E5602B"/>
    <w:rsid w:val="00E56218"/>
    <w:rsid w:val="00E57577"/>
    <w:rsid w:val="00E62043"/>
    <w:rsid w:val="00E626B9"/>
    <w:rsid w:val="00E627C9"/>
    <w:rsid w:val="00E630F3"/>
    <w:rsid w:val="00E6332F"/>
    <w:rsid w:val="00E637C9"/>
    <w:rsid w:val="00E6402D"/>
    <w:rsid w:val="00E65FE2"/>
    <w:rsid w:val="00E6680A"/>
    <w:rsid w:val="00E66DE6"/>
    <w:rsid w:val="00E66F0D"/>
    <w:rsid w:val="00E7028E"/>
    <w:rsid w:val="00E70615"/>
    <w:rsid w:val="00E7161E"/>
    <w:rsid w:val="00E717C3"/>
    <w:rsid w:val="00E7207B"/>
    <w:rsid w:val="00E733BA"/>
    <w:rsid w:val="00E7347A"/>
    <w:rsid w:val="00E75A47"/>
    <w:rsid w:val="00E75B99"/>
    <w:rsid w:val="00E75BB6"/>
    <w:rsid w:val="00E75D8C"/>
    <w:rsid w:val="00E777F2"/>
    <w:rsid w:val="00E802C9"/>
    <w:rsid w:val="00E80BFB"/>
    <w:rsid w:val="00E80EC2"/>
    <w:rsid w:val="00E80F0A"/>
    <w:rsid w:val="00E815D4"/>
    <w:rsid w:val="00E816B6"/>
    <w:rsid w:val="00E8291B"/>
    <w:rsid w:val="00E8292E"/>
    <w:rsid w:val="00E82E70"/>
    <w:rsid w:val="00E82F92"/>
    <w:rsid w:val="00E830C6"/>
    <w:rsid w:val="00E8395F"/>
    <w:rsid w:val="00E83F9F"/>
    <w:rsid w:val="00E8410F"/>
    <w:rsid w:val="00E849D7"/>
    <w:rsid w:val="00E85E41"/>
    <w:rsid w:val="00E85E70"/>
    <w:rsid w:val="00E85E95"/>
    <w:rsid w:val="00E85EA1"/>
    <w:rsid w:val="00E86703"/>
    <w:rsid w:val="00E87BA0"/>
    <w:rsid w:val="00E900DA"/>
    <w:rsid w:val="00E90B70"/>
    <w:rsid w:val="00E91044"/>
    <w:rsid w:val="00E910D3"/>
    <w:rsid w:val="00E91E5B"/>
    <w:rsid w:val="00E92097"/>
    <w:rsid w:val="00E92154"/>
    <w:rsid w:val="00E923CF"/>
    <w:rsid w:val="00E92E9B"/>
    <w:rsid w:val="00E93685"/>
    <w:rsid w:val="00E93B65"/>
    <w:rsid w:val="00E93C8C"/>
    <w:rsid w:val="00E94540"/>
    <w:rsid w:val="00E95111"/>
    <w:rsid w:val="00E95D08"/>
    <w:rsid w:val="00E95FDF"/>
    <w:rsid w:val="00E97D44"/>
    <w:rsid w:val="00EA14C8"/>
    <w:rsid w:val="00EA18C5"/>
    <w:rsid w:val="00EA2110"/>
    <w:rsid w:val="00EA283A"/>
    <w:rsid w:val="00EA2C90"/>
    <w:rsid w:val="00EA2DB0"/>
    <w:rsid w:val="00EA2E07"/>
    <w:rsid w:val="00EA3157"/>
    <w:rsid w:val="00EA383B"/>
    <w:rsid w:val="00EA3BFE"/>
    <w:rsid w:val="00EA3DFF"/>
    <w:rsid w:val="00EA48F3"/>
    <w:rsid w:val="00EA559B"/>
    <w:rsid w:val="00EA60BF"/>
    <w:rsid w:val="00EA7365"/>
    <w:rsid w:val="00EA74C5"/>
    <w:rsid w:val="00EA763F"/>
    <w:rsid w:val="00EA77E9"/>
    <w:rsid w:val="00EB0105"/>
    <w:rsid w:val="00EB0202"/>
    <w:rsid w:val="00EB05D0"/>
    <w:rsid w:val="00EB1151"/>
    <w:rsid w:val="00EB1D49"/>
    <w:rsid w:val="00EB23D9"/>
    <w:rsid w:val="00EB39A0"/>
    <w:rsid w:val="00EB430A"/>
    <w:rsid w:val="00EB5447"/>
    <w:rsid w:val="00EB559F"/>
    <w:rsid w:val="00EB566C"/>
    <w:rsid w:val="00EB5806"/>
    <w:rsid w:val="00EB5A18"/>
    <w:rsid w:val="00EB5DDB"/>
    <w:rsid w:val="00EB5F3D"/>
    <w:rsid w:val="00EB6114"/>
    <w:rsid w:val="00EB670A"/>
    <w:rsid w:val="00EB6BB0"/>
    <w:rsid w:val="00EB6C97"/>
    <w:rsid w:val="00EB7590"/>
    <w:rsid w:val="00EC090B"/>
    <w:rsid w:val="00EC0D3E"/>
    <w:rsid w:val="00EC1CEB"/>
    <w:rsid w:val="00EC1DC0"/>
    <w:rsid w:val="00EC1DC2"/>
    <w:rsid w:val="00EC1E09"/>
    <w:rsid w:val="00EC210E"/>
    <w:rsid w:val="00EC21EC"/>
    <w:rsid w:val="00EC24B8"/>
    <w:rsid w:val="00EC268C"/>
    <w:rsid w:val="00EC3753"/>
    <w:rsid w:val="00EC4E48"/>
    <w:rsid w:val="00EC4E71"/>
    <w:rsid w:val="00EC5F1C"/>
    <w:rsid w:val="00EC6D2D"/>
    <w:rsid w:val="00EC740C"/>
    <w:rsid w:val="00EC7840"/>
    <w:rsid w:val="00ED0365"/>
    <w:rsid w:val="00ED0865"/>
    <w:rsid w:val="00ED0C1C"/>
    <w:rsid w:val="00ED1237"/>
    <w:rsid w:val="00ED1C60"/>
    <w:rsid w:val="00ED2EB9"/>
    <w:rsid w:val="00ED30D8"/>
    <w:rsid w:val="00ED33AA"/>
    <w:rsid w:val="00ED3722"/>
    <w:rsid w:val="00ED3A31"/>
    <w:rsid w:val="00ED3FCD"/>
    <w:rsid w:val="00ED4469"/>
    <w:rsid w:val="00ED4708"/>
    <w:rsid w:val="00ED5424"/>
    <w:rsid w:val="00ED5F23"/>
    <w:rsid w:val="00ED6DC0"/>
    <w:rsid w:val="00ED7375"/>
    <w:rsid w:val="00ED73B2"/>
    <w:rsid w:val="00ED7A7A"/>
    <w:rsid w:val="00ED7AFD"/>
    <w:rsid w:val="00ED7F1F"/>
    <w:rsid w:val="00EE0327"/>
    <w:rsid w:val="00EE038C"/>
    <w:rsid w:val="00EE10A9"/>
    <w:rsid w:val="00EE1E32"/>
    <w:rsid w:val="00EE28C5"/>
    <w:rsid w:val="00EE2F09"/>
    <w:rsid w:val="00EE47C5"/>
    <w:rsid w:val="00EE490C"/>
    <w:rsid w:val="00EE4E57"/>
    <w:rsid w:val="00EE5738"/>
    <w:rsid w:val="00EE58BD"/>
    <w:rsid w:val="00EE5E59"/>
    <w:rsid w:val="00EE73D0"/>
    <w:rsid w:val="00EE7CB0"/>
    <w:rsid w:val="00EF08A8"/>
    <w:rsid w:val="00EF167B"/>
    <w:rsid w:val="00EF2445"/>
    <w:rsid w:val="00EF2496"/>
    <w:rsid w:val="00EF2931"/>
    <w:rsid w:val="00EF297E"/>
    <w:rsid w:val="00EF2B28"/>
    <w:rsid w:val="00EF41A8"/>
    <w:rsid w:val="00EF44FB"/>
    <w:rsid w:val="00EF48C7"/>
    <w:rsid w:val="00EF4ED4"/>
    <w:rsid w:val="00EF5122"/>
    <w:rsid w:val="00EF5554"/>
    <w:rsid w:val="00EF5AD8"/>
    <w:rsid w:val="00EF5DA1"/>
    <w:rsid w:val="00EF606D"/>
    <w:rsid w:val="00EF613D"/>
    <w:rsid w:val="00EF6B90"/>
    <w:rsid w:val="00EF6D4E"/>
    <w:rsid w:val="00EF745D"/>
    <w:rsid w:val="00EF7807"/>
    <w:rsid w:val="00EF79F7"/>
    <w:rsid w:val="00EF7F33"/>
    <w:rsid w:val="00F006C0"/>
    <w:rsid w:val="00F0125F"/>
    <w:rsid w:val="00F019AA"/>
    <w:rsid w:val="00F0267E"/>
    <w:rsid w:val="00F02686"/>
    <w:rsid w:val="00F02861"/>
    <w:rsid w:val="00F030C0"/>
    <w:rsid w:val="00F03291"/>
    <w:rsid w:val="00F03A85"/>
    <w:rsid w:val="00F0459B"/>
    <w:rsid w:val="00F04E15"/>
    <w:rsid w:val="00F05DF3"/>
    <w:rsid w:val="00F06370"/>
    <w:rsid w:val="00F0649E"/>
    <w:rsid w:val="00F06829"/>
    <w:rsid w:val="00F069EA"/>
    <w:rsid w:val="00F070E5"/>
    <w:rsid w:val="00F07DDE"/>
    <w:rsid w:val="00F1087E"/>
    <w:rsid w:val="00F10F09"/>
    <w:rsid w:val="00F11675"/>
    <w:rsid w:val="00F123DA"/>
    <w:rsid w:val="00F12557"/>
    <w:rsid w:val="00F13599"/>
    <w:rsid w:val="00F13A77"/>
    <w:rsid w:val="00F13B28"/>
    <w:rsid w:val="00F1409F"/>
    <w:rsid w:val="00F14489"/>
    <w:rsid w:val="00F156A0"/>
    <w:rsid w:val="00F15730"/>
    <w:rsid w:val="00F1635E"/>
    <w:rsid w:val="00F17274"/>
    <w:rsid w:val="00F176A6"/>
    <w:rsid w:val="00F202C2"/>
    <w:rsid w:val="00F20ECA"/>
    <w:rsid w:val="00F212F6"/>
    <w:rsid w:val="00F21372"/>
    <w:rsid w:val="00F21E8F"/>
    <w:rsid w:val="00F22756"/>
    <w:rsid w:val="00F23248"/>
    <w:rsid w:val="00F23890"/>
    <w:rsid w:val="00F2504D"/>
    <w:rsid w:val="00F2637F"/>
    <w:rsid w:val="00F268F7"/>
    <w:rsid w:val="00F30B83"/>
    <w:rsid w:val="00F30BDB"/>
    <w:rsid w:val="00F30CF8"/>
    <w:rsid w:val="00F31EDF"/>
    <w:rsid w:val="00F32CDE"/>
    <w:rsid w:val="00F32D4C"/>
    <w:rsid w:val="00F3327E"/>
    <w:rsid w:val="00F335E7"/>
    <w:rsid w:val="00F338C3"/>
    <w:rsid w:val="00F34B14"/>
    <w:rsid w:val="00F34F58"/>
    <w:rsid w:val="00F35B2F"/>
    <w:rsid w:val="00F35DA7"/>
    <w:rsid w:val="00F36A6A"/>
    <w:rsid w:val="00F37C6F"/>
    <w:rsid w:val="00F40101"/>
    <w:rsid w:val="00F404F7"/>
    <w:rsid w:val="00F40CCA"/>
    <w:rsid w:val="00F40D17"/>
    <w:rsid w:val="00F41A3C"/>
    <w:rsid w:val="00F42D97"/>
    <w:rsid w:val="00F42FCF"/>
    <w:rsid w:val="00F436B2"/>
    <w:rsid w:val="00F43813"/>
    <w:rsid w:val="00F43FEE"/>
    <w:rsid w:val="00F4492F"/>
    <w:rsid w:val="00F44DFD"/>
    <w:rsid w:val="00F45A72"/>
    <w:rsid w:val="00F46723"/>
    <w:rsid w:val="00F4706D"/>
    <w:rsid w:val="00F473A1"/>
    <w:rsid w:val="00F476E1"/>
    <w:rsid w:val="00F4777D"/>
    <w:rsid w:val="00F47D1D"/>
    <w:rsid w:val="00F47F29"/>
    <w:rsid w:val="00F50016"/>
    <w:rsid w:val="00F50736"/>
    <w:rsid w:val="00F50A5A"/>
    <w:rsid w:val="00F5118A"/>
    <w:rsid w:val="00F51A21"/>
    <w:rsid w:val="00F52614"/>
    <w:rsid w:val="00F5276E"/>
    <w:rsid w:val="00F52E9F"/>
    <w:rsid w:val="00F53304"/>
    <w:rsid w:val="00F53B81"/>
    <w:rsid w:val="00F540FE"/>
    <w:rsid w:val="00F5459A"/>
    <w:rsid w:val="00F54CD6"/>
    <w:rsid w:val="00F54FB6"/>
    <w:rsid w:val="00F556FF"/>
    <w:rsid w:val="00F55D12"/>
    <w:rsid w:val="00F5687F"/>
    <w:rsid w:val="00F56D3F"/>
    <w:rsid w:val="00F56DF8"/>
    <w:rsid w:val="00F57301"/>
    <w:rsid w:val="00F575C7"/>
    <w:rsid w:val="00F57FD0"/>
    <w:rsid w:val="00F60305"/>
    <w:rsid w:val="00F60DA6"/>
    <w:rsid w:val="00F61B12"/>
    <w:rsid w:val="00F61C70"/>
    <w:rsid w:val="00F63264"/>
    <w:rsid w:val="00F634E4"/>
    <w:rsid w:val="00F63688"/>
    <w:rsid w:val="00F6379E"/>
    <w:rsid w:val="00F64047"/>
    <w:rsid w:val="00F65171"/>
    <w:rsid w:val="00F6560D"/>
    <w:rsid w:val="00F66558"/>
    <w:rsid w:val="00F6770C"/>
    <w:rsid w:val="00F67844"/>
    <w:rsid w:val="00F7034F"/>
    <w:rsid w:val="00F70799"/>
    <w:rsid w:val="00F70A8B"/>
    <w:rsid w:val="00F70B8D"/>
    <w:rsid w:val="00F70C56"/>
    <w:rsid w:val="00F71936"/>
    <w:rsid w:val="00F71C31"/>
    <w:rsid w:val="00F720A7"/>
    <w:rsid w:val="00F724FB"/>
    <w:rsid w:val="00F726B8"/>
    <w:rsid w:val="00F72A26"/>
    <w:rsid w:val="00F733C3"/>
    <w:rsid w:val="00F73E4F"/>
    <w:rsid w:val="00F74502"/>
    <w:rsid w:val="00F746A1"/>
    <w:rsid w:val="00F74820"/>
    <w:rsid w:val="00F756DD"/>
    <w:rsid w:val="00F77937"/>
    <w:rsid w:val="00F77F4E"/>
    <w:rsid w:val="00F80047"/>
    <w:rsid w:val="00F800C7"/>
    <w:rsid w:val="00F80F66"/>
    <w:rsid w:val="00F8104D"/>
    <w:rsid w:val="00F81252"/>
    <w:rsid w:val="00F8153F"/>
    <w:rsid w:val="00F81587"/>
    <w:rsid w:val="00F8288F"/>
    <w:rsid w:val="00F82ECB"/>
    <w:rsid w:val="00F8376E"/>
    <w:rsid w:val="00F83C52"/>
    <w:rsid w:val="00F84802"/>
    <w:rsid w:val="00F85B72"/>
    <w:rsid w:val="00F86540"/>
    <w:rsid w:val="00F865CE"/>
    <w:rsid w:val="00F87177"/>
    <w:rsid w:val="00F8766F"/>
    <w:rsid w:val="00F90282"/>
    <w:rsid w:val="00F91082"/>
    <w:rsid w:val="00F9116D"/>
    <w:rsid w:val="00F91342"/>
    <w:rsid w:val="00F917CF"/>
    <w:rsid w:val="00F91A9A"/>
    <w:rsid w:val="00F92634"/>
    <w:rsid w:val="00F933F3"/>
    <w:rsid w:val="00F93ABB"/>
    <w:rsid w:val="00F93F45"/>
    <w:rsid w:val="00F94D79"/>
    <w:rsid w:val="00F96381"/>
    <w:rsid w:val="00F9658C"/>
    <w:rsid w:val="00F96EEB"/>
    <w:rsid w:val="00F97A05"/>
    <w:rsid w:val="00F97A7F"/>
    <w:rsid w:val="00F97CD0"/>
    <w:rsid w:val="00FA058B"/>
    <w:rsid w:val="00FA0889"/>
    <w:rsid w:val="00FA16E7"/>
    <w:rsid w:val="00FA31C7"/>
    <w:rsid w:val="00FA472D"/>
    <w:rsid w:val="00FA51F1"/>
    <w:rsid w:val="00FA5CA2"/>
    <w:rsid w:val="00FA681F"/>
    <w:rsid w:val="00FA6A87"/>
    <w:rsid w:val="00FB0CBF"/>
    <w:rsid w:val="00FB18F6"/>
    <w:rsid w:val="00FB2039"/>
    <w:rsid w:val="00FB2A52"/>
    <w:rsid w:val="00FB3416"/>
    <w:rsid w:val="00FB3F92"/>
    <w:rsid w:val="00FB52C7"/>
    <w:rsid w:val="00FB57DC"/>
    <w:rsid w:val="00FB5D47"/>
    <w:rsid w:val="00FB603B"/>
    <w:rsid w:val="00FB6651"/>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984"/>
    <w:rsid w:val="00FD01BF"/>
    <w:rsid w:val="00FD0525"/>
    <w:rsid w:val="00FD0AB7"/>
    <w:rsid w:val="00FD1116"/>
    <w:rsid w:val="00FD1E5E"/>
    <w:rsid w:val="00FD297D"/>
    <w:rsid w:val="00FD2D13"/>
    <w:rsid w:val="00FD3448"/>
    <w:rsid w:val="00FD374D"/>
    <w:rsid w:val="00FD38E3"/>
    <w:rsid w:val="00FD4C1E"/>
    <w:rsid w:val="00FD5F99"/>
    <w:rsid w:val="00FD6071"/>
    <w:rsid w:val="00FD633B"/>
    <w:rsid w:val="00FD79B2"/>
    <w:rsid w:val="00FD7F4D"/>
    <w:rsid w:val="00FE0794"/>
    <w:rsid w:val="00FE1041"/>
    <w:rsid w:val="00FE18B8"/>
    <w:rsid w:val="00FE24CB"/>
    <w:rsid w:val="00FE323F"/>
    <w:rsid w:val="00FE324E"/>
    <w:rsid w:val="00FE3473"/>
    <w:rsid w:val="00FE4049"/>
    <w:rsid w:val="00FE4285"/>
    <w:rsid w:val="00FE43C5"/>
    <w:rsid w:val="00FE4794"/>
    <w:rsid w:val="00FE480F"/>
    <w:rsid w:val="00FE4998"/>
    <w:rsid w:val="00FE57DE"/>
    <w:rsid w:val="00FE5D3E"/>
    <w:rsid w:val="00FE6693"/>
    <w:rsid w:val="00FE7A68"/>
    <w:rsid w:val="00FE7D57"/>
    <w:rsid w:val="00FF0231"/>
    <w:rsid w:val="00FF1C9B"/>
    <w:rsid w:val="00FF1D49"/>
    <w:rsid w:val="00FF1FC6"/>
    <w:rsid w:val="00FF203B"/>
    <w:rsid w:val="00FF2334"/>
    <w:rsid w:val="00FF2562"/>
    <w:rsid w:val="00FF3913"/>
    <w:rsid w:val="00FF3A41"/>
    <w:rsid w:val="00FF3E5B"/>
    <w:rsid w:val="00FF57E4"/>
    <w:rsid w:val="00FF6868"/>
    <w:rsid w:val="00FF77A0"/>
    <w:rsid w:val="00FF78E5"/>
    <w:rsid w:val="012C5FAF"/>
    <w:rsid w:val="01AF3D99"/>
    <w:rsid w:val="01C4077D"/>
    <w:rsid w:val="01E965FE"/>
    <w:rsid w:val="02511F9D"/>
    <w:rsid w:val="029A0514"/>
    <w:rsid w:val="031C69F7"/>
    <w:rsid w:val="03415DEE"/>
    <w:rsid w:val="035A307B"/>
    <w:rsid w:val="03A314B8"/>
    <w:rsid w:val="03B24C65"/>
    <w:rsid w:val="03D107FE"/>
    <w:rsid w:val="03D82B98"/>
    <w:rsid w:val="03F83E8B"/>
    <w:rsid w:val="0473288B"/>
    <w:rsid w:val="0473673D"/>
    <w:rsid w:val="04BA6BC7"/>
    <w:rsid w:val="04EF0912"/>
    <w:rsid w:val="04F47AF7"/>
    <w:rsid w:val="05155E5C"/>
    <w:rsid w:val="05266F1A"/>
    <w:rsid w:val="05C56868"/>
    <w:rsid w:val="05F5422C"/>
    <w:rsid w:val="070270E7"/>
    <w:rsid w:val="07A4364D"/>
    <w:rsid w:val="07A539BD"/>
    <w:rsid w:val="07B72767"/>
    <w:rsid w:val="08077E72"/>
    <w:rsid w:val="08882DD0"/>
    <w:rsid w:val="093D7903"/>
    <w:rsid w:val="094E3682"/>
    <w:rsid w:val="09CC2AAC"/>
    <w:rsid w:val="0A652D3E"/>
    <w:rsid w:val="0A9D7ADD"/>
    <w:rsid w:val="0B326F2A"/>
    <w:rsid w:val="0C1E2888"/>
    <w:rsid w:val="0C801DA5"/>
    <w:rsid w:val="0C92213C"/>
    <w:rsid w:val="0CC2027E"/>
    <w:rsid w:val="0D84032B"/>
    <w:rsid w:val="0E1E3623"/>
    <w:rsid w:val="0EC7585E"/>
    <w:rsid w:val="0F2A5FD9"/>
    <w:rsid w:val="0F2A74C4"/>
    <w:rsid w:val="0F4A04DD"/>
    <w:rsid w:val="0F7462C2"/>
    <w:rsid w:val="0F9B057C"/>
    <w:rsid w:val="10223D28"/>
    <w:rsid w:val="10956C11"/>
    <w:rsid w:val="10A27F31"/>
    <w:rsid w:val="11024380"/>
    <w:rsid w:val="113071B6"/>
    <w:rsid w:val="11694967"/>
    <w:rsid w:val="11927058"/>
    <w:rsid w:val="11D55C9D"/>
    <w:rsid w:val="120E171E"/>
    <w:rsid w:val="126F67C2"/>
    <w:rsid w:val="12F15DD0"/>
    <w:rsid w:val="134E6CDB"/>
    <w:rsid w:val="1386625C"/>
    <w:rsid w:val="13AD27A5"/>
    <w:rsid w:val="13AF4F03"/>
    <w:rsid w:val="13B642FE"/>
    <w:rsid w:val="14736E66"/>
    <w:rsid w:val="147F458F"/>
    <w:rsid w:val="14B166C3"/>
    <w:rsid w:val="1534169A"/>
    <w:rsid w:val="155B515D"/>
    <w:rsid w:val="15822C5B"/>
    <w:rsid w:val="159872F7"/>
    <w:rsid w:val="15C03E03"/>
    <w:rsid w:val="15CF6932"/>
    <w:rsid w:val="16195CBC"/>
    <w:rsid w:val="162A25EB"/>
    <w:rsid w:val="162D03D6"/>
    <w:rsid w:val="16735895"/>
    <w:rsid w:val="16CD3D3A"/>
    <w:rsid w:val="16FD2A55"/>
    <w:rsid w:val="17012B61"/>
    <w:rsid w:val="17067C1A"/>
    <w:rsid w:val="172977DF"/>
    <w:rsid w:val="17366761"/>
    <w:rsid w:val="173A1862"/>
    <w:rsid w:val="177C01F0"/>
    <w:rsid w:val="179E3EFA"/>
    <w:rsid w:val="17C97A3B"/>
    <w:rsid w:val="17CE6630"/>
    <w:rsid w:val="17DD3E5A"/>
    <w:rsid w:val="184301DC"/>
    <w:rsid w:val="187A43F3"/>
    <w:rsid w:val="18D072DB"/>
    <w:rsid w:val="19012FD8"/>
    <w:rsid w:val="19153875"/>
    <w:rsid w:val="194D0C0F"/>
    <w:rsid w:val="19855E4D"/>
    <w:rsid w:val="199E4E5B"/>
    <w:rsid w:val="19CA28B1"/>
    <w:rsid w:val="19F80B4F"/>
    <w:rsid w:val="1A2C0FDC"/>
    <w:rsid w:val="1A98650B"/>
    <w:rsid w:val="1AFF0AFE"/>
    <w:rsid w:val="1B4F19F8"/>
    <w:rsid w:val="1B7A5C97"/>
    <w:rsid w:val="1C112A19"/>
    <w:rsid w:val="1C225301"/>
    <w:rsid w:val="1C972E0A"/>
    <w:rsid w:val="1CF07340"/>
    <w:rsid w:val="1D4B790E"/>
    <w:rsid w:val="1DCD7FDB"/>
    <w:rsid w:val="1E2E3191"/>
    <w:rsid w:val="1EA41923"/>
    <w:rsid w:val="1ECC44FA"/>
    <w:rsid w:val="1EF42CDA"/>
    <w:rsid w:val="1F063325"/>
    <w:rsid w:val="1FBC5DF5"/>
    <w:rsid w:val="1FF90588"/>
    <w:rsid w:val="200C2425"/>
    <w:rsid w:val="202A40A9"/>
    <w:rsid w:val="209D2ACD"/>
    <w:rsid w:val="20C3623F"/>
    <w:rsid w:val="21781212"/>
    <w:rsid w:val="21A67760"/>
    <w:rsid w:val="21B829E3"/>
    <w:rsid w:val="21B83F86"/>
    <w:rsid w:val="221178A8"/>
    <w:rsid w:val="221213CF"/>
    <w:rsid w:val="2212752E"/>
    <w:rsid w:val="22327A92"/>
    <w:rsid w:val="22AE2B61"/>
    <w:rsid w:val="22E76282"/>
    <w:rsid w:val="23016275"/>
    <w:rsid w:val="231D53A2"/>
    <w:rsid w:val="23646BF5"/>
    <w:rsid w:val="236D5383"/>
    <w:rsid w:val="23B7504C"/>
    <w:rsid w:val="24571307"/>
    <w:rsid w:val="2480073C"/>
    <w:rsid w:val="249B23ED"/>
    <w:rsid w:val="25110A2A"/>
    <w:rsid w:val="256C0944"/>
    <w:rsid w:val="25842A23"/>
    <w:rsid w:val="26431A21"/>
    <w:rsid w:val="26446DE3"/>
    <w:rsid w:val="26704BBE"/>
    <w:rsid w:val="26877DFE"/>
    <w:rsid w:val="269669E7"/>
    <w:rsid w:val="26A270C1"/>
    <w:rsid w:val="26D7699F"/>
    <w:rsid w:val="28072F22"/>
    <w:rsid w:val="288D5110"/>
    <w:rsid w:val="28C12868"/>
    <w:rsid w:val="28D564CE"/>
    <w:rsid w:val="2959336D"/>
    <w:rsid w:val="29D75F7F"/>
    <w:rsid w:val="2A4B1650"/>
    <w:rsid w:val="2A4E55C5"/>
    <w:rsid w:val="2A7D1FEE"/>
    <w:rsid w:val="2A8B7369"/>
    <w:rsid w:val="2B774624"/>
    <w:rsid w:val="2B7D388C"/>
    <w:rsid w:val="2B931D73"/>
    <w:rsid w:val="2C7A72BE"/>
    <w:rsid w:val="2C9A2C02"/>
    <w:rsid w:val="2C9A7D75"/>
    <w:rsid w:val="2CC17412"/>
    <w:rsid w:val="2D06438A"/>
    <w:rsid w:val="2D347FE3"/>
    <w:rsid w:val="2D7C1E99"/>
    <w:rsid w:val="2E0F34FF"/>
    <w:rsid w:val="2E9976CE"/>
    <w:rsid w:val="2EBF46BC"/>
    <w:rsid w:val="2EF01DEE"/>
    <w:rsid w:val="2F2A7C22"/>
    <w:rsid w:val="2F401D3C"/>
    <w:rsid w:val="2F5B24E1"/>
    <w:rsid w:val="2FA95C88"/>
    <w:rsid w:val="300E4509"/>
    <w:rsid w:val="3041370F"/>
    <w:rsid w:val="30781778"/>
    <w:rsid w:val="30B87FED"/>
    <w:rsid w:val="312B50A3"/>
    <w:rsid w:val="31647882"/>
    <w:rsid w:val="31894FD2"/>
    <w:rsid w:val="31905300"/>
    <w:rsid w:val="32432382"/>
    <w:rsid w:val="32453A27"/>
    <w:rsid w:val="3263064A"/>
    <w:rsid w:val="32840C15"/>
    <w:rsid w:val="32A43132"/>
    <w:rsid w:val="32AC0C06"/>
    <w:rsid w:val="33344EF5"/>
    <w:rsid w:val="33D509D3"/>
    <w:rsid w:val="34836C2A"/>
    <w:rsid w:val="34A1735C"/>
    <w:rsid w:val="35105D96"/>
    <w:rsid w:val="3537234B"/>
    <w:rsid w:val="3537750C"/>
    <w:rsid w:val="3537798C"/>
    <w:rsid w:val="35411821"/>
    <w:rsid w:val="355D4EDD"/>
    <w:rsid w:val="357F41A5"/>
    <w:rsid w:val="35977EFB"/>
    <w:rsid w:val="35B46110"/>
    <w:rsid w:val="35C13FC9"/>
    <w:rsid w:val="3609784F"/>
    <w:rsid w:val="36372B05"/>
    <w:rsid w:val="364257B6"/>
    <w:rsid w:val="37223783"/>
    <w:rsid w:val="376D706D"/>
    <w:rsid w:val="37C051E1"/>
    <w:rsid w:val="37EA5922"/>
    <w:rsid w:val="38276B93"/>
    <w:rsid w:val="382E58B8"/>
    <w:rsid w:val="388D1222"/>
    <w:rsid w:val="38AC3431"/>
    <w:rsid w:val="392F2E16"/>
    <w:rsid w:val="39B778C9"/>
    <w:rsid w:val="39B87707"/>
    <w:rsid w:val="39E00529"/>
    <w:rsid w:val="39EB6FE9"/>
    <w:rsid w:val="39F618F1"/>
    <w:rsid w:val="3A044E37"/>
    <w:rsid w:val="3A0B64A7"/>
    <w:rsid w:val="3A3D53F1"/>
    <w:rsid w:val="3A463AB4"/>
    <w:rsid w:val="3A574DDA"/>
    <w:rsid w:val="3AB24F6F"/>
    <w:rsid w:val="3AD3075A"/>
    <w:rsid w:val="3AE121E6"/>
    <w:rsid w:val="3AF74C02"/>
    <w:rsid w:val="3B0B1D3E"/>
    <w:rsid w:val="3B4F19E2"/>
    <w:rsid w:val="3BA32F95"/>
    <w:rsid w:val="3BC1495C"/>
    <w:rsid w:val="3C0059A5"/>
    <w:rsid w:val="3C064147"/>
    <w:rsid w:val="3C134E78"/>
    <w:rsid w:val="3C983CE2"/>
    <w:rsid w:val="3CAB3751"/>
    <w:rsid w:val="3CC138F6"/>
    <w:rsid w:val="3D311308"/>
    <w:rsid w:val="3DAD62F3"/>
    <w:rsid w:val="3DF07EA7"/>
    <w:rsid w:val="3DF6345D"/>
    <w:rsid w:val="3DFA0B71"/>
    <w:rsid w:val="3E2B5515"/>
    <w:rsid w:val="3E4D4F28"/>
    <w:rsid w:val="3E637E26"/>
    <w:rsid w:val="3E6851A4"/>
    <w:rsid w:val="3EAE5A4E"/>
    <w:rsid w:val="3EB75626"/>
    <w:rsid w:val="3EBE3EE3"/>
    <w:rsid w:val="3ED92EC4"/>
    <w:rsid w:val="3EE13701"/>
    <w:rsid w:val="3EE30F71"/>
    <w:rsid w:val="3F1A4BB3"/>
    <w:rsid w:val="3F284F53"/>
    <w:rsid w:val="3F2C29E1"/>
    <w:rsid w:val="3F2E2E1D"/>
    <w:rsid w:val="3FC34CA1"/>
    <w:rsid w:val="3FDE7ED0"/>
    <w:rsid w:val="40192BA6"/>
    <w:rsid w:val="40275AB8"/>
    <w:rsid w:val="40A767B9"/>
    <w:rsid w:val="40E1035D"/>
    <w:rsid w:val="40EC7163"/>
    <w:rsid w:val="41433E0B"/>
    <w:rsid w:val="415F2A9A"/>
    <w:rsid w:val="41602730"/>
    <w:rsid w:val="41766EA9"/>
    <w:rsid w:val="41796694"/>
    <w:rsid w:val="41B936B2"/>
    <w:rsid w:val="41F439B8"/>
    <w:rsid w:val="422C512F"/>
    <w:rsid w:val="42550A18"/>
    <w:rsid w:val="425F778B"/>
    <w:rsid w:val="42890422"/>
    <w:rsid w:val="429D496A"/>
    <w:rsid w:val="42C1578C"/>
    <w:rsid w:val="42F473A1"/>
    <w:rsid w:val="43212C92"/>
    <w:rsid w:val="437217EA"/>
    <w:rsid w:val="43AB7156"/>
    <w:rsid w:val="440525B4"/>
    <w:rsid w:val="441E62C0"/>
    <w:rsid w:val="445157F9"/>
    <w:rsid w:val="44537448"/>
    <w:rsid w:val="44C922B6"/>
    <w:rsid w:val="45325D14"/>
    <w:rsid w:val="45811C7C"/>
    <w:rsid w:val="45906116"/>
    <w:rsid w:val="45931B8C"/>
    <w:rsid w:val="45CC5137"/>
    <w:rsid w:val="45EF2552"/>
    <w:rsid w:val="468B3EFB"/>
    <w:rsid w:val="46933C70"/>
    <w:rsid w:val="470A6193"/>
    <w:rsid w:val="471957F2"/>
    <w:rsid w:val="4723347D"/>
    <w:rsid w:val="47385210"/>
    <w:rsid w:val="475510F8"/>
    <w:rsid w:val="47562BEC"/>
    <w:rsid w:val="47DC4F5C"/>
    <w:rsid w:val="488B0E7F"/>
    <w:rsid w:val="48B40671"/>
    <w:rsid w:val="48E457EE"/>
    <w:rsid w:val="499B5738"/>
    <w:rsid w:val="499F244D"/>
    <w:rsid w:val="49AB59AC"/>
    <w:rsid w:val="49AD34D2"/>
    <w:rsid w:val="49DE35EF"/>
    <w:rsid w:val="49EF72B7"/>
    <w:rsid w:val="49F97701"/>
    <w:rsid w:val="4A4E69FA"/>
    <w:rsid w:val="4A7B3F8B"/>
    <w:rsid w:val="4A8B6EA1"/>
    <w:rsid w:val="4A973F3F"/>
    <w:rsid w:val="4AF96BC7"/>
    <w:rsid w:val="4B5050B6"/>
    <w:rsid w:val="4B644064"/>
    <w:rsid w:val="4B862A85"/>
    <w:rsid w:val="4BBB58FC"/>
    <w:rsid w:val="4BCD31F2"/>
    <w:rsid w:val="4C7B78B7"/>
    <w:rsid w:val="4C834220"/>
    <w:rsid w:val="4CEF36E2"/>
    <w:rsid w:val="4CEF4DC5"/>
    <w:rsid w:val="4CEF6018"/>
    <w:rsid w:val="4CFE1312"/>
    <w:rsid w:val="4D0B6AA7"/>
    <w:rsid w:val="4D1818F9"/>
    <w:rsid w:val="4D901140"/>
    <w:rsid w:val="4DD53640"/>
    <w:rsid w:val="4E1D463A"/>
    <w:rsid w:val="4E257655"/>
    <w:rsid w:val="4F073684"/>
    <w:rsid w:val="4F271D09"/>
    <w:rsid w:val="4F274A13"/>
    <w:rsid w:val="4F372380"/>
    <w:rsid w:val="4F372FFB"/>
    <w:rsid w:val="4FFE4F48"/>
    <w:rsid w:val="5025116D"/>
    <w:rsid w:val="52395ECD"/>
    <w:rsid w:val="52C10D75"/>
    <w:rsid w:val="53067EC3"/>
    <w:rsid w:val="536966BB"/>
    <w:rsid w:val="53C27FF8"/>
    <w:rsid w:val="543C575B"/>
    <w:rsid w:val="54806794"/>
    <w:rsid w:val="549E1A80"/>
    <w:rsid w:val="54C142D5"/>
    <w:rsid w:val="54C658F4"/>
    <w:rsid w:val="54E3424B"/>
    <w:rsid w:val="550C4BD7"/>
    <w:rsid w:val="55303B3B"/>
    <w:rsid w:val="554C1D56"/>
    <w:rsid w:val="55572986"/>
    <w:rsid w:val="55AA7A78"/>
    <w:rsid w:val="56187F25"/>
    <w:rsid w:val="562C7838"/>
    <w:rsid w:val="565340FA"/>
    <w:rsid w:val="56AD5F59"/>
    <w:rsid w:val="56C60774"/>
    <w:rsid w:val="572769AB"/>
    <w:rsid w:val="57732CE3"/>
    <w:rsid w:val="57B12A52"/>
    <w:rsid w:val="57D003BF"/>
    <w:rsid w:val="57EF4265"/>
    <w:rsid w:val="59132AEF"/>
    <w:rsid w:val="5978263A"/>
    <w:rsid w:val="5A2F2CC8"/>
    <w:rsid w:val="5AE21D34"/>
    <w:rsid w:val="5AEC0955"/>
    <w:rsid w:val="5B2300FB"/>
    <w:rsid w:val="5B4672E2"/>
    <w:rsid w:val="5C10702D"/>
    <w:rsid w:val="5C152601"/>
    <w:rsid w:val="5C591F03"/>
    <w:rsid w:val="5C8A1B2F"/>
    <w:rsid w:val="5C8A56BD"/>
    <w:rsid w:val="5C967E47"/>
    <w:rsid w:val="5CBD1826"/>
    <w:rsid w:val="5D58599A"/>
    <w:rsid w:val="5DA16F5A"/>
    <w:rsid w:val="5DB63B39"/>
    <w:rsid w:val="5E092B8D"/>
    <w:rsid w:val="5E7E3CD9"/>
    <w:rsid w:val="5EB24E70"/>
    <w:rsid w:val="5EB82C61"/>
    <w:rsid w:val="5F561B72"/>
    <w:rsid w:val="5F7A2FA4"/>
    <w:rsid w:val="5F904AB5"/>
    <w:rsid w:val="606007BB"/>
    <w:rsid w:val="60AC7F66"/>
    <w:rsid w:val="60BD5DFF"/>
    <w:rsid w:val="60F65306"/>
    <w:rsid w:val="60FF0242"/>
    <w:rsid w:val="610144FE"/>
    <w:rsid w:val="61BF10D9"/>
    <w:rsid w:val="61EF4230"/>
    <w:rsid w:val="627806C9"/>
    <w:rsid w:val="62AC22DC"/>
    <w:rsid w:val="631303F2"/>
    <w:rsid w:val="63140D93"/>
    <w:rsid w:val="63A22BFD"/>
    <w:rsid w:val="63E22465"/>
    <w:rsid w:val="64881AC3"/>
    <w:rsid w:val="64B41760"/>
    <w:rsid w:val="64E45EF7"/>
    <w:rsid w:val="65476131"/>
    <w:rsid w:val="659A6BA8"/>
    <w:rsid w:val="65D75707"/>
    <w:rsid w:val="6646485E"/>
    <w:rsid w:val="6691014E"/>
    <w:rsid w:val="66A23F66"/>
    <w:rsid w:val="66C87CCE"/>
    <w:rsid w:val="67340BCE"/>
    <w:rsid w:val="67371611"/>
    <w:rsid w:val="677435B2"/>
    <w:rsid w:val="67746C30"/>
    <w:rsid w:val="67EF75F1"/>
    <w:rsid w:val="684F4F11"/>
    <w:rsid w:val="68AA3E4B"/>
    <w:rsid w:val="68AB01FE"/>
    <w:rsid w:val="69012A9A"/>
    <w:rsid w:val="69124F16"/>
    <w:rsid w:val="693E4D83"/>
    <w:rsid w:val="69CD5C14"/>
    <w:rsid w:val="69CF0D33"/>
    <w:rsid w:val="69FF491B"/>
    <w:rsid w:val="6A10568B"/>
    <w:rsid w:val="6A405DC0"/>
    <w:rsid w:val="6A6129A0"/>
    <w:rsid w:val="6A816408"/>
    <w:rsid w:val="6A9E67F3"/>
    <w:rsid w:val="6AC66CE1"/>
    <w:rsid w:val="6AD1141B"/>
    <w:rsid w:val="6B9946B3"/>
    <w:rsid w:val="6BA30652"/>
    <w:rsid w:val="6BA751B2"/>
    <w:rsid w:val="6BE518DA"/>
    <w:rsid w:val="6C276F3A"/>
    <w:rsid w:val="6C47162C"/>
    <w:rsid w:val="6C490B00"/>
    <w:rsid w:val="6C4D6722"/>
    <w:rsid w:val="6C7007C7"/>
    <w:rsid w:val="6C775A85"/>
    <w:rsid w:val="6C896FE9"/>
    <w:rsid w:val="6C8F0A44"/>
    <w:rsid w:val="6D7825D6"/>
    <w:rsid w:val="6D806684"/>
    <w:rsid w:val="6DE76850"/>
    <w:rsid w:val="6E090112"/>
    <w:rsid w:val="6E2D0758"/>
    <w:rsid w:val="6EE2008A"/>
    <w:rsid w:val="6EE32661"/>
    <w:rsid w:val="6EEC3FE5"/>
    <w:rsid w:val="6EF530A1"/>
    <w:rsid w:val="6F5161E8"/>
    <w:rsid w:val="6F902113"/>
    <w:rsid w:val="6FAA29C3"/>
    <w:rsid w:val="6FB20BD4"/>
    <w:rsid w:val="6FBA59BE"/>
    <w:rsid w:val="70296B3E"/>
    <w:rsid w:val="705D3072"/>
    <w:rsid w:val="70611204"/>
    <w:rsid w:val="708559F7"/>
    <w:rsid w:val="70A513FE"/>
    <w:rsid w:val="71247450"/>
    <w:rsid w:val="7165620F"/>
    <w:rsid w:val="717039F8"/>
    <w:rsid w:val="71E82AE8"/>
    <w:rsid w:val="72E744C3"/>
    <w:rsid w:val="72ED3278"/>
    <w:rsid w:val="735153A0"/>
    <w:rsid w:val="735C6B15"/>
    <w:rsid w:val="73977605"/>
    <w:rsid w:val="73A926C6"/>
    <w:rsid w:val="73B2330F"/>
    <w:rsid w:val="73B50F03"/>
    <w:rsid w:val="73C55048"/>
    <w:rsid w:val="73E42497"/>
    <w:rsid w:val="73E80735"/>
    <w:rsid w:val="74D13AD5"/>
    <w:rsid w:val="74FA2C30"/>
    <w:rsid w:val="754D5C4B"/>
    <w:rsid w:val="75FA4832"/>
    <w:rsid w:val="76C04CC9"/>
    <w:rsid w:val="76C240A7"/>
    <w:rsid w:val="76DA416A"/>
    <w:rsid w:val="77175672"/>
    <w:rsid w:val="773709A6"/>
    <w:rsid w:val="775246B7"/>
    <w:rsid w:val="778869D8"/>
    <w:rsid w:val="77B306E9"/>
    <w:rsid w:val="77D54725"/>
    <w:rsid w:val="77F74EDD"/>
    <w:rsid w:val="78185266"/>
    <w:rsid w:val="781E69D1"/>
    <w:rsid w:val="7858701D"/>
    <w:rsid w:val="78F24B4D"/>
    <w:rsid w:val="7901747F"/>
    <w:rsid w:val="7912052D"/>
    <w:rsid w:val="791F1FA9"/>
    <w:rsid w:val="799B1770"/>
    <w:rsid w:val="7A0B5EFE"/>
    <w:rsid w:val="7A263B6B"/>
    <w:rsid w:val="7AB43E11"/>
    <w:rsid w:val="7AF46346"/>
    <w:rsid w:val="7B0F5EBF"/>
    <w:rsid w:val="7B130FB9"/>
    <w:rsid w:val="7B481255"/>
    <w:rsid w:val="7B5358E6"/>
    <w:rsid w:val="7B734627"/>
    <w:rsid w:val="7BD71E38"/>
    <w:rsid w:val="7BF64EDE"/>
    <w:rsid w:val="7BF94805"/>
    <w:rsid w:val="7C0A70E0"/>
    <w:rsid w:val="7C400C1E"/>
    <w:rsid w:val="7C4B4301"/>
    <w:rsid w:val="7C773348"/>
    <w:rsid w:val="7C961A20"/>
    <w:rsid w:val="7CC43EF5"/>
    <w:rsid w:val="7CDE652F"/>
    <w:rsid w:val="7D1F7212"/>
    <w:rsid w:val="7D346010"/>
    <w:rsid w:val="7D496A92"/>
    <w:rsid w:val="7D675B7F"/>
    <w:rsid w:val="7D733F6C"/>
    <w:rsid w:val="7DB047BD"/>
    <w:rsid w:val="7DD11708"/>
    <w:rsid w:val="7DD6660C"/>
    <w:rsid w:val="7DEE4A4F"/>
    <w:rsid w:val="7E39490E"/>
    <w:rsid w:val="7E6437D7"/>
    <w:rsid w:val="7E746983"/>
    <w:rsid w:val="7EAE6230"/>
    <w:rsid w:val="7EBD579E"/>
    <w:rsid w:val="7EC167BD"/>
    <w:rsid w:val="7EE56A07"/>
    <w:rsid w:val="7EF35613"/>
    <w:rsid w:val="7EF8028D"/>
    <w:rsid w:val="7F272D9E"/>
    <w:rsid w:val="7F673200"/>
    <w:rsid w:val="7F704D0C"/>
    <w:rsid w:val="7F774919"/>
    <w:rsid w:val="7FF73B2A"/>
    <w:rsid w:val="7FF74F8E"/>
    <w:rsid w:val="B33ED8FE"/>
    <w:rsid w:val="EDD6A627"/>
    <w:rsid w:val="F8D71F13"/>
    <w:rsid w:val="FFF7E8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等线" w:hAnsi="等线" w:eastAsia="等线" w:cs="等线"/>
      <w:kern w:val="2"/>
      <w:sz w:val="21"/>
      <w:szCs w:val="24"/>
      <w:lang w:val="en-US" w:eastAsia="zh-CN" w:bidi="ar-SA"/>
    </w:rPr>
  </w:style>
  <w:style w:type="paragraph" w:styleId="2">
    <w:name w:val="heading 1"/>
    <w:basedOn w:val="1"/>
    <w:next w:val="1"/>
    <w:link w:val="99"/>
    <w:qFormat/>
    <w:uiPriority w:val="99"/>
    <w:pPr>
      <w:keepNext/>
      <w:keepLines/>
      <w:spacing w:before="340" w:after="330" w:line="578" w:lineRule="auto"/>
      <w:outlineLvl w:val="0"/>
    </w:pPr>
    <w:rPr>
      <w:rFonts w:cs="Times New Roman"/>
      <w:b/>
      <w:bCs/>
      <w:kern w:val="44"/>
      <w:sz w:val="44"/>
      <w:szCs w:val="44"/>
      <w:lang w:val="zh-CN"/>
    </w:rPr>
  </w:style>
  <w:style w:type="paragraph" w:styleId="3">
    <w:name w:val="heading 2"/>
    <w:basedOn w:val="1"/>
    <w:next w:val="1"/>
    <w:link w:val="101"/>
    <w:qFormat/>
    <w:uiPriority w:val="0"/>
    <w:pPr>
      <w:keepNext/>
      <w:keepLines/>
      <w:spacing w:before="260" w:after="260" w:line="416" w:lineRule="auto"/>
      <w:outlineLvl w:val="1"/>
    </w:pPr>
    <w:rPr>
      <w:rFonts w:ascii="Cambria Math" w:hAnsi="Cambria Math" w:eastAsia="Calibri" w:cs="Times New Roman"/>
      <w:b/>
      <w:bCs/>
      <w:sz w:val="32"/>
      <w:szCs w:val="32"/>
      <w:lang w:val="zh-CN"/>
    </w:rPr>
  </w:style>
  <w:style w:type="paragraph" w:styleId="4">
    <w:name w:val="heading 3"/>
    <w:basedOn w:val="1"/>
    <w:next w:val="1"/>
    <w:link w:val="111"/>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159"/>
    <w:qFormat/>
    <w:uiPriority w:val="0"/>
    <w:pPr>
      <w:keepNext/>
      <w:keepLines/>
      <w:spacing w:before="280" w:after="290" w:line="374" w:lineRule="auto"/>
      <w:outlineLvl w:val="3"/>
    </w:pPr>
    <w:rPr>
      <w:rFonts w:ascii="Arial" w:hAnsi="Arial" w:eastAsia="黑体" w:cs="Times New Roman"/>
      <w:b/>
      <w:bCs/>
      <w:sz w:val="28"/>
      <w:szCs w:val="28"/>
    </w:rPr>
  </w:style>
  <w:style w:type="paragraph" w:styleId="6">
    <w:name w:val="heading 5"/>
    <w:basedOn w:val="1"/>
    <w:next w:val="7"/>
    <w:link w:val="70"/>
    <w:qFormat/>
    <w:uiPriority w:val="0"/>
    <w:pPr>
      <w:keepNext/>
      <w:keepLines/>
      <w:spacing w:before="280" w:after="290" w:line="376" w:lineRule="auto"/>
      <w:outlineLvl w:val="4"/>
    </w:pPr>
    <w:rPr>
      <w:rFonts w:cs="Times New Roman"/>
      <w:b/>
      <w:bCs/>
      <w:sz w:val="28"/>
      <w:szCs w:val="28"/>
      <w:lang w:val="zh-CN"/>
    </w:rPr>
  </w:style>
  <w:style w:type="paragraph" w:styleId="8">
    <w:name w:val="heading 6"/>
    <w:basedOn w:val="1"/>
    <w:next w:val="7"/>
    <w:link w:val="124"/>
    <w:qFormat/>
    <w:uiPriority w:val="0"/>
    <w:pPr>
      <w:keepNext/>
      <w:keepLines/>
      <w:numPr>
        <w:ilvl w:val="5"/>
        <w:numId w:val="1"/>
      </w:numPr>
      <w:spacing w:before="240" w:after="64" w:line="320" w:lineRule="auto"/>
      <w:outlineLvl w:val="5"/>
    </w:pPr>
    <w:rPr>
      <w:rFonts w:ascii="Arial" w:hAnsi="Arial" w:eastAsia="黑体" w:cs="Times New Roman"/>
      <w:b/>
      <w:kern w:val="0"/>
      <w:sz w:val="24"/>
    </w:rPr>
  </w:style>
  <w:style w:type="paragraph" w:styleId="9">
    <w:name w:val="heading 7"/>
    <w:basedOn w:val="1"/>
    <w:next w:val="7"/>
    <w:link w:val="116"/>
    <w:qFormat/>
    <w:uiPriority w:val="0"/>
    <w:pPr>
      <w:keepNext/>
      <w:keepLines/>
      <w:numPr>
        <w:ilvl w:val="6"/>
        <w:numId w:val="1"/>
      </w:numPr>
      <w:spacing w:before="240" w:after="64" w:line="320" w:lineRule="auto"/>
      <w:outlineLvl w:val="6"/>
    </w:pPr>
    <w:rPr>
      <w:rFonts w:ascii="Times New Roman" w:hAnsi="Times New Roman" w:eastAsia="宋体" w:cs="Times New Roman"/>
      <w:b/>
      <w:kern w:val="0"/>
      <w:sz w:val="24"/>
    </w:rPr>
  </w:style>
  <w:style w:type="paragraph" w:styleId="10">
    <w:name w:val="heading 8"/>
    <w:basedOn w:val="1"/>
    <w:next w:val="1"/>
    <w:link w:val="80"/>
    <w:qFormat/>
    <w:uiPriority w:val="0"/>
    <w:pPr>
      <w:keepNext/>
      <w:keepLines/>
      <w:spacing w:before="240" w:after="64" w:line="320" w:lineRule="auto"/>
      <w:outlineLvl w:val="7"/>
    </w:pPr>
    <w:rPr>
      <w:rFonts w:ascii="微软雅黑" w:hAnsi="微软雅黑" w:eastAsia="微软雅黑" w:cs="Times New Roman"/>
      <w:sz w:val="24"/>
      <w:lang w:val="zh-CN"/>
    </w:rPr>
  </w:style>
  <w:style w:type="paragraph" w:styleId="11">
    <w:name w:val="heading 9"/>
    <w:basedOn w:val="1"/>
    <w:next w:val="7"/>
    <w:link w:val="122"/>
    <w:qFormat/>
    <w:uiPriority w:val="0"/>
    <w:pPr>
      <w:keepNext/>
      <w:keepLines/>
      <w:numPr>
        <w:ilvl w:val="8"/>
        <w:numId w:val="1"/>
      </w:numPr>
      <w:spacing w:before="240" w:after="64" w:line="320" w:lineRule="auto"/>
      <w:outlineLvl w:val="8"/>
    </w:pPr>
    <w:rPr>
      <w:rFonts w:ascii="Arial" w:hAnsi="Arial" w:eastAsia="黑体" w:cs="Times New Roman"/>
      <w:kern w:val="0"/>
      <w:sz w:val="20"/>
    </w:rPr>
  </w:style>
  <w:style w:type="character" w:default="1" w:styleId="51">
    <w:name w:val="Default Paragraph Font"/>
    <w:semiHidden/>
    <w:unhideWhenUsed/>
    <w:qFormat/>
    <w:uiPriority w:val="1"/>
  </w:style>
  <w:style w:type="table" w:default="1" w:styleId="4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7">
    <w:name w:val="Normal Indent"/>
    <w:basedOn w:val="1"/>
    <w:link w:val="160"/>
    <w:qFormat/>
    <w:uiPriority w:val="0"/>
    <w:pPr>
      <w:ind w:firstLine="420"/>
    </w:pPr>
    <w:rPr>
      <w:szCs w:val="20"/>
    </w:rPr>
  </w:style>
  <w:style w:type="paragraph" w:styleId="12">
    <w:name w:val="List Number 2"/>
    <w:basedOn w:val="1"/>
    <w:qFormat/>
    <w:uiPriority w:val="0"/>
    <w:pPr>
      <w:tabs>
        <w:tab w:val="left" w:pos="780"/>
      </w:tabs>
      <w:ind w:left="780" w:leftChars="200" w:hanging="360" w:hangingChars="200"/>
    </w:pPr>
    <w:rPr>
      <w:rFonts w:ascii="Times New Roman" w:hAnsi="Times New Roman" w:eastAsia="宋体" w:cs="Times New Roman"/>
    </w:rPr>
  </w:style>
  <w:style w:type="paragraph" w:styleId="13">
    <w:name w:val="List Bullet 4"/>
    <w:basedOn w:val="1"/>
    <w:qFormat/>
    <w:uiPriority w:val="0"/>
    <w:pPr>
      <w:tabs>
        <w:tab w:val="left" w:pos="987"/>
      </w:tabs>
      <w:ind w:left="987" w:hanging="420"/>
    </w:pPr>
    <w:rPr>
      <w:rFonts w:ascii="Times New Roman" w:hAnsi="Times New Roman" w:eastAsia="宋体" w:cs="Times New Roman"/>
      <w:szCs w:val="20"/>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35"/>
    <w:pPr>
      <w:spacing w:before="152"/>
    </w:pPr>
    <w:rPr>
      <w:rFonts w:ascii="Arial" w:hAnsi="Arial" w:eastAsia="黑体" w:cs="Arial"/>
      <w:sz w:val="20"/>
      <w:szCs w:val="20"/>
    </w:rPr>
  </w:style>
  <w:style w:type="paragraph" w:styleId="16">
    <w:name w:val="List Bullet"/>
    <w:basedOn w:val="1"/>
    <w:qFormat/>
    <w:uiPriority w:val="0"/>
    <w:pPr>
      <w:tabs>
        <w:tab w:val="left" w:pos="1200"/>
      </w:tabs>
      <w:spacing w:line="360" w:lineRule="auto"/>
      <w:ind w:left="1200" w:hanging="360"/>
    </w:pPr>
    <w:rPr>
      <w:rFonts w:ascii="Times New Roman" w:hAnsi="Times New Roman" w:eastAsia="宋体" w:cs="Times New Roman"/>
      <w:sz w:val="24"/>
    </w:rPr>
  </w:style>
  <w:style w:type="paragraph" w:styleId="17">
    <w:name w:val="Document Map"/>
    <w:basedOn w:val="1"/>
    <w:link w:val="200"/>
    <w:qFormat/>
    <w:uiPriority w:val="0"/>
    <w:pPr>
      <w:shd w:val="clear" w:color="auto" w:fill="000080"/>
    </w:pPr>
    <w:rPr>
      <w:rFonts w:ascii="宋体" w:hAnsi="Courier New"/>
      <w:kern w:val="0"/>
      <w:sz w:val="20"/>
      <w:szCs w:val="20"/>
      <w:shd w:val="clear" w:color="auto" w:fill="000080"/>
    </w:rPr>
  </w:style>
  <w:style w:type="paragraph" w:styleId="18">
    <w:name w:val="annotation text"/>
    <w:basedOn w:val="1"/>
    <w:link w:val="74"/>
    <w:qFormat/>
    <w:uiPriority w:val="0"/>
    <w:pPr>
      <w:jc w:val="left"/>
    </w:pPr>
    <w:rPr>
      <w:rFonts w:cs="Times New Roman"/>
      <w:lang w:val="zh-CN"/>
    </w:rPr>
  </w:style>
  <w:style w:type="paragraph" w:styleId="19">
    <w:name w:val="Salutation"/>
    <w:basedOn w:val="1"/>
    <w:next w:val="1"/>
    <w:link w:val="228"/>
    <w:qFormat/>
    <w:uiPriority w:val="0"/>
    <w:rPr>
      <w:rFonts w:ascii="Times New Roman" w:hAnsi="Times New Roman" w:eastAsia="宋体" w:cs="Times New Roman"/>
      <w:szCs w:val="20"/>
    </w:rPr>
  </w:style>
  <w:style w:type="paragraph" w:styleId="20">
    <w:name w:val="Body Text 3"/>
    <w:basedOn w:val="1"/>
    <w:link w:val="88"/>
    <w:unhideWhenUsed/>
    <w:qFormat/>
    <w:uiPriority w:val="0"/>
    <w:pPr>
      <w:spacing w:after="120"/>
    </w:pPr>
    <w:rPr>
      <w:rFonts w:cs="Times New Roman"/>
      <w:sz w:val="16"/>
      <w:szCs w:val="16"/>
      <w:lang w:val="zh-CN"/>
    </w:rPr>
  </w:style>
  <w:style w:type="paragraph" w:styleId="21">
    <w:name w:val="List Bullet 3"/>
    <w:basedOn w:val="1"/>
    <w:qFormat/>
    <w:uiPriority w:val="0"/>
    <w:pPr>
      <w:tabs>
        <w:tab w:val="left" w:pos="1200"/>
      </w:tabs>
      <w:ind w:left="1200" w:hanging="360"/>
    </w:pPr>
    <w:rPr>
      <w:rFonts w:ascii="Times New Roman" w:hAnsi="Times New Roman" w:eastAsia="宋体" w:cs="Times New Roman"/>
      <w:szCs w:val="20"/>
    </w:rPr>
  </w:style>
  <w:style w:type="paragraph" w:styleId="22">
    <w:name w:val="Body Text"/>
    <w:basedOn w:val="1"/>
    <w:next w:val="1"/>
    <w:link w:val="94"/>
    <w:unhideWhenUsed/>
    <w:qFormat/>
    <w:uiPriority w:val="0"/>
    <w:pPr>
      <w:spacing w:after="120"/>
    </w:pPr>
    <w:rPr>
      <w:rFonts w:cs="Times New Roman"/>
      <w:lang w:val="zh-CN"/>
    </w:rPr>
  </w:style>
  <w:style w:type="paragraph" w:styleId="23">
    <w:name w:val="Body Text Indent"/>
    <w:basedOn w:val="1"/>
    <w:next w:val="1"/>
    <w:link w:val="71"/>
    <w:qFormat/>
    <w:uiPriority w:val="99"/>
    <w:pPr>
      <w:ind w:firstLine="830" w:firstLineChars="352"/>
    </w:pPr>
    <w:rPr>
      <w:rFonts w:ascii="Calibri" w:eastAsia="Calibri" w:cs="Times New Roman"/>
      <w:kern w:val="0"/>
      <w:sz w:val="32"/>
      <w:szCs w:val="20"/>
      <w:lang w:val="zh-CN"/>
    </w:rPr>
  </w:style>
  <w:style w:type="paragraph" w:styleId="24">
    <w:name w:val="List Number 3"/>
    <w:basedOn w:val="1"/>
    <w:qFormat/>
    <w:uiPriority w:val="0"/>
    <w:pPr>
      <w:numPr>
        <w:ilvl w:val="0"/>
        <w:numId w:val="2"/>
      </w:numPr>
      <w:tabs>
        <w:tab w:val="left" w:pos="1200"/>
      </w:tabs>
    </w:pPr>
    <w:rPr>
      <w:rFonts w:ascii="Times New Roman" w:hAnsi="Times New Roman" w:eastAsia="宋体" w:cs="Times New Roman"/>
    </w:rPr>
  </w:style>
  <w:style w:type="paragraph" w:styleId="25">
    <w:name w:val="List 2"/>
    <w:basedOn w:val="1"/>
    <w:unhideWhenUsed/>
    <w:qFormat/>
    <w:uiPriority w:val="0"/>
    <w:pPr>
      <w:ind w:left="100" w:leftChars="200" w:hanging="200" w:hangingChars="200"/>
      <w:contextualSpacing/>
    </w:pPr>
  </w:style>
  <w:style w:type="paragraph" w:styleId="26">
    <w:name w:val="Block Text"/>
    <w:basedOn w:val="1"/>
    <w:qFormat/>
    <w:uiPriority w:val="0"/>
    <w:pPr>
      <w:autoSpaceDE w:val="0"/>
      <w:autoSpaceDN w:val="0"/>
      <w:adjustRightInd w:val="0"/>
      <w:spacing w:line="500" w:lineRule="exact"/>
      <w:ind w:left="391" w:right="246"/>
    </w:pPr>
    <w:rPr>
      <w:rFonts w:ascii="仿宋_GB2312" w:hAnsi="Times New Roman" w:eastAsia="仿宋_GB2312" w:cs="Times New Roman"/>
      <w:kern w:val="0"/>
      <w:sz w:val="24"/>
    </w:rPr>
  </w:style>
  <w:style w:type="paragraph" w:styleId="27">
    <w:name w:val="List Bullet 2"/>
    <w:basedOn w:val="1"/>
    <w:qFormat/>
    <w:uiPriority w:val="0"/>
    <w:pPr>
      <w:widowControl/>
      <w:tabs>
        <w:tab w:val="left" w:pos="1620"/>
      </w:tabs>
      <w:adjustRightInd w:val="0"/>
      <w:snapToGrid w:val="0"/>
      <w:spacing w:before="120" w:line="360" w:lineRule="auto"/>
      <w:ind w:left="1620" w:hanging="1620"/>
      <w:jc w:val="left"/>
    </w:pPr>
    <w:rPr>
      <w:rFonts w:ascii="宋体" w:hAnsi="宋体" w:eastAsia="宋体" w:cs="Times New Roman"/>
      <w:spacing w:val="-5"/>
      <w:kern w:val="0"/>
      <w:szCs w:val="20"/>
    </w:rPr>
  </w:style>
  <w:style w:type="paragraph" w:styleId="28">
    <w:name w:val="Plain Text"/>
    <w:basedOn w:val="1"/>
    <w:next w:val="1"/>
    <w:link w:val="89"/>
    <w:qFormat/>
    <w:uiPriority w:val="0"/>
    <w:rPr>
      <w:rFonts w:ascii="Calibri" w:hAnsi="Cambria" w:eastAsia="Calibri" w:cs="Times New Roman"/>
      <w:kern w:val="0"/>
      <w:sz w:val="20"/>
      <w:szCs w:val="21"/>
      <w:lang w:val="zh-CN"/>
    </w:rPr>
  </w:style>
  <w:style w:type="paragraph" w:styleId="29">
    <w:name w:val="Date"/>
    <w:basedOn w:val="1"/>
    <w:next w:val="1"/>
    <w:link w:val="76"/>
    <w:unhideWhenUsed/>
    <w:qFormat/>
    <w:uiPriority w:val="0"/>
    <w:pPr>
      <w:ind w:left="100" w:leftChars="2500"/>
    </w:pPr>
    <w:rPr>
      <w:rFonts w:cs="Times New Roman"/>
      <w:lang w:val="zh-CN"/>
    </w:rPr>
  </w:style>
  <w:style w:type="paragraph" w:styleId="30">
    <w:name w:val="Body Text Indent 2"/>
    <w:basedOn w:val="1"/>
    <w:link w:val="130"/>
    <w:qFormat/>
    <w:uiPriority w:val="0"/>
    <w:pPr>
      <w:ind w:firstLine="630"/>
    </w:pPr>
    <w:rPr>
      <w:kern w:val="0"/>
      <w:sz w:val="32"/>
      <w:szCs w:val="20"/>
    </w:rPr>
  </w:style>
  <w:style w:type="paragraph" w:styleId="31">
    <w:name w:val="endnote text"/>
    <w:basedOn w:val="1"/>
    <w:link w:val="135"/>
    <w:unhideWhenUsed/>
    <w:qFormat/>
    <w:uiPriority w:val="99"/>
    <w:pPr>
      <w:snapToGrid w:val="0"/>
      <w:jc w:val="left"/>
    </w:pPr>
  </w:style>
  <w:style w:type="paragraph" w:styleId="32">
    <w:name w:val="Balloon Text"/>
    <w:basedOn w:val="1"/>
    <w:link w:val="127"/>
    <w:qFormat/>
    <w:uiPriority w:val="0"/>
    <w:rPr>
      <w:sz w:val="18"/>
      <w:szCs w:val="18"/>
    </w:rPr>
  </w:style>
  <w:style w:type="paragraph" w:styleId="33">
    <w:name w:val="footer"/>
    <w:basedOn w:val="1"/>
    <w:link w:val="90"/>
    <w:unhideWhenUsed/>
    <w:qFormat/>
    <w:uiPriority w:val="99"/>
    <w:pPr>
      <w:tabs>
        <w:tab w:val="center" w:pos="4153"/>
        <w:tab w:val="right" w:pos="8306"/>
      </w:tabs>
      <w:snapToGrid w:val="0"/>
      <w:jc w:val="left"/>
    </w:pPr>
    <w:rPr>
      <w:rFonts w:cs="Times New Roman"/>
      <w:kern w:val="0"/>
      <w:sz w:val="18"/>
      <w:szCs w:val="18"/>
      <w:lang w:val="zh-CN"/>
    </w:rPr>
  </w:style>
  <w:style w:type="paragraph" w:styleId="34">
    <w:name w:val="header"/>
    <w:basedOn w:val="1"/>
    <w:link w:val="75"/>
    <w:unhideWhenUsed/>
    <w:qFormat/>
    <w:uiPriority w:val="0"/>
    <w:pPr>
      <w:pBdr>
        <w:bottom w:val="single" w:color="auto" w:sz="6" w:space="1"/>
      </w:pBdr>
      <w:tabs>
        <w:tab w:val="center" w:pos="4153"/>
        <w:tab w:val="right" w:pos="8306"/>
      </w:tabs>
      <w:snapToGrid w:val="0"/>
      <w:jc w:val="center"/>
    </w:pPr>
    <w:rPr>
      <w:rFonts w:cs="Times New Roman"/>
      <w:kern w:val="0"/>
      <w:sz w:val="18"/>
      <w:szCs w:val="18"/>
      <w:lang w:val="zh-CN"/>
    </w:rPr>
  </w:style>
  <w:style w:type="paragraph" w:styleId="35">
    <w:name w:val="toc 1"/>
    <w:basedOn w:val="1"/>
    <w:next w:val="1"/>
    <w:semiHidden/>
    <w:unhideWhenUsed/>
    <w:qFormat/>
    <w:uiPriority w:val="39"/>
  </w:style>
  <w:style w:type="paragraph" w:styleId="36">
    <w:name w:val="Subtitle"/>
    <w:basedOn w:val="1"/>
    <w:next w:val="1"/>
    <w:link w:val="158"/>
    <w:qFormat/>
    <w:uiPriority w:val="11"/>
    <w:pPr>
      <w:spacing w:before="240" w:after="60" w:line="312" w:lineRule="auto"/>
      <w:ind w:firstLine="200" w:firstLineChars="200"/>
      <w:jc w:val="center"/>
      <w:outlineLvl w:val="1"/>
    </w:pPr>
    <w:rPr>
      <w:rFonts w:ascii="Cambria" w:hAnsi="Cambria" w:eastAsia="方正小标宋简体" w:cs="Times New Roman"/>
      <w:b/>
      <w:bCs/>
      <w:kern w:val="28"/>
      <w:sz w:val="44"/>
      <w:szCs w:val="32"/>
    </w:rPr>
  </w:style>
  <w:style w:type="paragraph" w:styleId="37">
    <w:name w:val="List"/>
    <w:basedOn w:val="1"/>
    <w:qFormat/>
    <w:uiPriority w:val="0"/>
    <w:pPr>
      <w:ind w:left="200" w:hanging="200" w:hangingChars="200"/>
    </w:pPr>
    <w:rPr>
      <w:rFonts w:ascii="Times New Roman" w:hAnsi="Times New Roman" w:eastAsia="宋体" w:cs="Times New Roman"/>
      <w:sz w:val="28"/>
    </w:rPr>
  </w:style>
  <w:style w:type="paragraph" w:styleId="38">
    <w:name w:val="footnote text"/>
    <w:basedOn w:val="1"/>
    <w:link w:val="136"/>
    <w:unhideWhenUsed/>
    <w:qFormat/>
    <w:uiPriority w:val="0"/>
    <w:pPr>
      <w:snapToGrid w:val="0"/>
      <w:jc w:val="left"/>
    </w:pPr>
    <w:rPr>
      <w:sz w:val="18"/>
      <w:szCs w:val="18"/>
    </w:rPr>
  </w:style>
  <w:style w:type="paragraph" w:styleId="39">
    <w:name w:val="Body Text Indent 3"/>
    <w:basedOn w:val="1"/>
    <w:link w:val="117"/>
    <w:qFormat/>
    <w:uiPriority w:val="0"/>
    <w:pPr>
      <w:spacing w:after="120"/>
      <w:ind w:left="420" w:leftChars="200"/>
    </w:pPr>
    <w:rPr>
      <w:kern w:val="0"/>
      <w:sz w:val="16"/>
      <w:szCs w:val="16"/>
    </w:rPr>
  </w:style>
  <w:style w:type="paragraph" w:styleId="40">
    <w:name w:val="toc 2"/>
    <w:basedOn w:val="1"/>
    <w:next w:val="1"/>
    <w:semiHidden/>
    <w:unhideWhenUsed/>
    <w:qFormat/>
    <w:uiPriority w:val="39"/>
    <w:pPr>
      <w:ind w:left="420" w:leftChars="200"/>
    </w:pPr>
  </w:style>
  <w:style w:type="paragraph" w:styleId="41">
    <w:name w:val="Body Text 2"/>
    <w:basedOn w:val="1"/>
    <w:link w:val="134"/>
    <w:qFormat/>
    <w:uiPriority w:val="0"/>
    <w:pPr>
      <w:spacing w:after="120" w:line="480" w:lineRule="auto"/>
    </w:pPr>
    <w:rPr>
      <w:kern w:val="0"/>
      <w:sz w:val="20"/>
    </w:rPr>
  </w:style>
  <w:style w:type="paragraph" w:styleId="42">
    <w:name w:val="HTML Preformatted"/>
    <w:basedOn w:val="1"/>
    <w:link w:val="1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 w:val="20"/>
      <w:szCs w:val="21"/>
    </w:rPr>
  </w:style>
  <w:style w:type="paragraph" w:styleId="43">
    <w:name w:val="Normal (Web)"/>
    <w:basedOn w:val="1"/>
    <w:unhideWhenUsed/>
    <w:qFormat/>
    <w:uiPriority w:val="0"/>
    <w:rPr>
      <w:rFonts w:ascii="Cambria" w:hAnsi="Cambria" w:cs="Times New Roman"/>
      <w:kern w:val="0"/>
      <w:sz w:val="24"/>
    </w:rPr>
  </w:style>
  <w:style w:type="paragraph" w:styleId="44">
    <w:name w:val="index 1"/>
    <w:basedOn w:val="1"/>
    <w:next w:val="1"/>
    <w:semiHidden/>
    <w:qFormat/>
    <w:uiPriority w:val="0"/>
    <w:pPr>
      <w:spacing w:line="400" w:lineRule="exact"/>
      <w:ind w:firstLine="420" w:firstLineChars="200"/>
    </w:pPr>
    <w:rPr>
      <w:rFonts w:ascii="宋体" w:hAnsi="Courier New" w:eastAsia="宋体" w:cs="Times New Roman"/>
      <w:b/>
      <w:szCs w:val="20"/>
    </w:rPr>
  </w:style>
  <w:style w:type="paragraph" w:styleId="45">
    <w:name w:val="Title"/>
    <w:basedOn w:val="1"/>
    <w:next w:val="1"/>
    <w:link w:val="123"/>
    <w:qFormat/>
    <w:uiPriority w:val="0"/>
    <w:pPr>
      <w:spacing w:before="240" w:after="60"/>
      <w:jc w:val="center"/>
      <w:outlineLvl w:val="0"/>
    </w:pPr>
    <w:rPr>
      <w:rFonts w:ascii="Cambria" w:hAnsi="Cambria"/>
      <w:b/>
      <w:bCs/>
      <w:sz w:val="32"/>
      <w:szCs w:val="32"/>
    </w:rPr>
  </w:style>
  <w:style w:type="paragraph" w:styleId="46">
    <w:name w:val="annotation subject"/>
    <w:basedOn w:val="18"/>
    <w:next w:val="18"/>
    <w:link w:val="86"/>
    <w:qFormat/>
    <w:uiPriority w:val="0"/>
    <w:rPr>
      <w:b/>
      <w:bCs/>
    </w:rPr>
  </w:style>
  <w:style w:type="paragraph" w:styleId="47">
    <w:name w:val="Body Text First Indent"/>
    <w:basedOn w:val="22"/>
    <w:next w:val="1"/>
    <w:link w:val="367"/>
    <w:unhideWhenUsed/>
    <w:qFormat/>
    <w:uiPriority w:val="99"/>
    <w:pPr>
      <w:ind w:firstLine="420" w:firstLineChars="100"/>
    </w:pPr>
    <w:rPr>
      <w:rFonts w:ascii="Times New Roman" w:hAnsi="Times New Roman" w:eastAsia="宋体"/>
      <w:lang w:val="en-US"/>
    </w:rPr>
  </w:style>
  <w:style w:type="paragraph" w:styleId="48">
    <w:name w:val="Body Text First Indent 2"/>
    <w:basedOn w:val="23"/>
    <w:next w:val="47"/>
    <w:link w:val="368"/>
    <w:unhideWhenUsed/>
    <w:qFormat/>
    <w:uiPriority w:val="99"/>
    <w:pPr>
      <w:spacing w:after="120"/>
      <w:ind w:left="420" w:leftChars="200" w:firstLine="420" w:firstLineChars="200"/>
    </w:pPr>
    <w:rPr>
      <w:rFonts w:ascii="Times New Roman" w:hAnsi="Times New Roman" w:eastAsia="宋体"/>
      <w:kern w:val="2"/>
      <w:sz w:val="21"/>
      <w:szCs w:val="24"/>
      <w:lang w:val="en-US"/>
    </w:rPr>
  </w:style>
  <w:style w:type="table" w:styleId="50">
    <w:name w:val="Table Grid"/>
    <w:basedOn w:val="4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22"/>
    <w:rPr>
      <w:b/>
      <w:bCs/>
    </w:rPr>
  </w:style>
  <w:style w:type="character" w:styleId="53">
    <w:name w:val="endnote reference"/>
    <w:unhideWhenUsed/>
    <w:qFormat/>
    <w:uiPriority w:val="99"/>
    <w:rPr>
      <w:vertAlign w:val="superscript"/>
    </w:rPr>
  </w:style>
  <w:style w:type="character" w:styleId="54">
    <w:name w:val="page number"/>
    <w:basedOn w:val="51"/>
    <w:qFormat/>
    <w:uiPriority w:val="0"/>
  </w:style>
  <w:style w:type="character" w:styleId="55">
    <w:name w:val="FollowedHyperlink"/>
    <w:qFormat/>
    <w:uiPriority w:val="99"/>
    <w:rPr>
      <w:color w:val="800080"/>
      <w:u w:val="single"/>
    </w:rPr>
  </w:style>
  <w:style w:type="character" w:styleId="56">
    <w:name w:val="Emphasis"/>
    <w:qFormat/>
    <w:uiPriority w:val="0"/>
  </w:style>
  <w:style w:type="character" w:styleId="57">
    <w:name w:val="line number"/>
    <w:qFormat/>
    <w:uiPriority w:val="0"/>
    <w:rPr>
      <w:rFonts w:ascii="Verdana" w:hAnsi="Verdana"/>
      <w:kern w:val="0"/>
      <w:sz w:val="20"/>
      <w:szCs w:val="20"/>
      <w:lang w:eastAsia="en-US"/>
    </w:rPr>
  </w:style>
  <w:style w:type="character" w:styleId="58">
    <w:name w:val="HTML Definition"/>
    <w:qFormat/>
    <w:uiPriority w:val="0"/>
    <w:rPr>
      <w:rFonts w:ascii="Verdana" w:hAnsi="Verdana"/>
      <w:kern w:val="0"/>
      <w:sz w:val="20"/>
      <w:szCs w:val="20"/>
      <w:lang w:eastAsia="en-US"/>
    </w:rPr>
  </w:style>
  <w:style w:type="character" w:styleId="59">
    <w:name w:val="HTML Variable"/>
    <w:qFormat/>
    <w:uiPriority w:val="0"/>
    <w:rPr>
      <w:rFonts w:ascii="Verdana" w:hAnsi="Verdana"/>
      <w:kern w:val="0"/>
      <w:sz w:val="20"/>
      <w:szCs w:val="20"/>
      <w:lang w:eastAsia="en-US"/>
    </w:rPr>
  </w:style>
  <w:style w:type="character" w:styleId="60">
    <w:name w:val="Hyperlink"/>
    <w:unhideWhenUsed/>
    <w:qFormat/>
    <w:uiPriority w:val="99"/>
    <w:rPr>
      <w:color w:val="0000FF"/>
      <w:u w:val="single"/>
    </w:rPr>
  </w:style>
  <w:style w:type="character" w:styleId="61">
    <w:name w:val="HTML Code"/>
    <w:qFormat/>
    <w:uiPriority w:val="0"/>
    <w:rPr>
      <w:rFonts w:ascii="Courier New" w:hAnsi="Courier New"/>
      <w:kern w:val="0"/>
      <w:sz w:val="20"/>
      <w:szCs w:val="20"/>
      <w:lang w:eastAsia="en-US"/>
    </w:rPr>
  </w:style>
  <w:style w:type="character" w:styleId="62">
    <w:name w:val="annotation reference"/>
    <w:qFormat/>
    <w:uiPriority w:val="0"/>
    <w:rPr>
      <w:sz w:val="21"/>
      <w:szCs w:val="21"/>
    </w:rPr>
  </w:style>
  <w:style w:type="character" w:styleId="63">
    <w:name w:val="HTML Cite"/>
    <w:qFormat/>
    <w:uiPriority w:val="0"/>
    <w:rPr>
      <w:rFonts w:ascii="Verdana" w:hAnsi="Verdana"/>
      <w:kern w:val="0"/>
      <w:sz w:val="20"/>
      <w:szCs w:val="20"/>
      <w:lang w:eastAsia="en-US"/>
    </w:rPr>
  </w:style>
  <w:style w:type="character" w:styleId="64">
    <w:name w:val="footnote reference"/>
    <w:unhideWhenUsed/>
    <w:qFormat/>
    <w:uiPriority w:val="99"/>
    <w:rPr>
      <w:vertAlign w:val="superscript"/>
    </w:rPr>
  </w:style>
  <w:style w:type="paragraph" w:customStyle="1" w:styleId="65">
    <w:name w:val="Default"/>
    <w:next w:val="1"/>
    <w:qFormat/>
    <w:uiPriority w:val="0"/>
    <w:pPr>
      <w:widowControl w:val="0"/>
      <w:autoSpaceDE w:val="0"/>
      <w:autoSpaceDN w:val="0"/>
      <w:adjustRightInd w:val="0"/>
      <w:spacing w:after="160" w:line="278" w:lineRule="auto"/>
    </w:pPr>
    <w:rPr>
      <w:rFonts w:ascii="Arial" w:hAnsi="Arial" w:eastAsia="宋体" w:cs="Arial"/>
      <w:color w:val="000000"/>
      <w:sz w:val="24"/>
      <w:szCs w:val="24"/>
      <w:lang w:val="en-US" w:eastAsia="zh-CN" w:bidi="ar-SA"/>
    </w:rPr>
  </w:style>
  <w:style w:type="character" w:customStyle="1" w:styleId="66">
    <w:name w:val="标题 3 Char"/>
    <w:qFormat/>
    <w:uiPriority w:val="0"/>
    <w:rPr>
      <w:b/>
      <w:bCs/>
      <w:sz w:val="32"/>
      <w:szCs w:val="32"/>
    </w:rPr>
  </w:style>
  <w:style w:type="character" w:customStyle="1" w:styleId="67">
    <w:name w:val="标题 2 Char"/>
    <w:qFormat/>
    <w:uiPriority w:val="0"/>
    <w:rPr>
      <w:rFonts w:ascii="Cambria Math" w:hAnsi="Cambria Math" w:eastAsia="Calibri" w:cs="等线"/>
      <w:b/>
      <w:bCs/>
      <w:kern w:val="2"/>
      <w:sz w:val="32"/>
      <w:szCs w:val="32"/>
    </w:rPr>
  </w:style>
  <w:style w:type="character" w:customStyle="1" w:styleId="68">
    <w:name w:val="标题 5 Char"/>
    <w:qFormat/>
    <w:uiPriority w:val="0"/>
    <w:rPr>
      <w:b/>
      <w:sz w:val="28"/>
      <w:szCs w:val="24"/>
    </w:rPr>
  </w:style>
  <w:style w:type="character" w:customStyle="1" w:styleId="69">
    <w:name w:val="标题 1 Char"/>
    <w:qFormat/>
    <w:uiPriority w:val="99"/>
    <w:rPr>
      <w:b/>
      <w:bCs/>
      <w:kern w:val="44"/>
      <w:sz w:val="44"/>
      <w:szCs w:val="44"/>
    </w:rPr>
  </w:style>
  <w:style w:type="character" w:customStyle="1" w:styleId="70">
    <w:name w:val="标题 5 字符"/>
    <w:link w:val="6"/>
    <w:semiHidden/>
    <w:qFormat/>
    <w:uiPriority w:val="9"/>
    <w:rPr>
      <w:rFonts w:ascii="等线" w:hAnsi="等线"/>
      <w:b/>
      <w:bCs/>
      <w:kern w:val="2"/>
      <w:sz w:val="28"/>
      <w:szCs w:val="28"/>
    </w:rPr>
  </w:style>
  <w:style w:type="character" w:customStyle="1" w:styleId="71">
    <w:name w:val="正文文本缩进 字符"/>
    <w:link w:val="23"/>
    <w:qFormat/>
    <w:uiPriority w:val="99"/>
    <w:rPr>
      <w:rFonts w:ascii="Calibri" w:hAnsi="等线" w:eastAsia="Calibri" w:cs="等线"/>
      <w:sz w:val="32"/>
      <w:szCs w:val="20"/>
    </w:rPr>
  </w:style>
  <w:style w:type="character" w:customStyle="1" w:styleId="72">
    <w:name w:val="纯文本 字符2"/>
    <w:qFormat/>
    <w:uiPriority w:val="0"/>
    <w:rPr>
      <w:rFonts w:ascii="Calibri" w:hAnsi="Cambria" w:eastAsia="Calibri" w:cs="Cambria"/>
      <w:szCs w:val="21"/>
    </w:rPr>
  </w:style>
  <w:style w:type="character" w:customStyle="1" w:styleId="73">
    <w:name w:val="正文文本 字符"/>
    <w:qFormat/>
    <w:uiPriority w:val="99"/>
    <w:rPr>
      <w:rFonts w:ascii="等线" w:hAnsi="等线"/>
      <w:kern w:val="2"/>
      <w:sz w:val="21"/>
      <w:szCs w:val="24"/>
    </w:rPr>
  </w:style>
  <w:style w:type="character" w:customStyle="1" w:styleId="74">
    <w:name w:val="批注文字 字符3"/>
    <w:link w:val="18"/>
    <w:qFormat/>
    <w:uiPriority w:val="0"/>
    <w:rPr>
      <w:rFonts w:ascii="等线" w:hAnsi="等线"/>
      <w:kern w:val="2"/>
      <w:sz w:val="21"/>
      <w:szCs w:val="24"/>
    </w:rPr>
  </w:style>
  <w:style w:type="character" w:customStyle="1" w:styleId="75">
    <w:name w:val="页眉 字符"/>
    <w:link w:val="34"/>
    <w:qFormat/>
    <w:uiPriority w:val="99"/>
    <w:rPr>
      <w:sz w:val="18"/>
      <w:szCs w:val="18"/>
    </w:rPr>
  </w:style>
  <w:style w:type="character" w:customStyle="1" w:styleId="76">
    <w:name w:val="日期 字符"/>
    <w:link w:val="29"/>
    <w:semiHidden/>
    <w:qFormat/>
    <w:uiPriority w:val="99"/>
    <w:rPr>
      <w:rFonts w:ascii="等线" w:hAnsi="等线"/>
      <w:kern w:val="2"/>
      <w:sz w:val="21"/>
      <w:szCs w:val="24"/>
    </w:rPr>
  </w:style>
  <w:style w:type="character" w:customStyle="1" w:styleId="77">
    <w:name w:val="纯文本 Char"/>
    <w:qFormat/>
    <w:uiPriority w:val="0"/>
    <w:rPr>
      <w:rFonts w:ascii="Calibri" w:hAnsi="Cambria" w:eastAsia="Calibri" w:cs="Cambria"/>
      <w:szCs w:val="21"/>
    </w:rPr>
  </w:style>
  <w:style w:type="character" w:customStyle="1" w:styleId="78">
    <w:name w:val="apple-style-span"/>
    <w:qFormat/>
    <w:uiPriority w:val="0"/>
  </w:style>
  <w:style w:type="character" w:customStyle="1" w:styleId="79">
    <w:name w:val="正文文本 (26) + 间距 0 pt"/>
    <w:qFormat/>
    <w:uiPriority w:val="0"/>
    <w:rPr>
      <w:rFonts w:ascii="Calibri" w:hAnsi="Calibri" w:eastAsia="Calibri" w:cs="Calibri"/>
      <w:color w:val="000000"/>
      <w:spacing w:val="0"/>
      <w:w w:val="100"/>
      <w:position w:val="0"/>
      <w:sz w:val="22"/>
      <w:szCs w:val="22"/>
      <w:u w:val="none"/>
      <w:lang w:val="zh-CN" w:eastAsia="zh-CN" w:bidi="zh-CN"/>
    </w:rPr>
  </w:style>
  <w:style w:type="character" w:customStyle="1" w:styleId="80">
    <w:name w:val="标题 8 字符"/>
    <w:link w:val="10"/>
    <w:semiHidden/>
    <w:qFormat/>
    <w:uiPriority w:val="9"/>
    <w:rPr>
      <w:rFonts w:ascii="微软雅黑" w:hAnsi="微软雅黑" w:eastAsia="微软雅黑" w:cs="等线"/>
      <w:kern w:val="2"/>
      <w:sz w:val="24"/>
      <w:szCs w:val="24"/>
    </w:rPr>
  </w:style>
  <w:style w:type="character" w:customStyle="1" w:styleId="81">
    <w:name w:val="标题 8 Char"/>
    <w:qFormat/>
    <w:uiPriority w:val="0"/>
    <w:rPr>
      <w:rFonts w:ascii="等线 Light" w:hAnsi="等线 Light" w:eastAsia="微软雅黑"/>
      <w:kern w:val="2"/>
      <w:sz w:val="24"/>
      <w:szCs w:val="24"/>
    </w:rPr>
  </w:style>
  <w:style w:type="character" w:customStyle="1" w:styleId="82">
    <w:name w:val="批注文字 Char"/>
    <w:qFormat/>
    <w:uiPriority w:val="0"/>
    <w:rPr>
      <w:rFonts w:ascii="等线" w:hAnsi="等线"/>
      <w:kern w:val="2"/>
      <w:sz w:val="21"/>
      <w:szCs w:val="24"/>
    </w:rPr>
  </w:style>
  <w:style w:type="character" w:customStyle="1" w:styleId="83">
    <w:name w:val="批注文字 字符"/>
    <w:qFormat/>
    <w:uiPriority w:val="0"/>
    <w:rPr>
      <w:rFonts w:ascii="等线" w:hAnsi="等线"/>
      <w:kern w:val="2"/>
      <w:sz w:val="21"/>
      <w:szCs w:val="24"/>
    </w:rPr>
  </w:style>
  <w:style w:type="character" w:customStyle="1" w:styleId="84">
    <w:name w:val="批注文字 Char1"/>
    <w:semiHidden/>
    <w:qFormat/>
    <w:locked/>
    <w:uiPriority w:val="0"/>
    <w:rPr>
      <w:kern w:val="2"/>
      <w:sz w:val="21"/>
      <w:szCs w:val="24"/>
    </w:rPr>
  </w:style>
  <w:style w:type="character" w:customStyle="1" w:styleId="85">
    <w:name w:val="批注文字 字符1"/>
    <w:qFormat/>
    <w:uiPriority w:val="0"/>
    <w:rPr>
      <w:rFonts w:ascii="等线" w:hAnsi="等线"/>
      <w:kern w:val="2"/>
      <w:sz w:val="21"/>
      <w:szCs w:val="24"/>
    </w:rPr>
  </w:style>
  <w:style w:type="character" w:customStyle="1" w:styleId="86">
    <w:name w:val="批注主题 字符"/>
    <w:link w:val="46"/>
    <w:qFormat/>
    <w:uiPriority w:val="99"/>
    <w:rPr>
      <w:rFonts w:ascii="等线" w:hAnsi="等线"/>
      <w:b/>
      <w:bCs/>
      <w:kern w:val="2"/>
      <w:sz w:val="21"/>
      <w:szCs w:val="24"/>
    </w:rPr>
  </w:style>
  <w:style w:type="character" w:customStyle="1" w:styleId="87">
    <w:name w:val="标题 1 字符1"/>
    <w:qFormat/>
    <w:uiPriority w:val="0"/>
    <w:rPr>
      <w:b/>
      <w:bCs/>
      <w:kern w:val="44"/>
      <w:sz w:val="44"/>
      <w:szCs w:val="44"/>
    </w:rPr>
  </w:style>
  <w:style w:type="character" w:customStyle="1" w:styleId="88">
    <w:name w:val="正文文本 3 字符"/>
    <w:link w:val="20"/>
    <w:semiHidden/>
    <w:qFormat/>
    <w:uiPriority w:val="99"/>
    <w:rPr>
      <w:kern w:val="2"/>
      <w:sz w:val="16"/>
      <w:szCs w:val="16"/>
    </w:rPr>
  </w:style>
  <w:style w:type="character" w:customStyle="1" w:styleId="89">
    <w:name w:val="纯文本 字符3"/>
    <w:link w:val="28"/>
    <w:qFormat/>
    <w:uiPriority w:val="0"/>
    <w:rPr>
      <w:rFonts w:ascii="Calibri" w:hAnsi="Cambria" w:eastAsia="Calibri" w:cs="Cambria"/>
      <w:szCs w:val="21"/>
    </w:rPr>
  </w:style>
  <w:style w:type="character" w:customStyle="1" w:styleId="90">
    <w:name w:val="页脚 字符"/>
    <w:link w:val="33"/>
    <w:qFormat/>
    <w:uiPriority w:val="99"/>
    <w:rPr>
      <w:sz w:val="18"/>
      <w:szCs w:val="18"/>
    </w:rPr>
  </w:style>
  <w:style w:type="character" w:customStyle="1" w:styleId="91">
    <w:name w:val="textcontents"/>
    <w:qFormat/>
    <w:uiPriority w:val="0"/>
  </w:style>
  <w:style w:type="character" w:customStyle="1" w:styleId="92">
    <w:name w:val="批注文字 Char2"/>
    <w:qFormat/>
    <w:uiPriority w:val="0"/>
    <w:rPr>
      <w:rFonts w:ascii="等线" w:hAnsi="等线"/>
      <w:kern w:val="2"/>
      <w:sz w:val="21"/>
      <w:szCs w:val="24"/>
    </w:rPr>
  </w:style>
  <w:style w:type="character" w:customStyle="1" w:styleId="93">
    <w:name w:val="页脚 Char"/>
    <w:qFormat/>
    <w:uiPriority w:val="99"/>
    <w:rPr>
      <w:kern w:val="2"/>
      <w:sz w:val="18"/>
      <w:szCs w:val="18"/>
    </w:rPr>
  </w:style>
  <w:style w:type="character" w:customStyle="1" w:styleId="94">
    <w:name w:val="正文文本 字符1"/>
    <w:link w:val="22"/>
    <w:qFormat/>
    <w:uiPriority w:val="0"/>
    <w:rPr>
      <w:rFonts w:ascii="等线" w:hAnsi="等线"/>
      <w:kern w:val="2"/>
      <w:sz w:val="21"/>
      <w:szCs w:val="24"/>
    </w:rPr>
  </w:style>
  <w:style w:type="character" w:customStyle="1" w:styleId="95">
    <w:name w:val="正文文本 Char"/>
    <w:qFormat/>
    <w:uiPriority w:val="0"/>
    <w:rPr>
      <w:rFonts w:ascii="等线" w:hAnsi="等线"/>
      <w:kern w:val="2"/>
      <w:sz w:val="21"/>
      <w:szCs w:val="24"/>
    </w:rPr>
  </w:style>
  <w:style w:type="character" w:customStyle="1" w:styleId="96">
    <w:name w:val="纯文本 字符"/>
    <w:qFormat/>
    <w:uiPriority w:val="99"/>
    <w:rPr>
      <w:rFonts w:ascii="Calibri" w:hAnsi="Cambria" w:eastAsia="Calibri" w:cs="Cambria"/>
      <w:szCs w:val="21"/>
    </w:rPr>
  </w:style>
  <w:style w:type="character" w:customStyle="1" w:styleId="97">
    <w:name w:val="正文2 Char Char"/>
    <w:link w:val="98"/>
    <w:qFormat/>
    <w:uiPriority w:val="0"/>
    <w:rPr>
      <w:kern w:val="2"/>
      <w:sz w:val="24"/>
    </w:rPr>
  </w:style>
  <w:style w:type="paragraph" w:customStyle="1" w:styleId="98">
    <w:name w:val="正文2"/>
    <w:basedOn w:val="1"/>
    <w:link w:val="97"/>
    <w:qFormat/>
    <w:uiPriority w:val="0"/>
    <w:pPr>
      <w:adjustRightInd w:val="0"/>
      <w:spacing w:before="156" w:line="360" w:lineRule="auto"/>
      <w:ind w:firstLine="510" w:firstLineChars="200"/>
    </w:pPr>
    <w:rPr>
      <w:rFonts w:cs="Times New Roman"/>
      <w:sz w:val="24"/>
      <w:szCs w:val="20"/>
      <w:lang w:val="zh-CN"/>
    </w:rPr>
  </w:style>
  <w:style w:type="character" w:customStyle="1" w:styleId="99">
    <w:name w:val="标题 1 字符"/>
    <w:link w:val="2"/>
    <w:qFormat/>
    <w:uiPriority w:val="99"/>
    <w:rPr>
      <w:b/>
      <w:bCs/>
      <w:kern w:val="44"/>
      <w:sz w:val="44"/>
      <w:szCs w:val="44"/>
    </w:rPr>
  </w:style>
  <w:style w:type="character" w:customStyle="1" w:styleId="100">
    <w:name w:val="纯文本 字符1"/>
    <w:qFormat/>
    <w:uiPriority w:val="0"/>
    <w:rPr>
      <w:rFonts w:ascii="Calibri" w:hAnsi="Cambria"/>
    </w:rPr>
  </w:style>
  <w:style w:type="character" w:customStyle="1" w:styleId="101">
    <w:name w:val="标题 2 字符"/>
    <w:link w:val="3"/>
    <w:qFormat/>
    <w:uiPriority w:val="0"/>
    <w:rPr>
      <w:rFonts w:ascii="Cambria Math" w:hAnsi="Cambria Math" w:eastAsia="Calibri" w:cs="等线"/>
      <w:b/>
      <w:bCs/>
      <w:kern w:val="2"/>
      <w:sz w:val="32"/>
      <w:szCs w:val="32"/>
    </w:rPr>
  </w:style>
  <w:style w:type="character" w:customStyle="1" w:styleId="102">
    <w:name w:val="未处理的提及1"/>
    <w:unhideWhenUsed/>
    <w:qFormat/>
    <w:uiPriority w:val="99"/>
    <w:rPr>
      <w:color w:val="605E5C"/>
      <w:shd w:val="clear" w:color="auto" w:fill="E1DFDD"/>
    </w:rPr>
  </w:style>
  <w:style w:type="character" w:customStyle="1" w:styleId="103">
    <w:name w:val="批注文字 字符2"/>
    <w:qFormat/>
    <w:uiPriority w:val="0"/>
    <w:rPr>
      <w:kern w:val="2"/>
      <w:sz w:val="21"/>
      <w:szCs w:val="24"/>
    </w:rPr>
  </w:style>
  <w:style w:type="paragraph" w:customStyle="1" w:styleId="104">
    <w:name w:val="目录 21"/>
    <w:basedOn w:val="1"/>
    <w:next w:val="1"/>
    <w:unhideWhenUsed/>
    <w:qFormat/>
    <w:uiPriority w:val="39"/>
    <w:pPr>
      <w:tabs>
        <w:tab w:val="right" w:leader="dot" w:pos="8296"/>
      </w:tabs>
      <w:ind w:left="420" w:leftChars="200"/>
    </w:pPr>
  </w:style>
  <w:style w:type="paragraph" w:customStyle="1" w:styleId="105">
    <w:name w:val="目录 11"/>
    <w:basedOn w:val="1"/>
    <w:next w:val="1"/>
    <w:unhideWhenUsed/>
    <w:qFormat/>
    <w:uiPriority w:val="39"/>
  </w:style>
  <w:style w:type="paragraph" w:customStyle="1" w:styleId="106">
    <w:name w:val="修订1"/>
    <w:unhideWhenUsed/>
    <w:qFormat/>
    <w:uiPriority w:val="99"/>
    <w:pPr>
      <w:spacing w:after="160" w:line="278" w:lineRule="auto"/>
    </w:pPr>
    <w:rPr>
      <w:rFonts w:ascii="等线" w:hAnsi="等线" w:eastAsia="等线" w:cs="等线"/>
      <w:kern w:val="2"/>
      <w:sz w:val="21"/>
      <w:szCs w:val="24"/>
      <w:lang w:val="en-US" w:eastAsia="zh-CN" w:bidi="ar-SA"/>
    </w:rPr>
  </w:style>
  <w:style w:type="paragraph" w:customStyle="1" w:styleId="107">
    <w:name w:val="列出段落1"/>
    <w:basedOn w:val="1"/>
    <w:qFormat/>
    <w:uiPriority w:val="34"/>
    <w:pPr>
      <w:ind w:firstLine="420" w:firstLineChars="200"/>
    </w:pPr>
  </w:style>
  <w:style w:type="paragraph" w:customStyle="1" w:styleId="108">
    <w:name w:val="默认段落字体 Para Char Char Char Char Char Char Char Char Char1 Char Char Char Char"/>
    <w:basedOn w:val="1"/>
    <w:qFormat/>
    <w:uiPriority w:val="0"/>
    <w:rPr>
      <w:rFonts w:ascii="等线 Light" w:hAnsi="等线 Light"/>
      <w:sz w:val="24"/>
      <w:szCs w:val="20"/>
    </w:rPr>
  </w:style>
  <w:style w:type="paragraph" w:customStyle="1" w:styleId="109">
    <w:name w:val="Table Paragraph"/>
    <w:basedOn w:val="1"/>
    <w:qFormat/>
    <w:uiPriority w:val="1"/>
    <w:pPr>
      <w:jc w:val="left"/>
    </w:pPr>
    <w:rPr>
      <w:rFonts w:ascii="Cambria" w:hAnsi="Cambria"/>
      <w:kern w:val="0"/>
      <w:sz w:val="22"/>
      <w:szCs w:val="22"/>
      <w:lang w:eastAsia="en-US"/>
    </w:rPr>
  </w:style>
  <w:style w:type="paragraph" w:customStyle="1" w:styleId="110">
    <w:name w:val="表内文字"/>
    <w:basedOn w:val="1"/>
    <w:qFormat/>
    <w:uiPriority w:val="0"/>
    <w:pPr>
      <w:snapToGrid w:val="0"/>
      <w:spacing w:before="50" w:after="50"/>
      <w:jc w:val="center"/>
    </w:pPr>
    <w:rPr>
      <w:rFonts w:ascii="Calibri" w:hAnsi="Calibri" w:eastAsia="Calibri"/>
      <w:b/>
      <w:color w:val="000000"/>
      <w:sz w:val="32"/>
      <w:szCs w:val="32"/>
    </w:rPr>
  </w:style>
  <w:style w:type="character" w:customStyle="1" w:styleId="111">
    <w:name w:val="标题 3 字符"/>
    <w:basedOn w:val="51"/>
    <w:link w:val="4"/>
    <w:semiHidden/>
    <w:qFormat/>
    <w:uiPriority w:val="9"/>
    <w:rPr>
      <w:b/>
      <w:bCs/>
      <w:kern w:val="2"/>
      <w:sz w:val="32"/>
      <w:szCs w:val="32"/>
    </w:rPr>
  </w:style>
  <w:style w:type="character" w:customStyle="1" w:styleId="112">
    <w:name w:val="标题 4 字符"/>
    <w:basedOn w:val="51"/>
    <w:semiHidden/>
    <w:qFormat/>
    <w:uiPriority w:val="9"/>
    <w:rPr>
      <w:rFonts w:asciiTheme="majorHAnsi" w:hAnsiTheme="majorHAnsi" w:eastAsiaTheme="majorEastAsia" w:cstheme="majorBidi"/>
      <w:b/>
      <w:bCs/>
      <w:kern w:val="2"/>
      <w:sz w:val="28"/>
      <w:szCs w:val="28"/>
    </w:rPr>
  </w:style>
  <w:style w:type="character" w:customStyle="1" w:styleId="113">
    <w:name w:val="标题 6 字符"/>
    <w:basedOn w:val="51"/>
    <w:semiHidden/>
    <w:qFormat/>
    <w:uiPriority w:val="9"/>
    <w:rPr>
      <w:rFonts w:asciiTheme="majorHAnsi" w:hAnsiTheme="majorHAnsi" w:eastAsiaTheme="majorEastAsia" w:cstheme="majorBidi"/>
      <w:b/>
      <w:bCs/>
      <w:kern w:val="2"/>
      <w:sz w:val="24"/>
      <w:szCs w:val="24"/>
    </w:rPr>
  </w:style>
  <w:style w:type="character" w:customStyle="1" w:styleId="114">
    <w:name w:val="标题 7 字符"/>
    <w:basedOn w:val="51"/>
    <w:semiHidden/>
    <w:qFormat/>
    <w:uiPriority w:val="9"/>
    <w:rPr>
      <w:b/>
      <w:bCs/>
      <w:kern w:val="2"/>
      <w:sz w:val="24"/>
      <w:szCs w:val="24"/>
    </w:rPr>
  </w:style>
  <w:style w:type="character" w:customStyle="1" w:styleId="115">
    <w:name w:val="标题 9 字符"/>
    <w:basedOn w:val="51"/>
    <w:semiHidden/>
    <w:qFormat/>
    <w:uiPriority w:val="9"/>
    <w:rPr>
      <w:rFonts w:asciiTheme="majorHAnsi" w:hAnsiTheme="majorHAnsi" w:eastAsiaTheme="majorEastAsia" w:cstheme="majorBidi"/>
      <w:kern w:val="2"/>
      <w:sz w:val="21"/>
      <w:szCs w:val="21"/>
    </w:rPr>
  </w:style>
  <w:style w:type="character" w:customStyle="1" w:styleId="116">
    <w:name w:val="标题 7 字符1"/>
    <w:link w:val="9"/>
    <w:qFormat/>
    <w:uiPriority w:val="0"/>
    <w:rPr>
      <w:rFonts w:ascii="Times New Roman" w:hAnsi="Times New Roman" w:eastAsia="宋体" w:cs="Times New Roman"/>
      <w:b/>
      <w:sz w:val="24"/>
      <w:szCs w:val="24"/>
    </w:rPr>
  </w:style>
  <w:style w:type="character" w:customStyle="1" w:styleId="117">
    <w:name w:val="正文文本缩进 3 字符1"/>
    <w:link w:val="39"/>
    <w:qFormat/>
    <w:uiPriority w:val="0"/>
    <w:rPr>
      <w:sz w:val="16"/>
      <w:szCs w:val="16"/>
    </w:rPr>
  </w:style>
  <w:style w:type="character" w:customStyle="1" w:styleId="118">
    <w:name w:val="页脚 Char1"/>
    <w:semiHidden/>
    <w:qFormat/>
    <w:uiPriority w:val="99"/>
    <w:rPr>
      <w:rFonts w:ascii="Times New Roman" w:hAnsi="Times New Roman"/>
      <w:kern w:val="2"/>
      <w:sz w:val="18"/>
      <w:szCs w:val="18"/>
    </w:rPr>
  </w:style>
  <w:style w:type="character" w:customStyle="1" w:styleId="119">
    <w:name w:val="页眉 Char1"/>
    <w:semiHidden/>
    <w:qFormat/>
    <w:uiPriority w:val="99"/>
    <w:rPr>
      <w:rFonts w:ascii="Times New Roman" w:hAnsi="Times New Roman"/>
      <w:kern w:val="2"/>
      <w:sz w:val="18"/>
      <w:szCs w:val="18"/>
    </w:rPr>
  </w:style>
  <w:style w:type="character" w:customStyle="1" w:styleId="120">
    <w:name w:val="纯文本 Char1"/>
    <w:qFormat/>
    <w:uiPriority w:val="0"/>
    <w:rPr>
      <w:rFonts w:ascii="宋体" w:hAnsi="Courier New" w:cs="Courier New"/>
      <w:kern w:val="2"/>
      <w:sz w:val="21"/>
      <w:szCs w:val="21"/>
    </w:rPr>
  </w:style>
  <w:style w:type="character" w:customStyle="1" w:styleId="121">
    <w:name w:val="批注框文本 Char1"/>
    <w:semiHidden/>
    <w:qFormat/>
    <w:uiPriority w:val="99"/>
    <w:rPr>
      <w:rFonts w:ascii="Times New Roman" w:hAnsi="Times New Roman"/>
      <w:kern w:val="2"/>
      <w:sz w:val="18"/>
      <w:szCs w:val="18"/>
    </w:rPr>
  </w:style>
  <w:style w:type="character" w:customStyle="1" w:styleId="122">
    <w:name w:val="标题 9 字符1"/>
    <w:link w:val="11"/>
    <w:qFormat/>
    <w:uiPriority w:val="0"/>
    <w:rPr>
      <w:rFonts w:ascii="Arial" w:hAnsi="Arial" w:eastAsia="黑体" w:cs="Times New Roman"/>
      <w:szCs w:val="24"/>
    </w:rPr>
  </w:style>
  <w:style w:type="character" w:customStyle="1" w:styleId="123">
    <w:name w:val="标题 字符1"/>
    <w:link w:val="45"/>
    <w:qFormat/>
    <w:uiPriority w:val="0"/>
    <w:rPr>
      <w:rFonts w:ascii="Cambria" w:hAnsi="Cambria"/>
      <w:b/>
      <w:bCs/>
      <w:kern w:val="2"/>
      <w:sz w:val="32"/>
      <w:szCs w:val="32"/>
    </w:rPr>
  </w:style>
  <w:style w:type="character" w:customStyle="1" w:styleId="124">
    <w:name w:val="标题 6 字符1"/>
    <w:link w:val="8"/>
    <w:qFormat/>
    <w:uiPriority w:val="0"/>
    <w:rPr>
      <w:rFonts w:ascii="Arial" w:hAnsi="Arial" w:eastAsia="黑体" w:cs="Times New Roman"/>
      <w:b/>
      <w:sz w:val="24"/>
      <w:szCs w:val="24"/>
    </w:rPr>
  </w:style>
  <w:style w:type="character" w:customStyle="1" w:styleId="125">
    <w:name w:val="正文文本 3 Char"/>
    <w:qFormat/>
    <w:uiPriority w:val="0"/>
    <w:rPr>
      <w:b/>
      <w:bCs/>
      <w:sz w:val="24"/>
      <w:szCs w:val="24"/>
    </w:rPr>
  </w:style>
  <w:style w:type="character" w:customStyle="1" w:styleId="126">
    <w:name w:val="case31"/>
    <w:qFormat/>
    <w:uiPriority w:val="0"/>
    <w:rPr>
      <w:rFonts w:hint="default"/>
      <w:sz w:val="21"/>
      <w:szCs w:val="21"/>
    </w:rPr>
  </w:style>
  <w:style w:type="character" w:customStyle="1" w:styleId="127">
    <w:name w:val="批注框文本 字符1"/>
    <w:link w:val="32"/>
    <w:qFormat/>
    <w:uiPriority w:val="0"/>
    <w:rPr>
      <w:kern w:val="2"/>
      <w:sz w:val="18"/>
      <w:szCs w:val="18"/>
    </w:rPr>
  </w:style>
  <w:style w:type="character" w:customStyle="1" w:styleId="128">
    <w:name w:val="lemmatitleh11"/>
    <w:basedOn w:val="51"/>
    <w:qFormat/>
    <w:uiPriority w:val="0"/>
  </w:style>
  <w:style w:type="character" w:customStyle="1" w:styleId="129">
    <w:name w:val="页眉 Char"/>
    <w:qFormat/>
    <w:uiPriority w:val="0"/>
    <w:rPr>
      <w:kern w:val="2"/>
      <w:sz w:val="18"/>
      <w:szCs w:val="18"/>
    </w:rPr>
  </w:style>
  <w:style w:type="character" w:customStyle="1" w:styleId="130">
    <w:name w:val="正文文本缩进 2 字符1"/>
    <w:link w:val="30"/>
    <w:qFormat/>
    <w:uiPriority w:val="0"/>
    <w:rPr>
      <w:sz w:val="32"/>
    </w:rPr>
  </w:style>
  <w:style w:type="character" w:customStyle="1" w:styleId="131">
    <w:name w:val="批注主题 Char"/>
    <w:qFormat/>
    <w:uiPriority w:val="0"/>
    <w:rPr>
      <w:b/>
      <w:bCs/>
      <w:kern w:val="2"/>
      <w:sz w:val="21"/>
      <w:szCs w:val="24"/>
    </w:rPr>
  </w:style>
  <w:style w:type="character" w:customStyle="1" w:styleId="132">
    <w:name w:val="日期 Char"/>
    <w:qFormat/>
    <w:uiPriority w:val="0"/>
    <w:rPr>
      <w:rFonts w:ascii="宋体" w:hAnsi="Courier New" w:cs="Courier New"/>
      <w:szCs w:val="21"/>
    </w:rPr>
  </w:style>
  <w:style w:type="character" w:customStyle="1" w:styleId="133">
    <w:name w:val="正文文本缩进 Char"/>
    <w:qFormat/>
    <w:uiPriority w:val="0"/>
    <w:rPr>
      <w:rFonts w:ascii="仿宋_GB2312" w:eastAsia="仿宋_GB2312"/>
      <w:sz w:val="32"/>
    </w:rPr>
  </w:style>
  <w:style w:type="character" w:customStyle="1" w:styleId="134">
    <w:name w:val="正文文本 2 字符1"/>
    <w:link w:val="41"/>
    <w:qFormat/>
    <w:uiPriority w:val="0"/>
    <w:rPr>
      <w:szCs w:val="24"/>
    </w:rPr>
  </w:style>
  <w:style w:type="character" w:customStyle="1" w:styleId="135">
    <w:name w:val="尾注文本 字符1"/>
    <w:link w:val="31"/>
    <w:qFormat/>
    <w:uiPriority w:val="99"/>
    <w:rPr>
      <w:kern w:val="2"/>
      <w:sz w:val="21"/>
      <w:szCs w:val="24"/>
    </w:rPr>
  </w:style>
  <w:style w:type="character" w:customStyle="1" w:styleId="136">
    <w:name w:val="脚注文本 字符1"/>
    <w:link w:val="38"/>
    <w:qFormat/>
    <w:uiPriority w:val="0"/>
    <w:rPr>
      <w:kern w:val="2"/>
      <w:sz w:val="18"/>
      <w:szCs w:val="18"/>
    </w:rPr>
  </w:style>
  <w:style w:type="character" w:customStyle="1" w:styleId="137">
    <w:name w:val="标题 字符"/>
    <w:basedOn w:val="51"/>
    <w:qFormat/>
    <w:uiPriority w:val="10"/>
    <w:rPr>
      <w:rFonts w:asciiTheme="majorHAnsi" w:hAnsiTheme="majorHAnsi" w:eastAsiaTheme="majorEastAsia" w:cstheme="majorBidi"/>
      <w:b/>
      <w:bCs/>
      <w:kern w:val="2"/>
      <w:sz w:val="32"/>
      <w:szCs w:val="32"/>
    </w:rPr>
  </w:style>
  <w:style w:type="paragraph" w:customStyle="1" w:styleId="138">
    <w:name w:val="2"/>
    <w:basedOn w:val="23"/>
    <w:next w:val="48"/>
    <w:link w:val="230"/>
    <w:qFormat/>
    <w:uiPriority w:val="0"/>
    <w:pPr>
      <w:tabs>
        <w:tab w:val="left" w:pos="1680"/>
      </w:tabs>
      <w:spacing w:after="120"/>
      <w:ind w:left="420" w:leftChars="200" w:firstLine="420" w:firstLineChars="200"/>
    </w:pPr>
    <w:rPr>
      <w:rFonts w:ascii="仿宋_GB2312" w:hAnsi="Calibri" w:eastAsia="仿宋_GB2312"/>
      <w:kern w:val="2"/>
      <w:sz w:val="21"/>
      <w:szCs w:val="22"/>
      <w:lang w:val="en-US"/>
    </w:rPr>
  </w:style>
  <w:style w:type="character" w:customStyle="1" w:styleId="139">
    <w:name w:val="正文文本 2 字符"/>
    <w:basedOn w:val="51"/>
    <w:semiHidden/>
    <w:qFormat/>
    <w:uiPriority w:val="99"/>
    <w:rPr>
      <w:kern w:val="2"/>
      <w:sz w:val="21"/>
      <w:szCs w:val="24"/>
    </w:rPr>
  </w:style>
  <w:style w:type="character" w:customStyle="1" w:styleId="140">
    <w:name w:val="尾注文本 字符"/>
    <w:basedOn w:val="51"/>
    <w:semiHidden/>
    <w:qFormat/>
    <w:uiPriority w:val="99"/>
    <w:rPr>
      <w:kern w:val="2"/>
      <w:sz w:val="21"/>
      <w:szCs w:val="24"/>
    </w:rPr>
  </w:style>
  <w:style w:type="character" w:customStyle="1" w:styleId="141">
    <w:name w:val="批注框文本 字符"/>
    <w:basedOn w:val="51"/>
    <w:semiHidden/>
    <w:qFormat/>
    <w:uiPriority w:val="99"/>
    <w:rPr>
      <w:kern w:val="2"/>
      <w:sz w:val="18"/>
      <w:szCs w:val="18"/>
    </w:rPr>
  </w:style>
  <w:style w:type="character" w:customStyle="1" w:styleId="142">
    <w:name w:val="正文文本缩进 3 字符"/>
    <w:basedOn w:val="51"/>
    <w:semiHidden/>
    <w:qFormat/>
    <w:uiPriority w:val="99"/>
    <w:rPr>
      <w:kern w:val="2"/>
      <w:sz w:val="16"/>
      <w:szCs w:val="16"/>
    </w:rPr>
  </w:style>
  <w:style w:type="character" w:customStyle="1" w:styleId="143">
    <w:name w:val="正文文本缩进 2 字符"/>
    <w:basedOn w:val="51"/>
    <w:semiHidden/>
    <w:qFormat/>
    <w:uiPriority w:val="99"/>
    <w:rPr>
      <w:kern w:val="2"/>
      <w:sz w:val="21"/>
      <w:szCs w:val="24"/>
    </w:rPr>
  </w:style>
  <w:style w:type="character" w:customStyle="1" w:styleId="144">
    <w:name w:val="脚注文本 字符"/>
    <w:basedOn w:val="51"/>
    <w:semiHidden/>
    <w:qFormat/>
    <w:uiPriority w:val="99"/>
    <w:rPr>
      <w:kern w:val="2"/>
      <w:sz w:val="18"/>
      <w:szCs w:val="18"/>
    </w:rPr>
  </w:style>
  <w:style w:type="paragraph" w:customStyle="1" w:styleId="145">
    <w:name w:val="样式"/>
    <w:qFormat/>
    <w:uiPriority w:val="0"/>
    <w:pPr>
      <w:widowControl w:val="0"/>
      <w:autoSpaceDE w:val="0"/>
      <w:autoSpaceDN w:val="0"/>
      <w:adjustRightInd w:val="0"/>
      <w:spacing w:after="160" w:line="278" w:lineRule="auto"/>
    </w:pPr>
    <w:rPr>
      <w:rFonts w:ascii="宋体" w:hAnsi="宋体" w:eastAsia="宋体" w:cs="宋体"/>
      <w:sz w:val="24"/>
      <w:szCs w:val="24"/>
      <w:lang w:val="en-US" w:eastAsia="zh-CN" w:bidi="ar-SA"/>
    </w:rPr>
  </w:style>
  <w:style w:type="paragraph" w:customStyle="1" w:styleId="146">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lang w:val="en-US"/>
    </w:rPr>
  </w:style>
  <w:style w:type="paragraph" w:customStyle="1" w:styleId="147">
    <w:name w:val="正文首行缩进两字符"/>
    <w:basedOn w:val="1"/>
    <w:qFormat/>
    <w:uiPriority w:val="0"/>
    <w:pPr>
      <w:spacing w:line="360" w:lineRule="auto"/>
      <w:ind w:firstLine="200" w:firstLineChars="200"/>
    </w:pPr>
    <w:rPr>
      <w:rFonts w:ascii="Times New Roman" w:hAnsi="Times New Roman" w:eastAsia="宋体" w:cs="Times New Roman"/>
    </w:rPr>
  </w:style>
  <w:style w:type="paragraph" w:customStyle="1" w:styleId="148">
    <w:name w:val="表格"/>
    <w:basedOn w:val="1"/>
    <w:qFormat/>
    <w:uiPriority w:val="0"/>
    <w:pPr>
      <w:spacing w:line="400" w:lineRule="exact"/>
    </w:pPr>
    <w:rPr>
      <w:rFonts w:ascii="Times New Roman" w:hAnsi="Times New Roman" w:eastAsia="宋体" w:cs="Times New Roman"/>
      <w:sz w:val="24"/>
    </w:rPr>
  </w:style>
  <w:style w:type="paragraph" w:customStyle="1" w:styleId="149">
    <w:name w:val="Char1"/>
    <w:basedOn w:val="1"/>
    <w:qFormat/>
    <w:uiPriority w:val="0"/>
    <w:rPr>
      <w:rFonts w:ascii="Times New Roman" w:hAnsi="Times New Roman" w:eastAsia="宋体" w:cs="Times New Roman"/>
      <w:szCs w:val="21"/>
    </w:rPr>
  </w:style>
  <w:style w:type="paragraph" w:customStyle="1" w:styleId="150">
    <w:name w:val="列出段落2"/>
    <w:basedOn w:val="1"/>
    <w:qFormat/>
    <w:uiPriority w:val="0"/>
    <w:pPr>
      <w:ind w:firstLine="420" w:firstLineChars="200"/>
    </w:pPr>
    <w:rPr>
      <w:rFonts w:ascii="Times New Roman" w:hAnsi="Times New Roman" w:eastAsia="宋体" w:cs="Times New Roman"/>
      <w:sz w:val="20"/>
    </w:rPr>
  </w:style>
  <w:style w:type="paragraph" w:customStyle="1" w:styleId="151">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kern w:val="0"/>
      <w:sz w:val="24"/>
      <w:szCs w:val="20"/>
    </w:rPr>
  </w:style>
  <w:style w:type="paragraph" w:customStyle="1" w:styleId="152">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53">
    <w:name w:val="正文12"/>
    <w:basedOn w:val="1"/>
    <w:qFormat/>
    <w:uiPriority w:val="0"/>
    <w:pPr>
      <w:spacing w:line="360" w:lineRule="auto"/>
    </w:pPr>
    <w:rPr>
      <w:rFonts w:ascii="Times New Roman" w:hAnsi="Times New Roman" w:eastAsia="仿宋_GB2312" w:cs="Times New Roman"/>
      <w:sz w:val="24"/>
      <w:szCs w:val="20"/>
    </w:rPr>
  </w:style>
  <w:style w:type="paragraph" w:customStyle="1" w:styleId="154">
    <w:name w:val="样式 首行缩进:  2 字符"/>
    <w:basedOn w:val="1"/>
    <w:qFormat/>
    <w:uiPriority w:val="0"/>
    <w:pPr>
      <w:spacing w:line="400" w:lineRule="exact"/>
      <w:ind w:firstLine="200" w:firstLineChars="200"/>
    </w:pPr>
    <w:rPr>
      <w:rFonts w:ascii="Times New Roman" w:hAnsi="Times New Roman" w:eastAsia="宋体" w:cs="宋体"/>
      <w:sz w:val="24"/>
    </w:rPr>
  </w:style>
  <w:style w:type="paragraph" w:customStyle="1" w:styleId="155">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table" w:customStyle="1" w:styleId="156">
    <w:name w:val="网格型1"/>
    <w:basedOn w:val="4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7">
    <w:name w:val="副标题 字符"/>
    <w:basedOn w:val="51"/>
    <w:qFormat/>
    <w:uiPriority w:val="11"/>
    <w:rPr>
      <w:rFonts w:asciiTheme="minorHAnsi" w:hAnsiTheme="minorHAnsi" w:eastAsiaTheme="minorEastAsia" w:cstheme="minorBidi"/>
      <w:b/>
      <w:bCs/>
      <w:kern w:val="28"/>
      <w:sz w:val="32"/>
      <w:szCs w:val="32"/>
    </w:rPr>
  </w:style>
  <w:style w:type="character" w:customStyle="1" w:styleId="158">
    <w:name w:val="副标题 字符1"/>
    <w:link w:val="36"/>
    <w:qFormat/>
    <w:uiPriority w:val="11"/>
    <w:rPr>
      <w:rFonts w:ascii="Cambria" w:hAnsi="Cambria" w:eastAsia="方正小标宋简体" w:cs="Times New Roman"/>
      <w:b/>
      <w:bCs/>
      <w:kern w:val="28"/>
      <w:sz w:val="44"/>
      <w:szCs w:val="32"/>
    </w:rPr>
  </w:style>
  <w:style w:type="character" w:customStyle="1" w:styleId="159">
    <w:name w:val="标题 4 字符1"/>
    <w:link w:val="5"/>
    <w:qFormat/>
    <w:uiPriority w:val="0"/>
    <w:rPr>
      <w:rFonts w:ascii="Arial" w:hAnsi="Arial" w:eastAsia="黑体" w:cs="Times New Roman"/>
      <w:b/>
      <w:bCs/>
      <w:kern w:val="2"/>
      <w:sz w:val="28"/>
      <w:szCs w:val="28"/>
    </w:rPr>
  </w:style>
  <w:style w:type="character" w:customStyle="1" w:styleId="160">
    <w:name w:val="正文缩进 字符"/>
    <w:link w:val="7"/>
    <w:qFormat/>
    <w:uiPriority w:val="0"/>
    <w:rPr>
      <w:kern w:val="2"/>
      <w:sz w:val="21"/>
    </w:rPr>
  </w:style>
  <w:style w:type="character" w:customStyle="1" w:styleId="161">
    <w:name w:val="列出段落 Char"/>
    <w:qFormat/>
    <w:uiPriority w:val="0"/>
    <w:rPr>
      <w:rFonts w:ascii="Times New Roman" w:hAnsi="Times New Roman"/>
      <w:kern w:val="2"/>
      <w:sz w:val="21"/>
      <w:szCs w:val="24"/>
      <w:lang w:eastAsia="en-US"/>
    </w:rPr>
  </w:style>
  <w:style w:type="character" w:customStyle="1" w:styleId="162">
    <w:name w:val="style41"/>
    <w:qFormat/>
    <w:uiPriority w:val="0"/>
    <w:rPr>
      <w:rFonts w:ascii="Arial" w:cs="Arial"/>
    </w:rPr>
  </w:style>
  <w:style w:type="character" w:customStyle="1" w:styleId="163">
    <w:name w:val="标题 1 Char Char"/>
    <w:qFormat/>
    <w:uiPriority w:val="0"/>
    <w:rPr>
      <w:rFonts w:eastAsia="宋体"/>
      <w:b/>
      <w:spacing w:val="-2"/>
      <w:sz w:val="24"/>
      <w:lang w:val="en-US" w:eastAsia="zh-CN" w:bidi="ar-SA"/>
    </w:rPr>
  </w:style>
  <w:style w:type="character" w:customStyle="1" w:styleId="164">
    <w:name w:val="siupbtn"/>
    <w:qFormat/>
    <w:uiPriority w:val="0"/>
    <w:rPr>
      <w:rFonts w:ascii="Verdana" w:hAnsi="Verdana"/>
      <w:kern w:val="0"/>
      <w:sz w:val="20"/>
      <w:szCs w:val="20"/>
      <w:lang w:eastAsia="en-US"/>
    </w:rPr>
  </w:style>
  <w:style w:type="character" w:customStyle="1" w:styleId="165">
    <w:name w:val="siupgray2"/>
    <w:qFormat/>
    <w:uiPriority w:val="0"/>
    <w:rPr>
      <w:rFonts w:ascii="Verdana" w:hAnsi="Verdana"/>
      <w:kern w:val="0"/>
      <w:sz w:val="20"/>
      <w:szCs w:val="20"/>
      <w:lang w:eastAsia="en-US"/>
    </w:rPr>
  </w:style>
  <w:style w:type="character" w:customStyle="1" w:styleId="166">
    <w:name w:val="样式2 Char"/>
    <w:link w:val="167"/>
    <w:qFormat/>
    <w:uiPriority w:val="0"/>
    <w:rPr>
      <w:rFonts w:ascii="宋体"/>
      <w:sz w:val="24"/>
      <w:szCs w:val="24"/>
    </w:rPr>
  </w:style>
  <w:style w:type="paragraph" w:customStyle="1" w:styleId="167">
    <w:name w:val="样式2"/>
    <w:basedOn w:val="1"/>
    <w:link w:val="166"/>
    <w:qFormat/>
    <w:uiPriority w:val="0"/>
    <w:pPr>
      <w:spacing w:line="360" w:lineRule="auto"/>
      <w:ind w:left="540"/>
    </w:pPr>
    <w:rPr>
      <w:rFonts w:ascii="宋体"/>
      <w:kern w:val="0"/>
      <w:sz w:val="24"/>
    </w:rPr>
  </w:style>
  <w:style w:type="character" w:customStyle="1" w:styleId="168">
    <w:name w:val="siexitbtn2"/>
    <w:qFormat/>
    <w:uiPriority w:val="0"/>
    <w:rPr>
      <w:rFonts w:ascii="Verdana" w:hAnsi="Verdana"/>
      <w:kern w:val="0"/>
      <w:sz w:val="20"/>
      <w:szCs w:val="20"/>
      <w:lang w:eastAsia="en-US"/>
    </w:rPr>
  </w:style>
  <w:style w:type="character" w:customStyle="1" w:styleId="169">
    <w:name w:val="日期 Char1"/>
    <w:semiHidden/>
    <w:qFormat/>
    <w:uiPriority w:val="99"/>
    <w:rPr>
      <w:rFonts w:eastAsia="仿宋_GB2312"/>
      <w:sz w:val="32"/>
    </w:rPr>
  </w:style>
  <w:style w:type="character" w:customStyle="1" w:styleId="170">
    <w:name w:val="sisave"/>
    <w:qFormat/>
    <w:uiPriority w:val="0"/>
    <w:rPr>
      <w:rFonts w:ascii="Verdana" w:hAnsi="Verdana"/>
      <w:kern w:val="0"/>
      <w:sz w:val="20"/>
      <w:szCs w:val="20"/>
      <w:lang w:eastAsia="en-US"/>
    </w:rPr>
  </w:style>
  <w:style w:type="character" w:customStyle="1" w:styleId="171">
    <w:name w:val="a9"/>
    <w:qFormat/>
    <w:uiPriority w:val="0"/>
    <w:rPr>
      <w:rFonts w:ascii="Verdana" w:hAnsi="Verdana"/>
      <w:kern w:val="0"/>
      <w:sz w:val="20"/>
      <w:szCs w:val="20"/>
      <w:lang w:eastAsia="en-US"/>
    </w:rPr>
  </w:style>
  <w:style w:type="character" w:customStyle="1" w:styleId="172">
    <w:name w:val="fontcss style23"/>
    <w:qFormat/>
    <w:uiPriority w:val="0"/>
    <w:rPr>
      <w:rFonts w:ascii="Verdana" w:hAnsi="Verdana"/>
      <w:kern w:val="0"/>
      <w:sz w:val="20"/>
      <w:szCs w:val="20"/>
      <w:lang w:eastAsia="en-US"/>
    </w:rPr>
  </w:style>
  <w:style w:type="character" w:customStyle="1" w:styleId="173">
    <w:name w:val="sisavebtn2"/>
    <w:qFormat/>
    <w:uiPriority w:val="0"/>
    <w:rPr>
      <w:rFonts w:ascii="Verdana" w:hAnsi="Verdana"/>
      <w:kern w:val="0"/>
      <w:sz w:val="20"/>
      <w:szCs w:val="20"/>
      <w:lang w:eastAsia="en-US"/>
    </w:rPr>
  </w:style>
  <w:style w:type="character" w:customStyle="1" w:styleId="174">
    <w:name w:val="A6"/>
    <w:qFormat/>
    <w:uiPriority w:val="0"/>
    <w:rPr>
      <w:rFonts w:cs="宋体"/>
      <w:color w:val="000000"/>
      <w:sz w:val="22"/>
      <w:szCs w:val="22"/>
    </w:rPr>
  </w:style>
  <w:style w:type="character" w:customStyle="1" w:styleId="175">
    <w:name w:val="style351"/>
    <w:qFormat/>
    <w:uiPriority w:val="0"/>
    <w:rPr>
      <w:sz w:val="15"/>
      <w:szCs w:val="15"/>
    </w:rPr>
  </w:style>
  <w:style w:type="character" w:customStyle="1" w:styleId="176">
    <w:name w:val="sisavegray"/>
    <w:qFormat/>
    <w:uiPriority w:val="0"/>
    <w:rPr>
      <w:rFonts w:ascii="Verdana" w:hAnsi="Verdana"/>
      <w:kern w:val="0"/>
      <w:sz w:val="20"/>
      <w:szCs w:val="20"/>
      <w:lang w:eastAsia="en-US"/>
    </w:rPr>
  </w:style>
  <w:style w:type="character" w:customStyle="1" w:styleId="177">
    <w:name w:val="sidown2"/>
    <w:qFormat/>
    <w:uiPriority w:val="0"/>
    <w:rPr>
      <w:rFonts w:ascii="Verdana" w:hAnsi="Verdana"/>
      <w:kern w:val="0"/>
      <w:sz w:val="20"/>
      <w:szCs w:val="20"/>
      <w:lang w:eastAsia="en-US"/>
    </w:rPr>
  </w:style>
  <w:style w:type="character" w:customStyle="1" w:styleId="178">
    <w:name w:val="Body Char"/>
    <w:link w:val="179"/>
    <w:qFormat/>
    <w:uiPriority w:val="0"/>
    <w:rPr>
      <w:szCs w:val="21"/>
    </w:rPr>
  </w:style>
  <w:style w:type="paragraph" w:customStyle="1" w:styleId="179">
    <w:name w:val="Body"/>
    <w:basedOn w:val="1"/>
    <w:link w:val="178"/>
    <w:qFormat/>
    <w:uiPriority w:val="0"/>
    <w:pPr>
      <w:widowControl/>
      <w:tabs>
        <w:tab w:val="left" w:pos="9356"/>
      </w:tabs>
      <w:spacing w:before="80" w:after="80" w:line="288" w:lineRule="auto"/>
      <w:ind w:left="426" w:leftChars="213" w:right="200"/>
    </w:pPr>
    <w:rPr>
      <w:kern w:val="0"/>
      <w:sz w:val="20"/>
      <w:szCs w:val="21"/>
    </w:rPr>
  </w:style>
  <w:style w:type="character" w:customStyle="1" w:styleId="180">
    <w:name w:val="siexit2"/>
    <w:qFormat/>
    <w:uiPriority w:val="0"/>
    <w:rPr>
      <w:rFonts w:ascii="Verdana" w:hAnsi="Verdana"/>
      <w:kern w:val="0"/>
      <w:sz w:val="20"/>
      <w:szCs w:val="20"/>
      <w:lang w:eastAsia="en-US"/>
    </w:rPr>
  </w:style>
  <w:style w:type="character" w:customStyle="1" w:styleId="181">
    <w:name w:val="正文文本缩进 Char1"/>
    <w:semiHidden/>
    <w:qFormat/>
    <w:uiPriority w:val="99"/>
    <w:rPr>
      <w:rFonts w:eastAsia="仿宋_GB2312"/>
      <w:sz w:val="32"/>
    </w:rPr>
  </w:style>
  <w:style w:type="character" w:customStyle="1" w:styleId="182">
    <w:name w:val="style31"/>
    <w:qFormat/>
    <w:uiPriority w:val="0"/>
    <w:rPr>
      <w:rFonts w:ascii="????" w:eastAsia="????"/>
    </w:rPr>
  </w:style>
  <w:style w:type="character" w:customStyle="1" w:styleId="183">
    <w:name w:val="文字 Char"/>
    <w:link w:val="184"/>
    <w:qFormat/>
    <w:uiPriority w:val="0"/>
    <w:rPr>
      <w:rFonts w:ascii="楷体_GB2312" w:eastAsia="楷体_GB2312"/>
      <w:sz w:val="28"/>
    </w:rPr>
  </w:style>
  <w:style w:type="paragraph" w:customStyle="1" w:styleId="184">
    <w:name w:val="文字"/>
    <w:basedOn w:val="1"/>
    <w:link w:val="183"/>
    <w:qFormat/>
    <w:uiPriority w:val="0"/>
    <w:pPr>
      <w:tabs>
        <w:tab w:val="left" w:pos="8520"/>
      </w:tabs>
      <w:spacing w:line="312" w:lineRule="auto"/>
      <w:ind w:right="-210" w:firstLine="556"/>
    </w:pPr>
    <w:rPr>
      <w:rFonts w:ascii="楷体_GB2312" w:eastAsia="楷体_GB2312"/>
      <w:kern w:val="0"/>
      <w:sz w:val="28"/>
      <w:szCs w:val="20"/>
    </w:rPr>
  </w:style>
  <w:style w:type="character" w:customStyle="1" w:styleId="185">
    <w:name w:val="style21"/>
    <w:qFormat/>
    <w:uiPriority w:val="0"/>
    <w:rPr>
      <w:rFonts w:ascii="Verdana" w:hAnsi="Verdana"/>
      <w:kern w:val="0"/>
      <w:sz w:val="20"/>
      <w:szCs w:val="20"/>
      <w:lang w:eastAsia="en-US"/>
    </w:rPr>
  </w:style>
  <w:style w:type="character" w:customStyle="1" w:styleId="186">
    <w:name w:val="siexitbtn"/>
    <w:qFormat/>
    <w:uiPriority w:val="0"/>
    <w:rPr>
      <w:rFonts w:ascii="Verdana" w:hAnsi="Verdana"/>
      <w:kern w:val="0"/>
      <w:sz w:val="20"/>
      <w:szCs w:val="20"/>
      <w:lang w:eastAsia="en-US"/>
    </w:rPr>
  </w:style>
  <w:style w:type="character" w:customStyle="1" w:styleId="187">
    <w:name w:val="正文文本 Char1"/>
    <w:semiHidden/>
    <w:qFormat/>
    <w:uiPriority w:val="99"/>
    <w:rPr>
      <w:rFonts w:eastAsia="仿宋_GB2312"/>
      <w:sz w:val="32"/>
    </w:rPr>
  </w:style>
  <w:style w:type="character" w:customStyle="1" w:styleId="188">
    <w:name w:val="正文文本缩进 2 Char1"/>
    <w:semiHidden/>
    <w:qFormat/>
    <w:uiPriority w:val="99"/>
    <w:rPr>
      <w:rFonts w:eastAsia="仿宋_GB2312"/>
      <w:sz w:val="32"/>
    </w:rPr>
  </w:style>
  <w:style w:type="character" w:customStyle="1" w:styleId="189">
    <w:name w:val="HTML 预设格式 字符1"/>
    <w:link w:val="42"/>
    <w:qFormat/>
    <w:uiPriority w:val="0"/>
    <w:rPr>
      <w:rFonts w:ascii="Arial" w:hAnsi="Arial" w:cs="Arial"/>
      <w:szCs w:val="21"/>
    </w:rPr>
  </w:style>
  <w:style w:type="character" w:customStyle="1" w:styleId="190">
    <w:name w:val="HTML 预设格式 字符"/>
    <w:basedOn w:val="51"/>
    <w:semiHidden/>
    <w:qFormat/>
    <w:uiPriority w:val="99"/>
    <w:rPr>
      <w:rFonts w:ascii="Courier New" w:hAnsi="Courier New" w:cs="Courier New"/>
      <w:kern w:val="2"/>
    </w:rPr>
  </w:style>
  <w:style w:type="character" w:customStyle="1" w:styleId="191">
    <w:name w:val="HTML 预设格式 Char1"/>
    <w:semiHidden/>
    <w:qFormat/>
    <w:uiPriority w:val="99"/>
    <w:rPr>
      <w:rFonts w:ascii="Courier New" w:hAnsi="Courier New" w:cs="Courier New"/>
      <w:kern w:val="2"/>
    </w:rPr>
  </w:style>
  <w:style w:type="character" w:customStyle="1" w:styleId="192">
    <w:name w:val="text-4"/>
    <w:qFormat/>
    <w:uiPriority w:val="0"/>
    <w:rPr>
      <w:rFonts w:ascii="Verdana" w:hAnsi="Verdana"/>
      <w:kern w:val="0"/>
      <w:sz w:val="20"/>
      <w:szCs w:val="20"/>
      <w:lang w:eastAsia="en-US"/>
    </w:rPr>
  </w:style>
  <w:style w:type="character" w:customStyle="1" w:styleId="193">
    <w:name w:val="无间隔 Char"/>
    <w:link w:val="194"/>
    <w:qFormat/>
    <w:uiPriority w:val="0"/>
    <w:rPr>
      <w:rFonts w:ascii="Cambria" w:hAnsi="Cambria"/>
      <w:sz w:val="22"/>
      <w:lang w:eastAsia="en-US" w:bidi="en-US"/>
    </w:rPr>
  </w:style>
  <w:style w:type="paragraph" w:customStyle="1" w:styleId="194">
    <w:name w:val="无间隔1"/>
    <w:basedOn w:val="1"/>
    <w:link w:val="193"/>
    <w:qFormat/>
    <w:uiPriority w:val="0"/>
    <w:pPr>
      <w:widowControl/>
      <w:tabs>
        <w:tab w:val="left" w:pos="2100"/>
      </w:tabs>
      <w:jc w:val="left"/>
    </w:pPr>
    <w:rPr>
      <w:rFonts w:ascii="Cambria" w:hAnsi="Cambria"/>
      <w:kern w:val="0"/>
      <w:sz w:val="22"/>
      <w:szCs w:val="20"/>
      <w:lang w:eastAsia="en-US" w:bidi="en-US"/>
    </w:rPr>
  </w:style>
  <w:style w:type="character" w:customStyle="1" w:styleId="195">
    <w:name w:val="sieditbtn2"/>
    <w:qFormat/>
    <w:uiPriority w:val="0"/>
    <w:rPr>
      <w:rFonts w:ascii="Verdana" w:hAnsi="Verdana"/>
      <w:kern w:val="0"/>
      <w:sz w:val="20"/>
      <w:szCs w:val="20"/>
      <w:lang w:eastAsia="en-US"/>
    </w:rPr>
  </w:style>
  <w:style w:type="character" w:customStyle="1" w:styleId="196">
    <w:name w:val="modifier"/>
    <w:qFormat/>
    <w:uiPriority w:val="0"/>
    <w:rPr>
      <w:rFonts w:ascii="Verdana" w:hAnsi="Verdana"/>
      <w:color w:val="FF0000"/>
      <w:kern w:val="0"/>
      <w:sz w:val="20"/>
      <w:szCs w:val="20"/>
      <w:lang w:eastAsia="en-US"/>
    </w:rPr>
  </w:style>
  <w:style w:type="character" w:customStyle="1" w:styleId="197">
    <w:name w:val="boldtitle1"/>
    <w:qFormat/>
    <w:uiPriority w:val="0"/>
    <w:rPr>
      <w:rFonts w:hint="default" w:ascii="Arial Black" w:hAnsi="Arial Black"/>
      <w:sz w:val="36"/>
      <w:szCs w:val="36"/>
    </w:rPr>
  </w:style>
  <w:style w:type="character" w:customStyle="1" w:styleId="198">
    <w:name w:val="zj-122 Char"/>
    <w:link w:val="199"/>
    <w:qFormat/>
    <w:uiPriority w:val="0"/>
    <w:rPr>
      <w:rFonts w:ascii="Cambria" w:hAnsi="Cambria"/>
      <w:iCs/>
      <w:szCs w:val="21"/>
      <w:lang w:bidi="en-US"/>
    </w:rPr>
  </w:style>
  <w:style w:type="paragraph" w:customStyle="1" w:styleId="199">
    <w:name w:val="zj-122"/>
    <w:basedOn w:val="194"/>
    <w:link w:val="198"/>
    <w:qFormat/>
    <w:uiPriority w:val="0"/>
    <w:rPr>
      <w:iCs/>
      <w:sz w:val="20"/>
      <w:szCs w:val="21"/>
      <w:lang w:eastAsia="zh-CN"/>
    </w:rPr>
  </w:style>
  <w:style w:type="character" w:customStyle="1" w:styleId="200">
    <w:name w:val="文档结构图 字符1"/>
    <w:link w:val="17"/>
    <w:qFormat/>
    <w:uiPriority w:val="0"/>
    <w:rPr>
      <w:rFonts w:ascii="宋体" w:hAnsi="Courier New"/>
      <w:shd w:val="clear" w:color="auto" w:fill="000080"/>
    </w:rPr>
  </w:style>
  <w:style w:type="character" w:customStyle="1" w:styleId="201">
    <w:name w:val="文档结构图 字符"/>
    <w:basedOn w:val="51"/>
    <w:semiHidden/>
    <w:qFormat/>
    <w:uiPriority w:val="99"/>
    <w:rPr>
      <w:rFonts w:ascii="Microsoft YaHei UI" w:eastAsia="Microsoft YaHei UI"/>
      <w:kern w:val="2"/>
      <w:sz w:val="18"/>
      <w:szCs w:val="18"/>
    </w:rPr>
  </w:style>
  <w:style w:type="character" w:customStyle="1" w:styleId="202">
    <w:name w:val="文档结构图 Char1"/>
    <w:semiHidden/>
    <w:qFormat/>
    <w:uiPriority w:val="99"/>
    <w:rPr>
      <w:rFonts w:ascii="宋体"/>
      <w:kern w:val="2"/>
      <w:sz w:val="18"/>
      <w:szCs w:val="18"/>
    </w:rPr>
  </w:style>
  <w:style w:type="character" w:customStyle="1" w:styleId="203">
    <w:name w:val="ca-7"/>
    <w:qFormat/>
    <w:uiPriority w:val="0"/>
    <w:rPr>
      <w:rFonts w:ascii="Verdana" w:hAnsi="Verdana"/>
      <w:kern w:val="0"/>
      <w:sz w:val="20"/>
      <w:szCs w:val="20"/>
      <w:lang w:eastAsia="en-US"/>
    </w:rPr>
  </w:style>
  <w:style w:type="character" w:customStyle="1" w:styleId="204">
    <w:name w:val="msonormal"/>
    <w:qFormat/>
    <w:uiPriority w:val="0"/>
    <w:rPr>
      <w:rFonts w:ascii="Verdana" w:hAnsi="Verdana"/>
      <w:kern w:val="0"/>
      <w:sz w:val="20"/>
      <w:szCs w:val="20"/>
      <w:lang w:eastAsia="en-US"/>
    </w:rPr>
  </w:style>
  <w:style w:type="character" w:customStyle="1" w:styleId="205">
    <w:name w:val="siexitgray2"/>
    <w:qFormat/>
    <w:uiPriority w:val="0"/>
    <w:rPr>
      <w:rFonts w:ascii="Verdana" w:hAnsi="Verdana"/>
      <w:kern w:val="0"/>
      <w:sz w:val="20"/>
      <w:szCs w:val="20"/>
      <w:lang w:eastAsia="en-US"/>
    </w:rPr>
  </w:style>
  <w:style w:type="character" w:customStyle="1" w:styleId="206">
    <w:name w:val="apple-converted-space"/>
    <w:qFormat/>
    <w:uiPriority w:val="0"/>
    <w:rPr>
      <w:rFonts w:ascii="Verdana" w:hAnsi="Verdana"/>
      <w:kern w:val="0"/>
      <w:sz w:val="20"/>
      <w:szCs w:val="20"/>
      <w:lang w:eastAsia="en-US"/>
    </w:rPr>
  </w:style>
  <w:style w:type="character" w:customStyle="1" w:styleId="207">
    <w:name w:val="unnamed41"/>
    <w:qFormat/>
    <w:uiPriority w:val="0"/>
    <w:rPr>
      <w:color w:val="333333"/>
      <w:sz w:val="18"/>
      <w:szCs w:val="18"/>
    </w:rPr>
  </w:style>
  <w:style w:type="character" w:customStyle="1" w:styleId="208">
    <w:name w:val="正文文本缩进 3 Char1"/>
    <w:semiHidden/>
    <w:qFormat/>
    <w:uiPriority w:val="99"/>
    <w:rPr>
      <w:rFonts w:eastAsia="仿宋_GB2312"/>
      <w:sz w:val="16"/>
      <w:szCs w:val="16"/>
    </w:rPr>
  </w:style>
  <w:style w:type="character" w:customStyle="1" w:styleId="209">
    <w:name w:val="item-price"/>
    <w:qFormat/>
    <w:uiPriority w:val="0"/>
    <w:rPr>
      <w:rFonts w:ascii="Verdana" w:hAnsi="Verdana"/>
      <w:kern w:val="0"/>
      <w:sz w:val="20"/>
      <w:szCs w:val="20"/>
      <w:lang w:eastAsia="en-US"/>
    </w:rPr>
  </w:style>
  <w:style w:type="character" w:customStyle="1" w:styleId="210">
    <w:name w:val="label"/>
    <w:qFormat/>
    <w:uiPriority w:val="0"/>
    <w:rPr>
      <w:rFonts w:ascii="Verdana" w:hAnsi="Verdana"/>
      <w:color w:val="555555"/>
      <w:kern w:val="0"/>
      <w:sz w:val="20"/>
      <w:szCs w:val="20"/>
      <w:lang w:eastAsia="en-US"/>
    </w:rPr>
  </w:style>
  <w:style w:type="character" w:customStyle="1" w:styleId="211">
    <w:name w:val="sieditgray"/>
    <w:qFormat/>
    <w:uiPriority w:val="0"/>
    <w:rPr>
      <w:rFonts w:ascii="Verdana" w:hAnsi="Verdana"/>
      <w:kern w:val="0"/>
      <w:sz w:val="20"/>
      <w:szCs w:val="20"/>
      <w:lang w:eastAsia="en-US"/>
    </w:rPr>
  </w:style>
  <w:style w:type="character" w:customStyle="1" w:styleId="212">
    <w:name w:val="正文文本 3 Char1"/>
    <w:semiHidden/>
    <w:qFormat/>
    <w:uiPriority w:val="99"/>
    <w:rPr>
      <w:rFonts w:eastAsia="仿宋_GB2312"/>
      <w:sz w:val="16"/>
      <w:szCs w:val="16"/>
    </w:rPr>
  </w:style>
  <w:style w:type="character" w:customStyle="1" w:styleId="213">
    <w:name w:val="sidownbtn2"/>
    <w:qFormat/>
    <w:uiPriority w:val="0"/>
    <w:rPr>
      <w:rFonts w:ascii="Verdana" w:hAnsi="Verdana"/>
      <w:kern w:val="0"/>
      <w:sz w:val="20"/>
      <w:szCs w:val="20"/>
      <w:lang w:eastAsia="en-US"/>
    </w:rPr>
  </w:style>
  <w:style w:type="character" w:customStyle="1" w:styleId="214">
    <w:name w:val="sieditbtn"/>
    <w:qFormat/>
    <w:uiPriority w:val="0"/>
    <w:rPr>
      <w:rFonts w:ascii="Verdana" w:hAnsi="Verdana"/>
      <w:kern w:val="0"/>
      <w:sz w:val="20"/>
      <w:szCs w:val="20"/>
      <w:lang w:eastAsia="en-US"/>
    </w:rPr>
  </w:style>
  <w:style w:type="character" w:customStyle="1" w:styleId="215">
    <w:name w:val="sieditgray2"/>
    <w:qFormat/>
    <w:uiPriority w:val="0"/>
    <w:rPr>
      <w:rFonts w:ascii="Verdana" w:hAnsi="Verdana"/>
      <w:kern w:val="0"/>
      <w:sz w:val="20"/>
      <w:szCs w:val="20"/>
      <w:lang w:eastAsia="en-US"/>
    </w:rPr>
  </w:style>
  <w:style w:type="character" w:customStyle="1" w:styleId="216">
    <w:name w:val="正文 + 宋体 Char"/>
    <w:qFormat/>
    <w:uiPriority w:val="0"/>
    <w:rPr>
      <w:rFonts w:ascii="宋体" w:hAnsi="宋体" w:eastAsia="宋体"/>
      <w:kern w:val="2"/>
      <w:sz w:val="24"/>
      <w:szCs w:val="24"/>
      <w:u w:val="single"/>
      <w:lang w:val="en-US" w:eastAsia="zh-CN" w:bidi="ar-SA"/>
    </w:rPr>
  </w:style>
  <w:style w:type="character" w:customStyle="1" w:styleId="217">
    <w:name w:val="siup2"/>
    <w:qFormat/>
    <w:uiPriority w:val="0"/>
    <w:rPr>
      <w:rFonts w:ascii="Verdana" w:hAnsi="Verdana"/>
      <w:kern w:val="0"/>
      <w:sz w:val="20"/>
      <w:szCs w:val="20"/>
      <w:lang w:eastAsia="en-US"/>
    </w:rPr>
  </w:style>
  <w:style w:type="character" w:customStyle="1" w:styleId="218">
    <w:name w:val="普通文字 Char Char3"/>
    <w:qFormat/>
    <w:uiPriority w:val="0"/>
    <w:rPr>
      <w:rFonts w:ascii="宋体" w:hAnsi="Courier New" w:cs="Courier New"/>
      <w:kern w:val="2"/>
      <w:sz w:val="21"/>
      <w:szCs w:val="21"/>
      <w:lang w:eastAsia="en-US"/>
    </w:rPr>
  </w:style>
  <w:style w:type="character" w:customStyle="1" w:styleId="219">
    <w:name w:val="style23"/>
    <w:qFormat/>
    <w:uiPriority w:val="0"/>
    <w:rPr>
      <w:rFonts w:ascii="Verdana" w:hAnsi="Verdana"/>
      <w:kern w:val="0"/>
      <w:sz w:val="20"/>
      <w:szCs w:val="20"/>
      <w:lang w:eastAsia="en-US"/>
    </w:rPr>
  </w:style>
  <w:style w:type="character" w:customStyle="1" w:styleId="220">
    <w:name w:val="siupbtn2"/>
    <w:qFormat/>
    <w:uiPriority w:val="0"/>
    <w:rPr>
      <w:rFonts w:ascii="Verdana" w:hAnsi="Verdana"/>
      <w:kern w:val="0"/>
      <w:sz w:val="20"/>
      <w:szCs w:val="20"/>
      <w:lang w:eastAsia="en-US"/>
    </w:rPr>
  </w:style>
  <w:style w:type="character" w:customStyle="1" w:styleId="221">
    <w:name w:val="siedit2"/>
    <w:qFormat/>
    <w:uiPriority w:val="0"/>
    <w:rPr>
      <w:rFonts w:ascii="Verdana" w:hAnsi="Verdana"/>
      <w:kern w:val="0"/>
      <w:sz w:val="20"/>
      <w:szCs w:val="20"/>
      <w:lang w:eastAsia="en-US"/>
    </w:rPr>
  </w:style>
  <w:style w:type="character" w:customStyle="1" w:styleId="222">
    <w:name w:val="sisave2"/>
    <w:qFormat/>
    <w:uiPriority w:val="0"/>
    <w:rPr>
      <w:rFonts w:ascii="Verdana" w:hAnsi="Verdana"/>
      <w:kern w:val="0"/>
      <w:sz w:val="20"/>
      <w:szCs w:val="20"/>
      <w:lang w:eastAsia="en-US"/>
    </w:rPr>
  </w:style>
  <w:style w:type="character" w:customStyle="1" w:styleId="223">
    <w:name w:val="sidowngray2"/>
    <w:qFormat/>
    <w:uiPriority w:val="0"/>
    <w:rPr>
      <w:rFonts w:ascii="Verdana" w:hAnsi="Verdana"/>
      <w:kern w:val="0"/>
      <w:sz w:val="20"/>
      <w:szCs w:val="20"/>
      <w:lang w:eastAsia="en-US"/>
    </w:rPr>
  </w:style>
  <w:style w:type="character" w:customStyle="1" w:styleId="224">
    <w:name w:val="cojj1"/>
    <w:qFormat/>
    <w:uiPriority w:val="0"/>
    <w:rPr>
      <w:rFonts w:hint="eastAsia" w:ascii="宋体" w:hAnsi="宋体" w:eastAsia="宋体"/>
      <w:color w:val="000000"/>
      <w:sz w:val="18"/>
      <w:szCs w:val="18"/>
    </w:rPr>
  </w:style>
  <w:style w:type="character" w:customStyle="1" w:styleId="225">
    <w:name w:val="siexitgray"/>
    <w:qFormat/>
    <w:uiPriority w:val="0"/>
    <w:rPr>
      <w:rFonts w:ascii="Verdana" w:hAnsi="Verdana"/>
      <w:kern w:val="0"/>
      <w:sz w:val="20"/>
      <w:szCs w:val="20"/>
      <w:lang w:eastAsia="en-US"/>
    </w:rPr>
  </w:style>
  <w:style w:type="character" w:customStyle="1" w:styleId="226">
    <w:name w:val="正文文本 2 Char1"/>
    <w:semiHidden/>
    <w:qFormat/>
    <w:uiPriority w:val="99"/>
    <w:rPr>
      <w:rFonts w:eastAsia="仿宋_GB2312"/>
      <w:sz w:val="32"/>
    </w:rPr>
  </w:style>
  <w:style w:type="character" w:customStyle="1" w:styleId="227">
    <w:name w:val="称呼 字符"/>
    <w:basedOn w:val="51"/>
    <w:semiHidden/>
    <w:qFormat/>
    <w:uiPriority w:val="99"/>
    <w:rPr>
      <w:kern w:val="2"/>
      <w:sz w:val="21"/>
      <w:szCs w:val="24"/>
    </w:rPr>
  </w:style>
  <w:style w:type="character" w:customStyle="1" w:styleId="228">
    <w:name w:val="称呼 字符1"/>
    <w:link w:val="19"/>
    <w:qFormat/>
    <w:uiPriority w:val="0"/>
    <w:rPr>
      <w:rFonts w:ascii="Times New Roman" w:hAnsi="Times New Roman" w:eastAsia="宋体" w:cs="Times New Roman"/>
      <w:kern w:val="2"/>
      <w:sz w:val="21"/>
    </w:rPr>
  </w:style>
  <w:style w:type="character" w:customStyle="1" w:styleId="229">
    <w:name w:val="正文首行缩进 Char"/>
    <w:qFormat/>
    <w:uiPriority w:val="0"/>
    <w:rPr>
      <w:rFonts w:ascii="Calibri" w:hAnsi="Calibri" w:eastAsia="宋体" w:cs="Times New Roman"/>
      <w:kern w:val="2"/>
      <w:sz w:val="21"/>
      <w:szCs w:val="24"/>
    </w:rPr>
  </w:style>
  <w:style w:type="character" w:customStyle="1" w:styleId="230">
    <w:name w:val="正文首行缩进 2 Char"/>
    <w:link w:val="138"/>
    <w:qFormat/>
    <w:uiPriority w:val="0"/>
    <w:rPr>
      <w:rFonts w:ascii="仿宋_GB2312" w:hAnsi="Calibri" w:eastAsia="仿宋_GB2312"/>
      <w:kern w:val="2"/>
      <w:sz w:val="21"/>
      <w:szCs w:val="22"/>
    </w:rPr>
  </w:style>
  <w:style w:type="paragraph" w:customStyle="1" w:styleId="231">
    <w:name w:val="Default Paragraph Font Para Char Char Char Char Char Char"/>
    <w:basedOn w:val="1"/>
    <w:qFormat/>
    <w:uiPriority w:val="0"/>
    <w:pPr>
      <w:widowControl/>
      <w:spacing w:line="240" w:lineRule="exact"/>
      <w:jc w:val="left"/>
    </w:pPr>
    <w:rPr>
      <w:rFonts w:ascii="Verdana" w:hAnsi="Verdana" w:eastAsia="宋体" w:cs="Times New Roman"/>
      <w:kern w:val="0"/>
      <w:sz w:val="20"/>
      <w:szCs w:val="20"/>
      <w:lang w:eastAsia="en-US"/>
    </w:rPr>
  </w:style>
  <w:style w:type="paragraph" w:customStyle="1" w:styleId="232">
    <w:name w:val="样式 行距: 固定值 25 磅 首行缩进:  2 字符"/>
    <w:basedOn w:val="1"/>
    <w:qFormat/>
    <w:uiPriority w:val="0"/>
    <w:pPr>
      <w:tabs>
        <w:tab w:val="left" w:pos="1260"/>
      </w:tabs>
      <w:adjustRightInd w:val="0"/>
      <w:spacing w:line="500" w:lineRule="exact"/>
      <w:ind w:firstLine="560" w:firstLineChars="200"/>
      <w:textAlignment w:val="baseline"/>
    </w:pPr>
    <w:rPr>
      <w:rFonts w:ascii="Times New Roman" w:hAnsi="Times New Roman" w:eastAsia="宋体" w:cs="Times New Roman"/>
      <w:kern w:val="0"/>
      <w:sz w:val="28"/>
      <w:szCs w:val="28"/>
    </w:rPr>
  </w:style>
  <w:style w:type="paragraph" w:customStyle="1" w:styleId="233">
    <w:name w:val="_Style 112"/>
    <w:basedOn w:val="17"/>
    <w:qFormat/>
    <w:uiPriority w:val="0"/>
    <w:pPr>
      <w:widowControl/>
      <w:spacing w:line="240" w:lineRule="exact"/>
      <w:jc w:val="left"/>
    </w:pPr>
    <w:rPr>
      <w:rFonts w:ascii="Verdana" w:hAnsi="Verdana"/>
      <w:lang w:eastAsia="en-US"/>
    </w:rPr>
  </w:style>
  <w:style w:type="paragraph" w:customStyle="1" w:styleId="234">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35">
    <w:name w:val="文档正文 Char"/>
    <w:basedOn w:val="1"/>
    <w:qFormat/>
    <w:uiPriority w:val="0"/>
    <w:pPr>
      <w:adjustRightInd w:val="0"/>
      <w:spacing w:line="480" w:lineRule="atLeast"/>
      <w:ind w:firstLine="567"/>
      <w:textAlignment w:val="baseline"/>
    </w:pPr>
    <w:rPr>
      <w:rFonts w:ascii="仿宋_GB2312" w:hAnsi="Times New Roman" w:eastAsia="仿宋_GB2312" w:cs="Times New Roman"/>
      <w:kern w:val="0"/>
      <w:sz w:val="28"/>
      <w:szCs w:val="20"/>
    </w:rPr>
  </w:style>
  <w:style w:type="paragraph" w:customStyle="1" w:styleId="23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cs="Times New Roman"/>
      <w:sz w:val="24"/>
      <w:szCs w:val="20"/>
    </w:rPr>
  </w:style>
  <w:style w:type="paragraph" w:customStyle="1" w:styleId="237">
    <w:name w:val="È±Ê¡ÎÄ±¾:1"/>
    <w:basedOn w:val="1"/>
    <w:qFormat/>
    <w:uiPriority w:val="0"/>
    <w:pPr>
      <w:widowControl/>
      <w:overflowPunct w:val="0"/>
      <w:autoSpaceDE w:val="0"/>
      <w:autoSpaceDN w:val="0"/>
      <w:adjustRightInd w:val="0"/>
      <w:spacing w:line="400" w:lineRule="exact"/>
      <w:ind w:firstLine="539"/>
      <w:textAlignment w:val="baseline"/>
    </w:pPr>
    <w:rPr>
      <w:rFonts w:ascii="Times New Roman" w:hAnsi="Times New Roman" w:eastAsia="宋体" w:cs="Times New Roman"/>
      <w:kern w:val="0"/>
      <w:sz w:val="24"/>
      <w:szCs w:val="20"/>
    </w:rPr>
  </w:style>
  <w:style w:type="paragraph" w:customStyle="1" w:styleId="238">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39">
    <w:name w:val="MM Topic 4"/>
    <w:basedOn w:val="5"/>
    <w:qFormat/>
    <w:uiPriority w:val="0"/>
    <w:pPr>
      <w:ind w:left="1680" w:hanging="420"/>
    </w:pPr>
  </w:style>
  <w:style w:type="paragraph" w:customStyle="1" w:styleId="240">
    <w:name w:val="百姓X"/>
    <w:basedOn w:val="1"/>
    <w:qFormat/>
    <w:uiPriority w:val="0"/>
    <w:pPr>
      <w:spacing w:before="120" w:after="120" w:line="360" w:lineRule="auto"/>
      <w:ind w:firstLine="539"/>
    </w:pPr>
    <w:rPr>
      <w:rFonts w:ascii="Times New Roman" w:hAnsi="Times New Roman" w:eastAsia="宋体" w:cs="Times New Roman"/>
      <w:sz w:val="24"/>
      <w:szCs w:val="20"/>
    </w:rPr>
  </w:style>
  <w:style w:type="paragraph" w:customStyle="1" w:styleId="241">
    <w:name w:val="Char Char Char Char Char Char"/>
    <w:basedOn w:val="1"/>
    <w:qFormat/>
    <w:uiPriority w:val="0"/>
    <w:pPr>
      <w:widowControl/>
      <w:spacing w:after="80" w:line="240" w:lineRule="exact"/>
    </w:pPr>
    <w:rPr>
      <w:rFonts w:ascii="Arial" w:hAnsi="Arial" w:eastAsia="宋体" w:cs="Times New Roman"/>
      <w:kern w:val="0"/>
      <w:sz w:val="22"/>
      <w:szCs w:val="22"/>
      <w:lang w:eastAsia="en-US"/>
    </w:rPr>
  </w:style>
  <w:style w:type="paragraph" w:customStyle="1" w:styleId="2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0"/>
      <w:szCs w:val="20"/>
    </w:rPr>
  </w:style>
  <w:style w:type="paragraph" w:customStyle="1" w:styleId="243">
    <w:name w:val="表格内容"/>
    <w:basedOn w:val="1"/>
    <w:qFormat/>
    <w:uiPriority w:val="0"/>
    <w:pPr>
      <w:widowControl/>
      <w:autoSpaceDE w:val="0"/>
      <w:autoSpaceDN w:val="0"/>
      <w:adjustRightInd w:val="0"/>
      <w:spacing w:before="60"/>
      <w:jc w:val="center"/>
      <w:textAlignment w:val="bottom"/>
    </w:pPr>
    <w:rPr>
      <w:rFonts w:ascii="Times New Roman" w:hAnsi="Times New Roman" w:eastAsia="仿宋_GB2312" w:cs="Times New Roman"/>
      <w:kern w:val="0"/>
      <w:sz w:val="24"/>
    </w:rPr>
  </w:style>
  <w:style w:type="paragraph" w:customStyle="1" w:styleId="244">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4"/>
    </w:rPr>
  </w:style>
  <w:style w:type="paragraph" w:customStyle="1" w:styleId="245">
    <w:name w:val="font1"/>
    <w:basedOn w:val="1"/>
    <w:qFormat/>
    <w:uiPriority w:val="0"/>
    <w:pPr>
      <w:widowControl/>
      <w:spacing w:before="100" w:beforeAutospacing="1" w:after="100" w:afterAutospacing="1" w:line="300" w:lineRule="atLeast"/>
      <w:jc w:val="left"/>
    </w:pPr>
    <w:rPr>
      <w:rFonts w:ascii="宋体" w:hAnsi="宋体" w:eastAsia="宋体" w:cs="宋体"/>
      <w:kern w:val="0"/>
      <w:sz w:val="18"/>
      <w:szCs w:val="18"/>
    </w:rPr>
  </w:style>
  <w:style w:type="paragraph" w:customStyle="1" w:styleId="246">
    <w:name w:val="Char Char Char Char"/>
    <w:basedOn w:val="1"/>
    <w:qFormat/>
    <w:uiPriority w:val="0"/>
    <w:pPr>
      <w:widowControl/>
      <w:spacing w:line="240" w:lineRule="exact"/>
      <w:jc w:val="left"/>
    </w:pPr>
    <w:rPr>
      <w:rFonts w:ascii="Verdana" w:hAnsi="Verdana" w:eastAsia="宋体" w:cs="Times New Roman"/>
      <w:kern w:val="0"/>
      <w:sz w:val="20"/>
      <w:szCs w:val="20"/>
      <w:lang w:eastAsia="en-US"/>
    </w:rPr>
  </w:style>
  <w:style w:type="paragraph" w:customStyle="1" w:styleId="247">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4"/>
    </w:rPr>
  </w:style>
  <w:style w:type="paragraph" w:customStyle="1" w:styleId="248">
    <w:name w:val="wenjianming"/>
    <w:basedOn w:val="1"/>
    <w:qFormat/>
    <w:uiPriority w:val="0"/>
    <w:pPr>
      <w:widowControl/>
      <w:spacing w:before="100" w:beforeAutospacing="1" w:after="100" w:afterAutospacing="1" w:line="300" w:lineRule="atLeast"/>
      <w:jc w:val="left"/>
    </w:pPr>
    <w:rPr>
      <w:rFonts w:ascii="Times New Roman" w:hAnsi="Times New Roman" w:eastAsia="Arial Unicode MS" w:cs="Arial Unicode MS"/>
      <w:color w:val="000000"/>
      <w:kern w:val="0"/>
      <w:szCs w:val="21"/>
    </w:rPr>
  </w:style>
  <w:style w:type="paragraph" w:customStyle="1" w:styleId="24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0"/>
      <w:szCs w:val="20"/>
    </w:rPr>
  </w:style>
  <w:style w:type="paragraph" w:customStyle="1" w:styleId="25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cs="Times New Roman"/>
      <w:sz w:val="24"/>
    </w:rPr>
  </w:style>
  <w:style w:type="paragraph" w:customStyle="1" w:styleId="251">
    <w:name w:val="Char11"/>
    <w:basedOn w:val="1"/>
    <w:qFormat/>
    <w:uiPriority w:val="0"/>
    <w:pPr>
      <w:tabs>
        <w:tab w:val="left" w:pos="360"/>
      </w:tabs>
      <w:ind w:left="360" w:hanging="360"/>
    </w:pPr>
    <w:rPr>
      <w:rFonts w:ascii="Times New Roman" w:hAnsi="Times New Roman" w:eastAsia="宋体" w:cs="Times New Roman"/>
      <w:sz w:val="24"/>
    </w:rPr>
  </w:style>
  <w:style w:type="paragraph" w:customStyle="1" w:styleId="252">
    <w:name w:val="缺省文本:1"/>
    <w:basedOn w:val="1"/>
    <w:qFormat/>
    <w:uiPriority w:val="0"/>
    <w:pPr>
      <w:autoSpaceDE w:val="0"/>
      <w:autoSpaceDN w:val="0"/>
      <w:adjustRightInd w:val="0"/>
      <w:spacing w:line="400" w:lineRule="exact"/>
      <w:ind w:firstLine="539"/>
    </w:pPr>
    <w:rPr>
      <w:rFonts w:ascii="Times New Roman" w:hAnsi="Times New Roman" w:eastAsia="宋体" w:cs="Times New Roman"/>
      <w:kern w:val="0"/>
      <w:sz w:val="24"/>
    </w:rPr>
  </w:style>
  <w:style w:type="paragraph" w:customStyle="1" w:styleId="253">
    <w:name w:val="默认段落字体 Para Char Char Char Char"/>
    <w:basedOn w:val="1"/>
    <w:qFormat/>
    <w:uiPriority w:val="0"/>
    <w:rPr>
      <w:rFonts w:ascii="Times New Roman" w:hAnsi="Times New Roman" w:eastAsia="宋体" w:cs="Times New Roman"/>
    </w:rPr>
  </w:style>
  <w:style w:type="paragraph" w:customStyle="1" w:styleId="254">
    <w:name w:val="xl39"/>
    <w:basedOn w:val="1"/>
    <w:qFormat/>
    <w:uiPriority w:val="0"/>
    <w:pPr>
      <w:widowControl/>
      <w:pBdr>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5">
    <w:name w:val="彩色列表 - 强调文字颜色 11"/>
    <w:basedOn w:val="1"/>
    <w:qFormat/>
    <w:uiPriority w:val="0"/>
    <w:pPr>
      <w:ind w:firstLine="420" w:firstLineChars="200"/>
    </w:pPr>
    <w:rPr>
      <w:rFonts w:ascii="Calibri" w:hAnsi="Calibri" w:eastAsia="宋体" w:cs="Times New Roman"/>
      <w:szCs w:val="22"/>
    </w:rPr>
  </w:style>
  <w:style w:type="paragraph" w:customStyle="1" w:styleId="256">
    <w:name w:val="正文缩进2字符"/>
    <w:qFormat/>
    <w:uiPriority w:val="0"/>
    <w:pPr>
      <w:spacing w:after="160" w:line="30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257">
    <w:name w:val="样式5"/>
    <w:basedOn w:val="1"/>
    <w:qFormat/>
    <w:uiPriority w:val="0"/>
    <w:pPr>
      <w:adjustRightInd w:val="0"/>
      <w:snapToGrid w:val="0"/>
      <w:spacing w:line="520" w:lineRule="exact"/>
      <w:ind w:firstLine="480" w:firstLineChars="200"/>
    </w:pPr>
    <w:rPr>
      <w:rFonts w:ascii="仿宋_GB2312" w:hAnsi="Times New Roman" w:eastAsia="仿宋_GB2312" w:cs="Times New Roman"/>
      <w:sz w:val="24"/>
    </w:rPr>
  </w:style>
  <w:style w:type="paragraph" w:customStyle="1" w:styleId="258">
    <w:name w:val="表项"/>
    <w:next w:val="1"/>
    <w:qFormat/>
    <w:uiPriority w:val="0"/>
    <w:pPr>
      <w:keepNext/>
      <w:spacing w:before="40" w:after="40" w:line="300" w:lineRule="auto"/>
      <w:jc w:val="center"/>
      <w:textAlignment w:val="baseline"/>
    </w:pPr>
    <w:rPr>
      <w:rFonts w:ascii="Arial" w:hAnsi="Arial" w:eastAsia="黑体" w:cs="Times New Roman"/>
      <w:sz w:val="21"/>
      <w:lang w:val="en-US" w:eastAsia="zh-CN" w:bidi="ar-SA"/>
    </w:rPr>
  </w:style>
  <w:style w:type="paragraph" w:customStyle="1" w:styleId="259">
    <w:name w:val="Char Char Char"/>
    <w:basedOn w:val="1"/>
    <w:qFormat/>
    <w:uiPriority w:val="0"/>
    <w:rPr>
      <w:rFonts w:ascii="Tahoma" w:hAnsi="Tahoma" w:eastAsia="宋体" w:cs="Times New Roman"/>
      <w:sz w:val="24"/>
      <w:szCs w:val="20"/>
    </w:rPr>
  </w:style>
  <w:style w:type="paragraph" w:customStyle="1" w:styleId="260">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261">
    <w:name w:val="Item List"/>
    <w:qFormat/>
    <w:uiPriority w:val="0"/>
    <w:pPr>
      <w:tabs>
        <w:tab w:val="left" w:pos="720"/>
      </w:tabs>
      <w:adjustRightInd w:val="0"/>
      <w:snapToGrid w:val="0"/>
      <w:spacing w:before="80" w:after="80" w:line="240" w:lineRule="atLeast"/>
      <w:ind w:left="720" w:hanging="720"/>
    </w:pPr>
    <w:rPr>
      <w:rFonts w:hint="eastAsia" w:ascii="Times New Roman" w:hAnsi="Times New Roman" w:eastAsia="宋体" w:cs="Arial"/>
      <w:kern w:val="2"/>
      <w:sz w:val="21"/>
      <w:szCs w:val="21"/>
      <w:lang w:val="en-US" w:eastAsia="zh-CN" w:bidi="ar-SA"/>
    </w:rPr>
  </w:style>
  <w:style w:type="paragraph" w:customStyle="1" w:styleId="262">
    <w:name w:val="font0"/>
    <w:basedOn w:val="1"/>
    <w:qFormat/>
    <w:uiPriority w:val="0"/>
    <w:pPr>
      <w:widowControl/>
      <w:spacing w:before="100" w:beforeAutospacing="1" w:after="100" w:afterAutospacing="1"/>
      <w:jc w:val="left"/>
    </w:pPr>
    <w:rPr>
      <w:rFonts w:hint="eastAsia" w:ascii="宋体" w:hAnsi="宋体" w:eastAsia="宋体" w:cs="Arial Unicode MS"/>
      <w:kern w:val="0"/>
      <w:sz w:val="24"/>
    </w:rPr>
  </w:style>
  <w:style w:type="paragraph" w:customStyle="1" w:styleId="263">
    <w:name w:val="text1"/>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customStyle="1" w:styleId="264">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265">
    <w:name w:val="机房集中监控系统方案"/>
    <w:basedOn w:val="1"/>
    <w:qFormat/>
    <w:uiPriority w:val="0"/>
    <w:rPr>
      <w:rFonts w:ascii="Times New Roman" w:hAnsi="Times New Roman" w:eastAsia="宋体" w:cs="Times New Roman"/>
    </w:rPr>
  </w:style>
  <w:style w:type="paragraph" w:customStyle="1" w:styleId="266">
    <w:name w:val="Char"/>
    <w:basedOn w:val="17"/>
    <w:qFormat/>
    <w:uiPriority w:val="0"/>
    <w:pPr>
      <w:widowControl/>
      <w:ind w:left="840"/>
      <w:jc w:val="left"/>
    </w:pPr>
    <w:rPr>
      <w:rFonts w:ascii="Tahoma" w:hAnsi="Tahoma" w:cs="宋体"/>
      <w:sz w:val="24"/>
    </w:rPr>
  </w:style>
  <w:style w:type="paragraph" w:customStyle="1" w:styleId="267">
    <w:name w:val="Char Char Char Char Char Char1 Char"/>
    <w:basedOn w:val="1"/>
    <w:qFormat/>
    <w:uiPriority w:val="0"/>
    <w:pPr>
      <w:widowControl/>
      <w:spacing w:line="240" w:lineRule="exact"/>
      <w:jc w:val="left"/>
    </w:pPr>
    <w:rPr>
      <w:rFonts w:ascii="Arial" w:hAnsi="Arial" w:eastAsia="Times New Roman" w:cs="Verdana"/>
      <w:b/>
      <w:kern w:val="0"/>
      <w:sz w:val="24"/>
      <w:szCs w:val="20"/>
      <w:lang w:eastAsia="en-US"/>
    </w:rPr>
  </w:style>
  <w:style w:type="paragraph" w:customStyle="1" w:styleId="268">
    <w:name w:val="公文正文"/>
    <w:basedOn w:val="1"/>
    <w:qFormat/>
    <w:uiPriority w:val="0"/>
    <w:pPr>
      <w:spacing w:line="360" w:lineRule="auto"/>
      <w:jc w:val="center"/>
    </w:pPr>
    <w:rPr>
      <w:rFonts w:ascii="Times New Roman" w:hAnsi="Times New Roman" w:eastAsia="华文仿宋" w:cs="Times New Roman"/>
      <w:b/>
      <w:sz w:val="32"/>
      <w:szCs w:val="32"/>
    </w:rPr>
  </w:style>
  <w:style w:type="paragraph" w:customStyle="1" w:styleId="269">
    <w:name w:val="msolistparagraph"/>
    <w:basedOn w:val="1"/>
    <w:qFormat/>
    <w:uiPriority w:val="0"/>
    <w:pPr>
      <w:widowControl/>
      <w:spacing w:line="360" w:lineRule="auto"/>
      <w:ind w:firstLine="420"/>
    </w:pPr>
    <w:rPr>
      <w:rFonts w:ascii="Arial" w:hAnsi="Arial" w:eastAsia="宋体" w:cs="Arial"/>
      <w:kern w:val="0"/>
      <w:sz w:val="24"/>
    </w:rPr>
  </w:style>
  <w:style w:type="paragraph" w:customStyle="1" w:styleId="270">
    <w:name w:val="正文1"/>
    <w:qFormat/>
    <w:uiPriority w:val="0"/>
    <w:pPr>
      <w:widowControl w:val="0"/>
      <w:adjustRightInd w:val="0"/>
      <w:spacing w:after="160" w:line="360" w:lineRule="atLeast"/>
      <w:textAlignment w:val="baseline"/>
    </w:pPr>
    <w:rPr>
      <w:rFonts w:ascii="宋体" w:hAnsi="Times New Roman" w:eastAsia="宋体" w:cs="Times New Roman"/>
      <w:sz w:val="34"/>
      <w:lang w:val="en-US" w:eastAsia="zh-CN" w:bidi="ar-SA"/>
    </w:rPr>
  </w:style>
  <w:style w:type="paragraph" w:customStyle="1" w:styleId="271">
    <w:name w:val="Bullet with text 1"/>
    <w:basedOn w:val="1"/>
    <w:qFormat/>
    <w:uiPriority w:val="0"/>
    <w:pPr>
      <w:widowControl/>
      <w:tabs>
        <w:tab w:val="left" w:pos="360"/>
      </w:tabs>
      <w:spacing w:line="360" w:lineRule="auto"/>
      <w:ind w:left="360" w:hanging="360"/>
      <w:jc w:val="left"/>
    </w:pPr>
    <w:rPr>
      <w:rFonts w:ascii="Futura Bk" w:hAnsi="Futura Bk" w:eastAsia="宋体" w:cs="Times New Roman"/>
      <w:kern w:val="0"/>
      <w:sz w:val="20"/>
      <w:szCs w:val="20"/>
      <w:lang w:val="en-GB"/>
    </w:rPr>
  </w:style>
  <w:style w:type="paragraph" w:customStyle="1" w:styleId="272">
    <w:name w:val="ZTE标题6"/>
    <w:basedOn w:val="273"/>
    <w:qFormat/>
    <w:uiPriority w:val="0"/>
    <w:pPr>
      <w:tabs>
        <w:tab w:val="left" w:pos="1276"/>
        <w:tab w:val="left" w:pos="2100"/>
      </w:tabs>
      <w:spacing w:before="120"/>
      <w:ind w:left="1276" w:hanging="1276"/>
    </w:pPr>
  </w:style>
  <w:style w:type="paragraph" w:customStyle="1" w:styleId="273">
    <w:name w:val="ZTE标题5"/>
    <w:basedOn w:val="1"/>
    <w:qFormat/>
    <w:uiPriority w:val="0"/>
    <w:pPr>
      <w:widowControl/>
      <w:tabs>
        <w:tab w:val="left" w:pos="2100"/>
      </w:tabs>
      <w:spacing w:before="160" w:after="120"/>
      <w:ind w:left="2100" w:hanging="420"/>
      <w:jc w:val="left"/>
    </w:pPr>
    <w:rPr>
      <w:rFonts w:ascii="Times New Roman" w:hAnsi="Times New Roman" w:eastAsia="宋体" w:cs="Times New Roman"/>
      <w:b/>
      <w:kern w:val="0"/>
      <w:szCs w:val="21"/>
    </w:rPr>
  </w:style>
  <w:style w:type="paragraph" w:customStyle="1" w:styleId="274">
    <w:name w:val="MM Topic 1"/>
    <w:basedOn w:val="2"/>
    <w:qFormat/>
    <w:uiPriority w:val="0"/>
    <w:pPr>
      <w:spacing w:before="0" w:after="0" w:line="576" w:lineRule="auto"/>
      <w:ind w:firstLine="200" w:firstLineChars="200"/>
    </w:pPr>
    <w:rPr>
      <w:rFonts w:ascii="Times New Roman" w:hAnsi="Times New Roman" w:eastAsia="仿宋_GB2312"/>
      <w:b w:val="0"/>
      <w:lang w:val="en-US"/>
    </w:rPr>
  </w:style>
  <w:style w:type="paragraph" w:customStyle="1" w:styleId="275">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276">
    <w:name w:val="xl30"/>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277">
    <w:name w:val="font6"/>
    <w:basedOn w:val="1"/>
    <w:qFormat/>
    <w:uiPriority w:val="0"/>
    <w:pPr>
      <w:widowControl/>
      <w:spacing w:before="100" w:beforeAutospacing="1" w:after="100" w:afterAutospacing="1"/>
      <w:jc w:val="left"/>
    </w:pPr>
    <w:rPr>
      <w:rFonts w:hint="eastAsia" w:ascii="宋体" w:hAnsi="宋体" w:eastAsia="宋体" w:cs="Times New Roman"/>
      <w:kern w:val="0"/>
      <w:sz w:val="20"/>
      <w:szCs w:val="20"/>
    </w:rPr>
  </w:style>
  <w:style w:type="paragraph" w:customStyle="1" w:styleId="27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79">
    <w:name w:val="Style-正文"/>
    <w:basedOn w:val="1"/>
    <w:qFormat/>
    <w:uiPriority w:val="0"/>
    <w:pPr>
      <w:spacing w:line="360" w:lineRule="auto"/>
      <w:ind w:firstLine="420"/>
    </w:pPr>
    <w:rPr>
      <w:rFonts w:ascii="宋体" w:hAnsi="宋体" w:eastAsia="宋体" w:cs="Times New Roman"/>
      <w:sz w:val="24"/>
    </w:rPr>
  </w:style>
  <w:style w:type="paragraph" w:customStyle="1" w:styleId="280">
    <w:name w:val="正文缩进1"/>
    <w:basedOn w:val="1"/>
    <w:qFormat/>
    <w:uiPriority w:val="0"/>
    <w:pPr>
      <w:widowControl/>
      <w:overflowPunct w:val="0"/>
      <w:autoSpaceDE w:val="0"/>
      <w:autoSpaceDN w:val="0"/>
      <w:adjustRightInd w:val="0"/>
      <w:spacing w:line="400" w:lineRule="exact"/>
      <w:ind w:firstLine="420"/>
      <w:textAlignment w:val="baseline"/>
    </w:pPr>
    <w:rPr>
      <w:rFonts w:ascii="Times New Roman" w:hAnsi="Times New Roman" w:eastAsia="宋体" w:cs="Times New Roman"/>
      <w:kern w:val="0"/>
      <w:sz w:val="24"/>
      <w:szCs w:val="20"/>
    </w:rPr>
  </w:style>
  <w:style w:type="paragraph" w:customStyle="1" w:styleId="281">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282">
    <w:name w:val="默认段落字体 Para Char"/>
    <w:basedOn w:val="1"/>
    <w:qFormat/>
    <w:uiPriority w:val="0"/>
    <w:pPr>
      <w:spacing w:line="360" w:lineRule="auto"/>
    </w:pPr>
    <w:rPr>
      <w:rFonts w:ascii="Tahoma" w:hAnsi="Tahoma" w:eastAsia="宋体" w:cs="Times New Roman"/>
      <w:sz w:val="24"/>
      <w:szCs w:val="20"/>
    </w:rPr>
  </w:style>
  <w:style w:type="paragraph" w:customStyle="1" w:styleId="283">
    <w:name w:val="正文 1"/>
    <w:basedOn w:val="1"/>
    <w:qFormat/>
    <w:uiPriority w:val="0"/>
    <w:pPr>
      <w:widowControl/>
      <w:snapToGrid w:val="0"/>
      <w:spacing w:before="80" w:after="80" w:line="360" w:lineRule="auto"/>
      <w:ind w:left="1418"/>
    </w:pPr>
    <w:rPr>
      <w:rFonts w:ascii="Times New Roman" w:hAnsi="Times New Roman" w:eastAsia="宋体" w:cs="Times New Roman"/>
      <w:szCs w:val="20"/>
    </w:rPr>
  </w:style>
  <w:style w:type="paragraph" w:customStyle="1" w:styleId="284">
    <w:name w:val="样式 样式 首行缩进: 2 字符"/>
    <w:basedOn w:val="1"/>
    <w:qFormat/>
    <w:uiPriority w:val="0"/>
    <w:pPr>
      <w:widowControl/>
      <w:ind w:firstLine="480" w:firstLineChars="200"/>
      <w:jc w:val="left"/>
    </w:pPr>
    <w:rPr>
      <w:rFonts w:ascii="Times New Roman" w:hAnsi="Times New Roman" w:eastAsia="宋体" w:cs="宋体"/>
      <w:kern w:val="0"/>
      <w:sz w:val="24"/>
      <w:szCs w:val="20"/>
    </w:rPr>
  </w:style>
  <w:style w:type="paragraph" w:customStyle="1" w:styleId="285">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286">
    <w:name w:val="正文样式小四首行缩进"/>
    <w:basedOn w:val="1"/>
    <w:qFormat/>
    <w:uiPriority w:val="0"/>
    <w:pPr>
      <w:spacing w:line="360" w:lineRule="auto"/>
      <w:ind w:left="360" w:firstLine="360"/>
      <w:jc w:val="left"/>
    </w:pPr>
    <w:rPr>
      <w:rFonts w:ascii="宋体" w:hAnsi="宋体" w:eastAsia="宋体" w:cs="Times New Roman"/>
      <w:kern w:val="0"/>
      <w:sz w:val="24"/>
      <w:szCs w:val="20"/>
    </w:rPr>
  </w:style>
  <w:style w:type="paragraph" w:customStyle="1" w:styleId="287">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hAnsi="Courier New" w:eastAsia="宋体" w:cs="Times New Roman"/>
      <w:sz w:val="24"/>
      <w:szCs w:val="20"/>
    </w:rPr>
  </w:style>
  <w:style w:type="paragraph" w:customStyle="1" w:styleId="28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289">
    <w:name w:val="Char Char7 Char Char"/>
    <w:basedOn w:val="1"/>
    <w:qFormat/>
    <w:uiPriority w:val="0"/>
    <w:rPr>
      <w:rFonts w:ascii="Tahoma" w:hAnsi="Tahoma" w:eastAsia="宋体" w:cs="Times New Roman"/>
      <w:sz w:val="24"/>
      <w:szCs w:val="20"/>
    </w:rPr>
  </w:style>
  <w:style w:type="paragraph" w:customStyle="1" w:styleId="290">
    <w:name w:val="三级条标题"/>
    <w:basedOn w:val="291"/>
    <w:next w:val="5"/>
    <w:qFormat/>
    <w:uiPriority w:val="0"/>
    <w:pPr>
      <w:tabs>
        <w:tab w:val="left" w:pos="525"/>
        <w:tab w:val="left" w:pos="720"/>
        <w:tab w:val="left" w:pos="945"/>
        <w:tab w:val="left" w:pos="1080"/>
      </w:tabs>
      <w:outlineLvl w:val="4"/>
    </w:pPr>
  </w:style>
  <w:style w:type="paragraph" w:customStyle="1" w:styleId="291">
    <w:name w:val="二级条标题"/>
    <w:basedOn w:val="292"/>
    <w:next w:val="5"/>
    <w:qFormat/>
    <w:uiPriority w:val="0"/>
    <w:pPr>
      <w:tabs>
        <w:tab w:val="left" w:pos="525"/>
        <w:tab w:val="left" w:pos="720"/>
      </w:tabs>
      <w:outlineLvl w:val="3"/>
    </w:pPr>
  </w:style>
  <w:style w:type="paragraph" w:customStyle="1" w:styleId="292">
    <w:name w:val="一级条标题"/>
    <w:basedOn w:val="2"/>
    <w:next w:val="5"/>
    <w:qFormat/>
    <w:uiPriority w:val="0"/>
    <w:pPr>
      <w:keepNext w:val="0"/>
      <w:keepLines w:val="0"/>
      <w:widowControl/>
      <w:tabs>
        <w:tab w:val="left" w:pos="525"/>
        <w:tab w:val="left" w:pos="720"/>
      </w:tabs>
      <w:spacing w:before="0" w:after="0" w:line="240" w:lineRule="auto"/>
      <w:ind w:firstLine="200" w:firstLineChars="200"/>
      <w:outlineLvl w:val="2"/>
    </w:pPr>
    <w:rPr>
      <w:rFonts w:ascii="黑体" w:hAnsi="Times New Roman" w:eastAsia="黑体"/>
      <w:b w:val="0"/>
      <w:bCs w:val="0"/>
      <w:kern w:val="0"/>
      <w:sz w:val="21"/>
      <w:szCs w:val="20"/>
      <w:lang w:val="en-US"/>
    </w:rPr>
  </w:style>
  <w:style w:type="paragraph" w:customStyle="1" w:styleId="293">
    <w:name w:val="三级无标题条"/>
    <w:basedOn w:val="1"/>
    <w:qFormat/>
    <w:uiPriority w:val="0"/>
    <w:rPr>
      <w:rFonts w:ascii="Times New Roman" w:hAnsi="Times New Roman" w:eastAsia="宋体" w:cs="Times New Roman"/>
      <w:b/>
    </w:rPr>
  </w:style>
  <w:style w:type="paragraph" w:customStyle="1" w:styleId="294">
    <w:name w:val="Char1 Char Char Char"/>
    <w:basedOn w:val="1"/>
    <w:qFormat/>
    <w:uiPriority w:val="0"/>
    <w:pPr>
      <w:widowControl/>
      <w:spacing w:line="240" w:lineRule="exact"/>
      <w:jc w:val="left"/>
    </w:pPr>
    <w:rPr>
      <w:rFonts w:ascii="Verdana" w:hAnsi="Verdana" w:eastAsia="宋体" w:cs="Times New Roman"/>
      <w:kern w:val="0"/>
      <w:szCs w:val="20"/>
      <w:lang w:eastAsia="en-US"/>
    </w:rPr>
  </w:style>
  <w:style w:type="paragraph" w:customStyle="1" w:styleId="295">
    <w:name w:val="p15"/>
    <w:basedOn w:val="1"/>
    <w:qFormat/>
    <w:uiPriority w:val="0"/>
    <w:pPr>
      <w:widowControl/>
      <w:spacing w:line="360" w:lineRule="auto"/>
      <w:ind w:firstLine="420"/>
    </w:pPr>
    <w:rPr>
      <w:rFonts w:ascii="Times New Roman" w:hAnsi="Times New Roman" w:eastAsia="宋体" w:cs="Times New Roman"/>
      <w:kern w:val="0"/>
      <w:sz w:val="24"/>
    </w:rPr>
  </w:style>
  <w:style w:type="paragraph" w:customStyle="1" w:styleId="296">
    <w:name w:val="样式 样式 正文文本缩进 + 仿宋_GB2312 小四 首行缩进:  0 厘米 行距: 1.5 倍行距 + (中文) 仿宋_GB... Char Char"/>
    <w:basedOn w:val="1"/>
    <w:qFormat/>
    <w:uiPriority w:val="0"/>
    <w:pPr>
      <w:spacing w:line="360" w:lineRule="auto"/>
      <w:ind w:firstLine="480"/>
    </w:pPr>
    <w:rPr>
      <w:rFonts w:ascii="仿宋_GB2312" w:hAnsi="Times New Roman" w:eastAsia="新宋体" w:cs="Times New Roman"/>
      <w:sz w:val="24"/>
      <w:szCs w:val="20"/>
    </w:rPr>
  </w:style>
  <w:style w:type="paragraph" w:customStyle="1" w:styleId="297">
    <w:name w:val="Char Char Char1"/>
    <w:basedOn w:val="1"/>
    <w:qFormat/>
    <w:uiPriority w:val="0"/>
    <w:rPr>
      <w:rFonts w:ascii="Tahoma" w:hAnsi="Tahoma" w:eastAsia="宋体" w:cs="Times New Roman"/>
      <w:sz w:val="24"/>
      <w:szCs w:val="20"/>
    </w:rPr>
  </w:style>
  <w:style w:type="paragraph" w:customStyle="1" w:styleId="298">
    <w:name w:val="段落正文"/>
    <w:basedOn w:val="1"/>
    <w:qFormat/>
    <w:uiPriority w:val="0"/>
    <w:pPr>
      <w:adjustRightInd w:val="0"/>
      <w:spacing w:afterLines="50" w:line="400" w:lineRule="exact"/>
      <w:ind w:firstLine="200" w:firstLineChars="200"/>
    </w:pPr>
    <w:rPr>
      <w:rFonts w:ascii="Arial" w:hAnsi="Arial" w:eastAsia="宋体" w:cs="Times New Roman"/>
      <w:sz w:val="24"/>
    </w:rPr>
  </w:style>
  <w:style w:type="paragraph" w:customStyle="1" w:styleId="299">
    <w:name w:val="文档正文"/>
    <w:basedOn w:val="1"/>
    <w:qFormat/>
    <w:uiPriority w:val="0"/>
    <w:pPr>
      <w:adjustRightInd w:val="0"/>
      <w:spacing w:line="480" w:lineRule="atLeast"/>
      <w:ind w:firstLine="567"/>
      <w:textAlignment w:val="baseline"/>
    </w:pPr>
    <w:rPr>
      <w:rFonts w:ascii="长城仿宋" w:hAnsi="Times New Roman" w:eastAsia="宋体" w:cs="Times New Roman"/>
      <w:kern w:val="0"/>
      <w:sz w:val="24"/>
      <w:szCs w:val="20"/>
    </w:rPr>
  </w:style>
  <w:style w:type="paragraph" w:customStyle="1" w:styleId="300">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301">
    <w:name w:val="MM Topic 2"/>
    <w:basedOn w:val="3"/>
    <w:qFormat/>
    <w:uiPriority w:val="0"/>
    <w:pPr>
      <w:keepNext w:val="0"/>
      <w:keepLines w:val="0"/>
      <w:spacing w:before="0" w:after="0" w:line="560" w:lineRule="exact"/>
      <w:ind w:firstLine="200" w:firstLineChars="200"/>
    </w:pPr>
    <w:rPr>
      <w:rFonts w:ascii="Arial" w:hAnsi="Arial" w:eastAsia="黑体"/>
      <w:b w:val="0"/>
      <w:lang w:val="en-US"/>
    </w:rPr>
  </w:style>
  <w:style w:type="paragraph" w:customStyle="1" w:styleId="302">
    <w:name w:val="Char Char Char1 Char"/>
    <w:basedOn w:val="1"/>
    <w:qFormat/>
    <w:uiPriority w:val="0"/>
    <w:rPr>
      <w:rFonts w:ascii="仿宋_GB2312" w:hAnsi="Times New Roman" w:eastAsia="仿宋_GB2312" w:cs="Times New Roman"/>
      <w:b/>
      <w:sz w:val="32"/>
      <w:szCs w:val="32"/>
    </w:rPr>
  </w:style>
  <w:style w:type="paragraph" w:customStyle="1" w:styleId="303">
    <w:name w:val="Char2"/>
    <w:basedOn w:val="17"/>
    <w:qFormat/>
    <w:uiPriority w:val="0"/>
    <w:pPr>
      <w:widowControl/>
      <w:spacing w:line="240" w:lineRule="exact"/>
      <w:jc w:val="left"/>
    </w:pPr>
    <w:rPr>
      <w:rFonts w:ascii="Verdana" w:hAnsi="Verdana"/>
      <w:lang w:eastAsia="en-US"/>
    </w:rPr>
  </w:style>
  <w:style w:type="paragraph" w:customStyle="1" w:styleId="304">
    <w:name w:val="列出段落21"/>
    <w:basedOn w:val="1"/>
    <w:qFormat/>
    <w:uiPriority w:val="0"/>
    <w:pPr>
      <w:ind w:firstLine="420" w:firstLineChars="200"/>
    </w:pPr>
    <w:rPr>
      <w:rFonts w:ascii="Times New Roman" w:hAnsi="Times New Roman" w:eastAsia="宋体" w:cs="Times New Roman"/>
      <w:sz w:val="24"/>
    </w:rPr>
  </w:style>
  <w:style w:type="paragraph" w:customStyle="1" w:styleId="305">
    <w:name w:val="Table Heading"/>
    <w:basedOn w:val="1"/>
    <w:qFormat/>
    <w:uiPriority w:val="0"/>
    <w:pPr>
      <w:keepNext/>
      <w:topLinePunct/>
      <w:adjustRightInd w:val="0"/>
      <w:snapToGrid w:val="0"/>
      <w:spacing w:before="80" w:after="80" w:line="240" w:lineRule="atLeast"/>
      <w:jc w:val="left"/>
    </w:pPr>
    <w:rPr>
      <w:rFonts w:hint="eastAsia" w:ascii="Book Antiqua" w:hAnsi="Book Antiqua" w:eastAsia="黑体" w:cs="Book Antiqua"/>
      <w:bCs/>
      <w:snapToGrid w:val="0"/>
      <w:kern w:val="0"/>
      <w:szCs w:val="21"/>
    </w:rPr>
  </w:style>
  <w:style w:type="paragraph" w:customStyle="1" w:styleId="306">
    <w:name w:val="正文11"/>
    <w:basedOn w:val="1"/>
    <w:qFormat/>
    <w:uiPriority w:val="0"/>
    <w:pPr>
      <w:spacing w:line="360" w:lineRule="auto"/>
    </w:pPr>
    <w:rPr>
      <w:rFonts w:ascii="Times New Roman" w:hAnsi="Times New Roman" w:eastAsia="仿宋_GB2312" w:cs="Times New Roman"/>
      <w:sz w:val="24"/>
      <w:szCs w:val="20"/>
    </w:rPr>
  </w:style>
  <w:style w:type="paragraph" w:customStyle="1" w:styleId="3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08">
    <w:name w:val="正文一"/>
    <w:basedOn w:val="1"/>
    <w:qFormat/>
    <w:uiPriority w:val="0"/>
    <w:pPr>
      <w:widowControl/>
      <w:spacing w:line="360" w:lineRule="auto"/>
      <w:ind w:firstLine="200" w:firstLineChars="200"/>
      <w:jc w:val="left"/>
    </w:pPr>
    <w:rPr>
      <w:rFonts w:ascii="Calibri" w:hAnsi="Calibri" w:eastAsia="宋体" w:cs="Times New Roman"/>
      <w:kern w:val="0"/>
      <w:sz w:val="24"/>
    </w:rPr>
  </w:style>
  <w:style w:type="paragraph" w:customStyle="1" w:styleId="309">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310">
    <w:name w:val="Table Text"/>
    <w:basedOn w:val="1"/>
    <w:qFormat/>
    <w:uiPriority w:val="0"/>
    <w:pPr>
      <w:topLinePunct/>
      <w:adjustRightInd w:val="0"/>
      <w:snapToGrid w:val="0"/>
      <w:spacing w:before="80" w:after="80" w:line="240" w:lineRule="atLeast"/>
      <w:jc w:val="left"/>
    </w:pPr>
    <w:rPr>
      <w:rFonts w:hint="eastAsia" w:ascii="Times New Roman" w:hAnsi="Times New Roman" w:eastAsia="宋体" w:cs="Arial"/>
      <w:snapToGrid w:val="0"/>
      <w:kern w:val="0"/>
      <w:szCs w:val="21"/>
    </w:rPr>
  </w:style>
  <w:style w:type="paragraph" w:customStyle="1" w:styleId="311">
    <w:name w:val="Char Char1 Char Char Char Char"/>
    <w:basedOn w:val="1"/>
    <w:qFormat/>
    <w:uiPriority w:val="0"/>
    <w:rPr>
      <w:rFonts w:ascii="Times New Roman" w:hAnsi="Times New Roman" w:eastAsia="宋体" w:cs="Times New Roman"/>
    </w:rPr>
  </w:style>
  <w:style w:type="paragraph" w:customStyle="1" w:styleId="312">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313">
    <w:name w:val="MM Topic 3"/>
    <w:basedOn w:val="4"/>
    <w:qFormat/>
    <w:uiPriority w:val="0"/>
    <w:pPr>
      <w:spacing w:line="415" w:lineRule="auto"/>
    </w:pPr>
    <w:rPr>
      <w:rFonts w:ascii="Times New Roman" w:hAnsi="Times New Roman" w:eastAsia="仿宋_GB2312" w:cs="Times New Roman"/>
    </w:rPr>
  </w:style>
  <w:style w:type="paragraph" w:customStyle="1" w:styleId="314">
    <w:name w:val="样式1"/>
    <w:basedOn w:val="1"/>
    <w:qFormat/>
    <w:uiPriority w:val="0"/>
    <w:pPr>
      <w:spacing w:line="360" w:lineRule="auto"/>
    </w:pPr>
    <w:rPr>
      <w:rFonts w:ascii="宋体" w:hAnsi="Times New Roman" w:eastAsia="宋体" w:cs="Times New Roman"/>
      <w:sz w:val="24"/>
    </w:rPr>
  </w:style>
  <w:style w:type="paragraph" w:customStyle="1" w:styleId="315">
    <w:name w:val="标注"/>
    <w:basedOn w:val="1"/>
    <w:qFormat/>
    <w:uiPriority w:val="0"/>
    <w:pPr>
      <w:spacing w:line="360" w:lineRule="auto"/>
    </w:pPr>
    <w:rPr>
      <w:rFonts w:ascii="Times New Roman" w:hAnsi="Times New Roman" w:eastAsia="楷体_GB2312" w:cs="Times New Roman"/>
      <w:spacing w:val="4"/>
      <w:szCs w:val="20"/>
    </w:rPr>
  </w:style>
  <w:style w:type="paragraph" w:customStyle="1" w:styleId="316">
    <w:name w:val="1"/>
    <w:basedOn w:val="1"/>
    <w:next w:val="28"/>
    <w:qFormat/>
    <w:uiPriority w:val="0"/>
    <w:rPr>
      <w:rFonts w:ascii="宋体" w:hAnsi="Courier New" w:eastAsia="宋体" w:cs="Times New Roman"/>
      <w:szCs w:val="20"/>
    </w:rPr>
  </w:style>
  <w:style w:type="paragraph" w:customStyle="1" w:styleId="317">
    <w:name w:val="条文脚注"/>
    <w:basedOn w:val="38"/>
    <w:qFormat/>
    <w:uiPriority w:val="0"/>
    <w:pPr>
      <w:tabs>
        <w:tab w:val="left" w:pos="360"/>
      </w:tabs>
      <w:ind w:left="200" w:leftChars="200" w:hanging="420"/>
      <w:jc w:val="both"/>
    </w:pPr>
    <w:rPr>
      <w:rFonts w:ascii="宋体"/>
    </w:rPr>
  </w:style>
  <w:style w:type="paragraph" w:customStyle="1" w:styleId="318">
    <w:name w:val="Char Char"/>
    <w:basedOn w:val="1"/>
    <w:qFormat/>
    <w:uiPriority w:val="0"/>
    <w:rPr>
      <w:rFonts w:ascii="Tahoma" w:hAnsi="Tahoma" w:eastAsia="宋体" w:cs="Times New Roman"/>
      <w:sz w:val="24"/>
      <w:szCs w:val="20"/>
    </w:rPr>
  </w:style>
  <w:style w:type="paragraph" w:customStyle="1" w:styleId="319">
    <w:name w:val="xl23"/>
    <w:basedOn w:val="1"/>
    <w:qFormat/>
    <w:uiPriority w:val="0"/>
    <w:pPr>
      <w:widowControl/>
      <w:spacing w:before="100" w:beforeAutospacing="1" w:after="100" w:afterAutospacing="1" w:line="360" w:lineRule="auto"/>
      <w:textAlignment w:val="top"/>
    </w:pPr>
    <w:rPr>
      <w:rFonts w:ascii="Times New Roman" w:hAnsi="Times New Roman" w:eastAsia="宋体" w:cs="Times New Roman"/>
      <w:kern w:val="0"/>
      <w:sz w:val="24"/>
    </w:rPr>
  </w:style>
  <w:style w:type="paragraph" w:customStyle="1" w:styleId="320">
    <w:name w:val="正文 3"/>
    <w:basedOn w:val="65"/>
    <w:next w:val="65"/>
    <w:qFormat/>
    <w:uiPriority w:val="0"/>
    <w:pPr>
      <w:spacing w:before="120"/>
    </w:pPr>
    <w:rPr>
      <w:rFonts w:ascii="Garamond" w:hAnsi="Garamond" w:cs="Times New Roman"/>
      <w:color w:val="auto"/>
    </w:rPr>
  </w:style>
  <w:style w:type="paragraph" w:customStyle="1" w:styleId="321">
    <w:name w:val="列出段落11"/>
    <w:basedOn w:val="1"/>
    <w:qFormat/>
    <w:uiPriority w:val="0"/>
    <w:pPr>
      <w:ind w:firstLine="420" w:firstLineChars="200"/>
    </w:pPr>
    <w:rPr>
      <w:rFonts w:ascii="Times New Roman" w:hAnsi="Times New Roman" w:eastAsia="Tahoma" w:cs="Times New Roman"/>
    </w:rPr>
  </w:style>
  <w:style w:type="paragraph" w:customStyle="1" w:styleId="322">
    <w:name w:val="表身（左）"/>
    <w:qFormat/>
    <w:uiPriority w:val="0"/>
    <w:pPr>
      <w:adjustRightInd w:val="0"/>
      <w:snapToGrid w:val="0"/>
      <w:spacing w:after="160" w:line="300" w:lineRule="auto"/>
      <w:textAlignment w:val="center"/>
    </w:pPr>
    <w:rPr>
      <w:rFonts w:ascii="Times New Roman" w:hAnsi="Times New Roman" w:eastAsia="宋体" w:cs="Times New Roman"/>
      <w:sz w:val="16"/>
      <w:lang w:val="en-US" w:eastAsia="zh-CN" w:bidi="ar-SA"/>
    </w:rPr>
  </w:style>
  <w:style w:type="paragraph" w:customStyle="1" w:styleId="323">
    <w:name w:val="段落"/>
    <w:basedOn w:val="1"/>
    <w:qFormat/>
    <w:uiPriority w:val="0"/>
    <w:pPr>
      <w:spacing w:line="300" w:lineRule="auto"/>
      <w:ind w:firstLine="200" w:firstLineChars="200"/>
      <w:jc w:val="left"/>
    </w:pPr>
    <w:rPr>
      <w:rFonts w:ascii="Times New Roman" w:hAnsi="Times New Roman" w:eastAsia="??" w:cs="Times New Roman"/>
      <w:sz w:val="24"/>
      <w:szCs w:val="21"/>
    </w:rPr>
  </w:style>
  <w:style w:type="paragraph" w:customStyle="1" w:styleId="324">
    <w:name w:val="Char Char7"/>
    <w:basedOn w:val="1"/>
    <w:qFormat/>
    <w:uiPriority w:val="0"/>
    <w:rPr>
      <w:rFonts w:ascii="Tahoma" w:hAnsi="Tahoma" w:eastAsia="宋体" w:cs="Times New Roman"/>
      <w:sz w:val="24"/>
      <w:szCs w:val="20"/>
    </w:rPr>
  </w:style>
  <w:style w:type="character" w:customStyle="1" w:styleId="325">
    <w:name w:val="纯文本 Char2"/>
    <w:qFormat/>
    <w:uiPriority w:val="0"/>
    <w:rPr>
      <w:rFonts w:ascii="宋体" w:hAnsi="Courier New" w:cs="Courier New"/>
      <w:kern w:val="2"/>
      <w:sz w:val="21"/>
      <w:szCs w:val="21"/>
    </w:rPr>
  </w:style>
  <w:style w:type="paragraph" w:customStyle="1" w:styleId="32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Cs w:val="21"/>
    </w:rPr>
  </w:style>
  <w:style w:type="paragraph" w:customStyle="1" w:styleId="32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Cs w:val="21"/>
    </w:rPr>
  </w:style>
  <w:style w:type="paragraph" w:customStyle="1" w:styleId="32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color w:val="000000"/>
      <w:kern w:val="0"/>
      <w:szCs w:val="21"/>
    </w:rPr>
  </w:style>
  <w:style w:type="paragraph" w:customStyle="1" w:styleId="329">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color w:val="000000"/>
      <w:kern w:val="0"/>
      <w:szCs w:val="21"/>
    </w:rPr>
  </w:style>
  <w:style w:type="paragraph" w:customStyle="1" w:styleId="330">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color w:val="000000"/>
      <w:kern w:val="0"/>
      <w:szCs w:val="21"/>
    </w:rPr>
  </w:style>
  <w:style w:type="paragraph" w:customStyle="1" w:styleId="3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Cs w:val="21"/>
    </w:rPr>
  </w:style>
  <w:style w:type="paragraph" w:customStyle="1" w:styleId="33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3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b/>
      <w:bCs/>
      <w:color w:val="000000"/>
      <w:kern w:val="0"/>
      <w:szCs w:val="21"/>
    </w:rPr>
  </w:style>
  <w:style w:type="paragraph" w:customStyle="1" w:styleId="33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kern w:val="0"/>
      <w:szCs w:val="21"/>
    </w:rPr>
  </w:style>
  <w:style w:type="paragraph" w:customStyle="1" w:styleId="33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Cs w:val="21"/>
    </w:rPr>
  </w:style>
  <w:style w:type="paragraph" w:customStyle="1" w:styleId="33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Cs w:val="21"/>
    </w:rPr>
  </w:style>
  <w:style w:type="paragraph" w:customStyle="1" w:styleId="33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宋体" w:cs="Calibri"/>
      <w:kern w:val="0"/>
      <w:sz w:val="20"/>
      <w:szCs w:val="20"/>
    </w:rPr>
  </w:style>
  <w:style w:type="paragraph" w:customStyle="1" w:styleId="33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b/>
      <w:bCs/>
      <w:color w:val="000000"/>
      <w:kern w:val="0"/>
      <w:sz w:val="24"/>
    </w:rPr>
  </w:style>
  <w:style w:type="paragraph" w:customStyle="1" w:styleId="33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4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color w:val="000000"/>
      <w:kern w:val="0"/>
      <w:szCs w:val="21"/>
    </w:rPr>
  </w:style>
  <w:style w:type="paragraph" w:customStyle="1" w:styleId="34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color w:val="000000"/>
      <w:kern w:val="0"/>
      <w:szCs w:val="21"/>
    </w:rPr>
  </w:style>
  <w:style w:type="paragraph" w:customStyle="1" w:styleId="34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b/>
      <w:bCs/>
      <w:color w:val="000000"/>
      <w:kern w:val="0"/>
      <w:szCs w:val="21"/>
    </w:rPr>
  </w:style>
  <w:style w:type="paragraph" w:customStyle="1" w:styleId="343">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 w:val="24"/>
    </w:rPr>
  </w:style>
  <w:style w:type="paragraph" w:customStyle="1" w:styleId="34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b/>
      <w:bCs/>
      <w:color w:val="000000"/>
      <w:kern w:val="0"/>
      <w:sz w:val="24"/>
    </w:rPr>
  </w:style>
  <w:style w:type="paragraph" w:customStyle="1" w:styleId="345">
    <w:name w:val="xl8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 w:val="24"/>
    </w:rPr>
  </w:style>
  <w:style w:type="paragraph" w:customStyle="1" w:styleId="346">
    <w:name w:val="xl85"/>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 w:val="24"/>
    </w:rPr>
  </w:style>
  <w:style w:type="paragraph" w:customStyle="1" w:styleId="347">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仿宋_GB2312" w:hAnsi="宋体" w:eastAsia="仿宋_GB2312" w:cs="宋体"/>
      <w:b/>
      <w:bCs/>
      <w:color w:val="000000"/>
      <w:kern w:val="0"/>
      <w:szCs w:val="21"/>
    </w:rPr>
  </w:style>
  <w:style w:type="paragraph" w:customStyle="1" w:styleId="34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b/>
      <w:bCs/>
      <w:color w:val="000000"/>
      <w:kern w:val="0"/>
      <w:szCs w:val="21"/>
    </w:rPr>
  </w:style>
  <w:style w:type="paragraph" w:customStyle="1" w:styleId="349">
    <w:name w:val="xl8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Cs w:val="21"/>
    </w:rPr>
  </w:style>
  <w:style w:type="paragraph" w:customStyle="1" w:styleId="350">
    <w:name w:val="xl89"/>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Cs w:val="21"/>
    </w:rPr>
  </w:style>
  <w:style w:type="paragraph" w:customStyle="1" w:styleId="35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_GB2312" w:hAnsi="宋体" w:eastAsia="仿宋_GB2312" w:cs="宋体"/>
      <w:b/>
      <w:bCs/>
      <w:color w:val="000000"/>
      <w:kern w:val="0"/>
      <w:szCs w:val="21"/>
    </w:rPr>
  </w:style>
  <w:style w:type="paragraph" w:customStyle="1" w:styleId="35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b/>
      <w:bCs/>
      <w:color w:val="000000"/>
      <w:kern w:val="0"/>
      <w:szCs w:val="21"/>
    </w:rPr>
  </w:style>
  <w:style w:type="paragraph" w:customStyle="1" w:styleId="353">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Cs w:val="21"/>
    </w:rPr>
  </w:style>
  <w:style w:type="paragraph" w:customStyle="1" w:styleId="354">
    <w:name w:val="xl93"/>
    <w:basedOn w:val="1"/>
    <w:qFormat/>
    <w:uiPriority w:val="0"/>
    <w:pPr>
      <w:widowControl/>
      <w:pBdr>
        <w:bottom w:val="single" w:color="auto" w:sz="4" w:space="0"/>
      </w:pBdr>
      <w:shd w:val="clear" w:color="000000" w:fill="FFFFFF"/>
      <w:spacing w:before="100" w:beforeAutospacing="1" w:after="100" w:afterAutospacing="1"/>
      <w:jc w:val="center"/>
    </w:pPr>
    <w:rPr>
      <w:rFonts w:ascii="方正小标宋简体" w:hAnsi="宋体" w:eastAsia="方正小标宋简体" w:cs="宋体"/>
      <w:color w:val="000000"/>
      <w:kern w:val="0"/>
      <w:sz w:val="28"/>
      <w:szCs w:val="28"/>
    </w:rPr>
  </w:style>
  <w:style w:type="paragraph" w:customStyle="1" w:styleId="355">
    <w:name w:val="xl9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56">
    <w:name w:val="xl9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57">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3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59">
    <w:name w:val="xl98"/>
    <w:basedOn w:val="1"/>
    <w:qFormat/>
    <w:uiPriority w:val="0"/>
    <w:pPr>
      <w:widowControl/>
      <w:pBdr>
        <w:bottom w:val="single" w:color="auto" w:sz="4" w:space="0"/>
      </w:pBdr>
      <w:shd w:val="clear" w:color="000000" w:fill="FFFFFF"/>
      <w:spacing w:before="100" w:beforeAutospacing="1" w:after="100" w:afterAutospacing="1"/>
      <w:jc w:val="center"/>
    </w:pPr>
    <w:rPr>
      <w:rFonts w:ascii="方正小标宋简体" w:hAnsi="宋体" w:eastAsia="方正小标宋简体" w:cs="宋体"/>
      <w:color w:val="000000"/>
      <w:kern w:val="0"/>
      <w:sz w:val="28"/>
      <w:szCs w:val="28"/>
    </w:rPr>
  </w:style>
  <w:style w:type="paragraph" w:customStyle="1" w:styleId="360">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right"/>
    </w:pPr>
    <w:rPr>
      <w:rFonts w:ascii="宋体" w:hAnsi="宋体" w:eastAsia="宋体" w:cs="宋体"/>
      <w:kern w:val="0"/>
      <w:sz w:val="24"/>
    </w:rPr>
  </w:style>
  <w:style w:type="paragraph" w:customStyle="1" w:styleId="361">
    <w:name w:val="xl10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eastAsia="宋体" w:cs="宋体"/>
      <w:kern w:val="0"/>
      <w:sz w:val="24"/>
    </w:rPr>
  </w:style>
  <w:style w:type="paragraph" w:customStyle="1" w:styleId="362">
    <w:name w:val="xl10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63">
    <w:name w:val="xl10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64">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65">
    <w:name w:val="TOC 标题1"/>
    <w:basedOn w:val="2"/>
    <w:next w:val="1"/>
    <w:unhideWhenUsed/>
    <w:qFormat/>
    <w:uiPriority w:val="39"/>
    <w:pPr>
      <w:widowControl/>
      <w:spacing w:before="480" w:after="0" w:line="276" w:lineRule="auto"/>
      <w:ind w:firstLine="200" w:firstLineChars="200"/>
      <w:jc w:val="left"/>
      <w:outlineLvl w:val="9"/>
    </w:pPr>
    <w:rPr>
      <w:rFonts w:ascii="Cambria" w:hAnsi="Cambria" w:eastAsia="宋体"/>
      <w:b w:val="0"/>
      <w:color w:val="365F91"/>
      <w:kern w:val="0"/>
      <w:sz w:val="28"/>
      <w:szCs w:val="28"/>
      <w:lang w:val="en-US"/>
    </w:rPr>
  </w:style>
  <w:style w:type="paragraph" w:customStyle="1" w:styleId="366">
    <w:name w:val="列出段落3"/>
    <w:basedOn w:val="1"/>
    <w:qFormat/>
    <w:uiPriority w:val="34"/>
    <w:pPr>
      <w:ind w:firstLine="420" w:firstLineChars="200"/>
    </w:pPr>
    <w:rPr>
      <w:rFonts w:ascii="Times New Roman" w:hAnsi="Times New Roman" w:eastAsia="宋体" w:cs="Times New Roman"/>
    </w:rPr>
  </w:style>
  <w:style w:type="character" w:customStyle="1" w:styleId="367">
    <w:name w:val="正文首行缩进 字符"/>
    <w:basedOn w:val="94"/>
    <w:link w:val="47"/>
    <w:semiHidden/>
    <w:qFormat/>
    <w:uiPriority w:val="99"/>
    <w:rPr>
      <w:rFonts w:ascii="Times New Roman" w:hAnsi="Times New Roman" w:eastAsia="宋体" w:cs="Times New Roman"/>
      <w:kern w:val="2"/>
      <w:sz w:val="21"/>
      <w:szCs w:val="24"/>
    </w:rPr>
  </w:style>
  <w:style w:type="character" w:customStyle="1" w:styleId="368">
    <w:name w:val="正文首行缩进 2 字符"/>
    <w:basedOn w:val="71"/>
    <w:link w:val="48"/>
    <w:qFormat/>
    <w:uiPriority w:val="99"/>
    <w:rPr>
      <w:rFonts w:ascii="Times New Roman" w:hAnsi="Times New Roman" w:eastAsia="宋体" w:cs="Times New Roman"/>
      <w:kern w:val="2"/>
      <w:sz w:val="21"/>
      <w:szCs w:val="24"/>
    </w:rPr>
  </w:style>
  <w:style w:type="character" w:customStyle="1" w:styleId="369">
    <w:name w:val="未处理的提及2"/>
    <w:basedOn w:val="51"/>
    <w:unhideWhenUsed/>
    <w:qFormat/>
    <w:uiPriority w:val="99"/>
    <w:rPr>
      <w:color w:val="605E5C"/>
      <w:shd w:val="clear" w:color="auto" w:fill="E1DFDD"/>
    </w:rPr>
  </w:style>
  <w:style w:type="paragraph" w:customStyle="1" w:styleId="370">
    <w:name w:val="Normal_0"/>
    <w:next w:val="1"/>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71">
    <w:name w:val="List Paragraph"/>
    <w:basedOn w:val="1"/>
    <w:qFormat/>
    <w:uiPriority w:val="34"/>
    <w:pPr>
      <w:spacing w:after="0" w:line="240" w:lineRule="auto"/>
      <w:ind w:firstLine="420"/>
    </w:pPr>
    <w:rPr>
      <w:rFonts w:ascii="Calibri" w:hAnsi="Calibri" w:eastAsia="宋体" w:cs="Times New Roman"/>
    </w:rPr>
  </w:style>
  <w:style w:type="paragraph" w:styleId="372">
    <w:name w:val="No Spacing"/>
    <w:qFormat/>
    <w:uiPriority w:val="1"/>
    <w:pPr>
      <w:widowControl w:val="0"/>
      <w:spacing w:line="360" w:lineRule="auto"/>
      <w:jc w:val="center"/>
    </w:pPr>
    <w:rPr>
      <w:rFonts w:ascii="Calibri" w:hAnsi="Calibri" w:eastAsia="宋体" w:cs="Times New Roman"/>
      <w:kern w:val="2"/>
      <w:sz w:val="24"/>
      <w:szCs w:val="22"/>
      <w:lang w:val="en-US" w:eastAsia="zh-CN" w:bidi="ar-SA"/>
    </w:rPr>
  </w:style>
  <w:style w:type="paragraph" w:customStyle="1" w:styleId="373">
    <w:name w:val="Revision"/>
    <w:hidden/>
    <w:semiHidden/>
    <w:qFormat/>
    <w:uiPriority w:val="99"/>
    <w:rPr>
      <w:rFonts w:ascii="等线" w:hAnsi="等线" w:eastAsia="等线" w:cs="等线"/>
      <w:kern w:val="2"/>
      <w:sz w:val="21"/>
      <w:szCs w:val="24"/>
      <w:lang w:val="en-US" w:eastAsia="zh-CN" w:bidi="ar-SA"/>
    </w:rPr>
  </w:style>
  <w:style w:type="paragraph" w:customStyle="1" w:styleId="374">
    <w:name w:val="样式6"/>
    <w:basedOn w:val="1"/>
    <w:qFormat/>
    <w:uiPriority w:val="0"/>
    <w:rPr>
      <w:rFonts w:hint="eastAsia" w:ascii="等线" w:hAnsi="等线"/>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70</Pages>
  <Words>13364</Words>
  <Characters>14398</Characters>
  <Lines>413</Lines>
  <Paragraphs>116</Paragraphs>
  <TotalTime>0</TotalTime>
  <ScaleCrop>false</ScaleCrop>
  <LinksUpToDate>false</LinksUpToDate>
  <CharactersWithSpaces>14617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2024-10-08T06:25:00Z</dcterms:created>
  <dc:creator>唐冰</dc:creator>
  <cp:lastModifiedBy>炎炎</cp:lastModifiedBy>
  <cp:lastPrinted>2022-05-14T22:24:00Z</cp:lastPrinted>
  <dcterms:modified xsi:type="dcterms:W3CDTF">2026-04-13T08:17:11Z</dcterms:modified>
  <dc:title>竞争性谈判文件规范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BDEADC8009174837862E47B489DE6189_13</vt:lpwstr>
  </property>
  <property fmtid="{D5CDD505-2E9C-101B-9397-08002B2CF9AE}" pid="4" name="KSOTemplateDocerSaveRecord">
    <vt:lpwstr>eyJoZGlkIjoiM2FmMDFiNTZiNDhiM2M4MGU5YWM4MDE2NjhjZTEyZTAiLCJ1c2VySWQiOiIxMTY2MzcwOTA2In0=</vt:lpwstr>
  </property>
</Properties>
</file>