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58C0CE">
      <w:pPr>
        <w:spacing w:before="120" w:beforeLines="50" w:line="360" w:lineRule="auto"/>
        <w:jc w:val="center"/>
        <w:rPr>
          <w:color w:val="auto"/>
          <w:sz w:val="52"/>
          <w:szCs w:val="52"/>
          <w:highlight w:val="none"/>
        </w:rPr>
      </w:pPr>
    </w:p>
    <w:p w14:paraId="4F0E3EA4">
      <w:pPr>
        <w:jc w:val="center"/>
        <w:rPr>
          <w:rFonts w:ascii="宋体" w:hAnsi="宋体" w:cs="宋体"/>
          <w:color w:val="auto"/>
          <w:sz w:val="52"/>
          <w:szCs w:val="52"/>
          <w:highlight w:val="none"/>
        </w:rPr>
      </w:pPr>
      <w:r>
        <w:rPr>
          <w:rFonts w:hint="eastAsia" w:ascii="宋体" w:hAnsi="宋体" w:cs="宋体"/>
          <w:color w:val="auto"/>
          <w:sz w:val="52"/>
          <w:szCs w:val="52"/>
          <w:highlight w:val="none"/>
        </w:rPr>
        <w:t>广西科联招标中心有限公司</w:t>
      </w:r>
    </w:p>
    <w:p w14:paraId="1DEB6524">
      <w:pPr>
        <w:jc w:val="center"/>
        <w:rPr>
          <w:rFonts w:ascii="宋体" w:hAnsi="宋体" w:cs="宋体"/>
          <w:b/>
          <w:color w:val="auto"/>
          <w:sz w:val="32"/>
          <w:szCs w:val="32"/>
          <w:highlight w:val="none"/>
        </w:rPr>
      </w:pPr>
    </w:p>
    <w:p w14:paraId="1AD91276">
      <w:pPr>
        <w:jc w:val="center"/>
        <w:rPr>
          <w:color w:val="auto"/>
          <w:highlight w:val="none"/>
        </w:rPr>
      </w:pPr>
    </w:p>
    <w:p w14:paraId="19C80AA1">
      <w:pPr>
        <w:jc w:val="center"/>
        <w:rPr>
          <w:rFonts w:ascii="宋体" w:hAnsi="宋体" w:cs="宋体"/>
          <w:b/>
          <w:bCs/>
          <w:color w:val="auto"/>
          <w:kern w:val="0"/>
          <w:sz w:val="30"/>
          <w:szCs w:val="30"/>
          <w:highlight w:val="none"/>
        </w:rPr>
      </w:pPr>
    </w:p>
    <w:p w14:paraId="1CB1D65A">
      <w:pPr>
        <w:pStyle w:val="23"/>
        <w:jc w:val="center"/>
        <w:rPr>
          <w:color w:val="auto"/>
          <w:highlight w:val="none"/>
        </w:rPr>
      </w:pPr>
    </w:p>
    <w:p w14:paraId="210D2435">
      <w:pPr>
        <w:spacing w:before="240" w:beforeLines="100" w:after="120" w:afterLines="50"/>
        <w:jc w:val="center"/>
        <w:rPr>
          <w:rFonts w:ascii="宋体" w:hAnsi="宋体" w:cs="宋体"/>
          <w:b/>
          <w:color w:val="auto"/>
          <w:sz w:val="44"/>
          <w:szCs w:val="44"/>
          <w:highlight w:val="none"/>
        </w:rPr>
      </w:pPr>
      <w:r>
        <w:rPr>
          <w:rFonts w:hint="eastAsia" w:ascii="宋体" w:hAnsi="宋体" w:cs="宋体"/>
          <w:color w:val="auto"/>
          <w:spacing w:val="116"/>
          <w:sz w:val="52"/>
          <w:highlight w:val="none"/>
        </w:rPr>
        <w:t xml:space="preserve"> </w:t>
      </w:r>
      <w:bookmarkStart w:id="0" w:name="OLE_LINK2"/>
      <w:r>
        <w:rPr>
          <w:rFonts w:hint="eastAsia" w:ascii="宋体" w:hAnsi="宋体" w:cs="宋体"/>
          <w:b/>
          <w:bCs/>
          <w:color w:val="auto"/>
          <w:spacing w:val="100"/>
          <w:sz w:val="84"/>
          <w:szCs w:val="84"/>
          <w:highlight w:val="none"/>
        </w:rPr>
        <w:t>竞争性磋商文</w:t>
      </w:r>
      <w:r>
        <w:rPr>
          <w:rFonts w:hint="eastAsia" w:ascii="宋体" w:hAnsi="宋体" w:cs="宋体"/>
          <w:b/>
          <w:bCs/>
          <w:color w:val="auto"/>
          <w:sz w:val="84"/>
          <w:szCs w:val="84"/>
          <w:highlight w:val="none"/>
        </w:rPr>
        <w:t>件</w:t>
      </w:r>
      <w:bookmarkEnd w:id="0"/>
    </w:p>
    <w:p w14:paraId="599DF106">
      <w:pPr>
        <w:spacing w:before="240" w:beforeLines="100" w:after="120" w:afterLines="50"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（全流程电子化评标）</w:t>
      </w:r>
    </w:p>
    <w:p w14:paraId="16B688B6">
      <w:pPr>
        <w:jc w:val="center"/>
        <w:rPr>
          <w:rFonts w:ascii="宋体" w:hAnsi="宋体" w:cs="宋体"/>
          <w:b/>
          <w:color w:val="auto"/>
          <w:sz w:val="32"/>
          <w:szCs w:val="32"/>
          <w:highlight w:val="none"/>
        </w:rPr>
      </w:pPr>
    </w:p>
    <w:p w14:paraId="76CEDC09">
      <w:pPr>
        <w:jc w:val="center"/>
        <w:rPr>
          <w:color w:val="auto"/>
          <w:highlight w:val="none"/>
        </w:rPr>
      </w:pPr>
    </w:p>
    <w:p w14:paraId="0A8538DE">
      <w:pPr>
        <w:jc w:val="center"/>
        <w:rPr>
          <w:rFonts w:ascii="宋体" w:hAnsi="宋体" w:cs="宋体"/>
          <w:b/>
          <w:bCs/>
          <w:color w:val="auto"/>
          <w:kern w:val="0"/>
          <w:sz w:val="30"/>
          <w:szCs w:val="30"/>
          <w:highlight w:val="none"/>
        </w:rPr>
      </w:pPr>
    </w:p>
    <w:p w14:paraId="59C00F35">
      <w:pPr>
        <w:pStyle w:val="23"/>
        <w:jc w:val="center"/>
        <w:rPr>
          <w:color w:val="auto"/>
          <w:highlight w:val="none"/>
        </w:rPr>
      </w:pPr>
    </w:p>
    <w:p w14:paraId="372BAB54">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w:t>
      </w:r>
      <w:r>
        <w:rPr>
          <w:rFonts w:hint="eastAsia" w:ascii="宋体" w:hAnsi="宋体" w:cs="宋体"/>
          <w:b/>
          <w:bCs/>
          <w:color w:val="auto"/>
          <w:w w:val="95"/>
          <w:kern w:val="0"/>
          <w:sz w:val="30"/>
          <w:szCs w:val="30"/>
          <w:highlight w:val="none"/>
        </w:rPr>
        <w:t>名称</w:t>
      </w:r>
      <w:r>
        <w:rPr>
          <w:rFonts w:hint="eastAsia" w:ascii="宋体" w:hAnsi="宋体" w:cs="宋体"/>
          <w:b/>
          <w:bCs/>
          <w:color w:val="auto"/>
          <w:kern w:val="0"/>
          <w:sz w:val="30"/>
          <w:szCs w:val="30"/>
          <w:highlight w:val="none"/>
        </w:rPr>
        <w:t>：</w:t>
      </w:r>
      <w:bookmarkStart w:id="1" w:name="OLE_LINK1"/>
      <w:r>
        <w:rPr>
          <w:rFonts w:hint="eastAsia" w:ascii="宋体" w:hAnsi="宋体" w:cs="宋体"/>
          <w:b/>
          <w:bCs/>
          <w:color w:val="auto"/>
          <w:kern w:val="0"/>
          <w:sz w:val="30"/>
          <w:szCs w:val="30"/>
          <w:highlight w:val="none"/>
          <w:lang w:eastAsia="zh-CN"/>
        </w:rPr>
        <w:t>2026年度广西职业资格电子化考试技术服务项目</w:t>
      </w:r>
    </w:p>
    <w:bookmarkEnd w:id="1"/>
    <w:p w14:paraId="7A7D96B9">
      <w:pPr>
        <w:snapToGrid w:val="0"/>
        <w:spacing w:before="50" w:after="120" w:line="360" w:lineRule="auto"/>
        <w:jc w:val="center"/>
        <w:rPr>
          <w:rFonts w:hint="eastAsia" w:ascii="宋体" w:hAnsi="宋体" w:eastAsia="宋体" w:cs="宋体"/>
          <w:b/>
          <w:bCs/>
          <w:color w:val="auto"/>
          <w:kern w:val="0"/>
          <w:sz w:val="30"/>
          <w:szCs w:val="30"/>
          <w:highlight w:val="none"/>
          <w:lang w:eastAsia="zh-CN"/>
        </w:rPr>
      </w:pPr>
      <w:r>
        <w:rPr>
          <w:rFonts w:hint="eastAsia" w:ascii="宋体" w:hAnsi="宋体" w:cs="宋体"/>
          <w:b/>
          <w:bCs/>
          <w:color w:val="auto"/>
          <w:kern w:val="0"/>
          <w:sz w:val="30"/>
          <w:szCs w:val="30"/>
          <w:highlight w:val="none"/>
        </w:rPr>
        <w:t>项目编号：</w:t>
      </w:r>
      <w:r>
        <w:rPr>
          <w:rFonts w:hint="eastAsia" w:ascii="宋体" w:hAnsi="宋体" w:cs="宋体"/>
          <w:b/>
          <w:bCs/>
          <w:color w:val="auto"/>
          <w:kern w:val="0"/>
          <w:sz w:val="30"/>
          <w:szCs w:val="30"/>
          <w:highlight w:val="none"/>
          <w:lang w:eastAsia="zh-CN"/>
        </w:rPr>
        <w:t>GXZC2026-C3-000811-GXKL</w:t>
      </w:r>
    </w:p>
    <w:p w14:paraId="6B8DCD22">
      <w:pPr>
        <w:jc w:val="center"/>
        <w:rPr>
          <w:rFonts w:ascii="宋体" w:hAnsi="宋体" w:cs="宋体"/>
          <w:b/>
          <w:color w:val="auto"/>
          <w:sz w:val="32"/>
          <w:szCs w:val="32"/>
          <w:highlight w:val="none"/>
        </w:rPr>
      </w:pPr>
    </w:p>
    <w:p w14:paraId="60696AE2">
      <w:pPr>
        <w:jc w:val="center"/>
        <w:rPr>
          <w:color w:val="auto"/>
          <w:highlight w:val="none"/>
        </w:rPr>
      </w:pPr>
    </w:p>
    <w:p w14:paraId="249CD5D4">
      <w:pPr>
        <w:jc w:val="center"/>
        <w:rPr>
          <w:rFonts w:ascii="宋体" w:hAnsi="宋体" w:cs="宋体"/>
          <w:b/>
          <w:bCs/>
          <w:color w:val="auto"/>
          <w:kern w:val="0"/>
          <w:sz w:val="30"/>
          <w:szCs w:val="30"/>
          <w:highlight w:val="none"/>
        </w:rPr>
      </w:pPr>
    </w:p>
    <w:p w14:paraId="30F930E7">
      <w:pPr>
        <w:pStyle w:val="23"/>
        <w:jc w:val="center"/>
        <w:rPr>
          <w:color w:val="auto"/>
          <w:highlight w:val="none"/>
        </w:rPr>
      </w:pPr>
    </w:p>
    <w:p w14:paraId="61A3D805">
      <w:pPr>
        <w:pStyle w:val="23"/>
        <w:jc w:val="center"/>
        <w:rPr>
          <w:rFonts w:ascii="宋体" w:hAnsi="宋体" w:cs="宋体"/>
          <w:b/>
          <w:bCs/>
          <w:color w:val="auto"/>
          <w:sz w:val="30"/>
          <w:szCs w:val="30"/>
          <w:highlight w:val="none"/>
        </w:rPr>
      </w:pPr>
    </w:p>
    <w:p w14:paraId="688C16D7">
      <w:pPr>
        <w:jc w:val="center"/>
        <w:rPr>
          <w:color w:val="auto"/>
          <w:highlight w:val="none"/>
        </w:rPr>
      </w:pPr>
    </w:p>
    <w:p w14:paraId="6952EEC0">
      <w:pPr>
        <w:snapToGrid w:val="0"/>
        <w:spacing w:before="50" w:after="120"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采购人：广西壮族自治区人事考试院</w:t>
      </w:r>
    </w:p>
    <w:p w14:paraId="1C4037BE">
      <w:pPr>
        <w:snapToGrid w:val="0"/>
        <w:spacing w:before="50" w:after="120" w:line="360" w:lineRule="auto"/>
        <w:jc w:val="center"/>
        <w:rPr>
          <w:rFonts w:ascii="宋体" w:hAnsi="宋体" w:cs="宋体"/>
          <w:b/>
          <w:bCs/>
          <w:color w:val="auto"/>
          <w:kern w:val="0"/>
          <w:sz w:val="30"/>
          <w:szCs w:val="30"/>
          <w:highlight w:val="none"/>
        </w:rPr>
      </w:pPr>
      <w:r>
        <w:rPr>
          <w:rFonts w:hint="eastAsia" w:ascii="宋体" w:hAnsi="宋体" w:cs="宋体"/>
          <w:b/>
          <w:bCs/>
          <w:color w:val="auto"/>
          <w:kern w:val="0"/>
          <w:sz w:val="30"/>
          <w:szCs w:val="30"/>
          <w:highlight w:val="none"/>
        </w:rPr>
        <w:t>采购代理机构：</w:t>
      </w:r>
      <w:bookmarkStart w:id="2" w:name="PO_3000001866_PM031"/>
      <w:r>
        <w:rPr>
          <w:rFonts w:hint="eastAsia" w:ascii="宋体" w:hAnsi="宋体" w:cs="宋体"/>
          <w:b/>
          <w:bCs/>
          <w:color w:val="auto"/>
          <w:kern w:val="0"/>
          <w:sz w:val="30"/>
          <w:szCs w:val="30"/>
          <w:highlight w:val="none"/>
        </w:rPr>
        <w:t>广西科联招标中心有限公司</w:t>
      </w:r>
      <w:bookmarkEnd w:id="2"/>
    </w:p>
    <w:p w14:paraId="003118DB">
      <w:pPr>
        <w:pStyle w:val="23"/>
        <w:jc w:val="center"/>
        <w:rPr>
          <w:color w:val="auto"/>
          <w:highlight w:val="none"/>
        </w:rPr>
      </w:pPr>
    </w:p>
    <w:p w14:paraId="0EDF43F4">
      <w:pPr>
        <w:jc w:val="center"/>
        <w:rPr>
          <w:color w:val="auto"/>
          <w:highlight w:val="none"/>
        </w:rPr>
      </w:pPr>
    </w:p>
    <w:p w14:paraId="38D73F49">
      <w:pPr>
        <w:snapToGrid w:val="0"/>
        <w:spacing w:before="50" w:after="120" w:line="360" w:lineRule="auto"/>
        <w:jc w:val="center"/>
        <w:rPr>
          <w:rFonts w:hint="eastAsia" w:ascii="宋体" w:hAnsi="宋体" w:eastAsia="宋体" w:cs="宋体"/>
          <w:b/>
          <w:bCs/>
          <w:color w:val="auto"/>
          <w:w w:val="95"/>
          <w:kern w:val="0"/>
          <w:sz w:val="30"/>
          <w:szCs w:val="30"/>
          <w:highlight w:val="none"/>
          <w:lang w:eastAsia="zh-CN"/>
        </w:rPr>
      </w:pPr>
      <w:r>
        <w:rPr>
          <w:rFonts w:hint="eastAsia" w:ascii="宋体" w:hAnsi="宋体" w:cs="宋体"/>
          <w:b/>
          <w:bCs/>
          <w:color w:val="auto"/>
          <w:w w:val="95"/>
          <w:kern w:val="0"/>
          <w:sz w:val="30"/>
          <w:szCs w:val="30"/>
          <w:highlight w:val="none"/>
          <w:lang w:eastAsia="zh-CN"/>
        </w:rPr>
        <w:t>2026年4月13日</w:t>
      </w:r>
    </w:p>
    <w:p w14:paraId="14EF4F1D">
      <w:pPr>
        <w:pStyle w:val="13"/>
        <w:ind w:firstLine="803"/>
        <w:jc w:val="center"/>
        <w:rPr>
          <w:rFonts w:ascii="宋体" w:hAnsi="宋体" w:cs="宋体"/>
          <w:b/>
          <w:bCs/>
          <w:color w:val="auto"/>
          <w:w w:val="95"/>
          <w:sz w:val="30"/>
          <w:szCs w:val="30"/>
          <w:highlight w:val="none"/>
        </w:rPr>
        <w:sectPr>
          <w:headerReference r:id="rId3" w:type="default"/>
          <w:footerReference r:id="rId4" w:type="default"/>
          <w:footerReference r:id="rId5" w:type="even"/>
          <w:pgSz w:w="11911" w:h="16838"/>
          <w:pgMar w:top="1134" w:right="1134" w:bottom="1134" w:left="1134" w:header="720" w:footer="720" w:gutter="0"/>
          <w:pgNumType w:start="1"/>
          <w:cols w:space="720" w:num="1"/>
          <w:titlePg/>
          <w:docGrid w:linePitch="331" w:charSpace="0"/>
        </w:sectPr>
      </w:pPr>
    </w:p>
    <w:p w14:paraId="3FA3A125">
      <w:pPr>
        <w:spacing w:before="360" w:beforeLines="150" w:after="360" w:afterLines="150" w:line="360" w:lineRule="auto"/>
        <w:jc w:val="center"/>
        <w:rPr>
          <w:b/>
          <w:color w:val="auto"/>
          <w:sz w:val="44"/>
          <w:szCs w:val="44"/>
          <w:highlight w:val="none"/>
        </w:rPr>
      </w:pPr>
      <w:r>
        <w:rPr>
          <w:rFonts w:hint="eastAsia"/>
          <w:b/>
          <w:color w:val="auto"/>
          <w:sz w:val="44"/>
          <w:szCs w:val="44"/>
          <w:highlight w:val="none"/>
        </w:rPr>
        <w:t>目   录</w:t>
      </w:r>
    </w:p>
    <w:p w14:paraId="70403103">
      <w:pPr>
        <w:spacing w:line="400" w:lineRule="exact"/>
        <w:jc w:val="center"/>
        <w:rPr>
          <w:b/>
          <w:color w:val="auto"/>
          <w:sz w:val="44"/>
          <w:szCs w:val="44"/>
          <w:highlight w:val="none"/>
        </w:rPr>
      </w:pPr>
    </w:p>
    <w:p w14:paraId="0E59304D">
      <w:pPr>
        <w:pStyle w:val="25"/>
        <w:tabs>
          <w:tab w:val="right" w:leader="dot" w:pos="9643"/>
        </w:tabs>
        <w:spacing w:line="480" w:lineRule="auto"/>
        <w:rPr>
          <w:rFonts w:ascii="宋体" w:hAnsi="宋体" w:cs="宋体"/>
          <w:b/>
          <w:bCs/>
          <w:color w:val="auto"/>
          <w:sz w:val="32"/>
          <w:szCs w:val="32"/>
          <w:highlight w:val="none"/>
        </w:rPr>
      </w:pPr>
      <w:r>
        <w:rPr>
          <w:rFonts w:hint="eastAsia" w:ascii="宋体" w:hAnsi="宋体" w:cs="宋体"/>
          <w:b/>
          <w:bCs/>
          <w:color w:val="auto"/>
          <w:sz w:val="24"/>
          <w:highlight w:val="none"/>
        </w:rPr>
        <w:fldChar w:fldCharType="begin"/>
      </w:r>
      <w:r>
        <w:rPr>
          <w:rFonts w:hint="eastAsia" w:ascii="宋体" w:hAnsi="宋体" w:cs="宋体"/>
          <w:b/>
          <w:bCs/>
          <w:color w:val="auto"/>
          <w:sz w:val="24"/>
          <w:highlight w:val="none"/>
        </w:rPr>
        <w:instrText xml:space="preserve">TOC \o "1-1" \h \u </w:instrText>
      </w:r>
      <w:r>
        <w:rPr>
          <w:rFonts w:hint="eastAsia" w:ascii="宋体" w:hAnsi="宋体" w:cs="宋体"/>
          <w:b/>
          <w:bCs/>
          <w:color w:val="auto"/>
          <w:sz w:val="24"/>
          <w:highlight w:val="none"/>
        </w:rPr>
        <w:fldChar w:fldCharType="separate"/>
      </w:r>
      <w:r>
        <w:rPr>
          <w:color w:val="auto"/>
          <w:highlight w:val="none"/>
        </w:rPr>
        <w:fldChar w:fldCharType="begin"/>
      </w:r>
      <w:r>
        <w:rPr>
          <w:color w:val="auto"/>
          <w:highlight w:val="none"/>
        </w:rPr>
        <w:instrText xml:space="preserve"> HYPERLINK \l "_Toc32264" </w:instrText>
      </w:r>
      <w:r>
        <w:rPr>
          <w:color w:val="auto"/>
          <w:highlight w:val="none"/>
        </w:rPr>
        <w:fldChar w:fldCharType="separate"/>
      </w:r>
      <w:r>
        <w:rPr>
          <w:rFonts w:hint="eastAsia" w:ascii="宋体" w:hAnsi="宋体" w:cs="宋体"/>
          <w:b/>
          <w:bCs/>
          <w:color w:val="auto"/>
          <w:sz w:val="32"/>
          <w:szCs w:val="32"/>
          <w:highlight w:val="none"/>
        </w:rPr>
        <w:t>第一章  竞争性磋</w:t>
      </w:r>
      <w:bookmarkStart w:id="3" w:name="_Hlt135924181"/>
      <w:r>
        <w:rPr>
          <w:rFonts w:hint="eastAsia" w:ascii="宋体" w:hAnsi="宋体" w:cs="宋体"/>
          <w:b/>
          <w:bCs/>
          <w:color w:val="auto"/>
          <w:sz w:val="32"/>
          <w:szCs w:val="32"/>
          <w:highlight w:val="none"/>
        </w:rPr>
        <w:t>商</w:t>
      </w:r>
      <w:bookmarkEnd w:id="3"/>
      <w:r>
        <w:rPr>
          <w:rFonts w:hint="eastAsia" w:ascii="宋体" w:hAnsi="宋体" w:cs="宋体"/>
          <w:b/>
          <w:bCs/>
          <w:color w:val="auto"/>
          <w:sz w:val="32"/>
          <w:szCs w:val="32"/>
          <w:highlight w:val="none"/>
        </w:rPr>
        <w:t>公告</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_Toc32264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1A40010C">
      <w:pPr>
        <w:pStyle w:val="25"/>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"_Toc26836" </w:instrText>
      </w:r>
      <w:r>
        <w:rPr>
          <w:color w:val="auto"/>
          <w:highlight w:val="none"/>
        </w:rPr>
        <w:fldChar w:fldCharType="separate"/>
      </w:r>
      <w:r>
        <w:rPr>
          <w:rFonts w:hint="eastAsia" w:ascii="宋体" w:hAnsi="宋体" w:cs="宋体"/>
          <w:b/>
          <w:bCs/>
          <w:color w:val="auto"/>
          <w:sz w:val="32"/>
          <w:szCs w:val="32"/>
          <w:highlight w:val="none"/>
        </w:rPr>
        <w:t>第二章  采购需</w:t>
      </w:r>
      <w:bookmarkStart w:id="4" w:name="_Hlt137127195"/>
      <w:r>
        <w:rPr>
          <w:rFonts w:hint="eastAsia" w:ascii="宋体" w:hAnsi="宋体" w:cs="宋体"/>
          <w:b/>
          <w:bCs/>
          <w:color w:val="auto"/>
          <w:sz w:val="32"/>
          <w:szCs w:val="32"/>
          <w:highlight w:val="none"/>
        </w:rPr>
        <w:t>求</w:t>
      </w:r>
      <w:bookmarkEnd w:id="4"/>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_Toc26836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046946DD">
      <w:pPr>
        <w:pStyle w:val="25"/>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"_Toc2072" </w:instrText>
      </w:r>
      <w:r>
        <w:rPr>
          <w:color w:val="auto"/>
          <w:highlight w:val="none"/>
        </w:rPr>
        <w:fldChar w:fldCharType="separate"/>
      </w:r>
      <w:r>
        <w:rPr>
          <w:rFonts w:hint="eastAsia" w:ascii="宋体" w:hAnsi="宋体" w:cs="宋体"/>
          <w:b/>
          <w:bCs/>
          <w:color w:val="auto"/>
          <w:sz w:val="32"/>
          <w:szCs w:val="32"/>
          <w:highlight w:val="none"/>
        </w:rPr>
        <w:t>第三章  供应</w:t>
      </w:r>
      <w:bookmarkStart w:id="5" w:name="_Hlt135905307"/>
      <w:r>
        <w:rPr>
          <w:rFonts w:hint="eastAsia" w:ascii="宋体" w:hAnsi="宋体" w:cs="宋体"/>
          <w:b/>
          <w:bCs/>
          <w:color w:val="auto"/>
          <w:sz w:val="32"/>
          <w:szCs w:val="32"/>
          <w:highlight w:val="none"/>
        </w:rPr>
        <w:t>商</w:t>
      </w:r>
      <w:bookmarkEnd w:id="5"/>
      <w:r>
        <w:rPr>
          <w:rFonts w:hint="eastAsia" w:ascii="宋体" w:hAnsi="宋体" w:cs="宋体"/>
          <w:b/>
          <w:bCs/>
          <w:color w:val="auto"/>
          <w:sz w:val="32"/>
          <w:szCs w:val="32"/>
          <w:highlight w:val="none"/>
        </w:rPr>
        <w:t>须知</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_Toc2072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17</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34F84B44">
      <w:pPr>
        <w:pStyle w:val="25"/>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"_Toc1088" </w:instrText>
      </w:r>
      <w:r>
        <w:rPr>
          <w:color w:val="auto"/>
          <w:highlight w:val="none"/>
        </w:rPr>
        <w:fldChar w:fldCharType="separate"/>
      </w:r>
      <w:r>
        <w:rPr>
          <w:rFonts w:hint="eastAsia" w:ascii="宋体" w:hAnsi="宋体" w:cs="宋体"/>
          <w:b/>
          <w:bCs/>
          <w:color w:val="auto"/>
          <w:sz w:val="32"/>
          <w:szCs w:val="32"/>
          <w:highlight w:val="none"/>
        </w:rPr>
        <w:t>第四章  评审程序、评审方法和评审标准</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_Toc1088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36</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1E25BE15">
      <w:pPr>
        <w:pStyle w:val="25"/>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"_Toc22302" </w:instrText>
      </w:r>
      <w:r>
        <w:rPr>
          <w:color w:val="auto"/>
          <w:highlight w:val="none"/>
        </w:rPr>
        <w:fldChar w:fldCharType="separate"/>
      </w:r>
      <w:r>
        <w:rPr>
          <w:rFonts w:hint="eastAsia" w:ascii="宋体" w:hAnsi="宋体" w:cs="宋体"/>
          <w:b/>
          <w:bCs/>
          <w:color w:val="auto"/>
          <w:sz w:val="32"/>
          <w:szCs w:val="32"/>
          <w:highlight w:val="none"/>
        </w:rPr>
        <w:t>第五章  响应文</w:t>
      </w:r>
      <w:bookmarkStart w:id="6" w:name="_Hlt135897173"/>
      <w:bookmarkStart w:id="7" w:name="_Hlt135897174"/>
      <w:r>
        <w:rPr>
          <w:rFonts w:hint="eastAsia" w:ascii="宋体" w:hAnsi="宋体" w:cs="宋体"/>
          <w:b/>
          <w:bCs/>
          <w:color w:val="auto"/>
          <w:sz w:val="32"/>
          <w:szCs w:val="32"/>
          <w:highlight w:val="none"/>
        </w:rPr>
        <w:t>件</w:t>
      </w:r>
      <w:bookmarkEnd w:id="6"/>
      <w:bookmarkEnd w:id="7"/>
      <w:r>
        <w:rPr>
          <w:rFonts w:hint="eastAsia" w:ascii="宋体" w:hAnsi="宋体" w:cs="宋体"/>
          <w:b/>
          <w:bCs/>
          <w:color w:val="auto"/>
          <w:sz w:val="32"/>
          <w:szCs w:val="32"/>
          <w:highlight w:val="none"/>
        </w:rPr>
        <w:t>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_Toc22302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44</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32BDBFA3">
      <w:pPr>
        <w:pStyle w:val="25"/>
        <w:tabs>
          <w:tab w:val="right" w:leader="dot" w:pos="9643"/>
        </w:tabs>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"_Toc18676" </w:instrText>
      </w:r>
      <w:r>
        <w:rPr>
          <w:color w:val="auto"/>
          <w:highlight w:val="none"/>
        </w:rPr>
        <w:fldChar w:fldCharType="separate"/>
      </w:r>
      <w:r>
        <w:rPr>
          <w:rFonts w:hint="eastAsia" w:ascii="宋体" w:hAnsi="宋体" w:cs="宋体"/>
          <w:b/>
          <w:bCs/>
          <w:color w:val="auto"/>
          <w:sz w:val="32"/>
          <w:szCs w:val="32"/>
          <w:highlight w:val="none"/>
        </w:rPr>
        <w:t>第六章  合同</w:t>
      </w:r>
      <w:bookmarkStart w:id="8" w:name="_Hlt137127063"/>
      <w:bookmarkStart w:id="9" w:name="_Hlt137127064"/>
      <w:bookmarkStart w:id="10" w:name="_Hlt135924190"/>
      <w:r>
        <w:rPr>
          <w:rFonts w:hint="eastAsia" w:ascii="宋体" w:hAnsi="宋体" w:cs="宋体"/>
          <w:b/>
          <w:bCs/>
          <w:color w:val="auto"/>
          <w:sz w:val="32"/>
          <w:szCs w:val="32"/>
          <w:highlight w:val="none"/>
        </w:rPr>
        <w:t>文</w:t>
      </w:r>
      <w:bookmarkEnd w:id="8"/>
      <w:bookmarkEnd w:id="9"/>
      <w:bookmarkEnd w:id="10"/>
      <w:bookmarkStart w:id="11" w:name="_Hlt135924167"/>
      <w:bookmarkStart w:id="12" w:name="_Hlt135924166"/>
      <w:r>
        <w:rPr>
          <w:rFonts w:hint="eastAsia" w:ascii="宋体" w:hAnsi="宋体" w:cs="宋体"/>
          <w:b/>
          <w:bCs/>
          <w:color w:val="auto"/>
          <w:sz w:val="32"/>
          <w:szCs w:val="32"/>
          <w:highlight w:val="none"/>
        </w:rPr>
        <w:t>本</w:t>
      </w:r>
      <w:bookmarkEnd w:id="11"/>
      <w:bookmarkEnd w:id="12"/>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_Toc18676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75</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536578A2">
      <w:pPr>
        <w:pStyle w:val="25"/>
        <w:tabs>
          <w:tab w:val="right" w:leader="dot" w:pos="9643"/>
        </w:tabs>
        <w:spacing w:line="480" w:lineRule="auto"/>
        <w:rPr>
          <w:b/>
          <w:bCs/>
          <w:color w:val="auto"/>
          <w:sz w:val="32"/>
          <w:szCs w:val="32"/>
          <w:highlight w:val="none"/>
        </w:rPr>
      </w:pPr>
      <w:r>
        <w:rPr>
          <w:color w:val="auto"/>
          <w:highlight w:val="none"/>
        </w:rPr>
        <w:fldChar w:fldCharType="begin"/>
      </w:r>
      <w:r>
        <w:rPr>
          <w:color w:val="auto"/>
          <w:highlight w:val="none"/>
        </w:rPr>
        <w:instrText xml:space="preserve"> HYPERLINK \l "_Toc13011" </w:instrText>
      </w:r>
      <w:r>
        <w:rPr>
          <w:color w:val="auto"/>
          <w:highlight w:val="none"/>
        </w:rPr>
        <w:fldChar w:fldCharType="separate"/>
      </w:r>
      <w:r>
        <w:rPr>
          <w:rFonts w:hint="eastAsia" w:ascii="宋体" w:hAnsi="宋体" w:cs="宋体"/>
          <w:b/>
          <w:bCs/>
          <w:color w:val="auto"/>
          <w:sz w:val="32"/>
          <w:szCs w:val="32"/>
          <w:highlight w:val="none"/>
        </w:rPr>
        <w:t>第七章  质疑、投诉</w:t>
      </w:r>
      <w:bookmarkStart w:id="13" w:name="_Hlt137580637"/>
      <w:bookmarkStart w:id="14" w:name="_Hlt137580638"/>
      <w:r>
        <w:rPr>
          <w:rFonts w:hint="eastAsia" w:ascii="宋体" w:hAnsi="宋体" w:cs="宋体"/>
          <w:b/>
          <w:bCs/>
          <w:color w:val="auto"/>
          <w:sz w:val="32"/>
          <w:szCs w:val="32"/>
          <w:highlight w:val="none"/>
        </w:rPr>
        <w:t>材</w:t>
      </w:r>
      <w:bookmarkEnd w:id="13"/>
      <w:bookmarkEnd w:id="14"/>
      <w:r>
        <w:rPr>
          <w:rFonts w:hint="eastAsia" w:ascii="宋体" w:hAnsi="宋体" w:cs="宋体"/>
          <w:b/>
          <w:bCs/>
          <w:color w:val="auto"/>
          <w:sz w:val="32"/>
          <w:szCs w:val="32"/>
          <w:highlight w:val="none"/>
        </w:rPr>
        <w:t>料格式</w:t>
      </w:r>
      <w:r>
        <w:rPr>
          <w:rFonts w:hint="eastAsia" w:ascii="宋体" w:hAnsi="宋体" w:cs="宋体"/>
          <w:b/>
          <w:bCs/>
          <w:color w:val="auto"/>
          <w:sz w:val="32"/>
          <w:szCs w:val="32"/>
          <w:highlight w:val="none"/>
        </w:rPr>
        <w:tab/>
      </w: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 PAGEREF _Toc13011 </w:instrText>
      </w:r>
      <w:r>
        <w:rPr>
          <w:rFonts w:hint="eastAsia" w:ascii="宋体" w:hAnsi="宋体" w:cs="宋体"/>
          <w:b/>
          <w:bCs/>
          <w:color w:val="auto"/>
          <w:sz w:val="32"/>
          <w:szCs w:val="32"/>
          <w:highlight w:val="none"/>
        </w:rPr>
        <w:fldChar w:fldCharType="separate"/>
      </w:r>
      <w:r>
        <w:rPr>
          <w:rFonts w:hint="eastAsia" w:ascii="宋体" w:hAnsi="宋体" w:cs="宋体"/>
          <w:b/>
          <w:bCs/>
          <w:color w:val="auto"/>
          <w:sz w:val="32"/>
          <w:szCs w:val="32"/>
          <w:highlight w:val="none"/>
        </w:rPr>
        <w:t>81</w:t>
      </w:r>
      <w:r>
        <w:rPr>
          <w:rFonts w:hint="eastAsia" w:ascii="宋体" w:hAnsi="宋体" w:cs="宋体"/>
          <w:b/>
          <w:bCs/>
          <w:color w:val="auto"/>
          <w:sz w:val="32"/>
          <w:szCs w:val="32"/>
          <w:highlight w:val="none"/>
        </w:rPr>
        <w:fldChar w:fldCharType="end"/>
      </w:r>
      <w:r>
        <w:rPr>
          <w:rFonts w:hint="eastAsia" w:ascii="宋体" w:hAnsi="宋体" w:cs="宋体"/>
          <w:b/>
          <w:bCs/>
          <w:color w:val="auto"/>
          <w:sz w:val="32"/>
          <w:szCs w:val="32"/>
          <w:highlight w:val="none"/>
        </w:rPr>
        <w:fldChar w:fldCharType="end"/>
      </w:r>
    </w:p>
    <w:p w14:paraId="7E90DDC0">
      <w:pPr>
        <w:pStyle w:val="27"/>
        <w:spacing w:line="480" w:lineRule="auto"/>
        <w:rPr>
          <w:b/>
          <w:color w:val="auto"/>
          <w:sz w:val="32"/>
          <w:szCs w:val="32"/>
          <w:highlight w:val="none"/>
        </w:rPr>
      </w:pPr>
      <w:r>
        <w:rPr>
          <w:rFonts w:hint="eastAsia" w:ascii="宋体" w:hAnsi="宋体" w:cs="宋体"/>
          <w:b/>
          <w:bCs/>
          <w:color w:val="auto"/>
          <w:sz w:val="24"/>
          <w:highlight w:val="none"/>
        </w:rPr>
        <w:fldChar w:fldCharType="end"/>
      </w:r>
    </w:p>
    <w:p w14:paraId="1D8AA4E8">
      <w:pPr>
        <w:spacing w:line="400" w:lineRule="exact"/>
        <w:rPr>
          <w:b/>
          <w:color w:val="auto"/>
          <w:sz w:val="32"/>
          <w:szCs w:val="32"/>
          <w:highlight w:val="none"/>
        </w:rPr>
        <w:sectPr>
          <w:headerReference r:id="rId7" w:type="first"/>
          <w:footerReference r:id="rId9" w:type="first"/>
          <w:headerReference r:id="rId6" w:type="default"/>
          <w:footerReference r:id="rId8" w:type="default"/>
          <w:pgSz w:w="11911" w:h="16838"/>
          <w:pgMar w:top="1134" w:right="1134" w:bottom="1134" w:left="1134" w:header="720" w:footer="720" w:gutter="0"/>
          <w:cols w:space="720" w:num="1"/>
          <w:docGrid w:linePitch="312" w:charSpace="0"/>
        </w:sectPr>
      </w:pPr>
    </w:p>
    <w:p w14:paraId="51D36025">
      <w:pPr>
        <w:pStyle w:val="2"/>
        <w:spacing w:before="360" w:after="360" w:line="400" w:lineRule="exact"/>
        <w:jc w:val="center"/>
        <w:rPr>
          <w:rFonts w:ascii="Calibri" w:hAnsi="Calibri"/>
          <w:color w:val="auto"/>
          <w:highlight w:val="none"/>
        </w:rPr>
      </w:pPr>
      <w:bookmarkStart w:id="15" w:name="_Toc11989"/>
      <w:bookmarkStart w:id="16" w:name="_Toc32264"/>
      <w:bookmarkStart w:id="17" w:name="_Toc27000"/>
      <w:bookmarkStart w:id="18" w:name="_Toc15624"/>
      <w:bookmarkStart w:id="19" w:name="_Toc18838"/>
      <w:bookmarkStart w:id="20" w:name="_Toc80886925"/>
      <w:bookmarkStart w:id="21" w:name="_Toc11382"/>
      <w:bookmarkStart w:id="22" w:name="_Toc12242"/>
      <w:bookmarkStart w:id="23" w:name="OLE_LINK4"/>
      <w:r>
        <w:rPr>
          <w:rFonts w:hint="eastAsia" w:ascii="Calibri" w:hAnsi="Calibri"/>
          <w:color w:val="auto"/>
          <w:highlight w:val="none"/>
        </w:rPr>
        <w:t>第一章 竞争性磋商公告</w:t>
      </w:r>
      <w:bookmarkEnd w:id="15"/>
      <w:bookmarkEnd w:id="16"/>
      <w:bookmarkEnd w:id="17"/>
      <w:bookmarkEnd w:id="18"/>
      <w:bookmarkEnd w:id="19"/>
      <w:bookmarkEnd w:id="20"/>
      <w:bookmarkEnd w:id="21"/>
      <w:bookmarkEnd w:id="22"/>
      <w:bookmarkStart w:id="24" w:name="_Toc35393629"/>
      <w:bookmarkStart w:id="25" w:name="_Toc28359089"/>
      <w:bookmarkStart w:id="26" w:name="_Toc28359012"/>
      <w:bookmarkStart w:id="27" w:name="_Toc35393798"/>
      <w:bookmarkStart w:id="28" w:name="_Toc35393623"/>
      <w:bookmarkStart w:id="29" w:name="_Toc35393792"/>
      <w:bookmarkStart w:id="30" w:name="_Toc44229878"/>
      <w:bookmarkStart w:id="31" w:name="_Toc28359004"/>
      <w:bookmarkStart w:id="32" w:name="_Toc28359081"/>
    </w:p>
    <w:bookmarkEnd w:id="23"/>
    <w:p w14:paraId="57C6D230">
      <w:pPr>
        <w:jc w:val="center"/>
        <w:rPr>
          <w:rFonts w:ascii="宋体" w:hAnsi="宋体" w:cs="宋体"/>
          <w:b/>
          <w:color w:val="auto"/>
          <w:sz w:val="36"/>
          <w:szCs w:val="36"/>
          <w:highlight w:val="none"/>
        </w:rPr>
      </w:pPr>
      <w:r>
        <w:rPr>
          <w:rFonts w:hint="eastAsia" w:ascii="宋体" w:hAnsi="宋体" w:cs="宋体"/>
          <w:b/>
          <w:color w:val="auto"/>
          <w:sz w:val="36"/>
          <w:szCs w:val="36"/>
          <w:highlight w:val="none"/>
        </w:rPr>
        <w:t>广西科联招标中心有限公司关于</w:t>
      </w:r>
      <w:r>
        <w:rPr>
          <w:rFonts w:hint="eastAsia" w:ascii="宋体" w:hAnsi="宋体" w:cs="宋体"/>
          <w:b/>
          <w:color w:val="auto"/>
          <w:sz w:val="36"/>
          <w:szCs w:val="36"/>
          <w:highlight w:val="none"/>
          <w:lang w:eastAsia="zh-CN"/>
        </w:rPr>
        <w:t>2026年度广西职业资格电子化考试技术服务项目</w:t>
      </w:r>
      <w:r>
        <w:rPr>
          <w:rFonts w:hint="eastAsia" w:ascii="宋体" w:hAnsi="宋体" w:cs="宋体"/>
          <w:b/>
          <w:color w:val="auto"/>
          <w:sz w:val="36"/>
          <w:szCs w:val="36"/>
          <w:highlight w:val="none"/>
        </w:rPr>
        <w:t>（</w:t>
      </w:r>
      <w:r>
        <w:rPr>
          <w:rFonts w:hint="eastAsia" w:ascii="宋体" w:hAnsi="宋体" w:cs="宋体"/>
          <w:b/>
          <w:color w:val="auto"/>
          <w:sz w:val="36"/>
          <w:szCs w:val="36"/>
          <w:highlight w:val="none"/>
          <w:lang w:eastAsia="zh-CN"/>
        </w:rPr>
        <w:t>GXZC2026-C3-000811-GXKL</w:t>
      </w:r>
      <w:r>
        <w:rPr>
          <w:rFonts w:hint="eastAsia" w:ascii="宋体" w:hAnsi="宋体" w:cs="宋体"/>
          <w:b/>
          <w:color w:val="auto"/>
          <w:sz w:val="36"/>
          <w:szCs w:val="36"/>
          <w:highlight w:val="none"/>
        </w:rPr>
        <w:t>）的竞争性磋商公告</w:t>
      </w:r>
    </w:p>
    <w:p w14:paraId="7DDE539E">
      <w:pPr>
        <w:pStyle w:val="23"/>
        <w:rPr>
          <w:color w:val="auto"/>
          <w:highlight w:val="none"/>
        </w:rPr>
      </w:pPr>
    </w:p>
    <w:bookmarkEnd w:id="24"/>
    <w:bookmarkEnd w:id="25"/>
    <w:bookmarkEnd w:id="26"/>
    <w:bookmarkEnd w:id="27"/>
    <w:bookmarkEnd w:id="28"/>
    <w:bookmarkEnd w:id="29"/>
    <w:bookmarkEnd w:id="30"/>
    <w:bookmarkEnd w:id="31"/>
    <w:bookmarkEnd w:id="32"/>
    <w:tbl>
      <w:tblPr>
        <w:tblStyle w:val="31"/>
        <w:tblW w:w="98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9"/>
      </w:tblGrid>
      <w:tr w14:paraId="0EB4F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9" w:type="dxa"/>
          </w:tcPr>
          <w:p w14:paraId="1186942E">
            <w:pPr>
              <w:spacing w:line="360" w:lineRule="auto"/>
              <w:rPr>
                <w:color w:val="auto"/>
                <w:szCs w:val="21"/>
                <w:highlight w:val="none"/>
              </w:rPr>
            </w:pPr>
            <w:r>
              <w:rPr>
                <w:rFonts w:hint="eastAsia"/>
                <w:color w:val="auto"/>
                <w:szCs w:val="21"/>
                <w:highlight w:val="none"/>
              </w:rPr>
              <w:t>项目概况：</w:t>
            </w:r>
          </w:p>
          <w:p w14:paraId="2EEA3E08">
            <w:pPr>
              <w:spacing w:line="360" w:lineRule="auto"/>
              <w:ind w:firstLine="420" w:firstLineChars="200"/>
              <w:rPr>
                <w:rFonts w:ascii="黑体" w:hAnsi="黑体" w:eastAsia="黑体" w:cs="宋体"/>
                <w:bCs/>
                <w:color w:val="auto"/>
                <w:sz w:val="24"/>
                <w:highlight w:val="none"/>
              </w:rPr>
            </w:pPr>
            <w:r>
              <w:rPr>
                <w:rFonts w:hint="eastAsia" w:ascii="宋体" w:hAnsi="宋体" w:cs="宋体"/>
                <w:color w:val="auto"/>
                <w:szCs w:val="21"/>
                <w:highlight w:val="none"/>
                <w:u w:val="single"/>
                <w:lang w:eastAsia="zh-CN"/>
              </w:rPr>
              <w:t>2026年度广西职业资格电子化考试技术服务项目</w:t>
            </w:r>
            <w:r>
              <w:rPr>
                <w:rFonts w:hint="eastAsia" w:ascii="宋体" w:hAnsi="宋体" w:cs="宋体"/>
                <w:color w:val="auto"/>
                <w:szCs w:val="21"/>
                <w:highlight w:val="none"/>
              </w:rPr>
              <w:t>采购项目的潜在供应商应在广西政府采购云平台（https://www.gcy.zfcg.gxzf.gov.cn/）获取采购文件，并于</w:t>
            </w:r>
            <w:r>
              <w:rPr>
                <w:rFonts w:hint="eastAsia" w:ascii="宋体" w:hAnsi="宋体" w:cs="宋体"/>
                <w:color w:val="auto"/>
                <w:szCs w:val="21"/>
                <w:highlight w:val="none"/>
                <w:lang w:eastAsia="zh-CN"/>
              </w:rPr>
              <w:t>2026年4月28日</w:t>
            </w:r>
            <w:r>
              <w:rPr>
                <w:rFonts w:hint="eastAsia" w:ascii="宋体" w:hAnsi="宋体" w:cs="宋体"/>
                <w:color w:val="auto"/>
                <w:szCs w:val="21"/>
                <w:highlight w:val="none"/>
              </w:rPr>
              <w:t>09:00:00（北京时间）前提交响应文件。</w:t>
            </w:r>
          </w:p>
        </w:tc>
      </w:tr>
    </w:tbl>
    <w:p w14:paraId="7083286B">
      <w:pPr>
        <w:spacing w:line="39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一、项目基本情况</w:t>
      </w:r>
    </w:p>
    <w:p w14:paraId="2CB45605">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项目编号：</w:t>
      </w:r>
      <w:r>
        <w:rPr>
          <w:rFonts w:hint="eastAsia" w:ascii="宋体" w:hAnsi="宋体"/>
          <w:color w:val="auto"/>
          <w:szCs w:val="21"/>
          <w:highlight w:val="none"/>
          <w:lang w:eastAsia="zh-CN"/>
        </w:rPr>
        <w:t>GXZC2026-C3-000811-GXKL</w:t>
      </w:r>
    </w:p>
    <w:p w14:paraId="7BD61443">
      <w:pPr>
        <w:spacing w:line="360" w:lineRule="auto"/>
        <w:ind w:firstLine="422" w:firstLineChars="200"/>
        <w:rPr>
          <w:rFonts w:hint="eastAsia" w:ascii="宋体" w:hAnsi="宋体" w:eastAsia="宋体"/>
          <w:color w:val="auto"/>
          <w:szCs w:val="21"/>
          <w:highlight w:val="none"/>
          <w:lang w:eastAsia="zh-CN"/>
        </w:rPr>
      </w:pPr>
      <w:r>
        <w:rPr>
          <w:rFonts w:hint="eastAsia" w:ascii="宋体" w:hAnsi="宋体"/>
          <w:b/>
          <w:bCs/>
          <w:color w:val="auto"/>
          <w:szCs w:val="21"/>
          <w:highlight w:val="none"/>
        </w:rPr>
        <w:t>项目名称：</w:t>
      </w:r>
      <w:r>
        <w:rPr>
          <w:rFonts w:hint="eastAsia" w:ascii="宋体" w:hAnsi="宋体"/>
          <w:color w:val="auto"/>
          <w:szCs w:val="21"/>
          <w:highlight w:val="none"/>
          <w:lang w:eastAsia="zh-CN"/>
        </w:rPr>
        <w:t>2026年度广西职业资格电子化考试技术服务项目</w:t>
      </w:r>
    </w:p>
    <w:p w14:paraId="47AADD61">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采购方式：</w:t>
      </w:r>
      <w:r>
        <w:rPr>
          <w:rFonts w:hint="eastAsia" w:ascii="宋体" w:hAnsi="宋体"/>
          <w:color w:val="auto"/>
          <w:szCs w:val="21"/>
          <w:highlight w:val="none"/>
        </w:rPr>
        <w:t>竞争性磋商</w:t>
      </w:r>
    </w:p>
    <w:p w14:paraId="5E09ACBC">
      <w:pPr>
        <w:spacing w:line="360" w:lineRule="auto"/>
        <w:ind w:firstLine="422" w:firstLineChars="200"/>
        <w:rPr>
          <w:rFonts w:ascii="宋体" w:hAnsi="宋体"/>
          <w:color w:val="auto"/>
          <w:szCs w:val="21"/>
          <w:highlight w:val="none"/>
        </w:rPr>
      </w:pPr>
      <w:r>
        <w:rPr>
          <w:rFonts w:hint="eastAsia" w:ascii="宋体" w:hAnsi="宋体"/>
          <w:b/>
          <w:bCs/>
          <w:color w:val="auto"/>
          <w:szCs w:val="21"/>
          <w:highlight w:val="none"/>
        </w:rPr>
        <w:t>预算金额（元）</w:t>
      </w:r>
      <w:r>
        <w:rPr>
          <w:rFonts w:hint="eastAsia" w:ascii="宋体" w:hAnsi="宋体"/>
          <w:color w:val="auto"/>
          <w:szCs w:val="21"/>
          <w:highlight w:val="none"/>
        </w:rPr>
        <w:t>：</w:t>
      </w:r>
      <w:r>
        <w:rPr>
          <w:rFonts w:hint="eastAsia" w:ascii="宋体" w:hAnsi="宋体"/>
          <w:color w:val="auto"/>
          <w:szCs w:val="21"/>
          <w:highlight w:val="none"/>
          <w:lang w:eastAsia="zh-CN"/>
        </w:rPr>
        <w:t>2321800</w:t>
      </w:r>
      <w:r>
        <w:rPr>
          <w:rFonts w:hint="eastAsia" w:ascii="宋体" w:hAnsi="宋体"/>
          <w:color w:val="auto"/>
          <w:szCs w:val="21"/>
          <w:highlight w:val="none"/>
        </w:rPr>
        <w:t>.00</w:t>
      </w:r>
    </w:p>
    <w:p w14:paraId="314BEB1A">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采购需求：</w:t>
      </w:r>
    </w:p>
    <w:p w14:paraId="33B57F84">
      <w:pPr>
        <w:spacing w:line="360" w:lineRule="auto"/>
        <w:ind w:firstLine="420" w:firstLineChars="200"/>
        <w:rPr>
          <w:rFonts w:hint="eastAsia" w:ascii="宋体" w:hAnsi="宋体" w:eastAsia="宋体"/>
          <w:color w:val="auto"/>
          <w:szCs w:val="21"/>
          <w:highlight w:val="none"/>
          <w:lang w:eastAsia="zh-CN"/>
        </w:rPr>
      </w:pPr>
      <w:r>
        <w:rPr>
          <w:rFonts w:hint="eastAsia" w:ascii="宋体" w:hAnsi="宋体"/>
          <w:color w:val="auto"/>
          <w:szCs w:val="21"/>
          <w:highlight w:val="none"/>
        </w:rPr>
        <w:t>标项名称</w:t>
      </w:r>
      <w:r>
        <w:rPr>
          <w:rFonts w:hint="eastAsia" w:ascii="宋体" w:hAnsi="宋体"/>
          <w:color w:val="auto"/>
          <w:szCs w:val="21"/>
          <w:highlight w:val="none"/>
          <w:lang w:eastAsia="zh-CN"/>
        </w:rPr>
        <w:t>：2026年度广西职业资格电子化考试技术服务项目</w:t>
      </w:r>
    </w:p>
    <w:p w14:paraId="30863B14">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数量</w:t>
      </w:r>
      <w:r>
        <w:rPr>
          <w:rFonts w:hint="eastAsia" w:ascii="宋体" w:hAnsi="宋体"/>
          <w:color w:val="auto"/>
          <w:szCs w:val="21"/>
          <w:highlight w:val="none"/>
          <w:lang w:eastAsia="zh-CN"/>
        </w:rPr>
        <w:t>：</w:t>
      </w:r>
      <w:r>
        <w:rPr>
          <w:rFonts w:hint="eastAsia" w:ascii="宋体" w:hAnsi="宋体"/>
          <w:color w:val="auto"/>
          <w:szCs w:val="21"/>
          <w:highlight w:val="none"/>
        </w:rPr>
        <w:t>1</w:t>
      </w:r>
    </w:p>
    <w:p w14:paraId="20A4867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预算金额（元）</w:t>
      </w:r>
      <w:r>
        <w:rPr>
          <w:rFonts w:hint="eastAsia" w:ascii="宋体" w:hAnsi="宋体"/>
          <w:color w:val="auto"/>
          <w:szCs w:val="21"/>
          <w:highlight w:val="none"/>
          <w:lang w:eastAsia="zh-CN"/>
        </w:rPr>
        <w:t>：2321800</w:t>
      </w:r>
      <w:r>
        <w:rPr>
          <w:rFonts w:hint="eastAsia" w:ascii="宋体" w:hAnsi="宋体"/>
          <w:color w:val="auto"/>
          <w:szCs w:val="21"/>
          <w:highlight w:val="none"/>
        </w:rPr>
        <w:t>.00</w:t>
      </w:r>
    </w:p>
    <w:p w14:paraId="5DAF79CD">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简要规格描述或项目基本概况介绍、用途：</w:t>
      </w:r>
      <w:r>
        <w:rPr>
          <w:rFonts w:hint="eastAsia" w:ascii="宋体" w:hAnsi="宋体"/>
          <w:color w:val="auto"/>
          <w:szCs w:val="21"/>
          <w:highlight w:val="none"/>
          <w:lang w:eastAsia="zh-CN"/>
        </w:rPr>
        <w:t>2026年度广西职业资格电子化考试技术服务</w:t>
      </w:r>
      <w:r>
        <w:rPr>
          <w:rFonts w:hint="eastAsia" w:ascii="宋体" w:hAnsi="宋体"/>
          <w:color w:val="auto"/>
          <w:szCs w:val="21"/>
          <w:highlight w:val="none"/>
        </w:rPr>
        <w:t>1项，详见本</w:t>
      </w:r>
      <w:r>
        <w:rPr>
          <w:rFonts w:hint="eastAsia"/>
          <w:color w:val="auto"/>
          <w:highlight w:val="none"/>
        </w:rPr>
        <w:t>竞争性磋商公告</w:t>
      </w:r>
      <w:r>
        <w:rPr>
          <w:rFonts w:hint="eastAsia" w:ascii="宋体" w:hAnsi="宋体"/>
          <w:color w:val="auto"/>
          <w:szCs w:val="21"/>
          <w:highlight w:val="none"/>
        </w:rPr>
        <w:t>附件采购文件。</w:t>
      </w:r>
    </w:p>
    <w:p w14:paraId="61D2323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最高限价（如有）：/</w:t>
      </w:r>
    </w:p>
    <w:p w14:paraId="48D9A59C">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合同履约期限：合同签订之日起至本项目所有考试结束。签订合同之日起10天内能按采购文件要求提供本项目服务。如遇特殊情况当年考试推迟到第二年，须按合同约定完成当年考试任务。</w:t>
      </w:r>
    </w:p>
    <w:p w14:paraId="3E5449C8">
      <w:pPr>
        <w:spacing w:line="360" w:lineRule="auto"/>
        <w:ind w:firstLine="420" w:firstLineChars="200"/>
        <w:rPr>
          <w:rFonts w:ascii="宋体" w:hAnsi="宋体"/>
          <w:color w:val="auto"/>
          <w:szCs w:val="21"/>
          <w:highlight w:val="none"/>
        </w:rPr>
      </w:pPr>
      <w:bookmarkStart w:id="33" w:name="OLE_LINK3"/>
      <w:r>
        <w:rPr>
          <w:rFonts w:hint="eastAsia" w:ascii="宋体" w:hAnsi="宋体"/>
          <w:color w:val="auto"/>
          <w:szCs w:val="21"/>
          <w:highlight w:val="none"/>
        </w:rPr>
        <w:t>本标项</w:t>
      </w:r>
      <w:r>
        <w:rPr>
          <w:rFonts w:ascii="宋体" w:hAnsi="宋体"/>
          <w:color w:val="auto"/>
          <w:szCs w:val="21"/>
          <w:highlight w:val="none"/>
        </w:rPr>
        <w:t>（否）</w:t>
      </w:r>
      <w:r>
        <w:rPr>
          <w:rFonts w:hint="eastAsia" w:ascii="宋体" w:hAnsi="宋体"/>
          <w:color w:val="auto"/>
          <w:szCs w:val="21"/>
          <w:highlight w:val="none"/>
        </w:rPr>
        <w:t>接受联合体竞标。</w:t>
      </w:r>
    </w:p>
    <w:bookmarkEnd w:id="33"/>
    <w:p w14:paraId="1B131D1F">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备注：无</w:t>
      </w:r>
    </w:p>
    <w:p w14:paraId="3715F8AE">
      <w:pPr>
        <w:spacing w:line="390" w:lineRule="exact"/>
        <w:ind w:firstLine="482" w:firstLineChars="200"/>
        <w:rPr>
          <w:rFonts w:ascii="宋体" w:hAnsi="宋体" w:cs="宋体"/>
          <w:b/>
          <w:bCs/>
          <w:color w:val="auto"/>
          <w:sz w:val="24"/>
          <w:highlight w:val="none"/>
        </w:rPr>
      </w:pPr>
      <w:bookmarkStart w:id="34" w:name="_Toc44229879"/>
      <w:bookmarkStart w:id="35" w:name="_Toc28359013"/>
      <w:bookmarkStart w:id="36" w:name="_Toc35393799"/>
      <w:bookmarkStart w:id="37" w:name="_Toc35393630"/>
      <w:bookmarkStart w:id="38" w:name="_Toc28359090"/>
      <w:r>
        <w:rPr>
          <w:rFonts w:hint="eastAsia" w:ascii="宋体" w:hAnsi="宋体" w:cs="宋体"/>
          <w:b/>
          <w:bCs/>
          <w:color w:val="auto"/>
          <w:sz w:val="24"/>
          <w:highlight w:val="none"/>
        </w:rPr>
        <w:t>二、申请人的资格</w:t>
      </w:r>
      <w:bookmarkEnd w:id="34"/>
      <w:bookmarkEnd w:id="35"/>
      <w:bookmarkEnd w:id="36"/>
      <w:bookmarkEnd w:id="37"/>
      <w:bookmarkEnd w:id="38"/>
      <w:r>
        <w:rPr>
          <w:rFonts w:hint="eastAsia" w:ascii="宋体" w:hAnsi="宋体" w:cs="宋体"/>
          <w:b/>
          <w:bCs/>
          <w:color w:val="auto"/>
          <w:sz w:val="24"/>
          <w:highlight w:val="none"/>
        </w:rPr>
        <w:t>要求</w:t>
      </w:r>
    </w:p>
    <w:p w14:paraId="7A8F5816">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1.满足《中华人民共和国政府采购法》第二十二条规定；</w:t>
      </w:r>
    </w:p>
    <w:p w14:paraId="1C375566">
      <w:pPr>
        <w:spacing w:line="390" w:lineRule="exact"/>
        <w:ind w:firstLine="420" w:firstLineChars="200"/>
        <w:rPr>
          <w:rFonts w:ascii="宋体" w:hAnsi="宋体"/>
          <w:color w:val="auto"/>
          <w:szCs w:val="21"/>
          <w:highlight w:val="none"/>
        </w:rPr>
      </w:pPr>
      <w:r>
        <w:rPr>
          <w:rFonts w:hint="eastAsia" w:ascii="宋体" w:hAnsi="宋体"/>
          <w:color w:val="auto"/>
          <w:szCs w:val="21"/>
          <w:highlight w:val="none"/>
        </w:rPr>
        <w:t>2.落实政府采购政策需满足的资格要求：</w:t>
      </w:r>
      <w:r>
        <w:rPr>
          <w:rFonts w:hint="eastAsia" w:ascii="宋体" w:hAnsi="宋体"/>
          <w:color w:val="auto"/>
          <w:szCs w:val="21"/>
          <w:highlight w:val="none"/>
          <w:lang w:eastAsia="zh-CN"/>
        </w:rPr>
        <w:t>本项目为专门面向中小企业采购的项目，供应商应为中小微企业或残疾人福利性单位或监狱企业</w:t>
      </w:r>
      <w:r>
        <w:rPr>
          <w:rFonts w:hint="eastAsia" w:ascii="宋体" w:hAnsi="宋体"/>
          <w:color w:val="auto"/>
          <w:szCs w:val="21"/>
          <w:highlight w:val="none"/>
        </w:rPr>
        <w:t>；</w:t>
      </w:r>
    </w:p>
    <w:p w14:paraId="307A1A04">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3.本项目的特定资格要求：无。</w:t>
      </w:r>
    </w:p>
    <w:p w14:paraId="303D4FF0">
      <w:pPr>
        <w:spacing w:line="39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三、获取采购文件</w:t>
      </w:r>
    </w:p>
    <w:p w14:paraId="765EF847">
      <w:pPr>
        <w:spacing w:line="390" w:lineRule="exact"/>
        <w:ind w:firstLine="420" w:firstLineChars="200"/>
        <w:rPr>
          <w:rFonts w:ascii="宋体" w:hAnsi="宋体" w:cs="宋体"/>
          <w:bCs/>
          <w:color w:val="auto"/>
          <w:kern w:val="0"/>
          <w:szCs w:val="21"/>
          <w:highlight w:val="none"/>
        </w:rPr>
      </w:pPr>
      <w:bookmarkStart w:id="39" w:name="_Toc35393793"/>
      <w:bookmarkStart w:id="40" w:name="_Toc28359082"/>
      <w:bookmarkStart w:id="41" w:name="_Toc35393624"/>
      <w:bookmarkStart w:id="42" w:name="_Toc28359005"/>
      <w:r>
        <w:rPr>
          <w:rFonts w:hint="eastAsia" w:ascii="宋体" w:hAnsi="宋体" w:cs="宋体"/>
          <w:bCs/>
          <w:color w:val="auto"/>
          <w:kern w:val="0"/>
          <w:szCs w:val="21"/>
          <w:highlight w:val="none"/>
        </w:rPr>
        <w:t>时间：</w:t>
      </w:r>
      <w:r>
        <w:rPr>
          <w:rFonts w:hint="eastAsia" w:ascii="宋体" w:hAnsi="宋体" w:cs="宋体"/>
          <w:bCs/>
          <w:color w:val="auto"/>
          <w:kern w:val="0"/>
          <w:szCs w:val="21"/>
          <w:highlight w:val="none"/>
          <w:lang w:eastAsia="zh-CN"/>
        </w:rPr>
        <w:t>2026年4月13日</w:t>
      </w:r>
      <w:r>
        <w:rPr>
          <w:rFonts w:hint="eastAsia" w:ascii="宋体" w:hAnsi="宋体" w:cs="宋体"/>
          <w:bCs/>
          <w:color w:val="auto"/>
          <w:kern w:val="0"/>
          <w:szCs w:val="21"/>
          <w:highlight w:val="none"/>
        </w:rPr>
        <w:t>至</w:t>
      </w:r>
      <w:r>
        <w:rPr>
          <w:rFonts w:hint="eastAsia" w:ascii="宋体" w:hAnsi="宋体" w:cs="宋体"/>
          <w:bCs/>
          <w:color w:val="auto"/>
          <w:kern w:val="0"/>
          <w:szCs w:val="21"/>
          <w:highlight w:val="none"/>
          <w:lang w:eastAsia="zh-CN"/>
        </w:rPr>
        <w:t>2026年4月27日</w:t>
      </w:r>
      <w:r>
        <w:rPr>
          <w:rFonts w:hint="eastAsia" w:ascii="宋体" w:hAnsi="宋体" w:cs="宋体"/>
          <w:bCs/>
          <w:color w:val="auto"/>
          <w:kern w:val="0"/>
          <w:szCs w:val="21"/>
          <w:highlight w:val="none"/>
        </w:rPr>
        <w:t>，每天上午00:00至11:59，下午12:00至23:59（北京时间，法定节假日除外）；</w:t>
      </w:r>
    </w:p>
    <w:p w14:paraId="466B58FD">
      <w:pPr>
        <w:spacing w:line="390" w:lineRule="exact"/>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地点（网址）：</w:t>
      </w:r>
      <w:r>
        <w:rPr>
          <w:rFonts w:hint="eastAsia" w:ascii="宋体" w:hAnsi="宋体" w:cs="宋体"/>
          <w:color w:val="auto"/>
          <w:szCs w:val="21"/>
          <w:highlight w:val="none"/>
        </w:rPr>
        <w:t>广西政府采购云平台（https://www.gcy.zfcg.gxzf.gov.cn/）</w:t>
      </w:r>
    </w:p>
    <w:p w14:paraId="1DDEE05F">
      <w:pPr>
        <w:pStyle w:val="13"/>
        <w:spacing w:line="390" w:lineRule="exact"/>
        <w:rPr>
          <w:rFonts w:ascii="宋体" w:hAnsi="宋体" w:cs="宋体"/>
          <w:b/>
          <w:bCs/>
          <w:color w:val="auto"/>
          <w:sz w:val="24"/>
          <w:highlight w:val="none"/>
        </w:rPr>
      </w:pPr>
      <w:r>
        <w:rPr>
          <w:rFonts w:hint="eastAsia" w:ascii="宋体" w:hAnsi="宋体" w:cs="宋体"/>
          <w:color w:val="auto"/>
          <w:szCs w:val="21"/>
          <w:highlight w:val="none"/>
        </w:rPr>
        <w:t>　　方式：网上下载。本项目不发放纸质文件，潜在供应商可自行登录广西政府采购云平台下载采购文件，电子响应文件制作需要基于广西政府采购云平台获取的采购文件编制。</w:t>
      </w:r>
    </w:p>
    <w:p w14:paraId="56F5B599">
      <w:pPr>
        <w:snapToGrid w:val="0"/>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售价（元）：0</w:t>
      </w:r>
    </w:p>
    <w:p w14:paraId="5B4A1DE8">
      <w:pPr>
        <w:spacing w:line="39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四、</w:t>
      </w:r>
      <w:bookmarkEnd w:id="39"/>
      <w:bookmarkEnd w:id="40"/>
      <w:bookmarkEnd w:id="41"/>
      <w:bookmarkEnd w:id="42"/>
      <w:r>
        <w:rPr>
          <w:rFonts w:hint="eastAsia" w:ascii="宋体" w:hAnsi="宋体" w:cs="宋体"/>
          <w:b/>
          <w:bCs/>
          <w:color w:val="auto"/>
          <w:sz w:val="24"/>
          <w:highlight w:val="none"/>
        </w:rPr>
        <w:t>响应文件提交</w:t>
      </w:r>
    </w:p>
    <w:p w14:paraId="53EB6F7B">
      <w:pPr>
        <w:spacing w:line="39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lang w:eastAsia="zh-CN"/>
        </w:rPr>
        <w:t>1.</w:t>
      </w:r>
      <w:r>
        <w:rPr>
          <w:rFonts w:hint="eastAsia" w:ascii="宋体" w:hAnsi="宋体" w:cs="宋体"/>
          <w:color w:val="auto"/>
          <w:szCs w:val="21"/>
          <w:highlight w:val="none"/>
        </w:rPr>
        <w:t>首次响应文件提交截止时间</w:t>
      </w:r>
      <w:r>
        <w:rPr>
          <w:rFonts w:hint="eastAsia" w:ascii="宋体" w:hAnsi="宋体" w:cs="宋体"/>
          <w:bCs/>
          <w:color w:val="auto"/>
          <w:szCs w:val="21"/>
          <w:highlight w:val="none"/>
        </w:rPr>
        <w:t>：</w:t>
      </w:r>
      <w:r>
        <w:rPr>
          <w:rFonts w:hint="eastAsia" w:ascii="宋体" w:hAnsi="宋体" w:cs="宋体"/>
          <w:bCs/>
          <w:color w:val="auto"/>
          <w:szCs w:val="21"/>
          <w:highlight w:val="none"/>
          <w:lang w:eastAsia="zh-CN"/>
        </w:rPr>
        <w:t>2026年4月28日</w:t>
      </w:r>
      <w:r>
        <w:rPr>
          <w:rFonts w:hint="eastAsia" w:ascii="宋体" w:hAnsi="宋体" w:cs="宋体"/>
          <w:bCs/>
          <w:color w:val="auto"/>
          <w:szCs w:val="21"/>
          <w:highlight w:val="none"/>
        </w:rPr>
        <w:t>09:00:00（北京时间）</w:t>
      </w:r>
    </w:p>
    <w:p w14:paraId="3E0C28EC">
      <w:pPr>
        <w:spacing w:line="390" w:lineRule="exact"/>
        <w:ind w:firstLine="420" w:firstLineChars="200"/>
        <w:rPr>
          <w:rFonts w:ascii="宋体" w:hAnsi="宋体" w:cs="宋体"/>
          <w:color w:val="auto"/>
          <w:szCs w:val="21"/>
          <w:highlight w:val="none"/>
        </w:rPr>
      </w:pPr>
      <w:r>
        <w:rPr>
          <w:rFonts w:hint="eastAsia" w:ascii="宋体" w:hAnsi="宋体" w:cs="宋体"/>
          <w:color w:val="auto"/>
          <w:szCs w:val="21"/>
          <w:highlight w:val="none"/>
          <w:lang w:eastAsia="zh-CN"/>
        </w:rPr>
        <w:t>2.</w:t>
      </w:r>
      <w:r>
        <w:rPr>
          <w:rFonts w:hint="eastAsia" w:ascii="宋体" w:hAnsi="宋体" w:cs="宋体"/>
          <w:color w:val="auto"/>
          <w:szCs w:val="21"/>
          <w:highlight w:val="none"/>
        </w:rPr>
        <w:t>首次响应文件提交地点：广西政府采购云平台（https://www.gcy.zfcg.gxzf.gov.cn/）</w:t>
      </w:r>
    </w:p>
    <w:p w14:paraId="6F75816F">
      <w:pPr>
        <w:spacing w:line="390" w:lineRule="exact"/>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五、开启（首次响应文件开启时间）</w:t>
      </w:r>
    </w:p>
    <w:p w14:paraId="23A3198D">
      <w:pPr>
        <w:spacing w:line="390" w:lineRule="exact"/>
        <w:ind w:firstLine="420" w:firstLineChars="200"/>
        <w:rPr>
          <w:rFonts w:ascii="宋体" w:hAnsi="宋体" w:cs="宋体"/>
          <w:bCs/>
          <w:color w:val="auto"/>
          <w:szCs w:val="21"/>
          <w:highlight w:val="none"/>
        </w:rPr>
      </w:pPr>
      <w:r>
        <w:rPr>
          <w:rFonts w:hint="eastAsia" w:ascii="宋体" w:hAnsi="宋体" w:cs="宋体"/>
          <w:color w:val="auto"/>
          <w:szCs w:val="21"/>
          <w:highlight w:val="none"/>
        </w:rPr>
        <w:t>时间：</w:t>
      </w:r>
      <w:r>
        <w:rPr>
          <w:rFonts w:hint="eastAsia" w:ascii="宋体" w:hAnsi="宋体" w:cs="宋体"/>
          <w:color w:val="auto"/>
          <w:szCs w:val="21"/>
          <w:highlight w:val="none"/>
          <w:lang w:eastAsia="zh-CN"/>
        </w:rPr>
        <w:t>2026年4月28日</w:t>
      </w:r>
      <w:r>
        <w:rPr>
          <w:rFonts w:hint="eastAsia" w:ascii="宋体" w:hAnsi="宋体" w:cs="宋体"/>
          <w:color w:val="auto"/>
          <w:szCs w:val="21"/>
          <w:highlight w:val="none"/>
        </w:rPr>
        <w:t>09:00:00</w:t>
      </w:r>
      <w:r>
        <w:rPr>
          <w:rFonts w:hint="eastAsia" w:ascii="宋体" w:hAnsi="宋体" w:cs="宋体"/>
          <w:bCs/>
          <w:color w:val="auto"/>
          <w:szCs w:val="21"/>
          <w:highlight w:val="none"/>
        </w:rPr>
        <w:t>（北京时间）</w:t>
      </w:r>
      <w:r>
        <w:rPr>
          <w:rFonts w:hint="eastAsia" w:ascii="宋体" w:hAnsi="宋体" w:cs="宋体"/>
          <w:color w:val="auto"/>
          <w:szCs w:val="21"/>
          <w:highlight w:val="none"/>
        </w:rPr>
        <w:t>后</w:t>
      </w:r>
    </w:p>
    <w:p w14:paraId="0167B4A2">
      <w:pPr>
        <w:spacing w:line="390" w:lineRule="exact"/>
        <w:ind w:firstLine="420" w:firstLineChars="200"/>
        <w:rPr>
          <w:rFonts w:ascii="宋体" w:hAnsi="宋体" w:cs="宋体"/>
          <w:bCs/>
          <w:color w:val="auto"/>
          <w:szCs w:val="21"/>
          <w:highlight w:val="none"/>
          <w:u w:val="single"/>
        </w:rPr>
      </w:pPr>
      <w:r>
        <w:rPr>
          <w:rFonts w:hint="eastAsia" w:ascii="宋体" w:hAnsi="宋体" w:cs="宋体"/>
          <w:color w:val="auto"/>
          <w:szCs w:val="21"/>
          <w:highlight w:val="none"/>
        </w:rPr>
        <w:t>地点：广西政府采购云平台电子开标大厅</w:t>
      </w:r>
    </w:p>
    <w:p w14:paraId="7484E66D">
      <w:pPr>
        <w:spacing w:line="390" w:lineRule="exact"/>
        <w:ind w:firstLine="482" w:firstLineChars="200"/>
        <w:rPr>
          <w:rFonts w:ascii="宋体" w:hAnsi="宋体" w:cs="宋体"/>
          <w:b/>
          <w:bCs/>
          <w:color w:val="auto"/>
          <w:sz w:val="24"/>
          <w:highlight w:val="none"/>
        </w:rPr>
      </w:pPr>
      <w:bookmarkStart w:id="43" w:name="_Toc35393625"/>
      <w:bookmarkStart w:id="44" w:name="_Toc28359084"/>
      <w:bookmarkStart w:id="45" w:name="_Toc35393794"/>
      <w:bookmarkStart w:id="46" w:name="_Toc28359007"/>
      <w:r>
        <w:rPr>
          <w:rFonts w:hint="eastAsia" w:ascii="宋体" w:hAnsi="宋体" w:cs="宋体"/>
          <w:b/>
          <w:bCs/>
          <w:color w:val="auto"/>
          <w:sz w:val="24"/>
          <w:highlight w:val="none"/>
        </w:rPr>
        <w:t>六、公告期限</w:t>
      </w:r>
      <w:bookmarkEnd w:id="43"/>
      <w:bookmarkEnd w:id="44"/>
      <w:bookmarkEnd w:id="45"/>
      <w:bookmarkEnd w:id="46"/>
    </w:p>
    <w:p w14:paraId="0A150A13">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自本公告发布之日起5个工作日。</w:t>
      </w:r>
    </w:p>
    <w:p w14:paraId="3A5F8B3C">
      <w:pPr>
        <w:spacing w:line="390" w:lineRule="exact"/>
        <w:ind w:firstLine="482" w:firstLineChars="200"/>
        <w:rPr>
          <w:rFonts w:ascii="宋体" w:hAnsi="宋体" w:cs="宋体"/>
          <w:b/>
          <w:bCs/>
          <w:color w:val="auto"/>
          <w:sz w:val="24"/>
          <w:highlight w:val="none"/>
        </w:rPr>
      </w:pPr>
      <w:bookmarkStart w:id="47" w:name="_Toc35393795"/>
      <w:bookmarkStart w:id="48" w:name="_Toc35393626"/>
      <w:r>
        <w:rPr>
          <w:rFonts w:hint="eastAsia" w:ascii="宋体" w:hAnsi="宋体" w:cs="宋体"/>
          <w:b/>
          <w:bCs/>
          <w:color w:val="auto"/>
          <w:sz w:val="24"/>
          <w:highlight w:val="none"/>
        </w:rPr>
        <w:t>七、其他补充事宜</w:t>
      </w:r>
      <w:bookmarkEnd w:id="47"/>
      <w:bookmarkEnd w:id="48"/>
    </w:p>
    <w:p w14:paraId="601AEACD">
      <w:pPr>
        <w:spacing w:line="390" w:lineRule="exact"/>
        <w:ind w:firstLine="420" w:firstLineChars="200"/>
        <w:rPr>
          <w:rFonts w:ascii="宋体" w:hAnsi="宋体" w:cs="宋体"/>
          <w:color w:val="auto"/>
          <w:kern w:val="0"/>
          <w:szCs w:val="21"/>
          <w:highlight w:val="none"/>
        </w:rPr>
      </w:pPr>
      <w:bookmarkStart w:id="49" w:name="_Hlk37429585"/>
      <w:r>
        <w:rPr>
          <w:rFonts w:hint="eastAsia" w:ascii="宋体" w:hAnsi="宋体" w:cs="宋体"/>
          <w:color w:val="auto"/>
          <w:kern w:val="0"/>
          <w:szCs w:val="21"/>
          <w:highlight w:val="none"/>
        </w:rPr>
        <w:t>1.磋商保证金：</w:t>
      </w:r>
    </w:p>
    <w:p w14:paraId="70BE1ED9">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磋商保证金金额：¥23200.00元</w:t>
      </w:r>
    </w:p>
    <w:p w14:paraId="311AA086">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磋商保证金的缴纳方式：银行转账、支票、汇票、本票或者金融机构、担保机构出具的保函等非现金形式提交。采用银行转账方式的，在首次响应文件提交截止时间前交至采购代理机构指定账户并且到账；缴纳磋商保证金指定账户的信息：</w:t>
      </w:r>
    </w:p>
    <w:p w14:paraId="7140B6E1">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开户名称：广西科联招标中心有限公司</w:t>
      </w:r>
    </w:p>
    <w:p w14:paraId="2C393543">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开户银行：招商银行南宁市金浦路支行</w:t>
      </w:r>
    </w:p>
    <w:p w14:paraId="3FEAB460">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银行账号：7719011969103330000000294</w:t>
      </w:r>
    </w:p>
    <w:p w14:paraId="5F50C784">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开户行行号：308611000112</w:t>
      </w:r>
    </w:p>
    <w:p w14:paraId="2E3D9065">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采用支票、汇票、本票或者保函等方式的，在首次响应文件提交截止时间前，供应商必须提交单独密封的支票、汇票、本票或者保函（电子保函除外）等原件给采购代理机构。否则视为无效磋商保证金。</w:t>
      </w:r>
    </w:p>
    <w:p w14:paraId="3E99F7BF">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bookmarkStart w:id="50" w:name="_Hlk37429595"/>
      <w:r>
        <w:rPr>
          <w:rFonts w:hint="eastAsia" w:ascii="宋体" w:hAnsi="宋体" w:cs="宋体"/>
          <w:color w:val="auto"/>
          <w:kern w:val="0"/>
          <w:szCs w:val="21"/>
          <w:highlight w:val="none"/>
        </w:rPr>
        <w:t>网上查询地址</w:t>
      </w:r>
    </w:p>
    <w:bookmarkEnd w:id="49"/>
    <w:bookmarkEnd w:id="50"/>
    <w:p w14:paraId="7666B016">
      <w:pPr>
        <w:spacing w:line="390" w:lineRule="exact"/>
        <w:ind w:firstLine="420" w:firstLineChars="200"/>
        <w:rPr>
          <w:rFonts w:ascii="宋体" w:hAnsi="宋体" w:cs="宋体"/>
          <w:color w:val="auto"/>
          <w:kern w:val="0"/>
          <w:szCs w:val="21"/>
          <w:highlight w:val="none"/>
        </w:rPr>
      </w:pPr>
      <w:bookmarkStart w:id="51" w:name="_Hlk37429674"/>
      <w:r>
        <w:rPr>
          <w:rFonts w:hint="eastAsia" w:ascii="宋体" w:hAnsi="宋体" w:cs="宋体"/>
          <w:color w:val="auto"/>
          <w:kern w:val="0"/>
          <w:szCs w:val="21"/>
          <w:highlight w:val="none"/>
        </w:rPr>
        <w:t>http://www.ccgp-guangxi.gov.cn/（中国政府采购网广西分网）</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推送中国政府采购网</w:t>
      </w:r>
      <w:r>
        <w:rPr>
          <w:rFonts w:hint="eastAsia" w:ascii="宋体" w:hAnsi="宋体" w:cs="宋体"/>
          <w:color w:val="auto"/>
          <w:kern w:val="0"/>
          <w:szCs w:val="21"/>
          <w:highlight w:val="none"/>
        </w:rPr>
        <w:t>。</w:t>
      </w:r>
    </w:p>
    <w:bookmarkEnd w:id="51"/>
    <w:p w14:paraId="17A18BB1">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 本项目需要落实的政府采购政策</w:t>
      </w:r>
    </w:p>
    <w:p w14:paraId="5464177D">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（1）政府采购促进中小企业发展。</w:t>
      </w:r>
    </w:p>
    <w:p w14:paraId="593141AC">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（2）政府采购支持采用本国产品的政策。</w:t>
      </w:r>
    </w:p>
    <w:p w14:paraId="31B20025">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（3）强制采购节能产品；优先采购节能产品、环境标志产品。</w:t>
      </w:r>
    </w:p>
    <w:p w14:paraId="54C65570">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（4）政府采购促进残疾人就业政策。</w:t>
      </w:r>
    </w:p>
    <w:p w14:paraId="38E48743">
      <w:pPr>
        <w:spacing w:line="390" w:lineRule="exact"/>
        <w:ind w:firstLine="420" w:firstLineChars="2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（5）政府采购支持监狱企业发展</w:t>
      </w:r>
      <w:r>
        <w:rPr>
          <w:rFonts w:hint="eastAsia" w:ascii="宋体" w:hAnsi="宋体" w:cs="宋体"/>
          <w:color w:val="auto"/>
          <w:kern w:val="0"/>
          <w:szCs w:val="21"/>
          <w:highlight w:val="none"/>
          <w:lang w:eastAsia="zh-CN"/>
        </w:rPr>
        <w:t>。</w:t>
      </w:r>
    </w:p>
    <w:p w14:paraId="1002C014">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单位负责人为同一人或者存在直接控股、管理关系的不同供应商，不得参加同一合同项下的政府采购活动。为本项目提供过整体设计、规范编制或者项目管理、监理、检测等服务的供应商，不得再参加本项目上述服务以外的其他采购活动。</w:t>
      </w:r>
    </w:p>
    <w:p w14:paraId="7EF41033">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5.对在“信用中国”网站(www.creditchina.gov.cn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 xml:space="preserve"> 、中国政府采购网(www.ccgp.gov.cn</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rPr>
        <w:t>被列入失信被执行人、重大税收违法失信主体、政府采购严重违法失信行为记录名单及其他不符合《中华人民共和国政府采购法》第二十二条规定条件的供应商，不得参与政府采购活动。</w:t>
      </w:r>
    </w:p>
    <w:p w14:paraId="3262B64C">
      <w:pPr>
        <w:spacing w:line="39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6.在线竞标的有关说明：</w:t>
      </w:r>
    </w:p>
    <w:p w14:paraId="0790F95A">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（1）响应文件提交方式：本项目为全流程电子化项目，通过广西政府采购云平台（https://www.gcy.zfcg.gxzf.gov.cn/）实行在线电子响应，</w:t>
      </w:r>
      <w:r>
        <w:rPr>
          <w:rFonts w:hint="eastAsia"/>
          <w:color w:val="auto"/>
          <w:highlight w:val="none"/>
        </w:rPr>
        <w:t>供应商应先安装广西政府采购云平台新版客户端（新版客户端下载路径：广西政府采购网（访问地址</w:t>
      </w:r>
      <w:r>
        <w:rPr>
          <w:rFonts w:hint="eastAsia"/>
          <w:color w:val="auto"/>
          <w:highlight w:val="none"/>
          <w:lang w:eastAsia="zh-CN"/>
        </w:rPr>
        <w:t>：http</w:t>
      </w:r>
      <w:r>
        <w:rPr>
          <w:rFonts w:hint="eastAsia"/>
          <w:color w:val="auto"/>
          <w:highlight w:val="none"/>
        </w:rPr>
        <w:t>://zfcg.gxzf.gov.cn/）—办事服务—下载专区）</w:t>
      </w:r>
      <w:r>
        <w:rPr>
          <w:rFonts w:hint="eastAsia" w:ascii="宋体" w:hAnsi="宋体" w:cs="宋体"/>
          <w:color w:val="auto"/>
          <w:kern w:val="0"/>
          <w:szCs w:val="21"/>
          <w:highlight w:val="none"/>
        </w:rPr>
        <w:t>，并按照本项目采购文件和广西政府采购云平台的要求编制、加密后在响应文件提交截止时间前通过网络上传至广西政府采购云平台，</w:t>
      </w:r>
      <w:r>
        <w:rPr>
          <w:rFonts w:hint="eastAsia" w:ascii="宋体" w:hAnsi="宋体" w:cs="宋体"/>
          <w:b/>
          <w:bCs/>
          <w:color w:val="auto"/>
          <w:kern w:val="0"/>
          <w:szCs w:val="21"/>
          <w:highlight w:val="none"/>
        </w:rPr>
        <w:t>供应商在广西政府采购云平台提交电子版响应文件时，请填写参加远程开标活动经办人联系方式</w:t>
      </w:r>
      <w:r>
        <w:rPr>
          <w:rFonts w:hint="eastAsia" w:ascii="宋体" w:hAnsi="宋体" w:cs="宋体"/>
          <w:color w:val="auto"/>
          <w:kern w:val="0"/>
          <w:szCs w:val="21"/>
          <w:highlight w:val="none"/>
        </w:rPr>
        <w:t>。</w:t>
      </w:r>
    </w:p>
    <w:p w14:paraId="15E921B6">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（2）未进行网上注册并办理数字证书（CA认证）的供应商将无法参与本项目政府采购活动，潜在供应商应当在首次响应文件提交截止时间前，完成电子交易平台上的CA数字证书办理及响应文件的提交。</w:t>
      </w:r>
    </w:p>
    <w:p w14:paraId="6A798ADC">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（3）为确保网上操作合法、有效和安全，请供应商确保在电子响应过程中能够对相关数据电文进行加密和使用电子签章，妥善保管CA数字证书</w:t>
      </w:r>
      <w:r>
        <w:rPr>
          <w:rFonts w:hint="eastAsia" w:ascii="宋体" w:hAnsi="宋体" w:cs="宋体"/>
          <w:color w:val="auto"/>
          <w:kern w:val="0"/>
          <w:szCs w:val="21"/>
          <w:highlight w:val="none"/>
          <w:lang w:eastAsia="zh-CN"/>
        </w:rPr>
        <w:t>，并</w:t>
      </w:r>
      <w:r>
        <w:rPr>
          <w:rFonts w:hint="eastAsia" w:ascii="宋体" w:hAnsi="宋体" w:cs="宋体"/>
          <w:color w:val="auto"/>
          <w:kern w:val="0"/>
          <w:szCs w:val="21"/>
          <w:highlight w:val="none"/>
        </w:rPr>
        <w:t>使用有效的CA数字证书参与整个采购活动。</w:t>
      </w:r>
    </w:p>
    <w:p w14:paraId="5D282DE0">
      <w:pPr>
        <w:spacing w:line="390" w:lineRule="exact"/>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注：供应商应当在首次响应文件提交截止时间前完成电子响应文件的上传</w:t>
      </w:r>
      <w:r>
        <w:rPr>
          <w:rFonts w:hint="eastAsia" w:ascii="宋体" w:hAnsi="宋体" w:cs="宋体"/>
          <w:b/>
          <w:bCs/>
          <w:color w:val="auto"/>
          <w:kern w:val="0"/>
          <w:szCs w:val="21"/>
          <w:highlight w:val="none"/>
          <w:lang w:eastAsia="zh-CN"/>
        </w:rPr>
        <w:t>和</w:t>
      </w:r>
      <w:r>
        <w:rPr>
          <w:rFonts w:hint="eastAsia" w:ascii="宋体" w:hAnsi="宋体" w:cs="宋体"/>
          <w:b/>
          <w:bCs/>
          <w:color w:val="auto"/>
          <w:kern w:val="0"/>
          <w:szCs w:val="21"/>
          <w:highlight w:val="none"/>
        </w:rPr>
        <w:t>提交</w:t>
      </w:r>
      <w:r>
        <w:rPr>
          <w:rFonts w:hint="eastAsia" w:ascii="宋体" w:hAnsi="宋体" w:cs="宋体"/>
          <w:b/>
          <w:bCs/>
          <w:color w:val="auto"/>
          <w:kern w:val="0"/>
          <w:szCs w:val="21"/>
          <w:highlight w:val="none"/>
          <w:lang w:eastAsia="zh-CN"/>
        </w:rPr>
        <w:t>，在</w:t>
      </w:r>
      <w:r>
        <w:rPr>
          <w:rFonts w:hint="eastAsia" w:ascii="宋体" w:hAnsi="宋体" w:cs="宋体"/>
          <w:b/>
          <w:bCs/>
          <w:color w:val="auto"/>
          <w:kern w:val="0"/>
          <w:szCs w:val="21"/>
          <w:highlight w:val="none"/>
        </w:rPr>
        <w:t>响应文件提交截止时间前可以补充、修改或者撤回响应文件。补充或者修改响应文件的，应当先行撤回原文件，补充、修改后重新上传</w:t>
      </w:r>
      <w:r>
        <w:rPr>
          <w:rFonts w:hint="eastAsia" w:ascii="宋体" w:hAnsi="宋体" w:cs="宋体"/>
          <w:b/>
          <w:bCs/>
          <w:color w:val="auto"/>
          <w:kern w:val="0"/>
          <w:szCs w:val="21"/>
          <w:highlight w:val="none"/>
          <w:lang w:eastAsia="zh-CN"/>
        </w:rPr>
        <w:t>和</w:t>
      </w:r>
      <w:r>
        <w:rPr>
          <w:rFonts w:hint="eastAsia" w:ascii="宋体" w:hAnsi="宋体" w:cs="宋体"/>
          <w:b/>
          <w:bCs/>
          <w:color w:val="auto"/>
          <w:kern w:val="0"/>
          <w:szCs w:val="21"/>
          <w:highlight w:val="none"/>
        </w:rPr>
        <w:t>提交。响应文件提交截止时间前未完成上传</w:t>
      </w:r>
      <w:r>
        <w:rPr>
          <w:rFonts w:hint="eastAsia" w:ascii="宋体" w:hAnsi="宋体" w:cs="宋体"/>
          <w:b/>
          <w:bCs/>
          <w:color w:val="auto"/>
          <w:kern w:val="0"/>
          <w:szCs w:val="21"/>
          <w:highlight w:val="none"/>
          <w:lang w:eastAsia="zh-CN"/>
        </w:rPr>
        <w:t>和</w:t>
      </w:r>
      <w:r>
        <w:rPr>
          <w:rFonts w:hint="eastAsia" w:ascii="宋体" w:hAnsi="宋体" w:cs="宋体"/>
          <w:b/>
          <w:bCs/>
          <w:color w:val="auto"/>
          <w:kern w:val="0"/>
          <w:szCs w:val="21"/>
          <w:highlight w:val="none"/>
        </w:rPr>
        <w:t>提交的，视为撤回响应文件。响应文件提交截止时间以后上传提交的响应文件，广西政府采购云平台将予以拒收。</w:t>
      </w:r>
    </w:p>
    <w:p w14:paraId="28F7359A">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（4）CA证书在线解密：首次响应文件开启时，需要供应商携带制作响应文件时用来加密的有效数字证书（CA认证）登录广西政府采购云平台电子开标大厅现场按规定时间对加密的响应文件进行解密。</w:t>
      </w:r>
    </w:p>
    <w:p w14:paraId="250FCD6E">
      <w:pPr>
        <w:spacing w:line="390" w:lineRule="exact"/>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（5）供应商需要在具备有摄像头及语音功能且互联网网络状况良好的电脑登录广西政府采购云平台远程开标大厅参与本次磋商，否则后果自负。</w:t>
      </w:r>
    </w:p>
    <w:p w14:paraId="516D4D0B">
      <w:pPr>
        <w:spacing w:line="39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 xml:space="preserve">7. 若对项目采购电子交易系统操作有疑问，可登录广西政府采购云平台（https://www.gcy.zfcg.gxzf.gov.cn/），点击右侧咨询小采，获取采小蜜智能服务管家帮助，或拨打广西政府采购云平台服务热线95763获取热线服务帮助。 </w:t>
      </w:r>
    </w:p>
    <w:p w14:paraId="477C248A">
      <w:pPr>
        <w:spacing w:line="390" w:lineRule="exact"/>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8.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p>
    <w:p w14:paraId="5A1A55BC">
      <w:pPr>
        <w:spacing w:line="390" w:lineRule="exact"/>
        <w:ind w:firstLine="482" w:firstLineChars="200"/>
        <w:rPr>
          <w:rFonts w:ascii="黑体" w:hAnsi="黑体" w:eastAsia="黑体" w:cs="宋体"/>
          <w:bCs/>
          <w:color w:val="auto"/>
          <w:sz w:val="24"/>
          <w:highlight w:val="none"/>
        </w:rPr>
      </w:pPr>
      <w:r>
        <w:rPr>
          <w:rFonts w:hint="eastAsia" w:ascii="黑体" w:hAnsi="黑体" w:eastAsia="黑体" w:cs="宋体"/>
          <w:b/>
          <w:color w:val="auto"/>
          <w:kern w:val="44"/>
          <w:sz w:val="24"/>
          <w:highlight w:val="none"/>
        </w:rPr>
        <w:t>八、凡对本次采购提出询问，请按</w:t>
      </w:r>
      <w:r>
        <w:rPr>
          <w:rFonts w:ascii="黑体" w:hAnsi="黑体" w:eastAsia="黑体" w:cs="宋体"/>
          <w:b/>
          <w:color w:val="auto"/>
          <w:kern w:val="44"/>
          <w:sz w:val="24"/>
          <w:highlight w:val="none"/>
        </w:rPr>
        <w:t>以下方式</w:t>
      </w:r>
      <w:r>
        <w:rPr>
          <w:rFonts w:hint="eastAsia" w:ascii="黑体" w:hAnsi="黑体" w:eastAsia="黑体" w:cs="宋体"/>
          <w:b/>
          <w:color w:val="auto"/>
          <w:kern w:val="44"/>
          <w:sz w:val="24"/>
          <w:highlight w:val="none"/>
        </w:rPr>
        <w:t>联系。</w:t>
      </w:r>
    </w:p>
    <w:p w14:paraId="34490A41">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1.采购人信息</w:t>
      </w:r>
    </w:p>
    <w:p w14:paraId="188CC676">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名称：广西壮族自治区人事考试院</w:t>
      </w:r>
    </w:p>
    <w:p w14:paraId="6A161F8D">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地址：广西南宁市青秀区桂春路9号</w:t>
      </w:r>
    </w:p>
    <w:p w14:paraId="2DC25907">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陆飞云</w:t>
      </w:r>
    </w:p>
    <w:p w14:paraId="6C392202">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项目联系方式：0771-5535935</w:t>
      </w:r>
    </w:p>
    <w:p w14:paraId="4B6D55D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2.采购代理机构信息</w:t>
      </w:r>
    </w:p>
    <w:p w14:paraId="615ED921">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名称：</w:t>
      </w:r>
      <w:bookmarkStart w:id="52" w:name="PO_3000001866_PM031_1"/>
      <w:r>
        <w:rPr>
          <w:rFonts w:hint="eastAsia" w:ascii="宋体" w:hAnsi="宋体" w:cs="宋体"/>
          <w:color w:val="auto"/>
          <w:kern w:val="0"/>
          <w:szCs w:val="21"/>
          <w:highlight w:val="none"/>
        </w:rPr>
        <w:t>广西科联招标中心有限公司</w:t>
      </w:r>
      <w:bookmarkEnd w:id="52"/>
    </w:p>
    <w:p w14:paraId="64501826">
      <w:pPr>
        <w:spacing w:line="360" w:lineRule="auto"/>
        <w:ind w:firstLine="630" w:firstLineChars="300"/>
        <w:rPr>
          <w:rFonts w:ascii="宋体" w:hAnsi="宋体" w:cs="宋体"/>
          <w:color w:val="auto"/>
          <w:kern w:val="0"/>
          <w:szCs w:val="21"/>
          <w:highlight w:val="none"/>
        </w:rPr>
      </w:pPr>
      <w:r>
        <w:rPr>
          <w:rFonts w:hint="eastAsia" w:ascii="宋体" w:hAnsi="宋体" w:cs="宋体"/>
          <w:color w:val="auto"/>
          <w:kern w:val="0"/>
          <w:szCs w:val="21"/>
          <w:highlight w:val="none"/>
        </w:rPr>
        <w:t>地址：</w:t>
      </w:r>
      <w:bookmarkStart w:id="53" w:name="PO_3000001866_PM035_1"/>
      <w:r>
        <w:rPr>
          <w:rFonts w:hint="eastAsia" w:ascii="宋体" w:hAnsi="宋体" w:cs="宋体"/>
          <w:color w:val="auto"/>
          <w:kern w:val="0"/>
          <w:szCs w:val="21"/>
          <w:highlight w:val="none"/>
        </w:rPr>
        <w:t>广西南宁市大学东路170号</w:t>
      </w:r>
      <w:bookmarkEnd w:id="53"/>
    </w:p>
    <w:p w14:paraId="629552F2">
      <w:pPr>
        <w:spacing w:line="360" w:lineRule="auto"/>
        <w:ind w:firstLine="630" w:firstLineChars="300"/>
        <w:rPr>
          <w:rFonts w:hint="eastAsia" w:ascii="宋体" w:hAnsi="宋体" w:eastAsia="宋体" w:cs="宋体"/>
          <w:color w:val="auto"/>
          <w:kern w:val="0"/>
          <w:szCs w:val="21"/>
          <w:highlight w:val="none"/>
          <w:lang w:eastAsia="zh-CN"/>
        </w:rPr>
      </w:pPr>
      <w:r>
        <w:rPr>
          <w:rFonts w:hint="eastAsia" w:ascii="宋体" w:hAnsi="宋体" w:cs="宋体"/>
          <w:color w:val="auto"/>
          <w:kern w:val="0"/>
          <w:szCs w:val="21"/>
          <w:highlight w:val="none"/>
        </w:rPr>
        <w:t>项目联系人：</w:t>
      </w:r>
      <w:r>
        <w:rPr>
          <w:rFonts w:hint="eastAsia" w:ascii="宋体" w:hAnsi="宋体" w:cs="宋体"/>
          <w:color w:val="auto"/>
          <w:kern w:val="0"/>
          <w:szCs w:val="21"/>
          <w:highlight w:val="none"/>
          <w:lang w:eastAsia="zh-CN"/>
        </w:rPr>
        <w:t>韦毅锋、凌巧</w:t>
      </w:r>
    </w:p>
    <w:p w14:paraId="7D8B9F94">
      <w:pPr>
        <w:spacing w:line="360" w:lineRule="auto"/>
        <w:ind w:firstLine="630" w:firstLineChars="300"/>
        <w:rPr>
          <w:color w:val="auto"/>
          <w:sz w:val="32"/>
          <w:szCs w:val="32"/>
          <w:highlight w:val="none"/>
        </w:rPr>
      </w:pPr>
      <w:r>
        <w:rPr>
          <w:rFonts w:hint="eastAsia" w:ascii="宋体" w:hAnsi="宋体" w:cs="宋体"/>
          <w:color w:val="auto"/>
          <w:kern w:val="0"/>
          <w:szCs w:val="21"/>
          <w:highlight w:val="none"/>
        </w:rPr>
        <w:t>项目联系方式：0771-2203982</w:t>
      </w:r>
    </w:p>
    <w:p w14:paraId="2D5F6C65">
      <w:pPr>
        <w:rPr>
          <w:rFonts w:ascii="Cambria" w:hAnsi="Cambria"/>
          <w:color w:val="auto"/>
          <w:sz w:val="32"/>
          <w:szCs w:val="32"/>
          <w:highlight w:val="none"/>
        </w:rPr>
      </w:pPr>
      <w:bookmarkStart w:id="54" w:name="_Toc22325"/>
      <w:bookmarkStart w:id="55" w:name="_Toc25520"/>
      <w:bookmarkStart w:id="56" w:name="_Toc7184"/>
      <w:bookmarkStart w:id="57" w:name="_Toc9127"/>
      <w:bookmarkStart w:id="58" w:name="_Toc26836"/>
      <w:bookmarkStart w:id="59" w:name="_Toc80886926"/>
      <w:bookmarkStart w:id="60" w:name="_Toc11093"/>
      <w:bookmarkStart w:id="61" w:name="_Toc22760"/>
      <w:r>
        <w:rPr>
          <w:rFonts w:hint="eastAsia" w:ascii="Cambria" w:hAnsi="Cambria"/>
          <w:color w:val="auto"/>
          <w:sz w:val="32"/>
          <w:szCs w:val="32"/>
          <w:highlight w:val="none"/>
        </w:rPr>
        <w:br w:type="page"/>
      </w:r>
    </w:p>
    <w:p w14:paraId="1D1A8964">
      <w:pPr>
        <w:pStyle w:val="2"/>
        <w:spacing w:before="100" w:after="90" w:line="240" w:lineRule="auto"/>
        <w:jc w:val="center"/>
        <w:rPr>
          <w:rFonts w:ascii="Cambria" w:hAnsi="Cambria"/>
          <w:bCs w:val="0"/>
          <w:color w:val="auto"/>
          <w:sz w:val="32"/>
          <w:szCs w:val="32"/>
          <w:highlight w:val="none"/>
        </w:rPr>
      </w:pPr>
      <w:bookmarkStart w:id="62" w:name="OLE_LINK6"/>
      <w:r>
        <w:rPr>
          <w:rFonts w:hint="eastAsia" w:ascii="Cambria" w:hAnsi="Cambria"/>
          <w:bCs w:val="0"/>
          <w:color w:val="auto"/>
          <w:sz w:val="32"/>
          <w:szCs w:val="32"/>
          <w:highlight w:val="none"/>
        </w:rPr>
        <w:t>第二章 采购需求</w:t>
      </w:r>
      <w:bookmarkEnd w:id="54"/>
      <w:bookmarkEnd w:id="55"/>
      <w:bookmarkEnd w:id="56"/>
      <w:bookmarkEnd w:id="57"/>
      <w:bookmarkEnd w:id="58"/>
      <w:bookmarkEnd w:id="59"/>
      <w:bookmarkEnd w:id="60"/>
    </w:p>
    <w:bookmarkEnd w:id="61"/>
    <w:bookmarkEnd w:id="62"/>
    <w:p w14:paraId="5891292B">
      <w:pPr>
        <w:spacing w:line="450" w:lineRule="exact"/>
        <w:jc w:val="left"/>
        <w:rPr>
          <w:rFonts w:cs="宋体"/>
          <w:b/>
          <w:bCs/>
          <w:color w:val="auto"/>
          <w:szCs w:val="21"/>
          <w:highlight w:val="none"/>
        </w:rPr>
      </w:pPr>
      <w:r>
        <w:rPr>
          <w:rFonts w:hint="eastAsia" w:cs="宋体"/>
          <w:b/>
          <w:bCs/>
          <w:color w:val="auto"/>
          <w:szCs w:val="21"/>
          <w:highlight w:val="none"/>
        </w:rPr>
        <w:t>说明：</w:t>
      </w:r>
    </w:p>
    <w:p w14:paraId="6A0AC3E0">
      <w:pPr>
        <w:spacing w:line="45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 为落实政府采购政策需满足的要求：</w:t>
      </w:r>
    </w:p>
    <w:p w14:paraId="783E3DC3">
      <w:pPr>
        <w:spacing w:line="450" w:lineRule="exact"/>
        <w:ind w:firstLine="420" w:firstLineChars="200"/>
        <w:jc w:val="left"/>
        <w:rPr>
          <w:rFonts w:hint="eastAsia" w:ascii="宋体" w:hAnsi="宋体" w:cs="宋体"/>
          <w:color w:val="auto"/>
          <w:highlight w:val="none"/>
        </w:rPr>
      </w:pPr>
      <w:r>
        <w:rPr>
          <w:rFonts w:hint="eastAsia" w:ascii="宋体" w:hAnsi="宋体" w:cs="宋体"/>
          <w:color w:val="auto"/>
          <w:highlight w:val="none"/>
        </w:rPr>
        <w:t>（1）本竞争性磋商文件所称中小企业必须符合《政府采购促进中小企业发展管理办法》（财库〔2020〕46号）的规定。</w:t>
      </w:r>
    </w:p>
    <w:p w14:paraId="350D0F17">
      <w:pPr>
        <w:spacing w:line="450" w:lineRule="exact"/>
        <w:ind w:firstLine="420" w:firstLineChars="200"/>
        <w:jc w:val="left"/>
        <w:rPr>
          <w:rFonts w:ascii="宋体" w:hAnsi="宋体" w:cs="宋体"/>
          <w:color w:val="auto"/>
          <w:szCs w:val="21"/>
          <w:highlight w:val="none"/>
        </w:rPr>
      </w:pPr>
      <w:r>
        <w:rPr>
          <w:rFonts w:hint="eastAsia" w:ascii="宋体" w:hAnsi="宋体" w:cs="宋体"/>
          <w:color w:val="auto"/>
          <w:highlight w:val="none"/>
        </w:rPr>
        <w:t>（2）服务项目中包含货物的，根据《财政部 发展改革委 生态环境部 市场监管总局关于调整优化节能产品、环境标志产品政府采购执行机制的通知》（财库〔2019〕9号）和《关于印发节能产品政府采购品目清单的通知》（财库〔2019〕19号）的规定，采购需求中的产品属于节能产品政府采购品目清单内标注“★”的（详见本章附件1），供应商必须在响应文件中提供所竞标产品有效期内的节能产品认证证书复印件（加盖供应商公章），</w:t>
      </w:r>
      <w:r>
        <w:rPr>
          <w:rFonts w:hint="eastAsia" w:ascii="宋体" w:hAnsi="宋体" w:cs="宋体"/>
          <w:b/>
          <w:bCs/>
          <w:color w:val="auto"/>
          <w:highlight w:val="none"/>
        </w:rPr>
        <w:t>否则响应文件按无效处理</w:t>
      </w:r>
      <w:r>
        <w:rPr>
          <w:rFonts w:hint="eastAsia" w:ascii="宋体" w:hAnsi="宋体" w:cs="宋体"/>
          <w:b w:val="0"/>
          <w:bCs w:val="0"/>
          <w:color w:val="auto"/>
          <w:highlight w:val="none"/>
        </w:rPr>
        <w:t>。</w:t>
      </w:r>
      <w:r>
        <w:rPr>
          <w:rFonts w:hint="eastAsia" w:ascii="宋体" w:hAnsi="宋体" w:cs="宋体"/>
          <w:color w:val="auto"/>
          <w:highlight w:val="none"/>
        </w:rPr>
        <w:t>如本项目包含的配套货物属于品目清单内非标注“★”的产品时，应优先采购，具体详见“第四章 评审程序、评审方法和评审标准”。</w:t>
      </w:r>
    </w:p>
    <w:p w14:paraId="58EEC0BD">
      <w:pPr>
        <w:pStyle w:val="13"/>
        <w:spacing w:line="45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2.采购需求中带“▲”的条款为实质性条款，不满足作无效响应处理。</w:t>
      </w:r>
    </w:p>
    <w:p w14:paraId="1079C062">
      <w:pPr>
        <w:pStyle w:val="13"/>
        <w:spacing w:line="45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3.本服务项目中伴随货物的，采购需求中出现的品牌、型号或者制造商仅起参考作用，不属于指定品牌、型号或者制造商的情形。供应商可参照或者选用其他相当的品牌、型号或者制造商替代，但选用的竞标产品技术参数及配置必须满足采购要求。</w:t>
      </w:r>
    </w:p>
    <w:p w14:paraId="17C7C9D4">
      <w:pPr>
        <w:pStyle w:val="13"/>
        <w:spacing w:line="450" w:lineRule="exact"/>
        <w:ind w:firstLine="420" w:firstLineChars="200"/>
        <w:rPr>
          <w:rFonts w:hint="eastAsia" w:ascii="宋体" w:hAnsi="宋体" w:cs="宋体"/>
          <w:b w:val="0"/>
          <w:bCs w:val="0"/>
          <w:color w:val="auto"/>
          <w:szCs w:val="21"/>
          <w:highlight w:val="none"/>
        </w:rPr>
      </w:pPr>
      <w:r>
        <w:rPr>
          <w:rFonts w:hint="eastAsia" w:ascii="宋体" w:hAnsi="宋体" w:cs="宋体"/>
          <w:b w:val="0"/>
          <w:bCs w:val="0"/>
          <w:color w:val="auto"/>
          <w:szCs w:val="21"/>
          <w:highlight w:val="none"/>
        </w:rPr>
        <w:t>4.供应商必须对响应文件中提供的证明材料和资质文件真实性负责，如出现虚假应标情况，供应商除了应接受有关部门的处罚外，还应依据《中华人民共和国民法典》的相关条款来进行赔偿。</w:t>
      </w:r>
    </w:p>
    <w:p w14:paraId="0A4FEBB5">
      <w:pPr>
        <w:pStyle w:val="13"/>
        <w:spacing w:line="450" w:lineRule="exact"/>
        <w:ind w:firstLine="420" w:firstLineChars="200"/>
        <w:rPr>
          <w:b w:val="0"/>
          <w:bCs w:val="0"/>
          <w:color w:val="auto"/>
          <w:highlight w:val="none"/>
        </w:rPr>
      </w:pPr>
      <w:r>
        <w:rPr>
          <w:rFonts w:hint="eastAsia" w:ascii="宋体" w:hAnsi="宋体" w:cs="宋体"/>
          <w:b w:val="0"/>
          <w:bCs w:val="0"/>
          <w:color w:val="auto"/>
          <w:szCs w:val="21"/>
          <w:highlight w:val="none"/>
        </w:rPr>
        <w:t>5.供应商应对竞标内容所涉及的专利承担法律责任，并负责保护采购人的利益不受任何损害。一切由于文字、商标、技术和软件专利授权引起的法律裁决、诉讼和赔偿费用均由成交供应商负责。</w:t>
      </w:r>
    </w:p>
    <w:p w14:paraId="58F82B8B">
      <w:pPr>
        <w:pStyle w:val="13"/>
        <w:spacing w:line="450" w:lineRule="exact"/>
        <w:ind w:firstLine="420" w:firstLineChars="200"/>
        <w:rPr>
          <w:rFonts w:ascii="宋体" w:hAnsi="宋体" w:cs="宋体"/>
          <w:i/>
          <w:iCs/>
          <w:color w:val="auto"/>
          <w:highlight w:val="none"/>
          <w:u w:val="single"/>
        </w:rPr>
      </w:pPr>
      <w:r>
        <w:rPr>
          <w:rFonts w:hint="eastAsia" w:ascii="宋体" w:hAnsi="宋体" w:cs="宋体"/>
          <w:color w:val="auto"/>
          <w:highlight w:val="none"/>
          <w:lang w:val="en-US" w:eastAsia="zh-CN"/>
        </w:rPr>
        <w:t>6.</w:t>
      </w:r>
      <w:r>
        <w:rPr>
          <w:rFonts w:hint="eastAsia" w:ascii="宋体" w:hAnsi="宋体" w:cs="宋体"/>
          <w:color w:val="auto"/>
          <w:highlight w:val="none"/>
        </w:rPr>
        <w:t>采购内容所属行业：</w:t>
      </w:r>
      <w:r>
        <w:rPr>
          <w:rFonts w:hint="eastAsia" w:ascii="宋体" w:hAnsi="宋体" w:cs="宋体"/>
          <w:b/>
          <w:bCs/>
          <w:color w:val="auto"/>
          <w:szCs w:val="21"/>
          <w:highlight w:val="none"/>
          <w:u w:val="single"/>
        </w:rPr>
        <w:t>租赁和商务服务业。</w:t>
      </w:r>
    </w:p>
    <w:p w14:paraId="0AC3855D">
      <w:pPr>
        <w:pStyle w:val="13"/>
        <w:spacing w:line="450" w:lineRule="exact"/>
        <w:ind w:firstLine="420" w:firstLineChars="200"/>
        <w:rPr>
          <w:rFonts w:ascii="宋体" w:hAnsi="宋体" w:cs="宋体"/>
          <w:i/>
          <w:iCs/>
          <w:color w:val="auto"/>
          <w:highlight w:val="none"/>
          <w:u w:val="single"/>
        </w:rPr>
      </w:pPr>
    </w:p>
    <w:tbl>
      <w:tblPr>
        <w:tblStyle w:val="31"/>
        <w:tblW w:w="96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3"/>
        <w:gridCol w:w="596"/>
        <w:gridCol w:w="1096"/>
        <w:gridCol w:w="932"/>
        <w:gridCol w:w="6603"/>
      </w:tblGrid>
      <w:tr w14:paraId="6A3AED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9650" w:type="dxa"/>
            <w:gridSpan w:val="5"/>
            <w:tcBorders>
              <w:top w:val="single" w:color="auto" w:sz="4" w:space="0"/>
              <w:left w:val="single" w:color="auto" w:sz="4" w:space="0"/>
              <w:bottom w:val="single" w:color="auto" w:sz="4" w:space="0"/>
              <w:right w:val="single" w:color="auto" w:sz="4" w:space="0"/>
            </w:tcBorders>
            <w:vAlign w:val="center"/>
          </w:tcPr>
          <w:p w14:paraId="571C0A6B">
            <w:pPr>
              <w:spacing w:line="380" w:lineRule="exact"/>
              <w:jc w:val="left"/>
              <w:rPr>
                <w:rFonts w:ascii="宋体" w:hAnsi="宋体" w:cs="宋体"/>
                <w:color w:val="auto"/>
                <w:szCs w:val="21"/>
                <w:highlight w:val="none"/>
                <w:u w:val="none"/>
              </w:rPr>
            </w:pPr>
            <w:r>
              <w:rPr>
                <w:rFonts w:hint="eastAsia" w:ascii="宋体" w:hAnsi="宋体" w:cs="宋体"/>
                <w:b/>
                <w:bCs/>
                <w:color w:val="auto"/>
                <w:szCs w:val="21"/>
                <w:highlight w:val="none"/>
                <w:u w:val="none"/>
              </w:rPr>
              <w:t>分标：/</w:t>
            </w:r>
          </w:p>
        </w:tc>
      </w:tr>
      <w:tr w14:paraId="1FEF8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Merge w:val="restart"/>
            <w:tcBorders>
              <w:top w:val="single" w:color="auto" w:sz="4" w:space="0"/>
            </w:tcBorders>
            <w:vAlign w:val="center"/>
          </w:tcPr>
          <w:p w14:paraId="1E43DCC6">
            <w:pPr>
              <w:spacing w:line="380" w:lineRule="exact"/>
              <w:jc w:val="center"/>
              <w:rPr>
                <w:rFonts w:ascii="宋体" w:hAnsi="宋体" w:cs="宋体"/>
                <w:b/>
                <w:bCs/>
                <w:color w:val="auto"/>
                <w:szCs w:val="21"/>
                <w:highlight w:val="none"/>
                <w:u w:val="none"/>
              </w:rPr>
            </w:pPr>
            <w:r>
              <w:rPr>
                <w:rFonts w:hint="eastAsia" w:ascii="宋体" w:hAnsi="宋体" w:cs="宋体"/>
                <w:b/>
                <w:bCs/>
                <w:color w:val="auto"/>
                <w:szCs w:val="21"/>
                <w:highlight w:val="none"/>
                <w:u w:val="none"/>
              </w:rPr>
              <w:t>需求一览表</w:t>
            </w:r>
          </w:p>
        </w:tc>
        <w:tc>
          <w:tcPr>
            <w:tcW w:w="596" w:type="dxa"/>
            <w:tcBorders>
              <w:top w:val="single" w:color="auto" w:sz="4" w:space="0"/>
            </w:tcBorders>
            <w:vAlign w:val="center"/>
          </w:tcPr>
          <w:p w14:paraId="5D6025C6">
            <w:pPr>
              <w:spacing w:line="38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序号</w:t>
            </w:r>
          </w:p>
        </w:tc>
        <w:tc>
          <w:tcPr>
            <w:tcW w:w="1096" w:type="dxa"/>
            <w:tcBorders>
              <w:top w:val="single" w:color="auto" w:sz="4" w:space="0"/>
            </w:tcBorders>
            <w:vAlign w:val="center"/>
          </w:tcPr>
          <w:p w14:paraId="02FA815D">
            <w:pPr>
              <w:spacing w:line="38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标的名称</w:t>
            </w:r>
          </w:p>
        </w:tc>
        <w:tc>
          <w:tcPr>
            <w:tcW w:w="932" w:type="dxa"/>
            <w:tcBorders>
              <w:top w:val="single" w:color="auto" w:sz="4" w:space="0"/>
            </w:tcBorders>
            <w:vAlign w:val="center"/>
          </w:tcPr>
          <w:p w14:paraId="2328B4C4">
            <w:pPr>
              <w:spacing w:line="38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数量及单位</w:t>
            </w:r>
          </w:p>
        </w:tc>
        <w:tc>
          <w:tcPr>
            <w:tcW w:w="6603" w:type="dxa"/>
            <w:tcBorders>
              <w:top w:val="single" w:color="auto" w:sz="4" w:space="0"/>
            </w:tcBorders>
            <w:vAlign w:val="center"/>
          </w:tcPr>
          <w:p w14:paraId="4DE65C7C">
            <w:pPr>
              <w:spacing w:line="38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技术要求</w:t>
            </w:r>
          </w:p>
        </w:tc>
      </w:tr>
      <w:tr w14:paraId="1CCF0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23" w:type="dxa"/>
            <w:vMerge w:val="continue"/>
            <w:vAlign w:val="center"/>
          </w:tcPr>
          <w:p w14:paraId="1E37A708">
            <w:pPr>
              <w:spacing w:line="380" w:lineRule="exact"/>
              <w:jc w:val="center"/>
              <w:rPr>
                <w:rFonts w:ascii="宋体" w:hAnsi="宋体" w:cs="宋体"/>
                <w:color w:val="auto"/>
                <w:szCs w:val="21"/>
                <w:highlight w:val="none"/>
                <w:u w:val="none"/>
              </w:rPr>
            </w:pPr>
          </w:p>
        </w:tc>
        <w:tc>
          <w:tcPr>
            <w:tcW w:w="596" w:type="dxa"/>
            <w:vAlign w:val="center"/>
          </w:tcPr>
          <w:p w14:paraId="487F6C8E">
            <w:pPr>
              <w:spacing w:line="380" w:lineRule="exact"/>
              <w:jc w:val="center"/>
              <w:rPr>
                <w:rFonts w:ascii="宋体" w:hAnsi="宋体" w:cs="宋体"/>
                <w:color w:val="auto"/>
                <w:szCs w:val="21"/>
                <w:highlight w:val="none"/>
                <w:u w:val="none"/>
              </w:rPr>
            </w:pPr>
            <w:r>
              <w:rPr>
                <w:rFonts w:hint="eastAsia" w:ascii="宋体" w:hAnsi="宋体" w:cs="宋体"/>
                <w:color w:val="auto"/>
                <w:szCs w:val="21"/>
                <w:highlight w:val="none"/>
                <w:u w:val="none"/>
              </w:rPr>
              <w:t>1</w:t>
            </w:r>
          </w:p>
        </w:tc>
        <w:tc>
          <w:tcPr>
            <w:tcW w:w="1096" w:type="dxa"/>
            <w:vAlign w:val="center"/>
          </w:tcPr>
          <w:p w14:paraId="682FC34B">
            <w:pPr>
              <w:snapToGrid w:val="0"/>
              <w:jc w:val="center"/>
              <w:outlineLvl w:val="0"/>
              <w:rPr>
                <w:rFonts w:hint="eastAsia" w:ascii="宋体" w:hAnsi="宋体" w:eastAsia="宋体" w:cs="宋体"/>
                <w:color w:val="auto"/>
                <w:szCs w:val="21"/>
                <w:highlight w:val="none"/>
                <w:u w:val="none"/>
                <w:lang w:eastAsia="zh-CN"/>
              </w:rPr>
            </w:pPr>
            <w:r>
              <w:rPr>
                <w:rFonts w:hint="eastAsia" w:ascii="宋体" w:hAnsi="宋体" w:cs="宋体"/>
                <w:color w:val="auto"/>
                <w:szCs w:val="21"/>
                <w:highlight w:val="none"/>
                <w:u w:val="none"/>
                <w:lang w:eastAsia="zh-CN"/>
              </w:rPr>
              <w:t>2026年度广西职业资格电子化考试技术服务</w:t>
            </w:r>
          </w:p>
        </w:tc>
        <w:tc>
          <w:tcPr>
            <w:tcW w:w="932" w:type="dxa"/>
            <w:vAlign w:val="center"/>
          </w:tcPr>
          <w:p w14:paraId="6F51C614">
            <w:pPr>
              <w:snapToGrid w:val="0"/>
              <w:jc w:val="center"/>
              <w:outlineLvl w:val="0"/>
              <w:rPr>
                <w:rFonts w:ascii="宋体" w:hAnsi="宋体" w:cs="宋体"/>
                <w:color w:val="auto"/>
                <w:szCs w:val="21"/>
                <w:highlight w:val="none"/>
                <w:u w:val="none"/>
              </w:rPr>
            </w:pPr>
            <w:r>
              <w:rPr>
                <w:rFonts w:hint="eastAsia" w:ascii="宋体" w:hAnsi="宋体" w:cs="宋体"/>
                <w:color w:val="auto"/>
                <w:szCs w:val="21"/>
                <w:highlight w:val="none"/>
                <w:u w:val="none"/>
              </w:rPr>
              <w:t>1项</w:t>
            </w:r>
          </w:p>
        </w:tc>
        <w:tc>
          <w:tcPr>
            <w:tcW w:w="6603" w:type="dxa"/>
            <w:vAlign w:val="center"/>
          </w:tcPr>
          <w:p w14:paraId="0E1F639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一、采购内容</w:t>
            </w:r>
          </w:p>
          <w:p w14:paraId="0BCD46F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一</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年广西经济专业技术资格考试预计</w:t>
            </w:r>
            <w:r>
              <w:rPr>
                <w:rFonts w:hint="eastAsia" w:ascii="宋体" w:hAnsi="宋体" w:eastAsia="宋体" w:cs="宋体"/>
                <w:color w:val="auto"/>
                <w:sz w:val="21"/>
                <w:szCs w:val="21"/>
                <w:highlight w:val="none"/>
                <w:u w:val="none"/>
                <w:lang w:val="en-US" w:eastAsia="zh-CN"/>
              </w:rPr>
              <w:t>52</w:t>
            </w:r>
            <w:r>
              <w:rPr>
                <w:rFonts w:hint="eastAsia" w:ascii="宋体" w:hAnsi="宋体" w:eastAsia="宋体" w:cs="宋体"/>
                <w:color w:val="auto"/>
                <w:sz w:val="21"/>
                <w:szCs w:val="21"/>
                <w:highlight w:val="none"/>
                <w:u w:val="none"/>
              </w:rPr>
              <w:t>000人，</w:t>
            </w:r>
            <w:r>
              <w:rPr>
                <w:rFonts w:hint="eastAsia" w:ascii="宋体" w:hAnsi="宋体" w:eastAsia="宋体" w:cs="宋体"/>
                <w:b/>
                <w:bCs/>
                <w:color w:val="auto"/>
                <w:sz w:val="21"/>
                <w:szCs w:val="21"/>
                <w:highlight w:val="none"/>
                <w:u w:val="none"/>
              </w:rPr>
              <w:t>约</w:t>
            </w:r>
            <w:r>
              <w:rPr>
                <w:rFonts w:hint="eastAsia" w:ascii="宋体" w:hAnsi="宋体" w:eastAsia="宋体" w:cs="宋体"/>
                <w:b/>
                <w:bCs/>
                <w:color w:val="auto"/>
                <w:sz w:val="21"/>
                <w:szCs w:val="21"/>
                <w:highlight w:val="none"/>
                <w:u w:val="none"/>
                <w:lang w:val="en-US" w:eastAsia="zh-CN"/>
              </w:rPr>
              <w:t>96000</w:t>
            </w:r>
            <w:r>
              <w:rPr>
                <w:rFonts w:hint="eastAsia" w:ascii="宋体" w:hAnsi="宋体" w:eastAsia="宋体" w:cs="宋体"/>
                <w:b/>
                <w:bCs/>
                <w:color w:val="auto"/>
                <w:sz w:val="21"/>
                <w:szCs w:val="21"/>
                <w:highlight w:val="none"/>
                <w:u w:val="none"/>
              </w:rPr>
              <w:t>科次</w:t>
            </w:r>
            <w:r>
              <w:rPr>
                <w:rFonts w:hint="eastAsia" w:ascii="宋体" w:hAnsi="宋体" w:eastAsia="宋体" w:cs="宋体"/>
                <w:color w:val="auto"/>
                <w:sz w:val="21"/>
                <w:szCs w:val="21"/>
                <w:highlight w:val="none"/>
                <w:u w:val="none"/>
              </w:rPr>
              <w:t>，其中高级经济专业技术资格考试安排在</w:t>
            </w:r>
            <w:r>
              <w:rPr>
                <w:rFonts w:hint="eastAsia" w:ascii="宋体" w:hAnsi="宋体" w:eastAsia="宋体" w:cs="宋体"/>
                <w:color w:val="auto"/>
                <w:sz w:val="21"/>
                <w:szCs w:val="21"/>
                <w:highlight w:val="none"/>
                <w:u w:val="none"/>
                <w:lang w:val="en-US" w:eastAsia="zh-CN"/>
              </w:rPr>
              <w:t>5</w:t>
            </w:r>
            <w:r>
              <w:rPr>
                <w:rFonts w:hint="eastAsia" w:ascii="宋体" w:hAnsi="宋体" w:eastAsia="宋体" w:cs="宋体"/>
                <w:color w:val="auto"/>
                <w:sz w:val="21"/>
                <w:szCs w:val="21"/>
                <w:highlight w:val="none"/>
                <w:u w:val="none"/>
              </w:rPr>
              <w:t>月</w:t>
            </w:r>
            <w:r>
              <w:rPr>
                <w:rFonts w:hint="eastAsia" w:ascii="宋体" w:hAnsi="宋体" w:eastAsia="宋体" w:cs="宋体"/>
                <w:color w:val="auto"/>
                <w:sz w:val="21"/>
                <w:szCs w:val="21"/>
                <w:highlight w:val="none"/>
                <w:u w:val="none"/>
                <w:lang w:val="en-US" w:eastAsia="zh-CN"/>
              </w:rPr>
              <w:t>30</w:t>
            </w:r>
            <w:r>
              <w:rPr>
                <w:rFonts w:hint="eastAsia" w:ascii="宋体" w:hAnsi="宋体" w:eastAsia="宋体" w:cs="宋体"/>
                <w:color w:val="auto"/>
                <w:sz w:val="21"/>
                <w:szCs w:val="21"/>
                <w:highlight w:val="none"/>
                <w:u w:val="none"/>
              </w:rPr>
              <w:t>日举行，预计</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000人，每人考试科目1科，总计约</w:t>
            </w: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000科次；</w:t>
            </w:r>
            <w:r>
              <w:rPr>
                <w:rFonts w:hint="eastAsia" w:ascii="宋体" w:hAnsi="宋体" w:eastAsia="宋体" w:cs="宋体"/>
                <w:color w:val="auto"/>
                <w:sz w:val="21"/>
                <w:szCs w:val="21"/>
                <w:highlight w:val="none"/>
                <w:u w:val="none"/>
                <w:lang w:val="en-US" w:eastAsia="zh-CN"/>
              </w:rPr>
              <w:t>初、中</w:t>
            </w:r>
            <w:r>
              <w:rPr>
                <w:rFonts w:hint="eastAsia" w:ascii="宋体" w:hAnsi="宋体" w:eastAsia="宋体" w:cs="宋体"/>
                <w:color w:val="auto"/>
                <w:sz w:val="21"/>
                <w:szCs w:val="21"/>
                <w:highlight w:val="none"/>
                <w:u w:val="none"/>
              </w:rPr>
              <w:t>级经济专业技术资格考试安排在11月</w:t>
            </w:r>
            <w:r>
              <w:rPr>
                <w:rFonts w:hint="eastAsia" w:ascii="宋体" w:hAnsi="宋体" w:eastAsia="宋体" w:cs="宋体"/>
                <w:color w:val="auto"/>
                <w:sz w:val="21"/>
                <w:szCs w:val="21"/>
                <w:highlight w:val="none"/>
                <w:u w:val="none"/>
                <w:lang w:val="en-US" w:eastAsia="zh-CN"/>
              </w:rPr>
              <w:t>7</w:t>
            </w:r>
            <w:r>
              <w:rPr>
                <w:rFonts w:hint="eastAsia" w:ascii="宋体" w:hAnsi="宋体" w:eastAsia="宋体" w:cs="宋体"/>
                <w:color w:val="auto"/>
                <w:sz w:val="21"/>
                <w:szCs w:val="21"/>
                <w:highlight w:val="none"/>
                <w:u w:val="none"/>
              </w:rPr>
              <w:t>日、</w:t>
            </w:r>
            <w:r>
              <w:rPr>
                <w:rFonts w:hint="eastAsia" w:ascii="宋体" w:hAnsi="宋体" w:eastAsia="宋体" w:cs="宋体"/>
                <w:color w:val="auto"/>
                <w:sz w:val="21"/>
                <w:szCs w:val="21"/>
                <w:highlight w:val="none"/>
                <w:u w:val="none"/>
                <w:lang w:val="en-US" w:eastAsia="zh-CN"/>
              </w:rPr>
              <w:t>8</w:t>
            </w:r>
            <w:r>
              <w:rPr>
                <w:rFonts w:hint="eastAsia" w:ascii="宋体" w:hAnsi="宋体" w:eastAsia="宋体" w:cs="宋体"/>
                <w:color w:val="auto"/>
                <w:sz w:val="21"/>
                <w:szCs w:val="21"/>
                <w:highlight w:val="none"/>
                <w:u w:val="none"/>
              </w:rPr>
              <w:t>日举行，预计50000人，每人考试1</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rPr>
              <w:t>2科，总计约9</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000科次。</w:t>
            </w:r>
            <w:r>
              <w:rPr>
                <w:rFonts w:hint="eastAsia" w:ascii="宋体" w:hAnsi="宋体" w:eastAsia="宋体" w:cs="宋体"/>
                <w:color w:val="auto"/>
                <w:sz w:val="21"/>
                <w:szCs w:val="21"/>
                <w:highlight w:val="none"/>
                <w:u w:val="none"/>
                <w:lang w:val="en-US" w:eastAsia="zh-CN"/>
              </w:rPr>
              <w:t>初、中</w:t>
            </w:r>
            <w:r>
              <w:rPr>
                <w:rFonts w:hint="eastAsia" w:ascii="宋体" w:hAnsi="宋体" w:eastAsia="宋体" w:cs="宋体"/>
                <w:color w:val="auto"/>
                <w:sz w:val="21"/>
                <w:szCs w:val="21"/>
                <w:highlight w:val="none"/>
                <w:u w:val="none"/>
              </w:rPr>
              <w:t>级经济专业技术资格考试分批次进行，半天1个批次，2天共4个批次。</w:t>
            </w:r>
            <w:r>
              <w:rPr>
                <w:rFonts w:hint="eastAsia" w:ascii="宋体" w:hAnsi="宋体" w:eastAsia="宋体" w:cs="宋体"/>
                <w:color w:val="auto"/>
                <w:sz w:val="21"/>
                <w:szCs w:val="21"/>
                <w:highlight w:val="none"/>
                <w:u w:val="none"/>
                <w:lang w:val="en-US" w:eastAsia="zh-CN"/>
              </w:rPr>
              <w:t>高级经济</w:t>
            </w:r>
            <w:r>
              <w:rPr>
                <w:rFonts w:hint="eastAsia" w:ascii="宋体" w:hAnsi="宋体" w:eastAsia="宋体" w:cs="宋体"/>
                <w:color w:val="auto"/>
                <w:sz w:val="21"/>
                <w:szCs w:val="21"/>
                <w:highlight w:val="none"/>
                <w:u w:val="none"/>
              </w:rPr>
              <w:t>专业技术资格考试</w:t>
            </w:r>
            <w:r>
              <w:rPr>
                <w:rFonts w:hint="eastAsia" w:ascii="宋体" w:hAnsi="宋体" w:eastAsia="宋体" w:cs="宋体"/>
                <w:color w:val="auto"/>
                <w:sz w:val="21"/>
                <w:szCs w:val="21"/>
                <w:highlight w:val="none"/>
                <w:u w:val="none"/>
                <w:lang w:val="en-US" w:eastAsia="zh-CN"/>
              </w:rPr>
              <w:t>在南宁举行，</w:t>
            </w:r>
            <w:r>
              <w:rPr>
                <w:rFonts w:hint="eastAsia" w:ascii="宋体" w:hAnsi="宋体" w:eastAsia="宋体" w:cs="宋体"/>
                <w:color w:val="auto"/>
                <w:sz w:val="21"/>
                <w:szCs w:val="21"/>
                <w:highlight w:val="none"/>
                <w:u w:val="none"/>
              </w:rPr>
              <w:t>初、中级经济专业技术资格考试</w:t>
            </w:r>
            <w:r>
              <w:rPr>
                <w:rFonts w:hint="eastAsia" w:ascii="宋体" w:hAnsi="宋体" w:eastAsia="宋体" w:cs="宋体"/>
                <w:color w:val="auto"/>
                <w:sz w:val="21"/>
                <w:szCs w:val="21"/>
                <w:highlight w:val="none"/>
                <w:u w:val="none"/>
                <w:lang w:val="en-US" w:eastAsia="zh-CN"/>
              </w:rPr>
              <w:t>在全区</w:t>
            </w:r>
            <w:r>
              <w:rPr>
                <w:rFonts w:hint="eastAsia" w:ascii="宋体" w:hAnsi="宋体" w:eastAsia="宋体" w:cs="宋体"/>
                <w:color w:val="auto"/>
                <w:sz w:val="21"/>
                <w:szCs w:val="21"/>
                <w:highlight w:val="none"/>
                <w:u w:val="none"/>
                <w:lang w:eastAsia="zh-CN"/>
              </w:rPr>
              <w:t>14个</w:t>
            </w:r>
            <w:r>
              <w:rPr>
                <w:rFonts w:hint="eastAsia" w:ascii="宋体" w:hAnsi="宋体" w:eastAsia="宋体" w:cs="宋体"/>
                <w:color w:val="auto"/>
                <w:sz w:val="21"/>
                <w:szCs w:val="21"/>
                <w:highlight w:val="none"/>
                <w:u w:val="none"/>
                <w:lang w:val="en-US" w:eastAsia="zh-CN"/>
              </w:rPr>
              <w:t>市设置</w:t>
            </w:r>
            <w:r>
              <w:rPr>
                <w:rFonts w:hint="eastAsia" w:ascii="宋体" w:hAnsi="宋体" w:eastAsia="宋体" w:cs="宋体"/>
                <w:color w:val="auto"/>
                <w:sz w:val="21"/>
                <w:szCs w:val="21"/>
                <w:highlight w:val="none"/>
                <w:u w:val="none"/>
                <w:lang w:eastAsia="zh-CN"/>
              </w:rPr>
              <w:t>考区，各考区考场分别设置在各设区市人民政府所在地。</w:t>
            </w:r>
          </w:p>
          <w:p w14:paraId="1E1EBA4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二</w:t>
            </w:r>
            <w:r>
              <w:rPr>
                <w:rFonts w:hint="eastAsia" w:ascii="宋体" w:hAnsi="宋体" w:eastAsia="宋体" w:cs="宋体"/>
                <w:color w:val="auto"/>
                <w:sz w:val="21"/>
                <w:szCs w:val="21"/>
                <w:highlight w:val="none"/>
                <w:u w:val="none"/>
                <w:lang w:eastAsia="zh-CN"/>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年广西执业药师职业资格考试定于202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lang w:eastAsia="zh-CN"/>
              </w:rPr>
              <w:t>年</w:t>
            </w:r>
            <w:r>
              <w:rPr>
                <w:rFonts w:hint="eastAsia" w:ascii="宋体" w:hAnsi="宋体" w:eastAsia="宋体" w:cs="宋体"/>
                <w:color w:val="auto"/>
                <w:sz w:val="21"/>
                <w:szCs w:val="21"/>
                <w:highlight w:val="none"/>
                <w:u w:val="none"/>
                <w:lang w:val="en-US" w:eastAsia="zh-CN"/>
              </w:rPr>
              <w:t>10</w:t>
            </w:r>
            <w:r>
              <w:rPr>
                <w:rFonts w:hint="eastAsia" w:ascii="宋体" w:hAnsi="宋体" w:eastAsia="宋体" w:cs="宋体"/>
                <w:color w:val="auto"/>
                <w:sz w:val="21"/>
                <w:szCs w:val="21"/>
                <w:highlight w:val="none"/>
                <w:u w:val="none"/>
                <w:lang w:eastAsia="zh-CN"/>
              </w:rPr>
              <w:t>月</w:t>
            </w:r>
            <w:r>
              <w:rPr>
                <w:rFonts w:hint="eastAsia" w:ascii="宋体" w:hAnsi="宋体" w:eastAsia="宋体" w:cs="宋体"/>
                <w:color w:val="auto"/>
                <w:sz w:val="21"/>
                <w:szCs w:val="21"/>
                <w:highlight w:val="none"/>
                <w:u w:val="none"/>
                <w:lang w:val="en-US" w:eastAsia="zh-CN"/>
              </w:rPr>
              <w:t>31</w:t>
            </w:r>
            <w:r>
              <w:rPr>
                <w:rFonts w:hint="eastAsia" w:ascii="宋体" w:hAnsi="宋体" w:eastAsia="宋体" w:cs="宋体"/>
                <w:color w:val="auto"/>
                <w:sz w:val="21"/>
                <w:szCs w:val="21"/>
                <w:highlight w:val="none"/>
                <w:u w:val="none"/>
                <w:lang w:eastAsia="zh-CN"/>
              </w:rPr>
              <w:t>日、</w:t>
            </w:r>
            <w:r>
              <w:rPr>
                <w:rFonts w:hint="eastAsia" w:ascii="宋体" w:hAnsi="宋体" w:eastAsia="宋体" w:cs="宋体"/>
                <w:color w:val="auto"/>
                <w:sz w:val="21"/>
                <w:szCs w:val="21"/>
                <w:highlight w:val="none"/>
                <w:u w:val="none"/>
                <w:lang w:val="en-US" w:eastAsia="zh-CN"/>
              </w:rPr>
              <w:t>11月</w:t>
            </w:r>
            <w:r>
              <w:rPr>
                <w:rFonts w:hint="eastAsia" w:ascii="宋体" w:hAnsi="宋体" w:eastAsia="宋体" w:cs="宋体"/>
                <w:color w:val="auto"/>
                <w:sz w:val="21"/>
                <w:szCs w:val="21"/>
                <w:highlight w:val="none"/>
                <w:u w:val="none"/>
                <w:lang w:eastAsia="zh-CN"/>
              </w:rPr>
              <w:t>1日进行，预计2</w:t>
            </w:r>
            <w:r>
              <w:rPr>
                <w:rFonts w:hint="eastAsia" w:ascii="宋体" w:hAnsi="宋体" w:eastAsia="宋体" w:cs="宋体"/>
                <w:color w:val="auto"/>
                <w:sz w:val="21"/>
                <w:szCs w:val="21"/>
                <w:highlight w:val="none"/>
                <w:u w:val="none"/>
                <w:lang w:val="en-US" w:eastAsia="zh-CN"/>
              </w:rPr>
              <w:t>40</w:t>
            </w:r>
            <w:r>
              <w:rPr>
                <w:rFonts w:hint="eastAsia" w:ascii="宋体" w:hAnsi="宋体" w:eastAsia="宋体" w:cs="宋体"/>
                <w:color w:val="auto"/>
                <w:sz w:val="21"/>
                <w:szCs w:val="21"/>
                <w:highlight w:val="none"/>
                <w:u w:val="none"/>
                <w:lang w:eastAsia="zh-CN"/>
              </w:rPr>
              <w:t>00人，报考总科次约</w:t>
            </w:r>
            <w:r>
              <w:rPr>
                <w:rFonts w:hint="eastAsia" w:ascii="宋体" w:hAnsi="宋体" w:eastAsia="宋体" w:cs="宋体"/>
                <w:b/>
                <w:bCs/>
                <w:color w:val="auto"/>
                <w:sz w:val="21"/>
                <w:szCs w:val="21"/>
                <w:highlight w:val="none"/>
                <w:u w:val="none"/>
                <w:lang w:eastAsia="zh-CN"/>
              </w:rPr>
              <w:t>7</w:t>
            </w:r>
            <w:r>
              <w:rPr>
                <w:rFonts w:hint="eastAsia" w:ascii="宋体" w:hAnsi="宋体" w:eastAsia="宋体" w:cs="宋体"/>
                <w:b/>
                <w:bCs/>
                <w:color w:val="auto"/>
                <w:sz w:val="21"/>
                <w:szCs w:val="21"/>
                <w:highlight w:val="none"/>
                <w:u w:val="none"/>
                <w:lang w:val="en-US" w:eastAsia="zh-CN"/>
              </w:rPr>
              <w:t>3</w:t>
            </w:r>
            <w:r>
              <w:rPr>
                <w:rFonts w:hint="eastAsia" w:ascii="宋体" w:hAnsi="宋体" w:eastAsia="宋体" w:cs="宋体"/>
                <w:b/>
                <w:bCs/>
                <w:color w:val="auto"/>
                <w:sz w:val="21"/>
                <w:szCs w:val="21"/>
                <w:highlight w:val="none"/>
                <w:u w:val="none"/>
                <w:lang w:eastAsia="zh-CN"/>
              </w:rPr>
              <w:t>000科次</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在全区</w:t>
            </w:r>
            <w:r>
              <w:rPr>
                <w:rFonts w:hint="eastAsia" w:ascii="宋体" w:hAnsi="宋体" w:eastAsia="宋体" w:cs="宋体"/>
                <w:color w:val="auto"/>
                <w:sz w:val="21"/>
                <w:szCs w:val="21"/>
                <w:highlight w:val="none"/>
                <w:u w:val="none"/>
                <w:lang w:eastAsia="zh-CN"/>
              </w:rPr>
              <w:t>14个</w:t>
            </w:r>
            <w:r>
              <w:rPr>
                <w:rFonts w:hint="eastAsia" w:ascii="宋体" w:hAnsi="宋体" w:eastAsia="宋体" w:cs="宋体"/>
                <w:color w:val="auto"/>
                <w:sz w:val="21"/>
                <w:szCs w:val="21"/>
                <w:highlight w:val="none"/>
                <w:u w:val="none"/>
                <w:lang w:val="en-US" w:eastAsia="zh-CN"/>
              </w:rPr>
              <w:t>市设置</w:t>
            </w:r>
            <w:r>
              <w:rPr>
                <w:rFonts w:hint="eastAsia" w:ascii="宋体" w:hAnsi="宋体" w:eastAsia="宋体" w:cs="宋体"/>
                <w:color w:val="auto"/>
                <w:sz w:val="21"/>
                <w:szCs w:val="21"/>
                <w:highlight w:val="none"/>
                <w:u w:val="none"/>
                <w:lang w:eastAsia="zh-CN"/>
              </w:rPr>
              <w:t>考区，各考区考场分别设置在各设区市人民政府所在地。</w:t>
            </w:r>
          </w:p>
          <w:p w14:paraId="4AAFD2D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9"/>
                <w:sz w:val="21"/>
                <w:szCs w:val="21"/>
                <w:highlight w:val="none"/>
                <w:u w:val="none"/>
                <w:lang w:val="en-US" w:eastAsia="zh-CN"/>
              </w:rPr>
            </w:pPr>
            <w:r>
              <w:rPr>
                <w:rFonts w:hint="eastAsia" w:ascii="宋体" w:hAnsi="宋体" w:eastAsia="宋体" w:cs="宋体"/>
                <w:color w:val="auto"/>
                <w:spacing w:val="9"/>
                <w:sz w:val="21"/>
                <w:szCs w:val="21"/>
                <w:highlight w:val="none"/>
                <w:u w:val="none"/>
                <w:lang w:eastAsia="zh-CN"/>
              </w:rPr>
              <w:t>（</w:t>
            </w:r>
            <w:r>
              <w:rPr>
                <w:rFonts w:hint="eastAsia" w:ascii="宋体" w:hAnsi="宋体" w:eastAsia="宋体" w:cs="宋体"/>
                <w:color w:val="auto"/>
                <w:spacing w:val="9"/>
                <w:sz w:val="21"/>
                <w:szCs w:val="21"/>
                <w:highlight w:val="none"/>
                <w:u w:val="none"/>
                <w:lang w:val="en-US" w:eastAsia="zh-CN"/>
              </w:rPr>
              <w:t>三</w:t>
            </w:r>
            <w:r>
              <w:rPr>
                <w:rFonts w:hint="eastAsia" w:ascii="宋体" w:hAnsi="宋体" w:eastAsia="宋体" w:cs="宋体"/>
                <w:color w:val="auto"/>
                <w:spacing w:val="9"/>
                <w:sz w:val="21"/>
                <w:szCs w:val="21"/>
                <w:highlight w:val="none"/>
                <w:u w:val="none"/>
                <w:lang w:eastAsia="zh-CN"/>
              </w:rPr>
              <w:t>）</w:t>
            </w:r>
            <w:r>
              <w:rPr>
                <w:rFonts w:hint="eastAsia" w:ascii="宋体" w:hAnsi="宋体" w:eastAsia="宋体" w:cs="宋体"/>
                <w:color w:val="auto"/>
                <w:spacing w:val="9"/>
                <w:sz w:val="21"/>
                <w:szCs w:val="21"/>
                <w:highlight w:val="none"/>
                <w:u w:val="none"/>
              </w:rPr>
              <w:t>翻译专业资格（水平）考试设有英语、日语、俄语、德语、法语、西班牙语、阿拉伯语、朝鲜语/韩国语、葡萄牙语等语种，每个语种均分为一、二、三级，各语种、各级别均设口译和笔译考试科目。一级口译考试设《口译实务》1个科目，二、三级口译考试设《口译综合能力》和《口译实务》2个科目。一级笔译考试设《笔译实务》1个科目，二、三级笔译考试设《笔译综合能力》和《笔译实务》2个科目。翻译专业资格（水平）考试口译、笔译考试均采用电子化考试（机考）。202</w:t>
            </w:r>
            <w:r>
              <w:rPr>
                <w:rFonts w:hint="eastAsia" w:ascii="宋体" w:hAnsi="宋体" w:eastAsia="宋体" w:cs="宋体"/>
                <w:color w:val="auto"/>
                <w:spacing w:val="9"/>
                <w:sz w:val="21"/>
                <w:szCs w:val="21"/>
                <w:highlight w:val="none"/>
                <w:u w:val="none"/>
                <w:lang w:val="en-US" w:eastAsia="zh-CN"/>
              </w:rPr>
              <w:t>6</w:t>
            </w:r>
            <w:r>
              <w:rPr>
                <w:rFonts w:hint="eastAsia" w:ascii="宋体" w:hAnsi="宋体" w:eastAsia="宋体" w:cs="宋体"/>
                <w:color w:val="auto"/>
                <w:spacing w:val="9"/>
                <w:sz w:val="21"/>
                <w:szCs w:val="21"/>
                <w:highlight w:val="none"/>
                <w:u w:val="none"/>
              </w:rPr>
              <w:t>年广西翻译专业资格（水平）考试初定在202</w:t>
            </w:r>
            <w:r>
              <w:rPr>
                <w:rFonts w:hint="eastAsia" w:ascii="宋体" w:hAnsi="宋体" w:eastAsia="宋体" w:cs="宋体"/>
                <w:color w:val="auto"/>
                <w:spacing w:val="9"/>
                <w:sz w:val="21"/>
                <w:szCs w:val="21"/>
                <w:highlight w:val="none"/>
                <w:u w:val="none"/>
                <w:lang w:val="en-US" w:eastAsia="zh-CN"/>
              </w:rPr>
              <w:t>6</w:t>
            </w:r>
            <w:r>
              <w:rPr>
                <w:rFonts w:hint="eastAsia" w:ascii="宋体" w:hAnsi="宋体" w:eastAsia="宋体" w:cs="宋体"/>
                <w:color w:val="auto"/>
                <w:spacing w:val="9"/>
                <w:sz w:val="21"/>
                <w:szCs w:val="21"/>
                <w:highlight w:val="none"/>
                <w:u w:val="none"/>
              </w:rPr>
              <w:t>年6月2</w:t>
            </w:r>
            <w:r>
              <w:rPr>
                <w:rFonts w:hint="eastAsia" w:ascii="宋体" w:hAnsi="宋体" w:eastAsia="宋体" w:cs="宋体"/>
                <w:color w:val="auto"/>
                <w:spacing w:val="9"/>
                <w:sz w:val="21"/>
                <w:szCs w:val="21"/>
                <w:highlight w:val="none"/>
                <w:u w:val="none"/>
                <w:lang w:val="en-US" w:eastAsia="zh-CN"/>
              </w:rPr>
              <w:t>7</w:t>
            </w:r>
            <w:r>
              <w:rPr>
                <w:rFonts w:hint="eastAsia" w:ascii="宋体" w:hAnsi="宋体" w:eastAsia="宋体" w:cs="宋体"/>
                <w:color w:val="auto"/>
                <w:spacing w:val="9"/>
                <w:sz w:val="21"/>
                <w:szCs w:val="21"/>
                <w:highlight w:val="none"/>
                <w:u w:val="none"/>
              </w:rPr>
              <w:t>日、2</w:t>
            </w:r>
            <w:r>
              <w:rPr>
                <w:rFonts w:hint="eastAsia" w:ascii="宋体" w:hAnsi="宋体" w:eastAsia="宋体" w:cs="宋体"/>
                <w:color w:val="auto"/>
                <w:spacing w:val="9"/>
                <w:sz w:val="21"/>
                <w:szCs w:val="21"/>
                <w:highlight w:val="none"/>
                <w:u w:val="none"/>
                <w:lang w:val="en-US" w:eastAsia="zh-CN"/>
              </w:rPr>
              <w:t>8</w:t>
            </w:r>
            <w:r>
              <w:rPr>
                <w:rFonts w:hint="eastAsia" w:ascii="宋体" w:hAnsi="宋体" w:eastAsia="宋体" w:cs="宋体"/>
                <w:color w:val="auto"/>
                <w:spacing w:val="9"/>
                <w:sz w:val="21"/>
                <w:szCs w:val="21"/>
                <w:highlight w:val="none"/>
                <w:u w:val="none"/>
              </w:rPr>
              <w:t>日进行，口译预计400人，笔译预计3</w:t>
            </w:r>
            <w:r>
              <w:rPr>
                <w:rFonts w:hint="eastAsia" w:ascii="宋体" w:hAnsi="宋体" w:eastAsia="宋体" w:cs="宋体"/>
                <w:color w:val="auto"/>
                <w:spacing w:val="9"/>
                <w:sz w:val="21"/>
                <w:szCs w:val="21"/>
                <w:highlight w:val="none"/>
                <w:u w:val="none"/>
                <w:lang w:val="en-US" w:eastAsia="zh-CN"/>
              </w:rPr>
              <w:t>0</w:t>
            </w:r>
            <w:r>
              <w:rPr>
                <w:rFonts w:hint="eastAsia" w:ascii="宋体" w:hAnsi="宋体" w:eastAsia="宋体" w:cs="宋体"/>
                <w:color w:val="auto"/>
                <w:spacing w:val="9"/>
                <w:sz w:val="21"/>
                <w:szCs w:val="21"/>
                <w:highlight w:val="none"/>
                <w:u w:val="none"/>
              </w:rPr>
              <w:t>00人，总科次约</w:t>
            </w:r>
            <w:r>
              <w:rPr>
                <w:rFonts w:hint="eastAsia" w:ascii="宋体" w:hAnsi="宋体" w:eastAsia="宋体" w:cs="宋体"/>
                <w:b/>
                <w:bCs/>
                <w:color w:val="auto"/>
                <w:spacing w:val="9"/>
                <w:sz w:val="21"/>
                <w:szCs w:val="21"/>
                <w:highlight w:val="none"/>
                <w:u w:val="none"/>
                <w:lang w:val="en-US" w:eastAsia="zh-CN"/>
              </w:rPr>
              <w:t>6000</w:t>
            </w:r>
            <w:r>
              <w:rPr>
                <w:rFonts w:hint="eastAsia" w:ascii="宋体" w:hAnsi="宋体" w:eastAsia="宋体" w:cs="宋体"/>
                <w:b/>
                <w:bCs/>
                <w:color w:val="auto"/>
                <w:spacing w:val="9"/>
                <w:sz w:val="21"/>
                <w:szCs w:val="21"/>
                <w:highlight w:val="none"/>
                <w:u w:val="none"/>
              </w:rPr>
              <w:t>科次</w:t>
            </w:r>
            <w:r>
              <w:rPr>
                <w:rFonts w:hint="eastAsia" w:ascii="宋体" w:hAnsi="宋体" w:eastAsia="宋体" w:cs="宋体"/>
                <w:color w:val="auto"/>
                <w:spacing w:val="9"/>
                <w:sz w:val="21"/>
                <w:szCs w:val="21"/>
                <w:highlight w:val="none"/>
                <w:u w:val="none"/>
              </w:rPr>
              <w:t>。</w:t>
            </w:r>
            <w:r>
              <w:rPr>
                <w:rFonts w:hint="eastAsia" w:ascii="宋体" w:hAnsi="宋体" w:eastAsia="宋体" w:cs="宋体"/>
                <w:color w:val="auto"/>
                <w:spacing w:val="9"/>
                <w:sz w:val="21"/>
                <w:szCs w:val="21"/>
                <w:highlight w:val="none"/>
                <w:u w:val="none"/>
                <w:lang w:val="en-US" w:eastAsia="zh-CN"/>
              </w:rPr>
              <w:t>考试城市设在南宁。</w:t>
            </w:r>
          </w:p>
          <w:p w14:paraId="0CF9D07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9"/>
                <w:sz w:val="21"/>
                <w:szCs w:val="21"/>
                <w:highlight w:val="none"/>
                <w:u w:val="none"/>
                <w:lang w:val="en-US" w:eastAsia="zh-CN"/>
              </w:rPr>
            </w:pPr>
            <w:r>
              <w:rPr>
                <w:rFonts w:hint="eastAsia" w:ascii="宋体" w:hAnsi="宋体" w:eastAsia="宋体" w:cs="宋体"/>
                <w:color w:val="auto"/>
                <w:spacing w:val="9"/>
                <w:sz w:val="21"/>
                <w:szCs w:val="21"/>
                <w:highlight w:val="none"/>
                <w:u w:val="none"/>
                <w:lang w:val="en-US" w:eastAsia="zh-CN"/>
              </w:rPr>
              <w:t>（四）计算机技术与软件专业技术资格（水平）考试（以下简称软考）是由人力资源和社会保障部、工业和信息化部领导下的国家专业技术人员职业资格考试。软考分为初、中、高3个级别，涵盖5个专业领域，包含27个专业资格，初中级每个专业资格包含《基础知识》和《应用技术》2个科目，高级每个专业资格包含《综合知识》《案例分析》《论文》3个科目。《基础知识》和《综合知识》考试都是客观题，《应用技术》《案例分析》为主观计算题，《论文》为写作题。考试使用工业和信息化部教育与考试中心统一下发的软考机考系统。</w:t>
            </w:r>
          </w:p>
          <w:p w14:paraId="6135E42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pacing w:val="9"/>
                <w:sz w:val="21"/>
                <w:szCs w:val="21"/>
                <w:highlight w:val="none"/>
                <w:u w:val="none"/>
                <w:lang w:val="en-US" w:eastAsia="zh-CN"/>
              </w:rPr>
              <w:t>软考上下半年各组织一次，预计总人数约30000人，共</w:t>
            </w:r>
            <w:r>
              <w:rPr>
                <w:rFonts w:hint="eastAsia" w:ascii="宋体" w:hAnsi="宋体" w:eastAsia="宋体" w:cs="宋体"/>
                <w:b/>
                <w:bCs/>
                <w:color w:val="auto"/>
                <w:spacing w:val="9"/>
                <w:sz w:val="21"/>
                <w:szCs w:val="21"/>
                <w:highlight w:val="none"/>
                <w:u w:val="none"/>
                <w:lang w:val="en-US" w:eastAsia="zh-CN"/>
              </w:rPr>
              <w:t>72000科次</w:t>
            </w:r>
            <w:r>
              <w:rPr>
                <w:rFonts w:hint="eastAsia" w:ascii="宋体" w:hAnsi="宋体" w:eastAsia="宋体" w:cs="宋体"/>
                <w:color w:val="auto"/>
                <w:spacing w:val="9"/>
                <w:sz w:val="21"/>
                <w:szCs w:val="21"/>
                <w:highlight w:val="none"/>
                <w:u w:val="none"/>
                <w:lang w:val="en-US" w:eastAsia="zh-CN"/>
              </w:rPr>
              <w:t>。2026年上半年软考时间是5月23日—26日，下半年软考时间是10月24日—27日，考试城市设在南宁。</w:t>
            </w:r>
          </w:p>
          <w:p w14:paraId="39C7F31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为做好</w:t>
            </w:r>
            <w:r>
              <w:rPr>
                <w:rFonts w:hint="eastAsia" w:ascii="宋体" w:hAnsi="宋体" w:eastAsia="宋体" w:cs="宋体"/>
                <w:color w:val="auto"/>
                <w:sz w:val="21"/>
                <w:szCs w:val="21"/>
                <w:highlight w:val="none"/>
                <w:u w:val="none"/>
              </w:rPr>
              <w:t>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年广西经济专业技术资格</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eastAsia="zh-CN"/>
              </w:rPr>
              <w:t>执业药师职业资格、</w:t>
            </w:r>
            <w:r>
              <w:rPr>
                <w:rFonts w:hint="eastAsia" w:ascii="宋体" w:hAnsi="宋体" w:eastAsia="宋体" w:cs="宋体"/>
                <w:color w:val="auto"/>
                <w:spacing w:val="9"/>
                <w:sz w:val="21"/>
                <w:szCs w:val="21"/>
                <w:highlight w:val="none"/>
                <w:u w:val="none"/>
              </w:rPr>
              <w:t>翻译专业资格（水平）</w:t>
            </w:r>
            <w:r>
              <w:rPr>
                <w:rFonts w:hint="eastAsia" w:ascii="宋体" w:hAnsi="宋体" w:eastAsia="宋体" w:cs="宋体"/>
                <w:color w:val="auto"/>
                <w:spacing w:val="9"/>
                <w:sz w:val="21"/>
                <w:szCs w:val="21"/>
                <w:highlight w:val="none"/>
                <w:u w:val="none"/>
                <w:lang w:val="en-US" w:eastAsia="zh-CN"/>
              </w:rPr>
              <w:t>和计算机技术与软件专业技术资格（水平）</w:t>
            </w:r>
            <w:r>
              <w:rPr>
                <w:rFonts w:hint="eastAsia" w:ascii="宋体" w:hAnsi="宋体" w:eastAsia="宋体" w:cs="宋体"/>
                <w:color w:val="auto"/>
                <w:sz w:val="21"/>
                <w:szCs w:val="21"/>
                <w:highlight w:val="none"/>
                <w:u w:val="none"/>
                <w:lang w:eastAsia="zh-CN"/>
              </w:rPr>
              <w:t>考试，</w:t>
            </w:r>
            <w:r>
              <w:rPr>
                <w:rFonts w:hint="eastAsia" w:ascii="宋体" w:hAnsi="宋体" w:eastAsia="宋体" w:cs="宋体"/>
                <w:color w:val="auto"/>
                <w:sz w:val="21"/>
                <w:szCs w:val="21"/>
                <w:highlight w:val="none"/>
                <w:u w:val="none"/>
              </w:rPr>
              <w:t>通过竞争性磋商的方式采购</w:t>
            </w:r>
            <w:r>
              <w:rPr>
                <w:rFonts w:hint="eastAsia" w:ascii="宋体" w:hAnsi="宋体" w:eastAsia="宋体" w:cs="宋体"/>
                <w:color w:val="auto"/>
                <w:sz w:val="21"/>
                <w:szCs w:val="21"/>
                <w:highlight w:val="none"/>
                <w:u w:val="none"/>
                <w:lang w:val="en-US" w:eastAsia="zh-CN"/>
              </w:rPr>
              <w:t>电子化考试（机考）</w:t>
            </w:r>
            <w:r>
              <w:rPr>
                <w:rFonts w:hint="eastAsia" w:ascii="宋体" w:hAnsi="宋体" w:eastAsia="宋体" w:cs="宋体"/>
                <w:color w:val="auto"/>
                <w:sz w:val="21"/>
                <w:szCs w:val="21"/>
                <w:highlight w:val="none"/>
                <w:u w:val="none"/>
              </w:rPr>
              <w:t>技术服务。服务内容：中标供应商为202</w:t>
            </w:r>
            <w:r>
              <w:rPr>
                <w:rFonts w:hint="eastAsia" w:ascii="宋体" w:hAnsi="宋体" w:eastAsia="宋体" w:cs="宋体"/>
                <w:color w:val="auto"/>
                <w:sz w:val="21"/>
                <w:szCs w:val="21"/>
                <w:highlight w:val="none"/>
                <w:u w:val="none"/>
                <w:lang w:val="en-US" w:eastAsia="zh-CN"/>
              </w:rPr>
              <w:t>6</w:t>
            </w:r>
            <w:r>
              <w:rPr>
                <w:rFonts w:hint="eastAsia" w:ascii="宋体" w:hAnsi="宋体" w:eastAsia="宋体" w:cs="宋体"/>
                <w:color w:val="auto"/>
                <w:sz w:val="21"/>
                <w:szCs w:val="21"/>
                <w:highlight w:val="none"/>
                <w:u w:val="none"/>
              </w:rPr>
              <w:t>年广西经济专业技术资格（包括上半年</w:t>
            </w:r>
            <w:r>
              <w:rPr>
                <w:rFonts w:hint="eastAsia" w:ascii="宋体" w:hAnsi="宋体" w:eastAsia="宋体" w:cs="宋体"/>
                <w:color w:val="auto"/>
                <w:sz w:val="21"/>
                <w:szCs w:val="21"/>
                <w:highlight w:val="none"/>
                <w:u w:val="none"/>
                <w:lang w:eastAsia="zh-CN"/>
              </w:rPr>
              <w:t>高级</w:t>
            </w:r>
            <w:r>
              <w:rPr>
                <w:rFonts w:hint="eastAsia" w:ascii="宋体" w:hAnsi="宋体" w:eastAsia="宋体" w:cs="宋体"/>
                <w:color w:val="auto"/>
                <w:sz w:val="21"/>
                <w:szCs w:val="21"/>
                <w:highlight w:val="none"/>
                <w:u w:val="none"/>
              </w:rPr>
              <w:t>经济专业技术资格考试和下半年的初、中级经济专业技术资格考试）</w:t>
            </w:r>
            <w:r>
              <w:rPr>
                <w:rFonts w:hint="eastAsia" w:ascii="宋体" w:hAnsi="宋体" w:eastAsia="宋体" w:cs="宋体"/>
                <w:color w:val="auto"/>
                <w:sz w:val="21"/>
                <w:szCs w:val="21"/>
                <w:highlight w:val="none"/>
                <w:u w:val="none"/>
                <w:lang w:val="en-US" w:eastAsia="zh-CN"/>
              </w:rPr>
              <w:t>和</w:t>
            </w:r>
            <w:r>
              <w:rPr>
                <w:rFonts w:hint="eastAsia" w:ascii="宋体" w:hAnsi="宋体" w:eastAsia="宋体" w:cs="宋体"/>
                <w:color w:val="auto"/>
                <w:sz w:val="21"/>
                <w:szCs w:val="21"/>
                <w:highlight w:val="none"/>
                <w:u w:val="none"/>
                <w:lang w:eastAsia="zh-CN"/>
              </w:rPr>
              <w:t>执业药师职业资格、</w:t>
            </w:r>
            <w:r>
              <w:rPr>
                <w:rFonts w:hint="eastAsia" w:ascii="宋体" w:hAnsi="宋体" w:eastAsia="宋体" w:cs="宋体"/>
                <w:color w:val="auto"/>
                <w:spacing w:val="9"/>
                <w:sz w:val="21"/>
                <w:szCs w:val="21"/>
                <w:highlight w:val="none"/>
                <w:u w:val="none"/>
              </w:rPr>
              <w:t>翻译专业资格（水平）</w:t>
            </w:r>
            <w:r>
              <w:rPr>
                <w:rFonts w:hint="eastAsia" w:ascii="宋体" w:hAnsi="宋体" w:eastAsia="宋体" w:cs="宋体"/>
                <w:color w:val="auto"/>
                <w:spacing w:val="9"/>
                <w:sz w:val="21"/>
                <w:szCs w:val="21"/>
                <w:highlight w:val="none"/>
                <w:u w:val="none"/>
                <w:lang w:val="en-US" w:eastAsia="zh-CN"/>
              </w:rPr>
              <w:t>和计算机技术与软件专业技术资格（水平）</w:t>
            </w:r>
            <w:r>
              <w:rPr>
                <w:rFonts w:hint="eastAsia" w:ascii="宋体" w:hAnsi="宋体" w:eastAsia="宋体" w:cs="宋体"/>
                <w:color w:val="auto"/>
                <w:sz w:val="21"/>
                <w:szCs w:val="21"/>
                <w:highlight w:val="none"/>
                <w:u w:val="none"/>
                <w:lang w:eastAsia="zh-CN"/>
              </w:rPr>
              <w:t>考试</w:t>
            </w:r>
            <w:r>
              <w:rPr>
                <w:rFonts w:hint="eastAsia" w:ascii="宋体" w:hAnsi="宋体" w:eastAsia="宋体" w:cs="宋体"/>
                <w:color w:val="auto"/>
                <w:sz w:val="21"/>
                <w:szCs w:val="21"/>
                <w:highlight w:val="none"/>
                <w:u w:val="none"/>
              </w:rPr>
              <w:t>提供机考技术团队，技术团队完成机考考前机位验收、考前模考、封场检测、考中考试系统管理与维护及考后数据上报等服务。</w:t>
            </w:r>
          </w:p>
          <w:p w14:paraId="3CB8F11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二、电子化考试（机考）服务要求</w:t>
            </w:r>
          </w:p>
          <w:p w14:paraId="21649F9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（一）技术服务团队人员配置要求</w:t>
            </w:r>
          </w:p>
          <w:p w14:paraId="4ED8C10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1.配备项目经理和技术总负责人各1名，负责本项目的实施管理，及时向采购人汇报实施进度、质量。</w:t>
            </w:r>
          </w:p>
          <w:p w14:paraId="6F190CD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2.考试</w:t>
            </w:r>
            <w:r>
              <w:rPr>
                <w:rFonts w:hint="eastAsia" w:ascii="宋体" w:hAnsi="宋体" w:eastAsia="宋体" w:cs="宋体"/>
                <w:color w:val="auto"/>
                <w:sz w:val="21"/>
                <w:szCs w:val="21"/>
                <w:highlight w:val="none"/>
                <w:u w:val="none"/>
                <w:lang w:val="en-US" w:eastAsia="zh-CN"/>
              </w:rPr>
              <w:t>前一星期</w:t>
            </w:r>
            <w:r>
              <w:rPr>
                <w:rFonts w:hint="eastAsia" w:ascii="宋体" w:hAnsi="宋体" w:eastAsia="宋体" w:cs="宋体"/>
                <w:color w:val="auto"/>
                <w:sz w:val="21"/>
                <w:szCs w:val="21"/>
                <w:highlight w:val="none"/>
                <w:u w:val="none"/>
              </w:rPr>
              <w:t>，项目经理要带领技术服务团队一部分人员在广西考区考务办公室与采购方共同部署、实施机考工作。</w:t>
            </w:r>
          </w:p>
          <w:p w14:paraId="0D11B77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3.经济</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初、中级</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专业技术资格</w:t>
            </w:r>
            <w:r>
              <w:rPr>
                <w:rFonts w:hint="eastAsia" w:ascii="宋体" w:hAnsi="宋体" w:eastAsia="宋体" w:cs="宋体"/>
                <w:color w:val="auto"/>
                <w:sz w:val="21"/>
                <w:szCs w:val="21"/>
                <w:highlight w:val="none"/>
                <w:u w:val="none"/>
                <w:lang w:val="en-US" w:eastAsia="zh-CN"/>
              </w:rPr>
              <w:t>和</w:t>
            </w:r>
            <w:r>
              <w:rPr>
                <w:rFonts w:hint="eastAsia" w:ascii="宋体" w:hAnsi="宋体" w:eastAsia="宋体" w:cs="宋体"/>
                <w:color w:val="auto"/>
                <w:sz w:val="21"/>
                <w:szCs w:val="21"/>
                <w:highlight w:val="none"/>
                <w:u w:val="none"/>
                <w:lang w:eastAsia="zh-CN"/>
              </w:rPr>
              <w:t>执业药师职业资格</w:t>
            </w:r>
            <w:r>
              <w:rPr>
                <w:rFonts w:hint="eastAsia" w:ascii="宋体" w:hAnsi="宋体" w:eastAsia="宋体" w:cs="宋体"/>
                <w:color w:val="auto"/>
                <w:sz w:val="21"/>
                <w:szCs w:val="21"/>
                <w:highlight w:val="none"/>
                <w:u w:val="none"/>
                <w:lang w:val="en-US" w:eastAsia="zh-CN"/>
              </w:rPr>
              <w:t>考试</w:t>
            </w:r>
            <w:r>
              <w:rPr>
                <w:rFonts w:hint="eastAsia" w:ascii="宋体" w:hAnsi="宋体" w:eastAsia="宋体" w:cs="宋体"/>
                <w:color w:val="auto"/>
                <w:sz w:val="21"/>
                <w:szCs w:val="21"/>
                <w:highlight w:val="none"/>
                <w:u w:val="none"/>
              </w:rPr>
              <w:t>每个考区配备1名考区技术负责人，统筹考区技术服务工作。每个考点配备1名考点技术负责人，负责本考点的机位验收、模考实施、正考封场、正考实施、人员培训等准备工作，协助巡考人员、考点主考处理正考过程中的突发事件。</w:t>
            </w:r>
          </w:p>
          <w:p w14:paraId="487ED3C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pacing w:val="9"/>
                <w:sz w:val="21"/>
                <w:szCs w:val="21"/>
                <w:highlight w:val="none"/>
                <w:u w:val="none"/>
              </w:rPr>
            </w:pPr>
            <w:r>
              <w:rPr>
                <w:rFonts w:hint="eastAsia" w:ascii="宋体" w:hAnsi="宋体" w:eastAsia="宋体" w:cs="宋体"/>
                <w:color w:val="auto"/>
                <w:sz w:val="21"/>
                <w:szCs w:val="21"/>
                <w:highlight w:val="none"/>
                <w:u w:val="none"/>
              </w:rPr>
              <w:t>经济</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高级</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专业技术资格</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pacing w:val="9"/>
                <w:sz w:val="21"/>
                <w:szCs w:val="21"/>
                <w:highlight w:val="none"/>
                <w:u w:val="none"/>
              </w:rPr>
              <w:t>翻译专业资格（水平）和计算机技术与软件专业技术资格（水平）考试每个考点至少配备1名考点技术负责人，负责本考点的机位验收、模考实施、正考封场、正考实施、人员培训等准备工作，协助巡考人员、考点主考处理正考过程中的突发事件。</w:t>
            </w:r>
          </w:p>
          <w:p w14:paraId="617F9D9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考试实施期间，</w:t>
            </w:r>
            <w:r>
              <w:rPr>
                <w:rFonts w:hint="eastAsia" w:ascii="宋体" w:hAnsi="宋体" w:eastAsia="宋体" w:cs="宋体"/>
                <w:color w:val="auto"/>
                <w:sz w:val="21"/>
                <w:szCs w:val="21"/>
                <w:highlight w:val="none"/>
                <w:u w:val="none"/>
              </w:rPr>
              <w:t>供应商技术服务团队的项目经理、技术总负责人和考区技术负责人</w:t>
            </w:r>
            <w:r>
              <w:rPr>
                <w:rFonts w:hint="eastAsia" w:ascii="宋体" w:hAnsi="宋体" w:eastAsia="宋体" w:cs="宋体"/>
                <w:color w:val="auto"/>
                <w:sz w:val="21"/>
                <w:szCs w:val="21"/>
                <w:highlight w:val="none"/>
                <w:u w:val="none"/>
                <w:lang w:val="en-US" w:eastAsia="zh-CN"/>
              </w:rPr>
              <w:t>未经甲方允许不得更换。</w:t>
            </w:r>
          </w:p>
          <w:p w14:paraId="162B7AE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4.每个考点配备流动系统管理员若干名，按每4个考场或200个机位配备1名，不足4个考场的楼层也需配备1名流动系统管理员。</w:t>
            </w:r>
          </w:p>
          <w:p w14:paraId="1878C38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w:t>
            </w:r>
            <w:r>
              <w:rPr>
                <w:rFonts w:hint="eastAsia" w:ascii="宋体" w:hAnsi="宋体" w:eastAsia="宋体" w:cs="宋体"/>
                <w:color w:val="auto"/>
                <w:sz w:val="21"/>
                <w:szCs w:val="21"/>
                <w:highlight w:val="none"/>
                <w:u w:val="none"/>
                <w:lang w:val="en-US" w:eastAsia="zh-CN"/>
              </w:rPr>
              <w:t>核心</w:t>
            </w:r>
            <w:r>
              <w:rPr>
                <w:rFonts w:hint="eastAsia" w:ascii="宋体" w:hAnsi="宋体" w:eastAsia="宋体" w:cs="宋体"/>
                <w:color w:val="auto"/>
                <w:sz w:val="21"/>
                <w:szCs w:val="21"/>
                <w:highlight w:val="none"/>
                <w:u w:val="none"/>
              </w:rPr>
              <w:t>人员技术素质要求：</w:t>
            </w:r>
            <w:r>
              <w:rPr>
                <w:rFonts w:hint="eastAsia" w:ascii="宋体" w:hAnsi="宋体" w:eastAsia="宋体" w:cs="宋体"/>
                <w:color w:val="auto"/>
                <w:sz w:val="21"/>
                <w:szCs w:val="21"/>
                <w:highlight w:val="none"/>
                <w:u w:val="none"/>
                <w:lang w:val="en-US" w:eastAsia="zh-CN"/>
              </w:rPr>
              <w:t>经济（初、中级）</w:t>
            </w:r>
            <w:r>
              <w:rPr>
                <w:rFonts w:hint="eastAsia" w:ascii="宋体" w:hAnsi="宋体" w:eastAsia="宋体" w:cs="宋体"/>
                <w:color w:val="auto"/>
                <w:sz w:val="21"/>
                <w:szCs w:val="21"/>
                <w:highlight w:val="none"/>
                <w:u w:val="none"/>
              </w:rPr>
              <w:t>专业技术资格</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z w:val="21"/>
                <w:szCs w:val="21"/>
                <w:highlight w:val="none"/>
                <w:u w:val="none"/>
                <w:lang w:eastAsia="zh-CN"/>
              </w:rPr>
              <w:t>执业药师职业资格</w:t>
            </w:r>
            <w:r>
              <w:rPr>
                <w:rFonts w:hint="eastAsia" w:ascii="宋体" w:hAnsi="宋体" w:eastAsia="宋体" w:cs="宋体"/>
                <w:color w:val="auto"/>
                <w:sz w:val="21"/>
                <w:szCs w:val="21"/>
                <w:highlight w:val="none"/>
                <w:u w:val="none"/>
                <w:lang w:val="en-US" w:eastAsia="zh-CN"/>
              </w:rPr>
              <w:t>考试中</w:t>
            </w:r>
            <w:r>
              <w:rPr>
                <w:rFonts w:hint="eastAsia" w:ascii="宋体" w:hAnsi="宋体" w:eastAsia="宋体" w:cs="宋体"/>
                <w:color w:val="auto"/>
                <w:sz w:val="21"/>
                <w:szCs w:val="21"/>
                <w:highlight w:val="none"/>
                <w:u w:val="none"/>
              </w:rPr>
              <w:t>项目经理、技术总负责人和考区技术负责人必须为供应商单位在职人员</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经济</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高级</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专业技术资格</w:t>
            </w:r>
            <w:r>
              <w:rPr>
                <w:rFonts w:hint="eastAsia" w:ascii="宋体" w:hAnsi="宋体" w:eastAsia="宋体" w:cs="宋体"/>
                <w:color w:val="auto"/>
                <w:sz w:val="21"/>
                <w:szCs w:val="21"/>
                <w:highlight w:val="none"/>
                <w:u w:val="none"/>
                <w:lang w:val="en-US" w:eastAsia="zh-CN"/>
              </w:rPr>
              <w:t>、</w:t>
            </w:r>
            <w:r>
              <w:rPr>
                <w:rFonts w:hint="eastAsia" w:ascii="宋体" w:hAnsi="宋体" w:eastAsia="宋体" w:cs="宋体"/>
                <w:color w:val="auto"/>
                <w:spacing w:val="9"/>
                <w:sz w:val="21"/>
                <w:szCs w:val="21"/>
                <w:highlight w:val="none"/>
                <w:u w:val="none"/>
              </w:rPr>
              <w:t>翻译专业资格（水平）和计算机技术与软件专业技术资格（水平）考试</w:t>
            </w:r>
            <w:r>
              <w:rPr>
                <w:rFonts w:hint="eastAsia" w:ascii="宋体" w:hAnsi="宋体" w:eastAsia="宋体" w:cs="宋体"/>
                <w:color w:val="auto"/>
                <w:spacing w:val="9"/>
                <w:sz w:val="21"/>
                <w:szCs w:val="21"/>
                <w:highlight w:val="none"/>
                <w:u w:val="none"/>
                <w:lang w:val="en-US" w:eastAsia="zh-CN"/>
              </w:rPr>
              <w:t>中项目经理、技术总负责人和考点技术负责人必须为供应商单位在职人员。以上人员</w:t>
            </w:r>
            <w:r>
              <w:rPr>
                <w:rFonts w:hint="eastAsia" w:ascii="宋体" w:hAnsi="宋体" w:eastAsia="宋体" w:cs="宋体"/>
                <w:color w:val="auto"/>
                <w:sz w:val="21"/>
                <w:szCs w:val="21"/>
                <w:highlight w:val="none"/>
                <w:u w:val="none"/>
              </w:rPr>
              <w:t>须从事过大型机考技术服务1年以上，熟练掌握机考网络相关技能</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熟知系统管理员岗位职责，具有丰富的机考系统实施服务工作经验，熟知机考操作规范和考务要求，具备机考异常和应急处理、快速解决考试常见问题的技术能力。</w:t>
            </w:r>
          </w:p>
          <w:p w14:paraId="746545E4">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（二）技术服务团队工作内容</w:t>
            </w:r>
          </w:p>
          <w:p w14:paraId="0A36480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1.考前机位验收要求</w:t>
            </w:r>
          </w:p>
          <w:p w14:paraId="53EA59D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考区技术负责人和考点技术负责人配合当地人事考试机构开展机位验收，</w:t>
            </w:r>
            <w:r>
              <w:rPr>
                <w:rFonts w:hint="eastAsia" w:ascii="宋体" w:hAnsi="宋体" w:eastAsia="宋体" w:cs="宋体"/>
                <w:color w:val="auto"/>
                <w:sz w:val="21"/>
                <w:szCs w:val="21"/>
                <w:highlight w:val="none"/>
                <w:u w:val="none"/>
              </w:rPr>
              <w:t>验收完毕提供考点准确的机位信息给采购人</w:t>
            </w:r>
            <w:r>
              <w:rPr>
                <w:rFonts w:hint="eastAsia" w:ascii="宋体" w:hAnsi="宋体" w:eastAsia="宋体" w:cs="宋体"/>
                <w:color w:val="auto"/>
                <w:sz w:val="21"/>
                <w:szCs w:val="21"/>
                <w:highlight w:val="none"/>
                <w:u w:val="none"/>
                <w:lang w:val="en-US" w:eastAsia="zh-CN"/>
              </w:rPr>
              <w:t>和当地人事考试机构。验收内容包括：检查考试机硬件、系统环境、考点网络情况以及考试机数量满足考试要求。</w:t>
            </w:r>
          </w:p>
          <w:p w14:paraId="141EE46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2.技术培训要求</w:t>
            </w:r>
          </w:p>
          <w:p w14:paraId="302436B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rPr>
              <w:t>供应商根据考试需求制定培训方案，对自身技术服务团队及考点相关工作人员（监考员、考场系统管理员）进行岗前培训和考核，使其能够胜任考场管理工作。技术服务团队培训内容包括：机考系统软件安装、模拟测试、考试过程中异常情况处理等，确保技术人员熟练掌握相关业务流程、管理要求和操作方法等；考点相关工作人员培训内容包括：考试软件操作和常见问题处理等。</w:t>
            </w:r>
            <w:r>
              <w:rPr>
                <w:rFonts w:hint="eastAsia" w:ascii="宋体" w:hAnsi="宋体" w:eastAsia="宋体" w:cs="宋体"/>
                <w:color w:val="auto"/>
                <w:sz w:val="21"/>
                <w:szCs w:val="21"/>
                <w:highlight w:val="none"/>
                <w:u w:val="none"/>
                <w:lang w:val="en-US" w:eastAsia="zh-CN"/>
              </w:rPr>
              <w:t>供应商技术服务团队要在考前完成采购人在线培训平台的培训考核任务。供应商应提供一次集中线下现场考试系统操作业务培训，培训对象为全区人事考试机构考务工作人员，培训课时不少于8个课时（1天）。</w:t>
            </w:r>
          </w:p>
          <w:p w14:paraId="29C74FE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3.考前模考与封场检测服务要求</w:t>
            </w:r>
          </w:p>
          <w:p w14:paraId="405CD99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（1）考点技术负责人带领服务团队完成考点系统安装、参数设置、考场注册、考务数据导入等工作，确保考点系统与监考系统能够正常运行。</w:t>
            </w:r>
          </w:p>
          <w:p w14:paraId="5C1977C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（2）考点技术负责人带领流动系统管理员对每个考场进行考试系统的安装与测试，检查操作系统、中文输入法</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鼠标和键盘</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耳机</w:t>
            </w:r>
            <w:r>
              <w:rPr>
                <w:rFonts w:hint="eastAsia" w:ascii="宋体" w:hAnsi="宋体" w:eastAsia="宋体" w:cs="宋体"/>
                <w:color w:val="auto"/>
                <w:sz w:val="21"/>
                <w:szCs w:val="21"/>
                <w:highlight w:val="none"/>
                <w:u w:val="none"/>
              </w:rPr>
              <w:t>等</w:t>
            </w:r>
            <w:r>
              <w:rPr>
                <w:rFonts w:hint="eastAsia" w:ascii="宋体" w:hAnsi="宋体" w:eastAsia="宋体" w:cs="宋体"/>
                <w:color w:val="auto"/>
                <w:sz w:val="21"/>
                <w:szCs w:val="21"/>
                <w:highlight w:val="none"/>
                <w:u w:val="none"/>
                <w:lang w:val="en-US" w:eastAsia="zh-CN"/>
              </w:rPr>
              <w:t>考试所需软硬件</w:t>
            </w:r>
            <w:r>
              <w:rPr>
                <w:rFonts w:hint="eastAsia" w:ascii="宋体" w:hAnsi="宋体" w:eastAsia="宋体" w:cs="宋体"/>
                <w:color w:val="auto"/>
                <w:sz w:val="21"/>
                <w:szCs w:val="21"/>
                <w:highlight w:val="none"/>
                <w:u w:val="none"/>
              </w:rPr>
              <w:t>是否正常，确保考生</w:t>
            </w:r>
            <w:r>
              <w:rPr>
                <w:rFonts w:hint="eastAsia" w:ascii="宋体" w:hAnsi="宋体" w:eastAsia="宋体" w:cs="宋体"/>
                <w:color w:val="auto"/>
                <w:sz w:val="21"/>
                <w:szCs w:val="21"/>
                <w:highlight w:val="none"/>
                <w:u w:val="none"/>
                <w:lang w:val="en-US" w:eastAsia="zh-CN"/>
              </w:rPr>
              <w:t>顺利考试</w:t>
            </w:r>
            <w:r>
              <w:rPr>
                <w:rFonts w:hint="eastAsia" w:ascii="宋体" w:hAnsi="宋体" w:eastAsia="宋体" w:cs="宋体"/>
                <w:color w:val="auto"/>
                <w:sz w:val="21"/>
                <w:szCs w:val="21"/>
                <w:highlight w:val="none"/>
                <w:u w:val="none"/>
              </w:rPr>
              <w:t>。</w:t>
            </w:r>
          </w:p>
          <w:p w14:paraId="5211F81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（3）在规定的时间范围内下载模拟考试数据，组织模拟考试，并生成模考报告</w:t>
            </w:r>
            <w:r>
              <w:rPr>
                <w:rFonts w:hint="eastAsia" w:ascii="宋体" w:hAnsi="宋体" w:eastAsia="宋体" w:cs="宋体"/>
                <w:color w:val="auto"/>
                <w:sz w:val="21"/>
                <w:szCs w:val="21"/>
                <w:highlight w:val="none"/>
                <w:u w:val="none"/>
                <w:lang w:eastAsia="zh-CN"/>
              </w:rPr>
              <w:t>，模</w:t>
            </w:r>
            <w:r>
              <w:rPr>
                <w:rFonts w:hint="eastAsia" w:ascii="宋体" w:hAnsi="宋体" w:eastAsia="宋体" w:cs="宋体"/>
                <w:color w:val="auto"/>
                <w:sz w:val="21"/>
                <w:szCs w:val="21"/>
                <w:highlight w:val="none"/>
                <w:u w:val="none"/>
                <w:lang w:val="en-US" w:eastAsia="zh-CN"/>
              </w:rPr>
              <w:t>考应在考试前2天全部完成</w:t>
            </w:r>
            <w:r>
              <w:rPr>
                <w:rFonts w:hint="eastAsia" w:ascii="宋体" w:hAnsi="宋体" w:eastAsia="宋体" w:cs="宋体"/>
                <w:color w:val="auto"/>
                <w:sz w:val="21"/>
                <w:szCs w:val="21"/>
                <w:highlight w:val="none"/>
                <w:u w:val="none"/>
              </w:rPr>
              <w:t>。</w:t>
            </w:r>
          </w:p>
          <w:p w14:paraId="1307C2B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（4）封场前对考场监考机、考试机再次进行系统调试，监考机完成机位管理、环境检测、载入考务、封场检测。</w:t>
            </w:r>
          </w:p>
          <w:p w14:paraId="3111D2C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（5）封场前考点机载入正考考试授权，完成封场检测、扫码上报考点封场信息。</w:t>
            </w:r>
          </w:p>
          <w:p w14:paraId="0695DD1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（6）对于考前</w:t>
            </w:r>
            <w:r>
              <w:rPr>
                <w:rFonts w:hint="eastAsia" w:ascii="宋体" w:hAnsi="宋体" w:eastAsia="宋体" w:cs="宋体"/>
                <w:color w:val="auto"/>
                <w:sz w:val="21"/>
                <w:szCs w:val="21"/>
                <w:highlight w:val="none"/>
                <w:u w:val="none"/>
                <w:lang w:val="en-US" w:eastAsia="zh-CN"/>
              </w:rPr>
              <w:t>12小时</w:t>
            </w:r>
            <w:r>
              <w:rPr>
                <w:rFonts w:hint="eastAsia" w:ascii="宋体" w:hAnsi="宋体" w:eastAsia="宋体" w:cs="宋体"/>
                <w:color w:val="auto"/>
                <w:sz w:val="21"/>
                <w:szCs w:val="21"/>
                <w:highlight w:val="none"/>
                <w:u w:val="none"/>
              </w:rPr>
              <w:t>无法正常推进封场的考点，项目经理须及时协调公司技术专家进行技术指导，确保考前完成封场。</w:t>
            </w:r>
          </w:p>
          <w:p w14:paraId="2B62926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4.正考（考中考务）服务需求</w:t>
            </w:r>
          </w:p>
          <w:p w14:paraId="22ED3B7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技术服务人员须认真配合考试管理机构做好考试工作，做到技术服务和考务工作互相支持、互相配合。</w:t>
            </w:r>
          </w:p>
          <w:p w14:paraId="778A791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（1）考中服务要求</w:t>
            </w:r>
          </w:p>
          <w:p w14:paraId="1ED649F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在考试过程中提供现场服务，及时解决考试过程中的各种技术问题，配合采购人进行突发事件应急处理。实时上报考前准备、考试过程和考后数据回收等情况，并安全、准确、无误做好考后数据的回收、备份等工作。</w:t>
            </w:r>
          </w:p>
          <w:p w14:paraId="3B4FE73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（2）服务响应要求</w:t>
            </w:r>
          </w:p>
          <w:p w14:paraId="45D7A52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驻考点技术团队（包括考点技术负责人、流动系统管理员）处理常见问题要求在5分钟</w:t>
            </w:r>
            <w:r>
              <w:rPr>
                <w:rFonts w:hint="eastAsia" w:ascii="宋体" w:hAnsi="宋体" w:eastAsia="宋体" w:cs="宋体"/>
                <w:color w:val="auto"/>
                <w:sz w:val="21"/>
                <w:szCs w:val="21"/>
                <w:highlight w:val="none"/>
                <w:u w:val="none"/>
                <w:lang w:eastAsia="zh-CN"/>
              </w:rPr>
              <w:t>内完成</w:t>
            </w:r>
            <w:r>
              <w:rPr>
                <w:rFonts w:hint="eastAsia" w:ascii="宋体" w:hAnsi="宋体" w:eastAsia="宋体" w:cs="宋体"/>
                <w:color w:val="auto"/>
                <w:sz w:val="21"/>
                <w:szCs w:val="21"/>
                <w:highlight w:val="none"/>
                <w:u w:val="none"/>
              </w:rPr>
              <w:t>，超过5分钟未处理完成要上报项目经理和采购人。处理复杂问题时，项目经理需要协调技术团队人员提供解决方案，要做到在10分钟内响应，原则要求在30分钟内解决。</w:t>
            </w:r>
          </w:p>
          <w:p w14:paraId="7C84BE35">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（3）服务方案要求</w:t>
            </w:r>
          </w:p>
          <w:p w14:paraId="057205B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考前建立完善的技术服务实施方案以及应急预案，编制机考技术服务手册，对于考试中发生的突发情况（大规模停电、大规模死机、网络病毒、延时、补考等情况）要及时应对，稳控现场秩序，提供相应的补救措施并妥善处置，避免事态扩大；考后须向采购人提供本次考试全部考试数据。</w:t>
            </w:r>
          </w:p>
          <w:p w14:paraId="1E63521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（4）协调要求</w:t>
            </w:r>
          </w:p>
          <w:p w14:paraId="40537C5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根据采购人要求进行人员配置和技术服务。建立汇报沟通机制，第一时间向采购人汇报考前准备、考试实施、考试过程中的突发情况和考后数据回收情况，便于采购人及时掌握考试实施情况。</w:t>
            </w:r>
          </w:p>
          <w:p w14:paraId="19BF32B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服务期间发现的问题须及时向采购人反馈，特殊和重要信息需要书面反馈，协助采购人做好整改工作。考试结束后，向采购人上报工作总结。</w:t>
            </w:r>
          </w:p>
          <w:p w14:paraId="15E27D96">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（三）服务质量要求</w:t>
            </w:r>
          </w:p>
          <w:p w14:paraId="665F23D3">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color w:val="auto"/>
                <w:sz w:val="21"/>
                <w:szCs w:val="21"/>
                <w:highlight w:val="none"/>
                <w:u w:val="none"/>
              </w:rPr>
              <w:t>.在考试实施过程中，因供应商服务不到位</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因</w:t>
            </w:r>
            <w:r>
              <w:rPr>
                <w:rFonts w:hint="eastAsia" w:ascii="宋体" w:hAnsi="宋体" w:eastAsia="宋体" w:cs="宋体"/>
                <w:color w:val="auto"/>
                <w:sz w:val="21"/>
                <w:szCs w:val="21"/>
                <w:highlight w:val="none"/>
                <w:u w:val="none"/>
              </w:rPr>
              <w:t>硬件设备、网络设备等非考试软件系统原因造成考生无法正常考试，对考生造成的损失（包括</w:t>
            </w:r>
            <w:r>
              <w:rPr>
                <w:rFonts w:hint="eastAsia" w:ascii="宋体" w:hAnsi="宋体" w:eastAsia="宋体" w:cs="宋体"/>
                <w:color w:val="auto"/>
                <w:sz w:val="21"/>
                <w:szCs w:val="21"/>
                <w:highlight w:val="none"/>
                <w:u w:val="none"/>
                <w:lang w:val="en-US" w:eastAsia="zh-CN"/>
              </w:rPr>
              <w:t>考试</w:t>
            </w:r>
            <w:r>
              <w:rPr>
                <w:rFonts w:hint="eastAsia" w:ascii="宋体" w:hAnsi="宋体" w:eastAsia="宋体" w:cs="宋体"/>
                <w:color w:val="auto"/>
                <w:sz w:val="21"/>
                <w:szCs w:val="21"/>
                <w:highlight w:val="none"/>
                <w:u w:val="none"/>
              </w:rPr>
              <w:t>费、交通费、误工费</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食宿费</w:t>
            </w:r>
            <w:r>
              <w:rPr>
                <w:rFonts w:hint="eastAsia" w:ascii="宋体" w:hAnsi="宋体" w:eastAsia="宋体" w:cs="宋体"/>
                <w:color w:val="auto"/>
                <w:sz w:val="21"/>
                <w:szCs w:val="21"/>
                <w:highlight w:val="none"/>
                <w:u w:val="none"/>
              </w:rPr>
              <w:t>等）由供应商负责。</w:t>
            </w:r>
          </w:p>
          <w:p w14:paraId="61D54C9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2</w:t>
            </w:r>
            <w:r>
              <w:rPr>
                <w:rFonts w:hint="eastAsia" w:ascii="宋体" w:hAnsi="宋体" w:eastAsia="宋体" w:cs="宋体"/>
                <w:color w:val="auto"/>
                <w:sz w:val="21"/>
                <w:szCs w:val="21"/>
                <w:highlight w:val="none"/>
                <w:u w:val="none"/>
              </w:rPr>
              <w:t>.实施中发现供应商技术服务团队的项目经理、技术总负责人和考区技术负责人不符合技术团队人员配置要求的</w:t>
            </w:r>
            <w:r>
              <w:rPr>
                <w:rFonts w:hint="eastAsia" w:ascii="宋体" w:hAnsi="宋体" w:eastAsia="宋体" w:cs="宋体"/>
                <w:color w:val="auto"/>
                <w:sz w:val="21"/>
                <w:szCs w:val="21"/>
                <w:highlight w:val="none"/>
                <w:u w:val="none"/>
                <w:lang w:eastAsia="zh-CN"/>
              </w:rPr>
              <w:t>，</w:t>
            </w:r>
            <w:r>
              <w:rPr>
                <w:rFonts w:hint="eastAsia" w:ascii="宋体" w:hAnsi="宋体" w:cs="宋体"/>
                <w:color w:val="auto"/>
                <w:szCs w:val="21"/>
                <w:highlight w:val="none"/>
                <w:u w:val="none"/>
              </w:rPr>
              <w:t>应</w:t>
            </w:r>
            <w:r>
              <w:rPr>
                <w:rFonts w:hint="eastAsia" w:ascii="宋体" w:hAnsi="宋体" w:cs="宋体"/>
                <w:color w:val="auto"/>
                <w:szCs w:val="21"/>
                <w:highlight w:val="none"/>
                <w:u w:val="none"/>
                <w:lang w:val="en-US" w:eastAsia="zh-CN"/>
              </w:rPr>
              <w:t>立即</w:t>
            </w:r>
            <w:r>
              <w:rPr>
                <w:rFonts w:hint="eastAsia" w:ascii="宋体" w:hAnsi="宋体" w:cs="宋体"/>
                <w:color w:val="auto"/>
                <w:szCs w:val="21"/>
                <w:highlight w:val="none"/>
                <w:u w:val="none"/>
              </w:rPr>
              <w:t>更换为符合要求的人员，经更换后仍不符合要求，</w:t>
            </w:r>
            <w:r>
              <w:rPr>
                <w:rFonts w:hint="eastAsia" w:ascii="宋体" w:hAnsi="宋体" w:eastAsia="宋体" w:cs="宋体"/>
                <w:color w:val="auto"/>
                <w:sz w:val="21"/>
                <w:szCs w:val="21"/>
                <w:highlight w:val="none"/>
                <w:u w:val="none"/>
                <w:lang w:val="en-US" w:eastAsia="zh-CN"/>
              </w:rPr>
              <w:t>给采购方造成财产损失的</w:t>
            </w:r>
            <w:r>
              <w:rPr>
                <w:rFonts w:hint="eastAsia" w:ascii="宋体" w:hAnsi="宋体" w:cs="宋体"/>
                <w:color w:val="auto"/>
                <w:sz w:val="21"/>
                <w:szCs w:val="21"/>
                <w:highlight w:val="none"/>
                <w:u w:val="none"/>
                <w:lang w:val="en-US" w:eastAsia="zh-CN"/>
              </w:rPr>
              <w:t>，</w:t>
            </w:r>
            <w:r>
              <w:rPr>
                <w:rFonts w:hint="eastAsia" w:ascii="宋体" w:hAnsi="宋体" w:cs="宋体"/>
                <w:color w:val="auto"/>
                <w:szCs w:val="21"/>
                <w:highlight w:val="none"/>
                <w:u w:val="none"/>
              </w:rPr>
              <w:t>采购方有权解除合同</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并要求供应商向</w:t>
            </w:r>
            <w:r>
              <w:rPr>
                <w:rFonts w:hint="eastAsia" w:ascii="宋体" w:hAnsi="宋体" w:cs="宋体"/>
                <w:color w:val="auto"/>
                <w:szCs w:val="21"/>
                <w:highlight w:val="none"/>
                <w:u w:val="none"/>
              </w:rPr>
              <w:t>采购方支付中标金额</w:t>
            </w:r>
            <w:r>
              <w:rPr>
                <w:rFonts w:hint="eastAsia" w:ascii="宋体" w:hAnsi="宋体" w:cs="宋体"/>
                <w:color w:val="auto"/>
                <w:szCs w:val="21"/>
                <w:highlight w:val="none"/>
                <w:u w:val="none"/>
                <w:lang w:val="en-US" w:eastAsia="zh-CN"/>
              </w:rPr>
              <w:t>10</w:t>
            </w:r>
            <w:r>
              <w:rPr>
                <w:rFonts w:hint="eastAsia" w:ascii="宋体" w:hAnsi="宋体" w:cs="宋体"/>
                <w:color w:val="auto"/>
                <w:szCs w:val="21"/>
                <w:highlight w:val="none"/>
                <w:u w:val="none"/>
              </w:rPr>
              <w:t>%的违约金</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rPr>
              <w:t>若</w:t>
            </w:r>
            <w:r>
              <w:rPr>
                <w:rFonts w:hint="eastAsia" w:ascii="宋体" w:hAnsi="宋体" w:cs="宋体"/>
                <w:color w:val="auto"/>
                <w:szCs w:val="21"/>
                <w:highlight w:val="none"/>
                <w:u w:val="none"/>
                <w:lang w:val="en-US" w:eastAsia="zh-CN"/>
              </w:rPr>
              <w:t>违约金</w:t>
            </w:r>
            <w:r>
              <w:rPr>
                <w:rFonts w:hint="eastAsia" w:ascii="宋体" w:hAnsi="宋体" w:cs="宋体"/>
                <w:color w:val="auto"/>
                <w:szCs w:val="21"/>
                <w:highlight w:val="none"/>
                <w:u w:val="none"/>
              </w:rPr>
              <w:t>无法填平</w:t>
            </w:r>
            <w:r>
              <w:rPr>
                <w:rFonts w:hint="eastAsia" w:ascii="宋体" w:hAnsi="宋体" w:cs="宋体"/>
                <w:color w:val="auto"/>
                <w:szCs w:val="21"/>
                <w:highlight w:val="none"/>
                <w:u w:val="none"/>
                <w:lang w:val="en-US" w:eastAsia="zh-CN"/>
              </w:rPr>
              <w:t>采购人</w:t>
            </w:r>
            <w:r>
              <w:rPr>
                <w:rFonts w:hint="eastAsia" w:ascii="宋体" w:hAnsi="宋体" w:cs="宋体"/>
                <w:color w:val="auto"/>
                <w:szCs w:val="21"/>
                <w:highlight w:val="none"/>
                <w:u w:val="none"/>
              </w:rPr>
              <w:t>全部直接与间接损失，</w:t>
            </w:r>
            <w:r>
              <w:rPr>
                <w:rFonts w:hint="eastAsia" w:ascii="宋体" w:hAnsi="宋体" w:cs="宋体"/>
                <w:color w:val="auto"/>
                <w:szCs w:val="21"/>
                <w:highlight w:val="none"/>
                <w:u w:val="none"/>
                <w:lang w:val="en-US" w:eastAsia="zh-CN"/>
              </w:rPr>
              <w:t>采购人</w:t>
            </w:r>
            <w:r>
              <w:rPr>
                <w:rFonts w:hint="eastAsia" w:ascii="宋体" w:hAnsi="宋体" w:cs="宋体"/>
                <w:color w:val="auto"/>
                <w:szCs w:val="21"/>
                <w:highlight w:val="none"/>
                <w:u w:val="none"/>
              </w:rPr>
              <w:t>有权继续要求赔偿</w:t>
            </w:r>
            <w:r>
              <w:rPr>
                <w:rFonts w:hint="eastAsia" w:ascii="宋体" w:hAnsi="宋体" w:cs="宋体"/>
                <w:color w:val="auto"/>
                <w:szCs w:val="21"/>
                <w:highlight w:val="none"/>
                <w:u w:val="none"/>
                <w:lang w:eastAsia="zh-CN"/>
              </w:rPr>
              <w:t>。</w:t>
            </w:r>
          </w:p>
          <w:p w14:paraId="4C01EAB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3</w:t>
            </w:r>
            <w:r>
              <w:rPr>
                <w:rFonts w:hint="eastAsia" w:ascii="宋体" w:hAnsi="宋体" w:eastAsia="宋体" w:cs="宋体"/>
                <w:color w:val="auto"/>
                <w:sz w:val="21"/>
                <w:szCs w:val="21"/>
                <w:highlight w:val="none"/>
                <w:u w:val="none"/>
              </w:rPr>
              <w:t>.因供应商应急处置不力造成多名考生无法考试（10人及以上）的，给采购方政府公信力造成影响和财产损失的，</w:t>
            </w:r>
            <w:r>
              <w:rPr>
                <w:rFonts w:hint="eastAsia" w:ascii="宋体" w:hAnsi="宋体" w:cs="宋体"/>
                <w:color w:val="auto"/>
                <w:szCs w:val="21"/>
                <w:highlight w:val="none"/>
                <w:u w:val="none"/>
              </w:rPr>
              <w:t>采购方有权解除合同</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并要求</w:t>
            </w:r>
            <w:r>
              <w:rPr>
                <w:rFonts w:hint="eastAsia" w:ascii="宋体" w:hAnsi="宋体" w:cs="宋体"/>
                <w:color w:val="auto"/>
                <w:sz w:val="21"/>
                <w:szCs w:val="21"/>
                <w:highlight w:val="none"/>
                <w:u w:val="none"/>
                <w:lang w:val="en-US" w:eastAsia="zh-CN"/>
              </w:rPr>
              <w:t>供应商向采购人</w:t>
            </w:r>
            <w:r>
              <w:rPr>
                <w:rFonts w:hint="eastAsia" w:ascii="宋体" w:hAnsi="宋体" w:cs="宋体"/>
                <w:color w:val="auto"/>
                <w:szCs w:val="21"/>
                <w:highlight w:val="none"/>
                <w:u w:val="none"/>
              </w:rPr>
              <w:t>支付中标金额20%的违约金，若违约金无法填平采购人全部直接与间接损失，采购人有权继续要求赔偿。</w:t>
            </w:r>
          </w:p>
          <w:p w14:paraId="213355C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rPr>
              <w:t>.因供应</w:t>
            </w:r>
            <w:r>
              <w:rPr>
                <w:rFonts w:hint="eastAsia" w:ascii="宋体" w:hAnsi="宋体" w:eastAsia="宋体" w:cs="宋体"/>
                <w:color w:val="auto"/>
                <w:sz w:val="21"/>
                <w:szCs w:val="21"/>
                <w:highlight w:val="none"/>
                <w:u w:val="none"/>
                <w:lang w:val="en-US" w:eastAsia="zh-CN"/>
              </w:rPr>
              <w:t>商技术服务工作未按要求开展和推进，</w:t>
            </w:r>
            <w:r>
              <w:rPr>
                <w:rFonts w:hint="eastAsia" w:ascii="宋体" w:hAnsi="宋体" w:eastAsia="宋体" w:cs="宋体"/>
                <w:color w:val="auto"/>
                <w:sz w:val="21"/>
                <w:szCs w:val="21"/>
                <w:highlight w:val="none"/>
                <w:u w:val="none"/>
              </w:rPr>
              <w:t>造成整个考点无法正常按时开考的，采购方可以中止供应商服务资格</w:t>
            </w:r>
            <w:r>
              <w:rPr>
                <w:rFonts w:hint="eastAsia" w:ascii="宋体" w:hAnsi="宋体" w:eastAsia="宋体" w:cs="宋体"/>
                <w:color w:val="auto"/>
                <w:sz w:val="21"/>
                <w:szCs w:val="21"/>
                <w:highlight w:val="none"/>
                <w:u w:val="none"/>
                <w:lang w:eastAsia="zh-CN"/>
              </w:rPr>
              <w:t>，供应商应赔偿采购方损失，并支付</w:t>
            </w:r>
            <w:r>
              <w:rPr>
                <w:rFonts w:hint="eastAsia" w:ascii="宋体" w:hAnsi="宋体" w:cs="宋体"/>
                <w:color w:val="auto"/>
                <w:szCs w:val="21"/>
                <w:highlight w:val="none"/>
                <w:u w:val="none"/>
              </w:rPr>
              <w:t>中标金额</w:t>
            </w:r>
            <w:r>
              <w:rPr>
                <w:rFonts w:hint="eastAsia" w:ascii="宋体" w:hAnsi="宋体" w:cs="宋体"/>
                <w:color w:val="auto"/>
                <w:szCs w:val="21"/>
                <w:highlight w:val="none"/>
                <w:u w:val="none"/>
                <w:lang w:val="en-US" w:eastAsia="zh-CN"/>
              </w:rPr>
              <w:t>3</w:t>
            </w:r>
            <w:r>
              <w:rPr>
                <w:rFonts w:hint="eastAsia" w:ascii="宋体" w:hAnsi="宋体" w:cs="宋体"/>
                <w:color w:val="auto"/>
                <w:szCs w:val="21"/>
                <w:highlight w:val="none"/>
                <w:u w:val="none"/>
              </w:rPr>
              <w:t>0%的违约金，若违约金无法填平采购人全部直接与间接损失，采购人有权继续要求赔偿</w:t>
            </w:r>
            <w:r>
              <w:rPr>
                <w:rFonts w:hint="eastAsia" w:ascii="宋体" w:hAnsi="宋体" w:eastAsia="宋体" w:cs="宋体"/>
                <w:color w:val="auto"/>
                <w:sz w:val="21"/>
                <w:szCs w:val="21"/>
                <w:highlight w:val="none"/>
                <w:u w:val="none"/>
              </w:rPr>
              <w:t>。</w:t>
            </w:r>
          </w:p>
          <w:p w14:paraId="28C2FA38">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（四）其他相关要求</w:t>
            </w:r>
          </w:p>
          <w:p w14:paraId="66481517">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1.风险应急处置要求</w:t>
            </w:r>
          </w:p>
          <w:p w14:paraId="6DDE307D">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（1）制定详细、可行、完整的技术服务方案，并针对大规模停电、大规模死机、网络病毒、延时、补考等制定突发事件应急处理预案。</w:t>
            </w:r>
          </w:p>
          <w:p w14:paraId="4C75B00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（2）建立突发情况上报渠道，按照应急预案及时报告并有效处理。</w:t>
            </w:r>
          </w:p>
          <w:p w14:paraId="0F45099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2.安全保密要求</w:t>
            </w:r>
          </w:p>
          <w:p w14:paraId="509A35CB">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（1）应具备规范保密组织管理能力，并能独立承担保密风险责任。供应商必须对所有工作人员进行上岗前</w:t>
            </w:r>
            <w:r>
              <w:rPr>
                <w:rFonts w:hint="eastAsia" w:ascii="宋体" w:hAnsi="宋体" w:eastAsia="宋体" w:cs="宋体"/>
                <w:color w:val="auto"/>
                <w:sz w:val="21"/>
                <w:szCs w:val="21"/>
                <w:highlight w:val="none"/>
                <w:u w:val="none"/>
                <w:lang w:val="en-US" w:eastAsia="zh-CN"/>
              </w:rPr>
              <w:t>安全保密</w:t>
            </w:r>
            <w:r>
              <w:rPr>
                <w:rFonts w:hint="eastAsia" w:ascii="宋体" w:hAnsi="宋体" w:eastAsia="宋体" w:cs="宋体"/>
                <w:color w:val="auto"/>
                <w:sz w:val="21"/>
                <w:szCs w:val="21"/>
                <w:highlight w:val="none"/>
                <w:u w:val="none"/>
              </w:rPr>
              <w:t>培训，明确保密、安全生产等方面法律责任和纪律要求，对考试服务过程</w:t>
            </w:r>
            <w:r>
              <w:rPr>
                <w:rFonts w:hint="eastAsia" w:ascii="宋体" w:hAnsi="宋体" w:eastAsia="宋体" w:cs="宋体"/>
                <w:color w:val="auto"/>
                <w:sz w:val="21"/>
                <w:szCs w:val="21"/>
                <w:highlight w:val="none"/>
                <w:u w:val="none"/>
                <w:lang w:eastAsia="zh-CN"/>
              </w:rPr>
              <w:t>中</w:t>
            </w:r>
            <w:r>
              <w:rPr>
                <w:rFonts w:hint="eastAsia" w:ascii="宋体" w:hAnsi="宋体" w:eastAsia="宋体" w:cs="宋体"/>
                <w:color w:val="auto"/>
                <w:sz w:val="21"/>
                <w:szCs w:val="21"/>
                <w:highlight w:val="none"/>
                <w:u w:val="none"/>
              </w:rPr>
              <w:t>接触的所有考试信息严格保密</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不得留存考试数据</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rPr>
              <w:t>该保密义务不因合同的更改、解除和终止而终止。</w:t>
            </w:r>
          </w:p>
          <w:p w14:paraId="4AFB44A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rPr>
              <w:t>（2）技术</w:t>
            </w:r>
            <w:r>
              <w:rPr>
                <w:rFonts w:hint="eastAsia" w:ascii="宋体" w:hAnsi="宋体" w:eastAsia="宋体" w:cs="宋体"/>
                <w:color w:val="auto"/>
                <w:sz w:val="21"/>
                <w:szCs w:val="21"/>
                <w:highlight w:val="none"/>
                <w:u w:val="none"/>
                <w:lang w:val="en-US" w:eastAsia="zh-CN"/>
              </w:rPr>
              <w:t>团队</w:t>
            </w:r>
            <w:r>
              <w:rPr>
                <w:rFonts w:hint="eastAsia" w:ascii="宋体" w:hAnsi="宋体" w:eastAsia="宋体" w:cs="宋体"/>
                <w:color w:val="auto"/>
                <w:sz w:val="21"/>
                <w:szCs w:val="21"/>
                <w:highlight w:val="none"/>
                <w:u w:val="none"/>
              </w:rPr>
              <w:t>人员</w:t>
            </w:r>
            <w:r>
              <w:rPr>
                <w:rFonts w:hint="eastAsia" w:ascii="宋体" w:hAnsi="宋体" w:eastAsia="宋体" w:cs="宋体"/>
                <w:color w:val="auto"/>
                <w:sz w:val="21"/>
                <w:szCs w:val="21"/>
                <w:highlight w:val="none"/>
                <w:u w:val="none"/>
                <w:lang w:val="en-US" w:eastAsia="zh-CN"/>
              </w:rPr>
              <w:t>不能使用社会考试培训机构有关人员的人员</w:t>
            </w:r>
            <w:r>
              <w:rPr>
                <w:rFonts w:hint="eastAsia" w:ascii="宋体" w:hAnsi="宋体" w:eastAsia="宋体" w:cs="宋体"/>
                <w:color w:val="auto"/>
                <w:sz w:val="21"/>
                <w:szCs w:val="21"/>
                <w:highlight w:val="none"/>
                <w:u w:val="none"/>
              </w:rPr>
              <w:t>。</w:t>
            </w:r>
          </w:p>
          <w:p w14:paraId="0AADC269">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（3）供应商不得是境外控股或直接投资的组织、机构。所有工作人员必须是中国国籍，不得聘任具有外国国籍、无国籍、取得国（境）外永久居留权、长期居留许可的人员从事相关工作。</w:t>
            </w:r>
          </w:p>
          <w:p w14:paraId="54C80E1A">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4</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供应商所有项目参与人员应当遵循考试回避要求，并在上岗前</w:t>
            </w:r>
            <w:r>
              <w:rPr>
                <w:rFonts w:hint="eastAsia" w:ascii="宋体" w:hAnsi="宋体" w:eastAsia="宋体" w:cs="宋体"/>
                <w:color w:val="auto"/>
                <w:sz w:val="21"/>
                <w:szCs w:val="21"/>
                <w:highlight w:val="none"/>
                <w:u w:val="none"/>
              </w:rPr>
              <w:t>签订保密协议</w:t>
            </w:r>
            <w:r>
              <w:rPr>
                <w:rFonts w:hint="eastAsia" w:ascii="宋体" w:hAnsi="宋体" w:eastAsia="宋体" w:cs="宋体"/>
                <w:color w:val="auto"/>
                <w:sz w:val="21"/>
                <w:szCs w:val="21"/>
                <w:highlight w:val="none"/>
                <w:u w:val="none"/>
                <w:lang w:val="en-US" w:eastAsia="zh-CN"/>
              </w:rPr>
              <w:t>。</w:t>
            </w:r>
          </w:p>
          <w:p w14:paraId="6984B43C">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（5）供应商为考试机位提供防窥膜或隔板，以加强考试安全。</w:t>
            </w:r>
          </w:p>
          <w:p w14:paraId="2757A96E">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3.服务实施时间和具体要求</w:t>
            </w:r>
          </w:p>
          <w:p w14:paraId="7595B201">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以人社部人事考试中心</w:t>
            </w:r>
            <w:r>
              <w:rPr>
                <w:rFonts w:hint="eastAsia" w:ascii="宋体" w:hAnsi="宋体" w:eastAsia="宋体" w:cs="宋体"/>
                <w:color w:val="auto"/>
                <w:sz w:val="21"/>
                <w:szCs w:val="21"/>
                <w:highlight w:val="none"/>
                <w:u w:val="none"/>
                <w:lang w:val="en-US" w:eastAsia="zh-CN"/>
              </w:rPr>
              <w:t>或考试有关部门</w:t>
            </w:r>
            <w:r>
              <w:rPr>
                <w:rFonts w:hint="eastAsia" w:ascii="宋体" w:hAnsi="宋体" w:eastAsia="宋体" w:cs="宋体"/>
                <w:color w:val="auto"/>
                <w:sz w:val="21"/>
                <w:szCs w:val="21"/>
                <w:highlight w:val="none"/>
                <w:u w:val="none"/>
              </w:rPr>
              <w:t>最新下发的考务通知文件为准。采购人有权依照新的政策执行，供应商必须遵守并按规定执行。</w:t>
            </w:r>
          </w:p>
          <w:p w14:paraId="1F3EA3FF">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4.考试工作由采购人统一部署，并派出巡考人员</w:t>
            </w:r>
            <w:r>
              <w:rPr>
                <w:rFonts w:hint="eastAsia" w:ascii="宋体" w:hAnsi="宋体" w:eastAsia="宋体" w:cs="宋体"/>
                <w:color w:val="auto"/>
                <w:sz w:val="21"/>
                <w:szCs w:val="21"/>
                <w:highlight w:val="none"/>
                <w:u w:val="none"/>
                <w:lang w:val="en-US" w:eastAsia="zh-CN"/>
              </w:rPr>
              <w:t>对机考服务进行</w:t>
            </w:r>
            <w:r>
              <w:rPr>
                <w:rFonts w:hint="eastAsia" w:ascii="宋体" w:hAnsi="宋体" w:eastAsia="宋体" w:cs="宋体"/>
                <w:color w:val="auto"/>
                <w:sz w:val="21"/>
                <w:szCs w:val="21"/>
                <w:highlight w:val="none"/>
                <w:u w:val="none"/>
              </w:rPr>
              <w:t>巡视督考工作</w:t>
            </w:r>
            <w:r>
              <w:rPr>
                <w:rFonts w:hint="eastAsia" w:ascii="宋体" w:hAnsi="宋体" w:eastAsia="宋体" w:cs="宋体"/>
                <w:color w:val="auto"/>
                <w:sz w:val="21"/>
                <w:szCs w:val="21"/>
                <w:highlight w:val="none"/>
                <w:u w:val="none"/>
                <w:lang w:eastAsia="zh-CN"/>
              </w:rPr>
              <w:t>，</w:t>
            </w:r>
            <w:r>
              <w:rPr>
                <w:rFonts w:hint="eastAsia" w:ascii="宋体" w:hAnsi="宋体" w:eastAsia="宋体" w:cs="宋体"/>
                <w:color w:val="auto"/>
                <w:sz w:val="21"/>
                <w:szCs w:val="21"/>
                <w:highlight w:val="none"/>
                <w:u w:val="none"/>
                <w:lang w:val="en-US" w:eastAsia="zh-CN"/>
              </w:rPr>
              <w:t>供应商须配合</w:t>
            </w:r>
            <w:r>
              <w:rPr>
                <w:rFonts w:hint="eastAsia" w:ascii="宋体" w:hAnsi="宋体" w:eastAsia="宋体" w:cs="宋体"/>
                <w:color w:val="auto"/>
                <w:sz w:val="21"/>
                <w:szCs w:val="21"/>
                <w:highlight w:val="none"/>
                <w:u w:val="none"/>
              </w:rPr>
              <w:t>。</w:t>
            </w:r>
          </w:p>
          <w:p w14:paraId="340B0842">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5.采购人于考试前1周向供应商提供考试考场规则、考试违规处理规定、有关考试规定及资料，以便供应商组织实施考务工作。供应商应当遵守上述文件。</w:t>
            </w:r>
          </w:p>
          <w:p w14:paraId="3D357020">
            <w:pPr>
              <w:keepNext w:val="0"/>
              <w:keepLines w:val="0"/>
              <w:pageBreakBefore w:val="0"/>
              <w:widowControl/>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6.由于“对电子化考试服务过程理解可能存在偏差”“对招标具体条文理解可能存在歧义”“可能存在采购人不可预见的考试服务过程或配套服务内容”等原因（但不包括第三方提供的软件系统引起的问题），服务过程中成交供应商必须首先保障考试的顺利实施、并完成全部考试服务过程或配套服务内容。</w:t>
            </w:r>
          </w:p>
        </w:tc>
      </w:tr>
      <w:tr w14:paraId="442FF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23" w:type="dxa"/>
            <w:vAlign w:val="center"/>
          </w:tcPr>
          <w:p w14:paraId="6156E3B5">
            <w:pPr>
              <w:pStyle w:val="23"/>
              <w:spacing w:line="360" w:lineRule="exact"/>
              <w:jc w:val="center"/>
              <w:rPr>
                <w:rFonts w:ascii="宋体" w:hAnsi="宋体" w:cs="宋体"/>
                <w:color w:val="auto"/>
                <w:szCs w:val="21"/>
                <w:highlight w:val="none"/>
                <w:u w:val="none"/>
              </w:rPr>
            </w:pPr>
            <w:r>
              <w:rPr>
                <w:rFonts w:hint="eastAsia" w:ascii="宋体" w:hAnsi="宋体" w:cs="宋体"/>
                <w:b/>
                <w:bCs/>
                <w:color w:val="auto"/>
                <w:sz w:val="21"/>
                <w:szCs w:val="21"/>
                <w:highlight w:val="none"/>
                <w:u w:val="none"/>
              </w:rPr>
              <w:t>商务条款</w:t>
            </w:r>
          </w:p>
        </w:tc>
        <w:tc>
          <w:tcPr>
            <w:tcW w:w="9227" w:type="dxa"/>
            <w:gridSpan w:val="4"/>
            <w:vAlign w:val="center"/>
          </w:tcPr>
          <w:p w14:paraId="7C31CD5E">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一、报价要求：</w:t>
            </w:r>
          </w:p>
          <w:p w14:paraId="7874C524">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1.供应商对项目报总价，成交金额为成交供应商最终的总报价金额，总报价不超过2321800元。根据总报价金额除以总预计科次，确定结算的科次单价，单价四舍五入精确到小数点后2位。</w:t>
            </w:r>
          </w:p>
          <w:p w14:paraId="44ED5F55">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2.为了保证供应商的公平竞争和采购人的合法权益，防止恶意竞争，保证项目质量，对于异常低价的审查按本项目“第四章  评审程序、评审方法和评审标准”第5.12条规定执行。</w:t>
            </w:r>
          </w:p>
          <w:p w14:paraId="7A9F0AE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二、服务期限及服务地点：</w:t>
            </w:r>
          </w:p>
          <w:p w14:paraId="5BD4AC0B">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1.服务期限：合同签订之日起至本项目所有考试结束。签订合同之日起10天内能按采购文件要求提供本项目服务。如遇特殊情况当年考试推迟到第二年，须按合同约定完成当年考试任务。</w:t>
            </w:r>
          </w:p>
          <w:p w14:paraId="1F691AE0">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2.服务地点：广西区内采购人指定地点。</w:t>
            </w:r>
          </w:p>
          <w:p w14:paraId="11933D11">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3.合同签订期：自成交通知书发出之日起15日内。</w:t>
            </w:r>
          </w:p>
          <w:p w14:paraId="1D1EDCC9">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三、项目验收要求：</w:t>
            </w:r>
          </w:p>
          <w:p w14:paraId="4BA67234">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2026年广西经济专业技术资格考试按高级经济和初中级经济考试进行2次验收结算；2026年广西执业药师职业资格电子化考试进行1次验收结算；2026年广西翻译专业资格（水平）进行1次验收结算；2026年广西计算机技术与软件专业技术资格（水平）电子化考试按上下半年各组织1次进行2次验收结算。</w:t>
            </w:r>
          </w:p>
          <w:p w14:paraId="69C3C0D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供应商应提供以下验收材料：</w:t>
            </w:r>
          </w:p>
          <w:p w14:paraId="0A34CD4B">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1.协议合同。</w:t>
            </w:r>
          </w:p>
          <w:p w14:paraId="55727A4C">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2.机房验收报告。</w:t>
            </w:r>
          </w:p>
          <w:p w14:paraId="55FD4B97">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3.相关人员培训记录。</w:t>
            </w:r>
          </w:p>
          <w:p w14:paraId="73F382E2">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4.模考封场报告。</w:t>
            </w:r>
          </w:p>
          <w:p w14:paraId="767ED9E9">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5.工作方案及工作总结。</w:t>
            </w:r>
          </w:p>
          <w:p w14:paraId="2B7C7D3A">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6.技术服务人员签到表（考试实施当天）</w:t>
            </w:r>
          </w:p>
          <w:p w14:paraId="413CDC9C">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b w:val="0"/>
                <w:bCs w:val="0"/>
                <w:color w:val="auto"/>
                <w:szCs w:val="21"/>
                <w:highlight w:val="none"/>
                <w:u w:val="none"/>
                <w:lang w:val="en-US" w:eastAsia="zh-CN"/>
              </w:rPr>
              <w:t>7.验收书。</w:t>
            </w:r>
          </w:p>
          <w:p w14:paraId="2826AC9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bCs/>
                <w:color w:val="auto"/>
                <w:szCs w:val="21"/>
                <w:highlight w:val="none"/>
                <w:u w:val="none"/>
                <w:lang w:val="en-US" w:eastAsia="zh-CN"/>
              </w:rPr>
            </w:pPr>
            <w:r>
              <w:rPr>
                <w:rFonts w:hint="eastAsia" w:ascii="宋体" w:hAnsi="宋体" w:cs="宋体"/>
                <w:b/>
                <w:bCs/>
                <w:color w:val="auto"/>
                <w:szCs w:val="21"/>
                <w:highlight w:val="none"/>
                <w:u w:val="none"/>
                <w:lang w:val="en-US" w:eastAsia="zh-CN"/>
              </w:rPr>
              <w:t>四、付款方式：</w:t>
            </w:r>
          </w:p>
          <w:p w14:paraId="7CE2979F">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color w:val="auto"/>
                <w:szCs w:val="21"/>
                <w:highlight w:val="none"/>
                <w:u w:val="none"/>
              </w:rPr>
            </w:pPr>
            <w:r>
              <w:rPr>
                <w:rFonts w:hint="eastAsia" w:ascii="宋体" w:hAnsi="宋体" w:cs="宋体"/>
                <w:color w:val="auto"/>
                <w:szCs w:val="21"/>
                <w:highlight w:val="none"/>
                <w:u w:val="none"/>
              </w:rPr>
              <w:t>1.项目实施中，按每批次考试进行结算，每批次结算金额=科次单价（成交总金额/总预计科次）×每批次实际科次。由采购人在该批次考试结束后，收到成交供应商提交的书面支付申请后十个工作日内支付。每次按合同支付款项前，成交供应商应向采购人提供与支付金额相符的有效发票，且收款方、出具发票方、合同乙方均必须与成交供应商名称一致。</w:t>
            </w:r>
          </w:p>
          <w:p w14:paraId="27EF37BA">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color w:val="auto"/>
                <w:szCs w:val="21"/>
                <w:highlight w:val="none"/>
                <w:u w:val="none"/>
              </w:rPr>
            </w:pPr>
            <w:r>
              <w:rPr>
                <w:rFonts w:hint="eastAsia" w:ascii="宋体" w:hAnsi="宋体" w:cs="宋体"/>
                <w:color w:val="auto"/>
                <w:szCs w:val="21"/>
                <w:highlight w:val="none"/>
                <w:u w:val="none"/>
              </w:rPr>
              <w:t>2.考试实施期间，总实际科次不超过总预算科次时，按实际科次结算；总实际科次不超过总预算科次10%时，全年累计支付不超过合同总价。</w:t>
            </w:r>
          </w:p>
          <w:p w14:paraId="791D30FD">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cs="宋体"/>
                <w:b w:val="0"/>
                <w:bCs w:val="0"/>
                <w:color w:val="auto"/>
                <w:szCs w:val="21"/>
                <w:highlight w:val="none"/>
                <w:u w:val="none"/>
                <w:lang w:val="en-US" w:eastAsia="zh-CN"/>
              </w:rPr>
            </w:pPr>
            <w:r>
              <w:rPr>
                <w:rFonts w:hint="eastAsia" w:ascii="宋体" w:hAnsi="宋体" w:cs="宋体"/>
                <w:color w:val="auto"/>
                <w:szCs w:val="21"/>
                <w:highlight w:val="none"/>
                <w:u w:val="none"/>
              </w:rPr>
              <w:t>注：科次单价（成交总金额/总预计科次）单位为元（人民币），四舍五入精确到小数点后2位，若总实际科次等于总预计科次时，经计算最后一批次结算金额不等于成交总金额-之前批次已结算总金额的，按成交总金额-之前批次已结算总金额结算。</w:t>
            </w:r>
          </w:p>
          <w:p w14:paraId="51A52C03">
            <w:pPr>
              <w:keepNext w:val="0"/>
              <w:keepLines w:val="0"/>
              <w:pageBreakBefore w:val="0"/>
              <w:widowControl/>
              <w:kinsoku/>
              <w:wordWrap/>
              <w:overflowPunct/>
              <w:topLinePunct w:val="0"/>
              <w:autoSpaceDE/>
              <w:autoSpaceDN/>
              <w:bidi w:val="0"/>
              <w:adjustRightInd/>
              <w:snapToGrid/>
              <w:spacing w:line="240" w:lineRule="auto"/>
              <w:rPr>
                <w:rFonts w:hint="eastAsia" w:ascii="宋体" w:hAnsi="宋体" w:eastAsia="宋体" w:cs="宋体"/>
                <w:b/>
                <w:bCs/>
                <w:color w:val="auto"/>
                <w:sz w:val="21"/>
                <w:szCs w:val="21"/>
                <w:highlight w:val="none"/>
                <w:u w:val="none"/>
                <w:lang w:val="en-US" w:eastAsia="zh-CN"/>
              </w:rPr>
            </w:pPr>
            <w:r>
              <w:rPr>
                <w:rFonts w:hint="eastAsia" w:ascii="宋体" w:hAnsi="宋体" w:cs="宋体"/>
                <w:b/>
                <w:bCs/>
                <w:color w:val="auto"/>
                <w:szCs w:val="21"/>
                <w:highlight w:val="none"/>
                <w:u w:val="none"/>
                <w:lang w:val="en-US" w:eastAsia="zh-CN"/>
              </w:rPr>
              <w:t>五、其他</w:t>
            </w:r>
            <w:r>
              <w:rPr>
                <w:rFonts w:hint="eastAsia" w:ascii="宋体" w:hAnsi="宋体" w:eastAsia="宋体" w:cs="宋体"/>
                <w:b/>
                <w:bCs/>
                <w:color w:val="auto"/>
                <w:sz w:val="21"/>
                <w:szCs w:val="21"/>
                <w:highlight w:val="none"/>
                <w:u w:val="none"/>
                <w:lang w:val="en-US" w:eastAsia="zh-CN"/>
              </w:rPr>
              <w:t>：</w:t>
            </w:r>
          </w:p>
          <w:p w14:paraId="449B2B8B">
            <w:pPr>
              <w:pStyle w:val="23"/>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1.服务时效性要求</w:t>
            </w:r>
            <w:r>
              <w:rPr>
                <w:rFonts w:hint="eastAsia" w:ascii="宋体" w:hAnsi="宋体" w:cs="宋体"/>
                <w:b w:val="0"/>
                <w:bCs w:val="0"/>
                <w:color w:val="auto"/>
                <w:kern w:val="0"/>
                <w:sz w:val="21"/>
                <w:szCs w:val="21"/>
                <w:highlight w:val="none"/>
                <w:u w:val="none"/>
                <w:lang w:val="en-US" w:eastAsia="zh-CN" w:bidi="ar-SA"/>
              </w:rPr>
              <w:t>：服务期内，供应商提供7*24小时服务。考试结束后，如有本次服务过程事项咨询，供应商应当积极配合。</w:t>
            </w:r>
          </w:p>
          <w:p w14:paraId="34069A61">
            <w:pPr>
              <w:pStyle w:val="23"/>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2.政府采购合同订立后，合同各方不得擅自变更、中止或者终止合同。政府采购合同履行中，采购人需追加与合同标的相同的服务的，在不改变合同其他条款的前提下，且已落实资金来源后，可以与成交供应商签订补充合同，但所补充合同的采购金额不得超过采购金额的10%，已依法签订的补充合同，也应在补充合同签订之日后按要求登录政府采购网备案。</w:t>
            </w:r>
          </w:p>
          <w:p w14:paraId="6D2AE131">
            <w:pPr>
              <w:rPr>
                <w:rFonts w:hint="default"/>
                <w:color w:val="auto"/>
                <w:highlight w:val="none"/>
                <w:u w:val="none"/>
                <w:lang w:val="en-US" w:eastAsia="zh-CN"/>
              </w:rPr>
            </w:pPr>
            <w:r>
              <w:rPr>
                <w:rFonts w:hint="eastAsia" w:ascii="宋体" w:hAnsi="宋体" w:eastAsia="宋体" w:cs="宋体"/>
                <w:b w:val="0"/>
                <w:bCs w:val="0"/>
                <w:color w:val="auto"/>
                <w:kern w:val="0"/>
                <w:sz w:val="21"/>
                <w:szCs w:val="21"/>
                <w:highlight w:val="none"/>
                <w:u w:val="none"/>
                <w:lang w:val="en-US" w:eastAsia="zh-CN" w:bidi="ar-SA"/>
              </w:rPr>
              <w:t>3.除采购文件另有规定外，若出现有关法律法规和规章有强制性规定但招标文件未列明的情形，则供应商应按照有关法律法规和规章强制性规定执行。</w:t>
            </w:r>
          </w:p>
          <w:p w14:paraId="229954B0">
            <w:pPr>
              <w:pStyle w:val="23"/>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3.合同签订后，成交供应商不能履行合同的或无法履行相关承诺或无法按照相关承诺提供服务的或所提供的服务不符合合同规定及磋商文件规定标准的，采购人有权拒绝该服务。给采购人造成损失的，成交供应商应向采购人赔偿中标金额30%的罚金，并报政府采购监管部门依法处理。</w:t>
            </w:r>
          </w:p>
          <w:p w14:paraId="0F50BAAE">
            <w:pPr>
              <w:pStyle w:val="23"/>
              <w:rPr>
                <w:rFonts w:hint="eastAsia" w:ascii="宋体" w:hAnsi="宋体" w:eastAsia="宋体" w:cs="宋体"/>
                <w:b w:val="0"/>
                <w:bCs w:val="0"/>
                <w:color w:val="auto"/>
                <w:kern w:val="0"/>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4.成交供应商应配合采购人在考试实施期间，开展人工智能+人事考试的应用场景测试工作，包括考生AI看考点、考场行为AI巡查、智能考务等人工智能应用场景的测试工作，协助部署安装调试相关软件和智能考务设备。</w:t>
            </w:r>
          </w:p>
          <w:p w14:paraId="6BE2F23F">
            <w:pPr>
              <w:pStyle w:val="23"/>
              <w:rPr>
                <w:rFonts w:hint="eastAsia" w:ascii="宋体" w:hAnsi="宋体" w:eastAsia="宋体" w:cs="Times New Roman"/>
                <w:b w:val="0"/>
                <w:bCs w:val="0"/>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u w:val="none"/>
                <w:lang w:val="en-US" w:eastAsia="zh-CN" w:bidi="ar-SA"/>
              </w:rPr>
              <w:t>5.未尽事宜，双方合同约定。</w:t>
            </w:r>
          </w:p>
        </w:tc>
      </w:tr>
    </w:tbl>
    <w:p w14:paraId="7637FCA6">
      <w:pPr>
        <w:rPr>
          <w:rFonts w:ascii="Arial Unicode MS" w:hAnsi="Arial Unicode MS" w:eastAsia="Arial Unicode MS" w:cs="Arial Unicode MS"/>
          <w:color w:val="auto"/>
          <w:sz w:val="32"/>
          <w:szCs w:val="32"/>
          <w:highlight w:val="none"/>
        </w:rPr>
      </w:pPr>
      <w:r>
        <w:rPr>
          <w:rFonts w:hint="eastAsia" w:ascii="Arial Unicode MS" w:hAnsi="Arial Unicode MS" w:eastAsia="Arial Unicode MS" w:cs="Arial Unicode MS"/>
          <w:color w:val="auto"/>
          <w:sz w:val="32"/>
          <w:szCs w:val="32"/>
          <w:highlight w:val="none"/>
        </w:rPr>
        <w:br w:type="page"/>
      </w:r>
    </w:p>
    <w:p w14:paraId="2F52D3C9">
      <w:pPr>
        <w:spacing w:line="528" w:lineRule="exact"/>
        <w:jc w:val="left"/>
        <w:rPr>
          <w:rFonts w:hint="eastAsia" w:ascii="宋体" w:hAnsi="宋体" w:eastAsia="宋体" w:cs="宋体"/>
          <w:color w:val="auto"/>
          <w:highlight w:val="none"/>
        </w:rPr>
      </w:pPr>
      <w:bookmarkStart w:id="63" w:name="_Toc3319"/>
      <w:bookmarkStart w:id="64" w:name="_Toc80886927"/>
      <w:r>
        <w:rPr>
          <w:rFonts w:hint="eastAsia" w:ascii="宋体" w:hAnsi="宋体" w:eastAsia="宋体" w:cs="宋体"/>
          <w:color w:val="auto"/>
          <w:sz w:val="32"/>
          <w:szCs w:val="32"/>
          <w:highlight w:val="none"/>
        </w:rPr>
        <w:t>附件1</w:t>
      </w:r>
    </w:p>
    <w:p w14:paraId="03A5681D">
      <w:pPr>
        <w:spacing w:line="528" w:lineRule="exact"/>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节能产品政府采购品目清单</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1"/>
        <w:gridCol w:w="1116"/>
        <w:gridCol w:w="1516"/>
        <w:gridCol w:w="1612"/>
        <w:gridCol w:w="4335"/>
      </w:tblGrid>
      <w:tr w14:paraId="08FA0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641" w:type="dxa"/>
            <w:noWrap w:val="0"/>
            <w:vAlign w:val="top"/>
          </w:tcPr>
          <w:p w14:paraId="1C432A22">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品目序号</w:t>
            </w:r>
          </w:p>
        </w:tc>
        <w:tc>
          <w:tcPr>
            <w:tcW w:w="4244" w:type="dxa"/>
            <w:gridSpan w:val="3"/>
            <w:noWrap w:val="0"/>
            <w:vAlign w:val="center"/>
          </w:tcPr>
          <w:p w14:paraId="338F6699">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名称</w:t>
            </w:r>
          </w:p>
        </w:tc>
        <w:tc>
          <w:tcPr>
            <w:tcW w:w="4335" w:type="dxa"/>
            <w:noWrap w:val="0"/>
            <w:vAlign w:val="center"/>
          </w:tcPr>
          <w:p w14:paraId="2F943DC3">
            <w:pPr>
              <w:widowControl/>
              <w:jc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依据的标准</w:t>
            </w:r>
          </w:p>
        </w:tc>
      </w:tr>
      <w:tr w14:paraId="45A2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109B060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w:t>
            </w:r>
          </w:p>
        </w:tc>
        <w:tc>
          <w:tcPr>
            <w:tcW w:w="1116" w:type="dxa"/>
            <w:vMerge w:val="restart"/>
            <w:noWrap w:val="0"/>
            <w:vAlign w:val="center"/>
          </w:tcPr>
          <w:p w14:paraId="30311D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A020101计算机设备</w:t>
            </w:r>
          </w:p>
        </w:tc>
        <w:tc>
          <w:tcPr>
            <w:tcW w:w="1516" w:type="dxa"/>
            <w:noWrap w:val="0"/>
            <w:vAlign w:val="center"/>
          </w:tcPr>
          <w:p w14:paraId="69E0CCF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★A02010104台式计算机</w:t>
            </w:r>
          </w:p>
        </w:tc>
        <w:tc>
          <w:tcPr>
            <w:tcW w:w="1612" w:type="dxa"/>
            <w:noWrap w:val="0"/>
            <w:vAlign w:val="center"/>
          </w:tcPr>
          <w:p w14:paraId="36F2CA9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DE3376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03621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67B3C80E">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663B413B">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CC2319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★A02010105便携式计算机</w:t>
            </w:r>
          </w:p>
        </w:tc>
        <w:tc>
          <w:tcPr>
            <w:tcW w:w="1612" w:type="dxa"/>
            <w:noWrap w:val="0"/>
            <w:vAlign w:val="center"/>
          </w:tcPr>
          <w:p w14:paraId="6A57175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768DC8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6F303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45CB2F78">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226A52B4">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D2466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★A02010107平板式微型计算机</w:t>
            </w:r>
          </w:p>
        </w:tc>
        <w:tc>
          <w:tcPr>
            <w:tcW w:w="1612" w:type="dxa"/>
            <w:noWrap w:val="0"/>
            <w:vAlign w:val="center"/>
          </w:tcPr>
          <w:p w14:paraId="5B0E7BE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3A4BA8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《微型计算机能效限定值及能效等级》（GB28380）</w:t>
            </w:r>
          </w:p>
        </w:tc>
      </w:tr>
      <w:tr w14:paraId="16DA8F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6C8EF67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2</w:t>
            </w:r>
          </w:p>
        </w:tc>
        <w:tc>
          <w:tcPr>
            <w:tcW w:w="1116" w:type="dxa"/>
            <w:vMerge w:val="restart"/>
            <w:noWrap w:val="0"/>
            <w:vAlign w:val="center"/>
          </w:tcPr>
          <w:p w14:paraId="0348D92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A020106输入输出设备</w:t>
            </w:r>
          </w:p>
        </w:tc>
        <w:tc>
          <w:tcPr>
            <w:tcW w:w="1516" w:type="dxa"/>
            <w:vMerge w:val="restart"/>
            <w:noWrap w:val="0"/>
            <w:vAlign w:val="center"/>
          </w:tcPr>
          <w:p w14:paraId="3A6B395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A02010601打印设备</w:t>
            </w:r>
          </w:p>
        </w:tc>
        <w:tc>
          <w:tcPr>
            <w:tcW w:w="1612" w:type="dxa"/>
            <w:noWrap w:val="0"/>
            <w:vAlign w:val="center"/>
          </w:tcPr>
          <w:p w14:paraId="789C4B1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A0201060101喷墨打印机</w:t>
            </w:r>
          </w:p>
        </w:tc>
        <w:tc>
          <w:tcPr>
            <w:tcW w:w="4335" w:type="dxa"/>
            <w:noWrap w:val="0"/>
            <w:vAlign w:val="center"/>
          </w:tcPr>
          <w:p w14:paraId="33EDB53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546B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1942A3BE">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50B82FC">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1C5A190">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58DEE3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★A0201060102激光打印机</w:t>
            </w:r>
          </w:p>
        </w:tc>
        <w:tc>
          <w:tcPr>
            <w:tcW w:w="4335" w:type="dxa"/>
            <w:noWrap w:val="0"/>
            <w:vAlign w:val="center"/>
          </w:tcPr>
          <w:p w14:paraId="6E2C605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42464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60303EFD">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5039CAD">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24650C1">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271751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★A0201060104针式打印机</w:t>
            </w:r>
          </w:p>
        </w:tc>
        <w:tc>
          <w:tcPr>
            <w:tcW w:w="4335" w:type="dxa"/>
            <w:noWrap w:val="0"/>
            <w:vAlign w:val="center"/>
          </w:tcPr>
          <w:p w14:paraId="50119C3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195AE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3B137D61">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969750B">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60449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A02010604显示设备</w:t>
            </w:r>
          </w:p>
        </w:tc>
        <w:tc>
          <w:tcPr>
            <w:tcW w:w="1612" w:type="dxa"/>
            <w:noWrap w:val="0"/>
            <w:vAlign w:val="center"/>
          </w:tcPr>
          <w:p w14:paraId="3BA1736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★A0201060401液晶显示器</w:t>
            </w:r>
          </w:p>
        </w:tc>
        <w:tc>
          <w:tcPr>
            <w:tcW w:w="4335" w:type="dxa"/>
            <w:noWrap w:val="0"/>
            <w:vAlign w:val="center"/>
          </w:tcPr>
          <w:p w14:paraId="775A176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《计算机显示器能效限定值及能效等级》（GB21520）</w:t>
            </w:r>
          </w:p>
        </w:tc>
      </w:tr>
      <w:tr w14:paraId="1CDCC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14:paraId="4C66E365">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0A5DA2D1">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37A529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A02010609图形图像输入设备</w:t>
            </w:r>
          </w:p>
        </w:tc>
        <w:tc>
          <w:tcPr>
            <w:tcW w:w="1612" w:type="dxa"/>
            <w:noWrap w:val="0"/>
            <w:vAlign w:val="center"/>
          </w:tcPr>
          <w:p w14:paraId="6C33708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A0201060901扫描仪</w:t>
            </w:r>
          </w:p>
        </w:tc>
        <w:tc>
          <w:tcPr>
            <w:tcW w:w="4335" w:type="dxa"/>
            <w:noWrap w:val="0"/>
            <w:vAlign w:val="center"/>
          </w:tcPr>
          <w:p w14:paraId="519372FF">
            <w:pPr>
              <w:widowControl/>
              <w:jc w:val="left"/>
              <w:rPr>
                <w:rFonts w:hint="eastAsia" w:ascii="宋体" w:hAnsi="宋体" w:eastAsia="宋体" w:cs="宋体"/>
                <w:color w:val="auto"/>
                <w:kern w:val="0"/>
                <w:sz w:val="20"/>
                <w:szCs w:val="20"/>
                <w:highlight w:val="none"/>
                <w:lang w:eastAsia="zh-CN"/>
              </w:rPr>
            </w:pPr>
            <w:r>
              <w:rPr>
                <w:rFonts w:hint="eastAsia" w:ascii="宋体" w:hAnsi="宋体" w:eastAsia="宋体" w:cs="宋体"/>
                <w:color w:val="auto"/>
                <w:kern w:val="0"/>
                <w:sz w:val="20"/>
                <w:szCs w:val="20"/>
                <w:highlight w:val="none"/>
              </w:rPr>
              <w:t>参照《复印机、打印机和传真机能效限定值及能效等级》（GB21521</w:t>
            </w:r>
            <w:r>
              <w:rPr>
                <w:rFonts w:hint="eastAsia" w:ascii="宋体" w:hAnsi="宋体" w:eastAsia="宋体" w:cs="宋体"/>
                <w:color w:val="auto"/>
                <w:kern w:val="0"/>
                <w:sz w:val="20"/>
                <w:szCs w:val="20"/>
                <w:highlight w:val="none"/>
                <w:lang w:eastAsia="zh-CN"/>
              </w:rPr>
              <w:t>）中打印速度为15页/分的针式打印机相关要求</w:t>
            </w:r>
          </w:p>
        </w:tc>
      </w:tr>
      <w:tr w14:paraId="239D0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1657C43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3</w:t>
            </w:r>
          </w:p>
        </w:tc>
        <w:tc>
          <w:tcPr>
            <w:tcW w:w="1116" w:type="dxa"/>
            <w:noWrap w:val="0"/>
            <w:vAlign w:val="center"/>
          </w:tcPr>
          <w:p w14:paraId="526E73C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A020202投影仪</w:t>
            </w:r>
          </w:p>
        </w:tc>
        <w:tc>
          <w:tcPr>
            <w:tcW w:w="1516" w:type="dxa"/>
            <w:noWrap w:val="0"/>
            <w:vAlign w:val="center"/>
          </w:tcPr>
          <w:p w14:paraId="08DCF9B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702C11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4C8DA8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《投影机能效限定值及能效等级》（GB32028）</w:t>
            </w:r>
          </w:p>
        </w:tc>
      </w:tr>
      <w:tr w14:paraId="1457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4417849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4</w:t>
            </w:r>
          </w:p>
        </w:tc>
        <w:tc>
          <w:tcPr>
            <w:tcW w:w="1116" w:type="dxa"/>
            <w:noWrap w:val="0"/>
            <w:vAlign w:val="center"/>
          </w:tcPr>
          <w:p w14:paraId="2727ED1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A020204多功能一体机</w:t>
            </w:r>
          </w:p>
        </w:tc>
        <w:tc>
          <w:tcPr>
            <w:tcW w:w="1516" w:type="dxa"/>
            <w:noWrap w:val="0"/>
            <w:vAlign w:val="center"/>
          </w:tcPr>
          <w:p w14:paraId="5AAD71C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257084E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2FA5AE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《复印机、打印机和传真机能效限定值及能效等级》（GB21521）</w:t>
            </w:r>
          </w:p>
        </w:tc>
      </w:tr>
      <w:tr w14:paraId="21985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50E62C9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5</w:t>
            </w:r>
          </w:p>
        </w:tc>
        <w:tc>
          <w:tcPr>
            <w:tcW w:w="1116" w:type="dxa"/>
            <w:noWrap w:val="0"/>
            <w:vAlign w:val="center"/>
          </w:tcPr>
          <w:p w14:paraId="477A8B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A020519泵</w:t>
            </w:r>
          </w:p>
        </w:tc>
        <w:tc>
          <w:tcPr>
            <w:tcW w:w="1516" w:type="dxa"/>
            <w:noWrap w:val="0"/>
            <w:vAlign w:val="center"/>
          </w:tcPr>
          <w:p w14:paraId="2F48C8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A02051901离心泵</w:t>
            </w:r>
          </w:p>
        </w:tc>
        <w:tc>
          <w:tcPr>
            <w:tcW w:w="1612" w:type="dxa"/>
            <w:noWrap w:val="0"/>
            <w:vAlign w:val="center"/>
          </w:tcPr>
          <w:p w14:paraId="1727057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630476C">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《清水离心泵能效限定值及节能评价值》（GB19762）</w:t>
            </w:r>
          </w:p>
        </w:tc>
      </w:tr>
      <w:tr w14:paraId="4B9BF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restart"/>
            <w:noWrap w:val="0"/>
            <w:vAlign w:val="center"/>
          </w:tcPr>
          <w:p w14:paraId="2FA2E2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6</w:t>
            </w:r>
          </w:p>
        </w:tc>
        <w:tc>
          <w:tcPr>
            <w:tcW w:w="1116" w:type="dxa"/>
            <w:vMerge w:val="restart"/>
            <w:noWrap w:val="0"/>
            <w:vAlign w:val="center"/>
          </w:tcPr>
          <w:p w14:paraId="7FE3851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A020523制冷空调设备</w:t>
            </w:r>
          </w:p>
        </w:tc>
        <w:tc>
          <w:tcPr>
            <w:tcW w:w="1516" w:type="dxa"/>
            <w:vMerge w:val="restart"/>
            <w:noWrap w:val="0"/>
            <w:vAlign w:val="center"/>
          </w:tcPr>
          <w:p w14:paraId="4C333EB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★A02052301制冷压缩机</w:t>
            </w:r>
          </w:p>
        </w:tc>
        <w:tc>
          <w:tcPr>
            <w:tcW w:w="1612" w:type="dxa"/>
            <w:noWrap w:val="0"/>
            <w:vAlign w:val="center"/>
          </w:tcPr>
          <w:p w14:paraId="76D447A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w:t>
            </w:r>
          </w:p>
        </w:tc>
        <w:tc>
          <w:tcPr>
            <w:tcW w:w="4335" w:type="dxa"/>
            <w:noWrap w:val="0"/>
            <w:vAlign w:val="center"/>
          </w:tcPr>
          <w:p w14:paraId="568A7D2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《冷水机组能效限定值及能效等级》（GB19577），《低环境温度空气源热泵（冷水）机组能效限定值及能效等级》（GB37480）</w:t>
            </w:r>
          </w:p>
        </w:tc>
      </w:tr>
      <w:tr w14:paraId="57D6FC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08C758F8">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01305A44">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B01F08B">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0EC442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水源热泵机组</w:t>
            </w:r>
          </w:p>
        </w:tc>
        <w:tc>
          <w:tcPr>
            <w:tcW w:w="4335" w:type="dxa"/>
            <w:noWrap w:val="0"/>
            <w:vAlign w:val="center"/>
          </w:tcPr>
          <w:p w14:paraId="42AB39F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《水（地）源热泵机组能效限定值及能效等级》（GB30721）</w:t>
            </w:r>
          </w:p>
        </w:tc>
      </w:tr>
      <w:tr w14:paraId="0C868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1183B490">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27791912">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0A4FE444">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29EDBB0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w:t>
            </w:r>
          </w:p>
        </w:tc>
        <w:tc>
          <w:tcPr>
            <w:tcW w:w="4335" w:type="dxa"/>
            <w:noWrap w:val="0"/>
            <w:vAlign w:val="center"/>
          </w:tcPr>
          <w:p w14:paraId="7E981C7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《溴化锂吸收式冷水机组能效限定值及能效等级》（GB29540）</w:t>
            </w:r>
          </w:p>
        </w:tc>
      </w:tr>
      <w:tr w14:paraId="71886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0C1983E0">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BB9E5F5">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73067AA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★A02052305空调机组</w:t>
            </w:r>
          </w:p>
        </w:tc>
        <w:tc>
          <w:tcPr>
            <w:tcW w:w="1612" w:type="dxa"/>
            <w:noWrap w:val="0"/>
            <w:vAlign w:val="center"/>
          </w:tcPr>
          <w:p w14:paraId="5CB5CA6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多联式空调（热泵）机组(制冷量&gt;14000W)</w:t>
            </w:r>
          </w:p>
        </w:tc>
        <w:tc>
          <w:tcPr>
            <w:tcW w:w="4335" w:type="dxa"/>
            <w:noWrap w:val="0"/>
            <w:vAlign w:val="center"/>
          </w:tcPr>
          <w:p w14:paraId="58F2B7B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4051B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1A8D9E30">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588D50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614A8910">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59EFE46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单元式空气调节机(制冷量&gt;14000W</w:t>
            </w:r>
          </w:p>
        </w:tc>
        <w:tc>
          <w:tcPr>
            <w:tcW w:w="4335" w:type="dxa"/>
            <w:noWrap w:val="0"/>
            <w:vAlign w:val="center"/>
          </w:tcPr>
          <w:p w14:paraId="31C5D94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《单元式空气调节机能效限定值及能效等级》（GB19576）《风管送风式空调机组能效限定值及能效等级》（GB37479）</w:t>
            </w:r>
          </w:p>
        </w:tc>
      </w:tr>
      <w:tr w14:paraId="0208E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6320CA3B">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40BF42E7">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78F28D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★A02052309专用制冷、空调设备</w:t>
            </w:r>
          </w:p>
        </w:tc>
        <w:tc>
          <w:tcPr>
            <w:tcW w:w="1612" w:type="dxa"/>
            <w:noWrap w:val="0"/>
            <w:vAlign w:val="center"/>
          </w:tcPr>
          <w:p w14:paraId="3FBDC57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机房空调</w:t>
            </w:r>
          </w:p>
        </w:tc>
        <w:tc>
          <w:tcPr>
            <w:tcW w:w="4335" w:type="dxa"/>
            <w:noWrap w:val="0"/>
            <w:vAlign w:val="center"/>
          </w:tcPr>
          <w:p w14:paraId="62080B4A">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《单元式空气调节机能效限定值及能效等级》（GB19576）</w:t>
            </w:r>
          </w:p>
        </w:tc>
      </w:tr>
      <w:tr w14:paraId="49B7C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20BF3726">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47FF1A1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0241B3C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A02052399其他制冷空调设备</w:t>
            </w:r>
          </w:p>
        </w:tc>
        <w:tc>
          <w:tcPr>
            <w:tcW w:w="1612" w:type="dxa"/>
            <w:noWrap w:val="0"/>
            <w:vAlign w:val="center"/>
          </w:tcPr>
          <w:p w14:paraId="2D516EA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冷却塔</w:t>
            </w:r>
          </w:p>
        </w:tc>
        <w:tc>
          <w:tcPr>
            <w:tcW w:w="4335" w:type="dxa"/>
            <w:noWrap w:val="0"/>
            <w:vAlign w:val="center"/>
          </w:tcPr>
          <w:p w14:paraId="2678E0A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《机械通风冷却塔第1部分：中小型开式冷却塔》（GB/T7190.1）；《机械通风冷却塔第2部分：大型开式冷却塔》（GB/T7190.2）</w:t>
            </w:r>
          </w:p>
        </w:tc>
      </w:tr>
      <w:tr w14:paraId="06B14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68F15B0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7</w:t>
            </w:r>
          </w:p>
        </w:tc>
        <w:tc>
          <w:tcPr>
            <w:tcW w:w="1116" w:type="dxa"/>
            <w:noWrap w:val="0"/>
            <w:vAlign w:val="center"/>
          </w:tcPr>
          <w:p w14:paraId="495E184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A020601电机</w:t>
            </w:r>
          </w:p>
        </w:tc>
        <w:tc>
          <w:tcPr>
            <w:tcW w:w="1516" w:type="dxa"/>
            <w:noWrap w:val="0"/>
            <w:vAlign w:val="center"/>
          </w:tcPr>
          <w:p w14:paraId="79F7B15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3BBDACB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3F7872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《中小型三相异步电动机能效限定值及能效等级》（GB18613）</w:t>
            </w:r>
          </w:p>
        </w:tc>
      </w:tr>
      <w:tr w14:paraId="22D12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784DD16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8</w:t>
            </w:r>
          </w:p>
        </w:tc>
        <w:tc>
          <w:tcPr>
            <w:tcW w:w="1116" w:type="dxa"/>
            <w:noWrap w:val="0"/>
            <w:vAlign w:val="center"/>
          </w:tcPr>
          <w:p w14:paraId="03B22A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A020602变压器</w:t>
            </w:r>
          </w:p>
        </w:tc>
        <w:tc>
          <w:tcPr>
            <w:tcW w:w="1516" w:type="dxa"/>
            <w:noWrap w:val="0"/>
            <w:vAlign w:val="center"/>
          </w:tcPr>
          <w:p w14:paraId="6ACC3E8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配电变压器</w:t>
            </w:r>
          </w:p>
        </w:tc>
        <w:tc>
          <w:tcPr>
            <w:tcW w:w="1612" w:type="dxa"/>
            <w:noWrap w:val="0"/>
            <w:vAlign w:val="center"/>
          </w:tcPr>
          <w:p w14:paraId="498968F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1A6193F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《三相配电变压器能效限定值及能效等级》（GB20052）</w:t>
            </w:r>
          </w:p>
        </w:tc>
      </w:tr>
      <w:tr w14:paraId="55679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5017D9D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9</w:t>
            </w:r>
          </w:p>
        </w:tc>
        <w:tc>
          <w:tcPr>
            <w:tcW w:w="1116" w:type="dxa"/>
            <w:noWrap w:val="0"/>
            <w:vAlign w:val="center"/>
          </w:tcPr>
          <w:p w14:paraId="3B124BC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★A020609镇流器</w:t>
            </w:r>
          </w:p>
        </w:tc>
        <w:tc>
          <w:tcPr>
            <w:tcW w:w="1516" w:type="dxa"/>
            <w:noWrap w:val="0"/>
            <w:vAlign w:val="center"/>
          </w:tcPr>
          <w:p w14:paraId="5A3615C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管型荧光灯镇流器</w:t>
            </w:r>
          </w:p>
        </w:tc>
        <w:tc>
          <w:tcPr>
            <w:tcW w:w="1612" w:type="dxa"/>
            <w:noWrap w:val="0"/>
            <w:vAlign w:val="center"/>
          </w:tcPr>
          <w:p w14:paraId="2DEC573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2CD1C84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《管形荧光灯镇流器能效限定值及能效等级》（GB17896）</w:t>
            </w:r>
          </w:p>
        </w:tc>
      </w:tr>
      <w:tr w14:paraId="3D926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0E9EDBE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10</w:t>
            </w:r>
          </w:p>
        </w:tc>
        <w:tc>
          <w:tcPr>
            <w:tcW w:w="1116" w:type="dxa"/>
            <w:vMerge w:val="restart"/>
            <w:noWrap w:val="0"/>
            <w:vAlign w:val="center"/>
          </w:tcPr>
          <w:p w14:paraId="3E0C17B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A020618生活用电器</w:t>
            </w:r>
          </w:p>
        </w:tc>
        <w:tc>
          <w:tcPr>
            <w:tcW w:w="1516" w:type="dxa"/>
            <w:noWrap w:val="0"/>
            <w:vAlign w:val="center"/>
          </w:tcPr>
          <w:p w14:paraId="691A29E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A0206180101电冰箱</w:t>
            </w:r>
          </w:p>
        </w:tc>
        <w:tc>
          <w:tcPr>
            <w:tcW w:w="1612" w:type="dxa"/>
            <w:noWrap w:val="0"/>
            <w:vAlign w:val="center"/>
          </w:tcPr>
          <w:p w14:paraId="541C30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D8AE02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《家用电冰箱耗电量限定值及能效等级》（GB 12021.2）</w:t>
            </w:r>
          </w:p>
        </w:tc>
      </w:tr>
      <w:tr w14:paraId="6588A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vMerge w:val="continue"/>
            <w:noWrap w:val="0"/>
            <w:vAlign w:val="center"/>
          </w:tcPr>
          <w:p w14:paraId="40AC97CC">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A1B0326">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29B7212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★A0206180203空调机</w:t>
            </w:r>
          </w:p>
        </w:tc>
        <w:tc>
          <w:tcPr>
            <w:tcW w:w="1612" w:type="dxa"/>
            <w:noWrap w:val="0"/>
            <w:vAlign w:val="center"/>
          </w:tcPr>
          <w:p w14:paraId="003E196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房间空气调节器</w:t>
            </w:r>
          </w:p>
        </w:tc>
        <w:tc>
          <w:tcPr>
            <w:tcW w:w="4335" w:type="dxa"/>
            <w:noWrap w:val="0"/>
            <w:vAlign w:val="center"/>
          </w:tcPr>
          <w:p w14:paraId="2C5BE26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《转速可控型房间空气调节器能效限定值及能效等级》（GB21455-2013），待2019年修订发布后，按《房间空气调节器能效限定值及能效等级》（GB21455-2019</w:t>
            </w:r>
            <w:r>
              <w:rPr>
                <w:rFonts w:hint="eastAsia" w:ascii="宋体" w:hAnsi="宋体" w:cs="宋体"/>
                <w:color w:val="auto"/>
                <w:kern w:val="0"/>
                <w:sz w:val="20"/>
                <w:szCs w:val="20"/>
                <w:highlight w:val="none"/>
                <w:lang w:eastAsia="zh-CN"/>
              </w:rPr>
              <w:t>）实施</w:t>
            </w:r>
            <w:r>
              <w:rPr>
                <w:rFonts w:hint="eastAsia" w:ascii="宋体" w:hAnsi="宋体" w:eastAsia="宋体" w:cs="宋体"/>
                <w:color w:val="auto"/>
                <w:kern w:val="0"/>
                <w:sz w:val="20"/>
                <w:szCs w:val="20"/>
                <w:highlight w:val="none"/>
              </w:rPr>
              <w:t>。</w:t>
            </w:r>
          </w:p>
        </w:tc>
      </w:tr>
      <w:tr w14:paraId="76811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31F9D683">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12C3206A">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42D7193">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47ED09B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多联式空调（热泵）机组（制冷量≤ 14000W）</w:t>
            </w:r>
          </w:p>
        </w:tc>
        <w:tc>
          <w:tcPr>
            <w:tcW w:w="4335" w:type="dxa"/>
            <w:noWrap w:val="0"/>
            <w:vAlign w:val="center"/>
          </w:tcPr>
          <w:p w14:paraId="72059D83">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《多联式空调（热泵）机组能效限定值及能源效率等级》（GB21454）</w:t>
            </w:r>
          </w:p>
        </w:tc>
      </w:tr>
      <w:tr w14:paraId="34658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627776E0">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18A9A4A6">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030A4AE1">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768EBFB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单元式空气调节机(制冷量≤14000W)</w:t>
            </w:r>
          </w:p>
        </w:tc>
        <w:tc>
          <w:tcPr>
            <w:tcW w:w="4335" w:type="dxa"/>
            <w:noWrap w:val="0"/>
            <w:vAlign w:val="center"/>
          </w:tcPr>
          <w:p w14:paraId="04E3F875">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《单元式空气调节机能效限定值及能源效率等级》（GB19576）《风管送风式空调机组能效限定值及能效等级》（GB37479）</w:t>
            </w:r>
          </w:p>
        </w:tc>
      </w:tr>
      <w:tr w14:paraId="7657E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11D5B12">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04F76FB9">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229865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A0206180301洗衣机</w:t>
            </w:r>
          </w:p>
        </w:tc>
        <w:tc>
          <w:tcPr>
            <w:tcW w:w="1612" w:type="dxa"/>
            <w:noWrap w:val="0"/>
            <w:vAlign w:val="center"/>
          </w:tcPr>
          <w:p w14:paraId="3234CB8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41B078D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《电动洗衣机能效水效限定值及等级》（GB12021.4）</w:t>
            </w:r>
          </w:p>
        </w:tc>
      </w:tr>
      <w:tr w14:paraId="28ED1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FF81A54">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3D3B87B7">
            <w:pPr>
              <w:widowControl/>
              <w:jc w:val="left"/>
              <w:rPr>
                <w:rFonts w:hint="eastAsia" w:ascii="宋体" w:hAnsi="宋体" w:eastAsia="宋体" w:cs="宋体"/>
                <w:color w:val="auto"/>
                <w:kern w:val="0"/>
                <w:sz w:val="20"/>
                <w:szCs w:val="20"/>
                <w:highlight w:val="none"/>
              </w:rPr>
            </w:pPr>
          </w:p>
        </w:tc>
        <w:tc>
          <w:tcPr>
            <w:tcW w:w="1516" w:type="dxa"/>
            <w:vMerge w:val="restart"/>
            <w:noWrap w:val="0"/>
            <w:vAlign w:val="center"/>
          </w:tcPr>
          <w:p w14:paraId="3293BCB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A02061808热水器</w:t>
            </w:r>
          </w:p>
        </w:tc>
        <w:tc>
          <w:tcPr>
            <w:tcW w:w="1612" w:type="dxa"/>
            <w:noWrap w:val="0"/>
            <w:vAlign w:val="center"/>
          </w:tcPr>
          <w:p w14:paraId="37CB4E7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★电热水器</w:t>
            </w:r>
          </w:p>
        </w:tc>
        <w:tc>
          <w:tcPr>
            <w:tcW w:w="4335" w:type="dxa"/>
            <w:noWrap w:val="0"/>
            <w:vAlign w:val="center"/>
          </w:tcPr>
          <w:p w14:paraId="5E97CDD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《储水式电热水器能效限定值及能效等级》（GB21519）</w:t>
            </w:r>
          </w:p>
        </w:tc>
      </w:tr>
      <w:tr w14:paraId="6CA24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A48931B">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68FEE5DF">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3D5F0939">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35CB7CE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燃气热水器</w:t>
            </w:r>
          </w:p>
        </w:tc>
        <w:tc>
          <w:tcPr>
            <w:tcW w:w="4335" w:type="dxa"/>
            <w:noWrap w:val="0"/>
            <w:vAlign w:val="center"/>
          </w:tcPr>
          <w:p w14:paraId="72894B2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《家用燃气快速热水器和燃气采暖热水炉能效限定值及能效等级》（GB20665）</w:t>
            </w:r>
          </w:p>
        </w:tc>
      </w:tr>
      <w:tr w14:paraId="17072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5DCB07CB">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EA169C1">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ACCB1B9">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5332B67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热泵热水器</w:t>
            </w:r>
          </w:p>
        </w:tc>
        <w:tc>
          <w:tcPr>
            <w:tcW w:w="4335" w:type="dxa"/>
            <w:noWrap w:val="0"/>
            <w:vAlign w:val="center"/>
          </w:tcPr>
          <w:p w14:paraId="7E1E6399">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《热泵热水机（器）能效限定值及能效等级》（GB29541）</w:t>
            </w:r>
          </w:p>
        </w:tc>
      </w:tr>
      <w:tr w14:paraId="1C214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7EDCCA8F">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9F35B97">
            <w:pPr>
              <w:widowControl/>
              <w:jc w:val="left"/>
              <w:rPr>
                <w:rFonts w:hint="eastAsia" w:ascii="宋体" w:hAnsi="宋体" w:eastAsia="宋体" w:cs="宋体"/>
                <w:color w:val="auto"/>
                <w:kern w:val="0"/>
                <w:sz w:val="20"/>
                <w:szCs w:val="20"/>
                <w:highlight w:val="none"/>
              </w:rPr>
            </w:pPr>
          </w:p>
        </w:tc>
        <w:tc>
          <w:tcPr>
            <w:tcW w:w="1516" w:type="dxa"/>
            <w:vMerge w:val="continue"/>
            <w:noWrap w:val="0"/>
            <w:vAlign w:val="center"/>
          </w:tcPr>
          <w:p w14:paraId="2332A8EE">
            <w:pPr>
              <w:widowControl/>
              <w:jc w:val="left"/>
              <w:rPr>
                <w:rFonts w:hint="eastAsia" w:ascii="宋体" w:hAnsi="宋体" w:eastAsia="宋体" w:cs="宋体"/>
                <w:color w:val="auto"/>
                <w:kern w:val="0"/>
                <w:sz w:val="20"/>
                <w:szCs w:val="20"/>
                <w:highlight w:val="none"/>
              </w:rPr>
            </w:pPr>
          </w:p>
        </w:tc>
        <w:tc>
          <w:tcPr>
            <w:tcW w:w="1612" w:type="dxa"/>
            <w:noWrap w:val="0"/>
            <w:vAlign w:val="center"/>
          </w:tcPr>
          <w:p w14:paraId="01FE79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太阳能热水系统</w:t>
            </w:r>
          </w:p>
        </w:tc>
        <w:tc>
          <w:tcPr>
            <w:tcW w:w="4335" w:type="dxa"/>
            <w:noWrap w:val="0"/>
            <w:vAlign w:val="center"/>
          </w:tcPr>
          <w:p w14:paraId="1985EA9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《家用太阳能热水系统能效限定值及能效等级》（GB26969）</w:t>
            </w:r>
          </w:p>
        </w:tc>
      </w:tr>
      <w:tr w14:paraId="5AC3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restart"/>
            <w:noWrap w:val="0"/>
            <w:vAlign w:val="center"/>
          </w:tcPr>
          <w:p w14:paraId="30693EA5">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11</w:t>
            </w:r>
          </w:p>
        </w:tc>
        <w:tc>
          <w:tcPr>
            <w:tcW w:w="1116" w:type="dxa"/>
            <w:vMerge w:val="restart"/>
            <w:noWrap w:val="0"/>
            <w:vAlign w:val="center"/>
          </w:tcPr>
          <w:p w14:paraId="75FDB29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A020619照明设备</w:t>
            </w:r>
          </w:p>
        </w:tc>
        <w:tc>
          <w:tcPr>
            <w:tcW w:w="1516" w:type="dxa"/>
            <w:noWrap w:val="0"/>
            <w:vAlign w:val="center"/>
          </w:tcPr>
          <w:p w14:paraId="3F48139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w:t>
            </w:r>
          </w:p>
        </w:tc>
        <w:tc>
          <w:tcPr>
            <w:tcW w:w="1612" w:type="dxa"/>
            <w:noWrap w:val="0"/>
            <w:vAlign w:val="center"/>
          </w:tcPr>
          <w:p w14:paraId="1001999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628AE01">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《普通照明用双端荧光灯能效限定值及能效等级》（GB19043）</w:t>
            </w:r>
          </w:p>
        </w:tc>
      </w:tr>
      <w:tr w14:paraId="591E9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0E9A61B">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7B4A79F">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4F873C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LED道路/隧道照明产品</w:t>
            </w:r>
          </w:p>
        </w:tc>
        <w:tc>
          <w:tcPr>
            <w:tcW w:w="1612" w:type="dxa"/>
            <w:noWrap w:val="0"/>
            <w:vAlign w:val="center"/>
          </w:tcPr>
          <w:p w14:paraId="5164C04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661020D">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《道路和隧道照明用LED灯具能效限定值及能效等级》（GB37478）</w:t>
            </w:r>
          </w:p>
        </w:tc>
      </w:tr>
      <w:tr w14:paraId="1899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252A5BC3">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4A1A4BB3">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3D89A68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LED筒灯</w:t>
            </w:r>
          </w:p>
        </w:tc>
        <w:tc>
          <w:tcPr>
            <w:tcW w:w="1612" w:type="dxa"/>
            <w:noWrap w:val="0"/>
            <w:vAlign w:val="center"/>
          </w:tcPr>
          <w:p w14:paraId="725BD556">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AE04922">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71D2A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vMerge w:val="continue"/>
            <w:noWrap w:val="0"/>
            <w:vAlign w:val="center"/>
          </w:tcPr>
          <w:p w14:paraId="4DDF7819">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5F4E8D40">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4A82F1B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普通照明用非定向自镇流LED灯</w:t>
            </w:r>
          </w:p>
        </w:tc>
        <w:tc>
          <w:tcPr>
            <w:tcW w:w="1612" w:type="dxa"/>
            <w:noWrap w:val="0"/>
            <w:vAlign w:val="center"/>
          </w:tcPr>
          <w:p w14:paraId="32EAD70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F7B7E06">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《室内照明用LED产品能效限定值及能效等级》（GB30255）</w:t>
            </w:r>
          </w:p>
        </w:tc>
      </w:tr>
      <w:tr w14:paraId="1BFEC5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41" w:type="dxa"/>
            <w:noWrap w:val="0"/>
            <w:vAlign w:val="center"/>
          </w:tcPr>
          <w:p w14:paraId="4548B5F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12</w:t>
            </w:r>
          </w:p>
        </w:tc>
        <w:tc>
          <w:tcPr>
            <w:tcW w:w="1116" w:type="dxa"/>
            <w:noWrap w:val="0"/>
            <w:vAlign w:val="center"/>
          </w:tcPr>
          <w:p w14:paraId="20759AC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★A020910电视设备</w:t>
            </w:r>
          </w:p>
        </w:tc>
        <w:tc>
          <w:tcPr>
            <w:tcW w:w="1516" w:type="dxa"/>
            <w:noWrap w:val="0"/>
            <w:vAlign w:val="center"/>
          </w:tcPr>
          <w:p w14:paraId="6B85F84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A02091001普通电视设备（电视机）</w:t>
            </w:r>
          </w:p>
        </w:tc>
        <w:tc>
          <w:tcPr>
            <w:tcW w:w="1612" w:type="dxa"/>
            <w:noWrap w:val="0"/>
            <w:vAlign w:val="center"/>
          </w:tcPr>
          <w:p w14:paraId="246178C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EE0D838">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《平板电视能效限定值及能效等级》（GB24850）</w:t>
            </w:r>
          </w:p>
        </w:tc>
      </w:tr>
      <w:tr w14:paraId="254F0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5" w:hRule="atLeast"/>
          <w:jc w:val="center"/>
        </w:trPr>
        <w:tc>
          <w:tcPr>
            <w:tcW w:w="641" w:type="dxa"/>
            <w:noWrap w:val="0"/>
            <w:vAlign w:val="center"/>
          </w:tcPr>
          <w:p w14:paraId="26B8987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13</w:t>
            </w:r>
          </w:p>
        </w:tc>
        <w:tc>
          <w:tcPr>
            <w:tcW w:w="1116" w:type="dxa"/>
            <w:noWrap w:val="0"/>
            <w:vAlign w:val="center"/>
          </w:tcPr>
          <w:p w14:paraId="1504EE6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★A020911视频设备</w:t>
            </w:r>
          </w:p>
        </w:tc>
        <w:tc>
          <w:tcPr>
            <w:tcW w:w="1516" w:type="dxa"/>
            <w:noWrap w:val="0"/>
            <w:vAlign w:val="center"/>
          </w:tcPr>
          <w:p w14:paraId="3D369B2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A02091107视频监控设备</w:t>
            </w:r>
          </w:p>
        </w:tc>
        <w:tc>
          <w:tcPr>
            <w:tcW w:w="1612" w:type="dxa"/>
            <w:noWrap w:val="0"/>
            <w:vAlign w:val="center"/>
          </w:tcPr>
          <w:p w14:paraId="6809131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监视器</w:t>
            </w:r>
          </w:p>
        </w:tc>
        <w:tc>
          <w:tcPr>
            <w:tcW w:w="4335" w:type="dxa"/>
            <w:noWrap w:val="0"/>
            <w:vAlign w:val="center"/>
          </w:tcPr>
          <w:p w14:paraId="29C0BCC4">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以射频信号为主要信号输入的监视器应符合《平板电视能效限定值及能效等级》（GB24850），以数字信号为主要信号输入的监视器应符合《计算机显示器能效限定值及能效等级》（GB21520）</w:t>
            </w:r>
          </w:p>
        </w:tc>
      </w:tr>
      <w:tr w14:paraId="56548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63CA92F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14</w:t>
            </w:r>
          </w:p>
        </w:tc>
        <w:tc>
          <w:tcPr>
            <w:tcW w:w="1116" w:type="dxa"/>
            <w:noWrap w:val="0"/>
            <w:vAlign w:val="center"/>
          </w:tcPr>
          <w:p w14:paraId="54BE02D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A031210饮食炊事机械</w:t>
            </w:r>
          </w:p>
        </w:tc>
        <w:tc>
          <w:tcPr>
            <w:tcW w:w="1516" w:type="dxa"/>
            <w:noWrap w:val="0"/>
            <w:vAlign w:val="center"/>
          </w:tcPr>
          <w:p w14:paraId="55DB615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w:t>
            </w:r>
          </w:p>
        </w:tc>
        <w:tc>
          <w:tcPr>
            <w:tcW w:w="1612" w:type="dxa"/>
            <w:noWrap w:val="0"/>
            <w:vAlign w:val="center"/>
          </w:tcPr>
          <w:p w14:paraId="5989F2B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ECDFF70">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《商用燃气灶具能效限定值及能效等级》（GB30531）</w:t>
            </w:r>
          </w:p>
        </w:tc>
      </w:tr>
      <w:tr w14:paraId="0CF4F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641" w:type="dxa"/>
            <w:vMerge w:val="restart"/>
            <w:noWrap w:val="0"/>
            <w:vAlign w:val="center"/>
          </w:tcPr>
          <w:p w14:paraId="0CC7968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15</w:t>
            </w:r>
          </w:p>
        </w:tc>
        <w:tc>
          <w:tcPr>
            <w:tcW w:w="1116" w:type="dxa"/>
            <w:vMerge w:val="restart"/>
            <w:noWrap w:val="0"/>
            <w:vAlign w:val="center"/>
          </w:tcPr>
          <w:p w14:paraId="4C92E437">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★A060805便器</w:t>
            </w:r>
          </w:p>
        </w:tc>
        <w:tc>
          <w:tcPr>
            <w:tcW w:w="1516" w:type="dxa"/>
            <w:noWrap w:val="0"/>
            <w:vAlign w:val="center"/>
          </w:tcPr>
          <w:p w14:paraId="0EDBC05E">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w:t>
            </w:r>
          </w:p>
        </w:tc>
        <w:tc>
          <w:tcPr>
            <w:tcW w:w="1612" w:type="dxa"/>
            <w:noWrap w:val="0"/>
            <w:vAlign w:val="center"/>
          </w:tcPr>
          <w:p w14:paraId="6FCD0C72">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3A56131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《坐便器水效限定值及水效等级》（GB25502）</w:t>
            </w:r>
          </w:p>
        </w:tc>
      </w:tr>
      <w:tr w14:paraId="39E9C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7B1160E">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737B8158">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55FC8DB3">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w:t>
            </w:r>
          </w:p>
        </w:tc>
        <w:tc>
          <w:tcPr>
            <w:tcW w:w="1612" w:type="dxa"/>
            <w:noWrap w:val="0"/>
            <w:vAlign w:val="center"/>
          </w:tcPr>
          <w:p w14:paraId="3788055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AF65907">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《蹲便器用水效率限定值及用水效率等级》（GB30717）</w:t>
            </w:r>
          </w:p>
        </w:tc>
      </w:tr>
      <w:tr w14:paraId="409F4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vMerge w:val="continue"/>
            <w:noWrap w:val="0"/>
            <w:vAlign w:val="center"/>
          </w:tcPr>
          <w:p w14:paraId="424C0BBD">
            <w:pPr>
              <w:widowControl/>
              <w:jc w:val="left"/>
              <w:rPr>
                <w:rFonts w:hint="eastAsia" w:ascii="宋体" w:hAnsi="宋体" w:eastAsia="宋体" w:cs="宋体"/>
                <w:color w:val="auto"/>
                <w:kern w:val="0"/>
                <w:sz w:val="20"/>
                <w:szCs w:val="20"/>
                <w:highlight w:val="none"/>
              </w:rPr>
            </w:pPr>
          </w:p>
        </w:tc>
        <w:tc>
          <w:tcPr>
            <w:tcW w:w="1116" w:type="dxa"/>
            <w:vMerge w:val="continue"/>
            <w:noWrap w:val="0"/>
            <w:vAlign w:val="center"/>
          </w:tcPr>
          <w:p w14:paraId="1E2B989D">
            <w:pPr>
              <w:widowControl/>
              <w:jc w:val="left"/>
              <w:rPr>
                <w:rFonts w:hint="eastAsia" w:ascii="宋体" w:hAnsi="宋体" w:eastAsia="宋体" w:cs="宋体"/>
                <w:color w:val="auto"/>
                <w:kern w:val="0"/>
                <w:sz w:val="20"/>
                <w:szCs w:val="20"/>
                <w:highlight w:val="none"/>
              </w:rPr>
            </w:pPr>
          </w:p>
        </w:tc>
        <w:tc>
          <w:tcPr>
            <w:tcW w:w="1516" w:type="dxa"/>
            <w:noWrap w:val="0"/>
            <w:vAlign w:val="center"/>
          </w:tcPr>
          <w:p w14:paraId="1F19A3B0">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w:t>
            </w:r>
          </w:p>
        </w:tc>
        <w:tc>
          <w:tcPr>
            <w:tcW w:w="1612" w:type="dxa"/>
            <w:noWrap w:val="0"/>
            <w:vAlign w:val="center"/>
          </w:tcPr>
          <w:p w14:paraId="4F4850CA">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7E0A4CE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《小便器用水效率限定值及用水效率等级》（GB28377）</w:t>
            </w:r>
          </w:p>
        </w:tc>
      </w:tr>
      <w:tr w14:paraId="23F89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7833D74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16</w:t>
            </w:r>
          </w:p>
        </w:tc>
        <w:tc>
          <w:tcPr>
            <w:tcW w:w="1116" w:type="dxa"/>
            <w:noWrap w:val="0"/>
            <w:vAlign w:val="center"/>
          </w:tcPr>
          <w:p w14:paraId="2523F551">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★A060806水嘴</w:t>
            </w:r>
          </w:p>
        </w:tc>
        <w:tc>
          <w:tcPr>
            <w:tcW w:w="1516" w:type="dxa"/>
            <w:noWrap w:val="0"/>
            <w:vAlign w:val="center"/>
          </w:tcPr>
          <w:p w14:paraId="2FA2863C">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71B32DE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6CA70BE">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《水嘴用水效率限定值及用水效率等级》（GB 25501）</w:t>
            </w:r>
          </w:p>
        </w:tc>
      </w:tr>
      <w:tr w14:paraId="7E246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790AFC29">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17</w:t>
            </w:r>
          </w:p>
        </w:tc>
        <w:tc>
          <w:tcPr>
            <w:tcW w:w="1116" w:type="dxa"/>
            <w:noWrap w:val="0"/>
            <w:vAlign w:val="center"/>
          </w:tcPr>
          <w:p w14:paraId="1C85368D">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A060807便器冲洗阀</w:t>
            </w:r>
          </w:p>
        </w:tc>
        <w:tc>
          <w:tcPr>
            <w:tcW w:w="1516" w:type="dxa"/>
            <w:noWrap w:val="0"/>
            <w:vAlign w:val="center"/>
          </w:tcPr>
          <w:p w14:paraId="5D5A78C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A92F84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0164926B">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《便器冲洗阀用水效率限定值及用水效率等级》（GB28379）</w:t>
            </w:r>
          </w:p>
        </w:tc>
      </w:tr>
      <w:tr w14:paraId="505E6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641" w:type="dxa"/>
            <w:noWrap w:val="0"/>
            <w:vAlign w:val="center"/>
          </w:tcPr>
          <w:p w14:paraId="271352F8">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18</w:t>
            </w:r>
          </w:p>
        </w:tc>
        <w:tc>
          <w:tcPr>
            <w:tcW w:w="1116" w:type="dxa"/>
            <w:noWrap w:val="0"/>
            <w:vAlign w:val="center"/>
          </w:tcPr>
          <w:p w14:paraId="4284225F">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A060810淋浴器</w:t>
            </w:r>
          </w:p>
        </w:tc>
        <w:tc>
          <w:tcPr>
            <w:tcW w:w="1516" w:type="dxa"/>
            <w:noWrap w:val="0"/>
            <w:vAlign w:val="center"/>
          </w:tcPr>
          <w:p w14:paraId="473C21C4">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1612" w:type="dxa"/>
            <w:noWrap w:val="0"/>
            <w:vAlign w:val="center"/>
          </w:tcPr>
          <w:p w14:paraId="55FEE26B">
            <w:pPr>
              <w:widowControl/>
              <w:jc w:val="center"/>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　</w:t>
            </w:r>
          </w:p>
        </w:tc>
        <w:tc>
          <w:tcPr>
            <w:tcW w:w="4335" w:type="dxa"/>
            <w:noWrap w:val="0"/>
            <w:vAlign w:val="center"/>
          </w:tcPr>
          <w:p w14:paraId="5F70E49F">
            <w:pPr>
              <w:widowControl/>
              <w:jc w:val="left"/>
              <w:rPr>
                <w:rFonts w:hint="eastAsia" w:ascii="宋体" w:hAnsi="宋体" w:eastAsia="宋体" w:cs="宋体"/>
                <w:color w:val="auto"/>
                <w:kern w:val="0"/>
                <w:sz w:val="20"/>
                <w:szCs w:val="20"/>
                <w:highlight w:val="none"/>
              </w:rPr>
            </w:pPr>
            <w:r>
              <w:rPr>
                <w:rFonts w:hint="eastAsia" w:ascii="宋体" w:hAnsi="宋体" w:eastAsia="宋体" w:cs="宋体"/>
                <w:color w:val="auto"/>
                <w:kern w:val="0"/>
                <w:sz w:val="20"/>
                <w:szCs w:val="20"/>
                <w:highlight w:val="none"/>
              </w:rPr>
              <w:t>《淋浴器用水效率限定值及用水效率等级》（GB28378）</w:t>
            </w:r>
          </w:p>
        </w:tc>
      </w:tr>
    </w:tbl>
    <w:p w14:paraId="58C7122D">
      <w:pPr>
        <w:spacing w:after="120" w:line="360" w:lineRule="auto"/>
        <w:rPr>
          <w:rFonts w:hint="eastAsia" w:ascii="宋体" w:hAnsi="宋体" w:eastAsia="宋体" w:cs="宋体"/>
          <w:color w:val="auto"/>
          <w:spacing w:val="-3"/>
          <w:szCs w:val="21"/>
          <w:highlight w:val="none"/>
        </w:rPr>
      </w:pPr>
    </w:p>
    <w:p w14:paraId="2640842C">
      <w:pPr>
        <w:spacing w:after="120" w:line="360" w:lineRule="auto"/>
        <w:rPr>
          <w:rFonts w:hint="eastAsia" w:ascii="宋体" w:hAnsi="宋体" w:eastAsia="宋体" w:cs="宋体"/>
          <w:color w:val="auto"/>
          <w:szCs w:val="21"/>
          <w:highlight w:val="none"/>
        </w:rPr>
      </w:pPr>
      <w:r>
        <w:rPr>
          <w:rFonts w:hint="eastAsia" w:ascii="宋体" w:hAnsi="宋体" w:eastAsia="宋体" w:cs="宋体"/>
          <w:color w:val="auto"/>
          <w:spacing w:val="-3"/>
          <w:szCs w:val="21"/>
          <w:highlight w:val="none"/>
        </w:rPr>
        <w:t>注：1.节能产品认证应依据相关国家标准的最新版本，依据国家标准中二级能效（水效）</w:t>
      </w:r>
      <w:r>
        <w:rPr>
          <w:rFonts w:hint="eastAsia" w:ascii="宋体" w:hAnsi="宋体" w:eastAsia="宋体" w:cs="宋体"/>
          <w:color w:val="auto"/>
          <w:szCs w:val="21"/>
          <w:highlight w:val="none"/>
        </w:rPr>
        <w:t>指标。</w:t>
      </w:r>
    </w:p>
    <w:p w14:paraId="5115F976">
      <w:pPr>
        <w:numPr>
          <w:ilvl w:val="0"/>
          <w:numId w:val="2"/>
        </w:numPr>
        <w:ind w:left="42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以“★”标注的为政府强制采购产品。</w:t>
      </w:r>
    </w:p>
    <w:p w14:paraId="0B43CD4E">
      <w:pPr>
        <w:rPr>
          <w:rFonts w:hint="eastAsia" w:ascii="宋体" w:hAnsi="宋体" w:cs="宋体"/>
          <w:color w:val="auto"/>
          <w:sz w:val="32"/>
          <w:szCs w:val="32"/>
          <w:highlight w:val="none"/>
        </w:rPr>
      </w:pPr>
      <w:r>
        <w:rPr>
          <w:rFonts w:hint="eastAsia" w:ascii="宋体" w:hAnsi="宋体" w:cs="宋体"/>
          <w:color w:val="auto"/>
          <w:sz w:val="32"/>
          <w:szCs w:val="32"/>
          <w:highlight w:val="none"/>
        </w:rPr>
        <w:br w:type="page"/>
      </w:r>
    </w:p>
    <w:p w14:paraId="2066C26D">
      <w:pPr>
        <w:ind w:left="119"/>
        <w:rPr>
          <w:rFonts w:ascii="宋体" w:hAnsi="宋体" w:cs="宋体"/>
          <w:color w:val="auto"/>
          <w:sz w:val="32"/>
          <w:szCs w:val="32"/>
          <w:highlight w:val="none"/>
        </w:rPr>
      </w:pPr>
      <w:r>
        <w:rPr>
          <w:rFonts w:hint="eastAsia" w:ascii="宋体" w:hAnsi="宋体" w:cs="宋体"/>
          <w:color w:val="auto"/>
          <w:sz w:val="32"/>
          <w:szCs w:val="32"/>
          <w:highlight w:val="none"/>
        </w:rPr>
        <w:t>附件</w:t>
      </w:r>
      <w:r>
        <w:rPr>
          <w:rFonts w:hint="eastAsia" w:ascii="宋体" w:hAnsi="宋体" w:cs="宋体"/>
          <w:color w:val="auto"/>
          <w:sz w:val="32"/>
          <w:szCs w:val="32"/>
          <w:highlight w:val="none"/>
          <w:lang w:val="en-US" w:eastAsia="zh-CN"/>
        </w:rPr>
        <w:t>2</w:t>
      </w:r>
      <w:r>
        <w:rPr>
          <w:rFonts w:hint="eastAsia" w:ascii="宋体" w:hAnsi="宋体" w:cs="宋体"/>
          <w:color w:val="auto"/>
          <w:sz w:val="32"/>
          <w:szCs w:val="32"/>
          <w:highlight w:val="none"/>
        </w:rPr>
        <w:t>：</w:t>
      </w:r>
    </w:p>
    <w:p w14:paraId="5B35D7BC">
      <w:pPr>
        <w:widowControl/>
        <w:jc w:val="center"/>
        <w:rPr>
          <w:rFonts w:ascii="宋体" w:hAnsi="宋体" w:cs="宋体"/>
          <w:b/>
          <w:bCs/>
          <w:color w:val="auto"/>
          <w:kern w:val="0"/>
          <w:sz w:val="30"/>
          <w:szCs w:val="30"/>
          <w:highlight w:val="none"/>
        </w:rPr>
      </w:pPr>
      <w:bookmarkStart w:id="65" w:name="_Toc28361_WPSOffice_Level2"/>
      <w:r>
        <w:rPr>
          <w:rFonts w:hint="eastAsia" w:ascii="宋体" w:hAnsi="宋体" w:cs="宋体"/>
          <w:b/>
          <w:bCs/>
          <w:color w:val="auto"/>
          <w:kern w:val="0"/>
          <w:sz w:val="30"/>
          <w:szCs w:val="30"/>
          <w:highlight w:val="none"/>
        </w:rPr>
        <w:t>统计上大中小微型企业划分标准</w:t>
      </w:r>
      <w:bookmarkEnd w:id="65"/>
    </w:p>
    <w:tbl>
      <w:tblPr>
        <w:tblStyle w:val="31"/>
        <w:tblW w:w="94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3"/>
        <w:gridCol w:w="1369"/>
        <w:gridCol w:w="709"/>
        <w:gridCol w:w="1125"/>
        <w:gridCol w:w="1701"/>
        <w:gridCol w:w="1426"/>
        <w:gridCol w:w="992"/>
      </w:tblGrid>
      <w:tr w14:paraId="18C16B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2113" w:type="dxa"/>
            <w:noWrap/>
            <w:vAlign w:val="center"/>
          </w:tcPr>
          <w:p w14:paraId="744ADF98">
            <w:pPr>
              <w:widowControl/>
              <w:spacing w:line="280" w:lineRule="exact"/>
              <w:jc w:val="center"/>
              <w:rPr>
                <w:rFonts w:ascii="宋体" w:hAnsi="宋体" w:cs="宋体"/>
                <w:b/>
                <w:bCs/>
                <w:color w:val="auto"/>
                <w:kern w:val="0"/>
                <w:sz w:val="18"/>
                <w:szCs w:val="21"/>
                <w:highlight w:val="none"/>
              </w:rPr>
            </w:pPr>
            <w:r>
              <w:rPr>
                <w:rFonts w:hint="eastAsia" w:ascii="宋体" w:hAnsi="宋体" w:cs="宋体"/>
                <w:b/>
                <w:bCs/>
                <w:color w:val="auto"/>
                <w:kern w:val="0"/>
                <w:sz w:val="18"/>
                <w:szCs w:val="21"/>
                <w:highlight w:val="none"/>
              </w:rPr>
              <w:t>行业名称</w:t>
            </w:r>
          </w:p>
        </w:tc>
        <w:tc>
          <w:tcPr>
            <w:tcW w:w="1369" w:type="dxa"/>
            <w:noWrap/>
            <w:vAlign w:val="center"/>
          </w:tcPr>
          <w:p w14:paraId="40ADA49C">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指标名称</w:t>
            </w:r>
          </w:p>
        </w:tc>
        <w:tc>
          <w:tcPr>
            <w:tcW w:w="709" w:type="dxa"/>
            <w:noWrap/>
            <w:vAlign w:val="center"/>
          </w:tcPr>
          <w:p w14:paraId="7AC769B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计量单位</w:t>
            </w:r>
          </w:p>
        </w:tc>
        <w:tc>
          <w:tcPr>
            <w:tcW w:w="1125" w:type="dxa"/>
            <w:noWrap/>
            <w:vAlign w:val="center"/>
          </w:tcPr>
          <w:p w14:paraId="0B6FADA6">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大型</w:t>
            </w:r>
          </w:p>
        </w:tc>
        <w:tc>
          <w:tcPr>
            <w:tcW w:w="1701" w:type="dxa"/>
            <w:noWrap/>
            <w:vAlign w:val="center"/>
          </w:tcPr>
          <w:p w14:paraId="16723C4A">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中型</w:t>
            </w:r>
          </w:p>
        </w:tc>
        <w:tc>
          <w:tcPr>
            <w:tcW w:w="1426" w:type="dxa"/>
            <w:noWrap/>
            <w:vAlign w:val="center"/>
          </w:tcPr>
          <w:p w14:paraId="37958802">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小型</w:t>
            </w:r>
          </w:p>
        </w:tc>
        <w:tc>
          <w:tcPr>
            <w:tcW w:w="992" w:type="dxa"/>
            <w:noWrap/>
            <w:vAlign w:val="center"/>
          </w:tcPr>
          <w:p w14:paraId="6B9559F9">
            <w:pPr>
              <w:widowControl/>
              <w:spacing w:line="280" w:lineRule="exact"/>
              <w:jc w:val="center"/>
              <w:rPr>
                <w:rFonts w:ascii="宋体" w:hAnsi="宋体" w:cs="宋体"/>
                <w:b/>
                <w:bCs/>
                <w:color w:val="auto"/>
                <w:kern w:val="0"/>
                <w:sz w:val="18"/>
                <w:szCs w:val="18"/>
                <w:highlight w:val="none"/>
              </w:rPr>
            </w:pPr>
            <w:r>
              <w:rPr>
                <w:rFonts w:hint="eastAsia" w:ascii="宋体" w:hAnsi="宋体" w:cs="宋体"/>
                <w:b/>
                <w:bCs/>
                <w:color w:val="auto"/>
                <w:kern w:val="0"/>
                <w:sz w:val="18"/>
                <w:szCs w:val="18"/>
                <w:highlight w:val="none"/>
              </w:rPr>
              <w:t>微型</w:t>
            </w:r>
          </w:p>
        </w:tc>
      </w:tr>
      <w:tr w14:paraId="053A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2C4FA63A">
            <w:pPr>
              <w:rPr>
                <w:color w:val="auto"/>
                <w:sz w:val="18"/>
                <w:szCs w:val="21"/>
                <w:highlight w:val="none"/>
              </w:rPr>
            </w:pPr>
            <w:r>
              <w:rPr>
                <w:rFonts w:hint="eastAsia"/>
                <w:color w:val="auto"/>
                <w:sz w:val="18"/>
                <w:szCs w:val="21"/>
                <w:highlight w:val="none"/>
              </w:rPr>
              <w:t>农、林、牧、渔业</w:t>
            </w:r>
          </w:p>
        </w:tc>
        <w:tc>
          <w:tcPr>
            <w:tcW w:w="1369" w:type="dxa"/>
            <w:noWrap/>
            <w:vAlign w:val="center"/>
          </w:tcPr>
          <w:p w14:paraId="1AC9D30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9079F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1ABD8D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765351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150EA06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50≤Y＜500</w:t>
            </w:r>
          </w:p>
        </w:tc>
        <w:tc>
          <w:tcPr>
            <w:tcW w:w="992" w:type="dxa"/>
            <w:noWrap/>
            <w:vAlign w:val="center"/>
          </w:tcPr>
          <w:p w14:paraId="202FCF7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EDC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2AFBFCD">
            <w:pPr>
              <w:rPr>
                <w:color w:val="auto"/>
                <w:sz w:val="18"/>
                <w:szCs w:val="21"/>
                <w:highlight w:val="none"/>
              </w:rPr>
            </w:pPr>
            <w:r>
              <w:rPr>
                <w:rFonts w:hint="eastAsia"/>
                <w:color w:val="auto"/>
                <w:sz w:val="18"/>
                <w:szCs w:val="21"/>
                <w:highlight w:val="none"/>
              </w:rPr>
              <w:t>工业 *</w:t>
            </w:r>
          </w:p>
        </w:tc>
        <w:tc>
          <w:tcPr>
            <w:tcW w:w="1369" w:type="dxa"/>
            <w:noWrap/>
            <w:vAlign w:val="center"/>
          </w:tcPr>
          <w:p w14:paraId="1DA9714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43C365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BD3F2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52ABDAA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4DA264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62F3F8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5960F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94EB01F">
            <w:pPr>
              <w:rPr>
                <w:color w:val="auto"/>
                <w:sz w:val="18"/>
                <w:szCs w:val="21"/>
                <w:highlight w:val="none"/>
              </w:rPr>
            </w:pPr>
          </w:p>
        </w:tc>
        <w:tc>
          <w:tcPr>
            <w:tcW w:w="1369" w:type="dxa"/>
            <w:noWrap/>
            <w:vAlign w:val="center"/>
          </w:tcPr>
          <w:p w14:paraId="7B446A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E16EB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2B5BF2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525819C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2000≤Y＜40000</w:t>
            </w:r>
          </w:p>
        </w:tc>
        <w:tc>
          <w:tcPr>
            <w:tcW w:w="1426" w:type="dxa"/>
            <w:noWrap/>
            <w:vAlign w:val="center"/>
          </w:tcPr>
          <w:p w14:paraId="31EF8C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300≤Y＜2000</w:t>
            </w:r>
          </w:p>
        </w:tc>
        <w:tc>
          <w:tcPr>
            <w:tcW w:w="992" w:type="dxa"/>
            <w:noWrap/>
            <w:vAlign w:val="center"/>
          </w:tcPr>
          <w:p w14:paraId="305485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0385A7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B41ACE7">
            <w:pPr>
              <w:rPr>
                <w:color w:val="auto"/>
                <w:sz w:val="18"/>
                <w:szCs w:val="21"/>
                <w:highlight w:val="none"/>
              </w:rPr>
            </w:pPr>
            <w:r>
              <w:rPr>
                <w:rFonts w:hint="eastAsia"/>
                <w:color w:val="auto"/>
                <w:sz w:val="18"/>
                <w:szCs w:val="21"/>
                <w:highlight w:val="none"/>
              </w:rPr>
              <w:t>建筑业</w:t>
            </w:r>
          </w:p>
        </w:tc>
        <w:tc>
          <w:tcPr>
            <w:tcW w:w="1369" w:type="dxa"/>
            <w:noWrap/>
            <w:vAlign w:val="center"/>
          </w:tcPr>
          <w:p w14:paraId="12059C8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324F96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EEA9B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Y≥80000</w:t>
            </w:r>
          </w:p>
        </w:tc>
        <w:tc>
          <w:tcPr>
            <w:tcW w:w="1701" w:type="dxa"/>
            <w:noWrap/>
            <w:vAlign w:val="center"/>
          </w:tcPr>
          <w:p w14:paraId="18FD39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6000≤Y＜80000</w:t>
            </w:r>
          </w:p>
        </w:tc>
        <w:tc>
          <w:tcPr>
            <w:tcW w:w="1426" w:type="dxa"/>
            <w:noWrap/>
            <w:vAlign w:val="center"/>
          </w:tcPr>
          <w:p w14:paraId="18A3A5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300≤Y＜6000</w:t>
            </w:r>
          </w:p>
        </w:tc>
        <w:tc>
          <w:tcPr>
            <w:tcW w:w="992" w:type="dxa"/>
            <w:noWrap/>
            <w:vAlign w:val="center"/>
          </w:tcPr>
          <w:p w14:paraId="46621AE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w:t>
            </w:r>
          </w:p>
        </w:tc>
      </w:tr>
      <w:tr w14:paraId="351504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5C99925">
            <w:pPr>
              <w:rPr>
                <w:color w:val="auto"/>
                <w:sz w:val="18"/>
                <w:szCs w:val="21"/>
                <w:highlight w:val="none"/>
              </w:rPr>
            </w:pPr>
          </w:p>
        </w:tc>
        <w:tc>
          <w:tcPr>
            <w:tcW w:w="1369" w:type="dxa"/>
            <w:noWrap/>
            <w:vAlign w:val="center"/>
          </w:tcPr>
          <w:p w14:paraId="61191F3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3BD178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35DC07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Z≥80000</w:t>
            </w:r>
          </w:p>
        </w:tc>
        <w:tc>
          <w:tcPr>
            <w:tcW w:w="1701" w:type="dxa"/>
            <w:noWrap/>
            <w:vAlign w:val="center"/>
          </w:tcPr>
          <w:p w14:paraId="35D51E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5000≤Z＜80000</w:t>
            </w:r>
          </w:p>
        </w:tc>
        <w:tc>
          <w:tcPr>
            <w:tcW w:w="1426" w:type="dxa"/>
            <w:noWrap/>
            <w:vAlign w:val="center"/>
          </w:tcPr>
          <w:p w14:paraId="3610421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300≤Z＜5000</w:t>
            </w:r>
          </w:p>
        </w:tc>
        <w:tc>
          <w:tcPr>
            <w:tcW w:w="992" w:type="dxa"/>
            <w:noWrap/>
            <w:vAlign w:val="center"/>
          </w:tcPr>
          <w:p w14:paraId="1466F9F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Z＜300</w:t>
            </w:r>
          </w:p>
        </w:tc>
      </w:tr>
      <w:tr w14:paraId="15D90B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16E8A1F">
            <w:pPr>
              <w:rPr>
                <w:color w:val="auto"/>
                <w:sz w:val="18"/>
                <w:szCs w:val="21"/>
                <w:highlight w:val="none"/>
              </w:rPr>
            </w:pPr>
            <w:r>
              <w:rPr>
                <w:rFonts w:hint="eastAsia"/>
                <w:color w:val="auto"/>
                <w:sz w:val="18"/>
                <w:szCs w:val="21"/>
                <w:highlight w:val="none"/>
              </w:rPr>
              <w:t>批发业</w:t>
            </w:r>
          </w:p>
        </w:tc>
        <w:tc>
          <w:tcPr>
            <w:tcW w:w="1369" w:type="dxa"/>
            <w:noWrap/>
            <w:vAlign w:val="center"/>
          </w:tcPr>
          <w:p w14:paraId="3AB9991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8A64E3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72B4DB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4465089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20≤X＜200</w:t>
            </w:r>
          </w:p>
        </w:tc>
        <w:tc>
          <w:tcPr>
            <w:tcW w:w="1426" w:type="dxa"/>
            <w:noWrap/>
            <w:vAlign w:val="center"/>
          </w:tcPr>
          <w:p w14:paraId="75E927A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5≤X＜20</w:t>
            </w:r>
          </w:p>
        </w:tc>
        <w:tc>
          <w:tcPr>
            <w:tcW w:w="992" w:type="dxa"/>
            <w:noWrap/>
            <w:vAlign w:val="center"/>
          </w:tcPr>
          <w:p w14:paraId="66C0C0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X＜5</w:t>
            </w:r>
          </w:p>
        </w:tc>
      </w:tr>
      <w:tr w14:paraId="0E0A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05D7AE5">
            <w:pPr>
              <w:rPr>
                <w:color w:val="auto"/>
                <w:sz w:val="18"/>
                <w:szCs w:val="21"/>
                <w:highlight w:val="none"/>
              </w:rPr>
            </w:pPr>
          </w:p>
        </w:tc>
        <w:tc>
          <w:tcPr>
            <w:tcW w:w="1369" w:type="dxa"/>
            <w:noWrap/>
            <w:vAlign w:val="center"/>
          </w:tcPr>
          <w:p w14:paraId="5C9472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74EA0E3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17282A9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Y≥40000</w:t>
            </w:r>
          </w:p>
        </w:tc>
        <w:tc>
          <w:tcPr>
            <w:tcW w:w="1701" w:type="dxa"/>
            <w:noWrap/>
            <w:vAlign w:val="center"/>
          </w:tcPr>
          <w:p w14:paraId="044B3C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5000≤Y＜40000</w:t>
            </w:r>
          </w:p>
        </w:tc>
        <w:tc>
          <w:tcPr>
            <w:tcW w:w="1426" w:type="dxa"/>
            <w:noWrap/>
            <w:vAlign w:val="center"/>
          </w:tcPr>
          <w:p w14:paraId="03AC5C18">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992" w:type="dxa"/>
            <w:noWrap/>
            <w:vAlign w:val="center"/>
          </w:tcPr>
          <w:p w14:paraId="25114E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w:t>
            </w:r>
          </w:p>
        </w:tc>
      </w:tr>
      <w:tr w14:paraId="1F8E7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783850D1">
            <w:pPr>
              <w:rPr>
                <w:color w:val="auto"/>
                <w:sz w:val="18"/>
                <w:szCs w:val="21"/>
                <w:highlight w:val="none"/>
              </w:rPr>
            </w:pPr>
            <w:r>
              <w:rPr>
                <w:rFonts w:hint="eastAsia"/>
                <w:color w:val="auto"/>
                <w:sz w:val="18"/>
                <w:szCs w:val="21"/>
                <w:highlight w:val="none"/>
              </w:rPr>
              <w:t>零售业</w:t>
            </w:r>
          </w:p>
        </w:tc>
        <w:tc>
          <w:tcPr>
            <w:tcW w:w="1369" w:type="dxa"/>
            <w:noWrap/>
            <w:vAlign w:val="center"/>
          </w:tcPr>
          <w:p w14:paraId="4E281D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01BEF6F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4D1426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1082DB9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50≤X＜300</w:t>
            </w:r>
          </w:p>
        </w:tc>
        <w:tc>
          <w:tcPr>
            <w:tcW w:w="1426" w:type="dxa"/>
            <w:noWrap/>
            <w:vAlign w:val="center"/>
          </w:tcPr>
          <w:p w14:paraId="4353BD51">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10≤X＜50 </w:t>
            </w:r>
          </w:p>
        </w:tc>
        <w:tc>
          <w:tcPr>
            <w:tcW w:w="992" w:type="dxa"/>
            <w:noWrap/>
            <w:vAlign w:val="center"/>
          </w:tcPr>
          <w:p w14:paraId="033AD0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1444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7450A17">
            <w:pPr>
              <w:rPr>
                <w:color w:val="auto"/>
                <w:sz w:val="18"/>
                <w:szCs w:val="21"/>
                <w:highlight w:val="none"/>
              </w:rPr>
            </w:pPr>
          </w:p>
        </w:tc>
        <w:tc>
          <w:tcPr>
            <w:tcW w:w="1369" w:type="dxa"/>
            <w:noWrap/>
            <w:vAlign w:val="center"/>
          </w:tcPr>
          <w:p w14:paraId="09F14B3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7F8B3EB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0ACA84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w:t>
            </w:r>
          </w:p>
        </w:tc>
        <w:tc>
          <w:tcPr>
            <w:tcW w:w="1701" w:type="dxa"/>
            <w:noWrap/>
            <w:vAlign w:val="center"/>
          </w:tcPr>
          <w:p w14:paraId="601AC0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500≤Y＜20000</w:t>
            </w:r>
          </w:p>
        </w:tc>
        <w:tc>
          <w:tcPr>
            <w:tcW w:w="1426" w:type="dxa"/>
            <w:noWrap/>
            <w:vAlign w:val="center"/>
          </w:tcPr>
          <w:p w14:paraId="0199BB3F">
            <w:pPr>
              <w:widowControl/>
              <w:spacing w:line="280" w:lineRule="exact"/>
              <w:ind w:left="-1" w:leftChars="-1" w:hanging="1"/>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100≤Y＜500</w:t>
            </w:r>
          </w:p>
        </w:tc>
        <w:tc>
          <w:tcPr>
            <w:tcW w:w="992" w:type="dxa"/>
            <w:noWrap/>
            <w:vAlign w:val="center"/>
          </w:tcPr>
          <w:p w14:paraId="693821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3A13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59EDBF8E">
            <w:pPr>
              <w:rPr>
                <w:color w:val="auto"/>
                <w:sz w:val="18"/>
                <w:szCs w:val="21"/>
                <w:highlight w:val="none"/>
              </w:rPr>
            </w:pPr>
            <w:r>
              <w:rPr>
                <w:rFonts w:hint="eastAsia"/>
                <w:color w:val="auto"/>
                <w:sz w:val="18"/>
                <w:szCs w:val="21"/>
                <w:highlight w:val="none"/>
              </w:rPr>
              <w:t>交通运输业 *</w:t>
            </w:r>
          </w:p>
        </w:tc>
        <w:tc>
          <w:tcPr>
            <w:tcW w:w="1369" w:type="dxa"/>
            <w:noWrap/>
            <w:vAlign w:val="center"/>
          </w:tcPr>
          <w:p w14:paraId="648D0F9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4855A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3407CC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21728C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6BDB452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13F7CC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FA5A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AB95A60">
            <w:pPr>
              <w:rPr>
                <w:color w:val="auto"/>
                <w:sz w:val="18"/>
                <w:szCs w:val="21"/>
                <w:highlight w:val="none"/>
              </w:rPr>
            </w:pPr>
          </w:p>
        </w:tc>
        <w:tc>
          <w:tcPr>
            <w:tcW w:w="1369" w:type="dxa"/>
            <w:noWrap/>
            <w:vAlign w:val="center"/>
          </w:tcPr>
          <w:p w14:paraId="62289C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F5D90C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5E0ABB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34CB635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3000≤Y＜30000</w:t>
            </w:r>
          </w:p>
        </w:tc>
        <w:tc>
          <w:tcPr>
            <w:tcW w:w="1426" w:type="dxa"/>
            <w:noWrap/>
            <w:vAlign w:val="center"/>
          </w:tcPr>
          <w:p w14:paraId="71A3279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200≤Y＜3000</w:t>
            </w:r>
          </w:p>
        </w:tc>
        <w:tc>
          <w:tcPr>
            <w:tcW w:w="992" w:type="dxa"/>
            <w:noWrap/>
            <w:vAlign w:val="center"/>
          </w:tcPr>
          <w:p w14:paraId="3F49EEE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w:t>
            </w:r>
          </w:p>
        </w:tc>
      </w:tr>
      <w:tr w14:paraId="52B45A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4BAF8B2E">
            <w:pPr>
              <w:rPr>
                <w:color w:val="auto"/>
                <w:sz w:val="18"/>
                <w:szCs w:val="21"/>
                <w:highlight w:val="none"/>
              </w:rPr>
            </w:pPr>
            <w:r>
              <w:rPr>
                <w:rFonts w:hint="eastAsia"/>
                <w:color w:val="auto"/>
                <w:sz w:val="18"/>
                <w:szCs w:val="21"/>
                <w:highlight w:val="none"/>
              </w:rPr>
              <w:t>仓储业*</w:t>
            </w:r>
          </w:p>
        </w:tc>
        <w:tc>
          <w:tcPr>
            <w:tcW w:w="1369" w:type="dxa"/>
            <w:noWrap/>
            <w:vAlign w:val="center"/>
          </w:tcPr>
          <w:p w14:paraId="748C44D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481CC02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5BB8F2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w:t>
            </w:r>
          </w:p>
        </w:tc>
        <w:tc>
          <w:tcPr>
            <w:tcW w:w="1701" w:type="dxa"/>
            <w:noWrap/>
            <w:vAlign w:val="center"/>
          </w:tcPr>
          <w:p w14:paraId="36DA372F">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w:t>
            </w:r>
          </w:p>
        </w:tc>
        <w:tc>
          <w:tcPr>
            <w:tcW w:w="1426" w:type="dxa"/>
            <w:noWrap/>
            <w:vAlign w:val="center"/>
          </w:tcPr>
          <w:p w14:paraId="216E485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20≤X＜100</w:t>
            </w:r>
          </w:p>
        </w:tc>
        <w:tc>
          <w:tcPr>
            <w:tcW w:w="992" w:type="dxa"/>
            <w:noWrap/>
            <w:vAlign w:val="center"/>
          </w:tcPr>
          <w:p w14:paraId="0D5DA7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4931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4BEEDABD">
            <w:pPr>
              <w:rPr>
                <w:color w:val="auto"/>
                <w:sz w:val="18"/>
                <w:szCs w:val="21"/>
                <w:highlight w:val="none"/>
              </w:rPr>
            </w:pPr>
          </w:p>
        </w:tc>
        <w:tc>
          <w:tcPr>
            <w:tcW w:w="1369" w:type="dxa"/>
            <w:noWrap/>
            <w:vAlign w:val="center"/>
          </w:tcPr>
          <w:p w14:paraId="6560FAA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0F9614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9A9920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468D69F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1000≤Y＜30000</w:t>
            </w:r>
          </w:p>
        </w:tc>
        <w:tc>
          <w:tcPr>
            <w:tcW w:w="1426" w:type="dxa"/>
            <w:noWrap/>
            <w:vAlign w:val="center"/>
          </w:tcPr>
          <w:p w14:paraId="60A66AC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017A653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7C9D4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4211EA2">
            <w:pPr>
              <w:rPr>
                <w:color w:val="auto"/>
                <w:sz w:val="18"/>
                <w:szCs w:val="21"/>
                <w:highlight w:val="none"/>
              </w:rPr>
            </w:pPr>
            <w:r>
              <w:rPr>
                <w:rFonts w:hint="eastAsia"/>
                <w:color w:val="auto"/>
                <w:sz w:val="18"/>
                <w:szCs w:val="21"/>
                <w:highlight w:val="none"/>
              </w:rPr>
              <w:t>邮政业</w:t>
            </w:r>
          </w:p>
        </w:tc>
        <w:tc>
          <w:tcPr>
            <w:tcW w:w="1369" w:type="dxa"/>
            <w:noWrap/>
            <w:vAlign w:val="center"/>
          </w:tcPr>
          <w:p w14:paraId="08AB6FC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505246A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05C798E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2AC40C0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41F65F8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20≤X＜300</w:t>
            </w:r>
          </w:p>
        </w:tc>
        <w:tc>
          <w:tcPr>
            <w:tcW w:w="992" w:type="dxa"/>
            <w:noWrap/>
            <w:vAlign w:val="center"/>
          </w:tcPr>
          <w:p w14:paraId="4805F65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w:t>
            </w:r>
          </w:p>
        </w:tc>
      </w:tr>
      <w:tr w14:paraId="77BAE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8ED7C5C">
            <w:pPr>
              <w:rPr>
                <w:color w:val="auto"/>
                <w:sz w:val="18"/>
                <w:szCs w:val="21"/>
                <w:highlight w:val="none"/>
              </w:rPr>
            </w:pPr>
          </w:p>
        </w:tc>
        <w:tc>
          <w:tcPr>
            <w:tcW w:w="1369" w:type="dxa"/>
            <w:noWrap/>
            <w:vAlign w:val="center"/>
          </w:tcPr>
          <w:p w14:paraId="35FF6E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304D743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472EC3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Y≥30000</w:t>
            </w:r>
          </w:p>
        </w:tc>
        <w:tc>
          <w:tcPr>
            <w:tcW w:w="1701" w:type="dxa"/>
            <w:noWrap/>
            <w:vAlign w:val="center"/>
          </w:tcPr>
          <w:p w14:paraId="6586FFB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2000≤Y＜30000</w:t>
            </w:r>
          </w:p>
        </w:tc>
        <w:tc>
          <w:tcPr>
            <w:tcW w:w="1426" w:type="dxa"/>
            <w:noWrap/>
            <w:vAlign w:val="center"/>
          </w:tcPr>
          <w:p w14:paraId="73ACC8B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1201E45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17826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42BD0A7">
            <w:pPr>
              <w:rPr>
                <w:color w:val="auto"/>
                <w:sz w:val="18"/>
                <w:szCs w:val="21"/>
                <w:highlight w:val="none"/>
              </w:rPr>
            </w:pPr>
            <w:r>
              <w:rPr>
                <w:rFonts w:hint="eastAsia"/>
                <w:color w:val="auto"/>
                <w:sz w:val="18"/>
                <w:szCs w:val="21"/>
                <w:highlight w:val="none"/>
              </w:rPr>
              <w:t>住宿业</w:t>
            </w:r>
          </w:p>
        </w:tc>
        <w:tc>
          <w:tcPr>
            <w:tcW w:w="1369" w:type="dxa"/>
            <w:noWrap/>
            <w:vAlign w:val="center"/>
          </w:tcPr>
          <w:p w14:paraId="7A81E3F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210CC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013E5F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6185A1B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57D0D4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2C5DD55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23BE5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7DEE34D">
            <w:pPr>
              <w:rPr>
                <w:color w:val="auto"/>
                <w:sz w:val="18"/>
                <w:szCs w:val="21"/>
                <w:highlight w:val="none"/>
              </w:rPr>
            </w:pPr>
          </w:p>
        </w:tc>
        <w:tc>
          <w:tcPr>
            <w:tcW w:w="1369" w:type="dxa"/>
            <w:noWrap/>
            <w:vAlign w:val="center"/>
          </w:tcPr>
          <w:p w14:paraId="06589F2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49254E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396F266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2194033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6A66A0C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3FFD3DE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34C4A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6FAD8DA">
            <w:pPr>
              <w:rPr>
                <w:color w:val="auto"/>
                <w:sz w:val="18"/>
                <w:szCs w:val="21"/>
                <w:highlight w:val="none"/>
              </w:rPr>
            </w:pPr>
            <w:r>
              <w:rPr>
                <w:rFonts w:hint="eastAsia"/>
                <w:color w:val="auto"/>
                <w:sz w:val="18"/>
                <w:szCs w:val="21"/>
                <w:highlight w:val="none"/>
              </w:rPr>
              <w:t>餐饮业</w:t>
            </w:r>
          </w:p>
        </w:tc>
        <w:tc>
          <w:tcPr>
            <w:tcW w:w="1369" w:type="dxa"/>
            <w:noWrap/>
            <w:vAlign w:val="center"/>
          </w:tcPr>
          <w:p w14:paraId="0DA2E26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1D7ECD2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F6ED27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4C7C45BD">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3AB2B8D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2892033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67779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69929DBA">
            <w:pPr>
              <w:rPr>
                <w:color w:val="auto"/>
                <w:sz w:val="18"/>
                <w:szCs w:val="21"/>
                <w:highlight w:val="none"/>
              </w:rPr>
            </w:pPr>
          </w:p>
        </w:tc>
        <w:tc>
          <w:tcPr>
            <w:tcW w:w="1369" w:type="dxa"/>
            <w:noWrap/>
            <w:vAlign w:val="center"/>
          </w:tcPr>
          <w:p w14:paraId="25923C4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540D49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266B1FC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2B5567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2000≤Y＜10000</w:t>
            </w:r>
          </w:p>
        </w:tc>
        <w:tc>
          <w:tcPr>
            <w:tcW w:w="1426" w:type="dxa"/>
            <w:noWrap/>
            <w:vAlign w:val="center"/>
          </w:tcPr>
          <w:p w14:paraId="74F4E50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100≤Y＜2000</w:t>
            </w:r>
          </w:p>
        </w:tc>
        <w:tc>
          <w:tcPr>
            <w:tcW w:w="992" w:type="dxa"/>
            <w:noWrap/>
            <w:vAlign w:val="center"/>
          </w:tcPr>
          <w:p w14:paraId="02B1B86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0E29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16AEA903">
            <w:pPr>
              <w:rPr>
                <w:color w:val="auto"/>
                <w:sz w:val="18"/>
                <w:szCs w:val="21"/>
                <w:highlight w:val="none"/>
              </w:rPr>
            </w:pPr>
            <w:r>
              <w:rPr>
                <w:rFonts w:hint="eastAsia"/>
                <w:color w:val="auto"/>
                <w:sz w:val="18"/>
                <w:szCs w:val="21"/>
                <w:highlight w:val="none"/>
              </w:rPr>
              <w:t>信息传输业 *</w:t>
            </w:r>
          </w:p>
        </w:tc>
        <w:tc>
          <w:tcPr>
            <w:tcW w:w="1369" w:type="dxa"/>
            <w:noWrap/>
            <w:vAlign w:val="center"/>
          </w:tcPr>
          <w:p w14:paraId="63FF69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2A96002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4DBC756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X≥2000</w:t>
            </w:r>
          </w:p>
        </w:tc>
        <w:tc>
          <w:tcPr>
            <w:tcW w:w="1701" w:type="dxa"/>
            <w:noWrap/>
            <w:vAlign w:val="center"/>
          </w:tcPr>
          <w:p w14:paraId="1E03F54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100≤X＜2000</w:t>
            </w:r>
          </w:p>
        </w:tc>
        <w:tc>
          <w:tcPr>
            <w:tcW w:w="1426" w:type="dxa"/>
            <w:noWrap/>
            <w:vAlign w:val="center"/>
          </w:tcPr>
          <w:p w14:paraId="297F4EC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2671DC9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F7B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2731040">
            <w:pPr>
              <w:rPr>
                <w:color w:val="auto"/>
                <w:sz w:val="18"/>
                <w:szCs w:val="21"/>
                <w:highlight w:val="none"/>
              </w:rPr>
            </w:pPr>
          </w:p>
        </w:tc>
        <w:tc>
          <w:tcPr>
            <w:tcW w:w="1369" w:type="dxa"/>
            <w:noWrap/>
            <w:vAlign w:val="center"/>
          </w:tcPr>
          <w:p w14:paraId="06BDE5D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66DA72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5CBE34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Y≥100000</w:t>
            </w:r>
          </w:p>
        </w:tc>
        <w:tc>
          <w:tcPr>
            <w:tcW w:w="1701" w:type="dxa"/>
            <w:noWrap/>
            <w:vAlign w:val="center"/>
          </w:tcPr>
          <w:p w14:paraId="6D2667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1000≤Y＜100000</w:t>
            </w:r>
          </w:p>
        </w:tc>
        <w:tc>
          <w:tcPr>
            <w:tcW w:w="1426" w:type="dxa"/>
            <w:noWrap/>
            <w:vAlign w:val="center"/>
          </w:tcPr>
          <w:p w14:paraId="119EE20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2C0CDEC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52E4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DF47FD1">
            <w:pPr>
              <w:rPr>
                <w:color w:val="auto"/>
                <w:sz w:val="18"/>
                <w:szCs w:val="21"/>
                <w:highlight w:val="none"/>
              </w:rPr>
            </w:pPr>
            <w:r>
              <w:rPr>
                <w:rFonts w:hint="eastAsia"/>
                <w:color w:val="auto"/>
                <w:sz w:val="18"/>
                <w:szCs w:val="21"/>
                <w:highlight w:val="none"/>
              </w:rPr>
              <w:t>软件和信息技术服务业</w:t>
            </w:r>
          </w:p>
        </w:tc>
        <w:tc>
          <w:tcPr>
            <w:tcW w:w="1369" w:type="dxa"/>
            <w:noWrap/>
            <w:vAlign w:val="center"/>
          </w:tcPr>
          <w:p w14:paraId="463BAE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55C8F2C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5FF8B5C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68DCF1C4">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 xml:space="preserve">100≤X＜300 </w:t>
            </w:r>
          </w:p>
        </w:tc>
        <w:tc>
          <w:tcPr>
            <w:tcW w:w="1426" w:type="dxa"/>
            <w:noWrap/>
            <w:vAlign w:val="center"/>
          </w:tcPr>
          <w:p w14:paraId="4F2FD7C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164D67F5">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1E7DE8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55B5C753">
            <w:pPr>
              <w:rPr>
                <w:color w:val="auto"/>
                <w:sz w:val="18"/>
                <w:szCs w:val="21"/>
                <w:highlight w:val="none"/>
              </w:rPr>
            </w:pPr>
          </w:p>
        </w:tc>
        <w:tc>
          <w:tcPr>
            <w:tcW w:w="1369" w:type="dxa"/>
            <w:noWrap/>
            <w:vAlign w:val="center"/>
          </w:tcPr>
          <w:p w14:paraId="118EF75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0EFD4B6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18DB4A1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Y≥10000</w:t>
            </w:r>
          </w:p>
        </w:tc>
        <w:tc>
          <w:tcPr>
            <w:tcW w:w="1701" w:type="dxa"/>
            <w:noWrap/>
            <w:vAlign w:val="center"/>
          </w:tcPr>
          <w:p w14:paraId="1BE4CD2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1000≤Y＜10000</w:t>
            </w:r>
          </w:p>
        </w:tc>
        <w:tc>
          <w:tcPr>
            <w:tcW w:w="1426" w:type="dxa"/>
            <w:noWrap/>
            <w:vAlign w:val="center"/>
          </w:tcPr>
          <w:p w14:paraId="3F13514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50≤Y＜1000</w:t>
            </w:r>
          </w:p>
        </w:tc>
        <w:tc>
          <w:tcPr>
            <w:tcW w:w="992" w:type="dxa"/>
            <w:noWrap/>
            <w:vAlign w:val="center"/>
          </w:tcPr>
          <w:p w14:paraId="7766488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w:t>
            </w:r>
          </w:p>
        </w:tc>
      </w:tr>
      <w:tr w14:paraId="142F2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00517E24">
            <w:pPr>
              <w:rPr>
                <w:color w:val="auto"/>
                <w:sz w:val="18"/>
                <w:szCs w:val="21"/>
                <w:highlight w:val="none"/>
              </w:rPr>
            </w:pPr>
            <w:r>
              <w:rPr>
                <w:rFonts w:hint="eastAsia"/>
                <w:color w:val="auto"/>
                <w:sz w:val="18"/>
                <w:szCs w:val="21"/>
                <w:highlight w:val="none"/>
              </w:rPr>
              <w:t>房地产开发经营</w:t>
            </w:r>
          </w:p>
        </w:tc>
        <w:tc>
          <w:tcPr>
            <w:tcW w:w="1369" w:type="dxa"/>
            <w:noWrap/>
            <w:vAlign w:val="center"/>
          </w:tcPr>
          <w:p w14:paraId="07D122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297EDDD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3000A3F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Y≥200000</w:t>
            </w:r>
          </w:p>
        </w:tc>
        <w:tc>
          <w:tcPr>
            <w:tcW w:w="1701" w:type="dxa"/>
            <w:noWrap/>
            <w:vAlign w:val="center"/>
          </w:tcPr>
          <w:p w14:paraId="429A35F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1000≤Y＜200000</w:t>
            </w:r>
          </w:p>
        </w:tc>
        <w:tc>
          <w:tcPr>
            <w:tcW w:w="1426" w:type="dxa"/>
            <w:noWrap/>
            <w:vAlign w:val="center"/>
          </w:tcPr>
          <w:p w14:paraId="0119F70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100≤Y＜1000</w:t>
            </w:r>
          </w:p>
        </w:tc>
        <w:tc>
          <w:tcPr>
            <w:tcW w:w="992" w:type="dxa"/>
            <w:noWrap/>
            <w:vAlign w:val="center"/>
          </w:tcPr>
          <w:p w14:paraId="7D342DA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Y＜100</w:t>
            </w:r>
          </w:p>
        </w:tc>
      </w:tr>
      <w:tr w14:paraId="297AA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0126FF8B">
            <w:pPr>
              <w:rPr>
                <w:color w:val="auto"/>
                <w:sz w:val="18"/>
                <w:szCs w:val="21"/>
                <w:highlight w:val="none"/>
              </w:rPr>
            </w:pPr>
          </w:p>
        </w:tc>
        <w:tc>
          <w:tcPr>
            <w:tcW w:w="1369" w:type="dxa"/>
            <w:noWrap/>
            <w:vAlign w:val="center"/>
          </w:tcPr>
          <w:p w14:paraId="6E7190B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363FF391">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6BB28C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Z≥10000</w:t>
            </w:r>
          </w:p>
        </w:tc>
        <w:tc>
          <w:tcPr>
            <w:tcW w:w="1701" w:type="dxa"/>
            <w:noWrap/>
            <w:vAlign w:val="center"/>
          </w:tcPr>
          <w:p w14:paraId="21280FE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5000≤Z＜10000</w:t>
            </w:r>
          </w:p>
        </w:tc>
        <w:tc>
          <w:tcPr>
            <w:tcW w:w="1426" w:type="dxa"/>
            <w:noWrap/>
            <w:vAlign w:val="center"/>
          </w:tcPr>
          <w:p w14:paraId="46E9847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2000≤Z＜5000</w:t>
            </w:r>
          </w:p>
        </w:tc>
        <w:tc>
          <w:tcPr>
            <w:tcW w:w="992" w:type="dxa"/>
            <w:noWrap/>
            <w:vAlign w:val="center"/>
          </w:tcPr>
          <w:p w14:paraId="21EDDA6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Z＜2000</w:t>
            </w:r>
          </w:p>
        </w:tc>
      </w:tr>
      <w:tr w14:paraId="635A46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34C4EA40">
            <w:pPr>
              <w:rPr>
                <w:color w:val="auto"/>
                <w:sz w:val="18"/>
                <w:szCs w:val="21"/>
                <w:highlight w:val="none"/>
              </w:rPr>
            </w:pPr>
            <w:r>
              <w:rPr>
                <w:rFonts w:hint="eastAsia"/>
                <w:color w:val="auto"/>
                <w:sz w:val="18"/>
                <w:szCs w:val="21"/>
                <w:highlight w:val="none"/>
              </w:rPr>
              <w:t>物业管理</w:t>
            </w:r>
          </w:p>
        </w:tc>
        <w:tc>
          <w:tcPr>
            <w:tcW w:w="1369" w:type="dxa"/>
            <w:noWrap/>
            <w:vAlign w:val="center"/>
          </w:tcPr>
          <w:p w14:paraId="780119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265B42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2776A8E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X≥1000</w:t>
            </w:r>
          </w:p>
        </w:tc>
        <w:tc>
          <w:tcPr>
            <w:tcW w:w="1701" w:type="dxa"/>
            <w:noWrap/>
            <w:vAlign w:val="center"/>
          </w:tcPr>
          <w:p w14:paraId="33CF9D8E">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300≤X＜1000</w:t>
            </w:r>
          </w:p>
        </w:tc>
        <w:tc>
          <w:tcPr>
            <w:tcW w:w="1426" w:type="dxa"/>
            <w:noWrap/>
            <w:vAlign w:val="center"/>
          </w:tcPr>
          <w:p w14:paraId="67B9BC9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992" w:type="dxa"/>
            <w:noWrap/>
            <w:vAlign w:val="center"/>
          </w:tcPr>
          <w:p w14:paraId="7A67AD7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X＜100</w:t>
            </w:r>
          </w:p>
        </w:tc>
      </w:tr>
      <w:tr w14:paraId="120CEF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7A84E56A">
            <w:pPr>
              <w:rPr>
                <w:color w:val="auto"/>
                <w:sz w:val="18"/>
                <w:szCs w:val="21"/>
                <w:highlight w:val="none"/>
              </w:rPr>
            </w:pPr>
          </w:p>
        </w:tc>
        <w:tc>
          <w:tcPr>
            <w:tcW w:w="1369" w:type="dxa"/>
            <w:noWrap/>
            <w:vAlign w:val="center"/>
          </w:tcPr>
          <w:p w14:paraId="4BD7ACDA">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营业收入(Y)</w:t>
            </w:r>
          </w:p>
        </w:tc>
        <w:tc>
          <w:tcPr>
            <w:tcW w:w="709" w:type="dxa"/>
            <w:noWrap/>
            <w:vAlign w:val="center"/>
          </w:tcPr>
          <w:p w14:paraId="1A820FB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905AE9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Y≥5000</w:t>
            </w:r>
          </w:p>
        </w:tc>
        <w:tc>
          <w:tcPr>
            <w:tcW w:w="1701" w:type="dxa"/>
            <w:noWrap/>
            <w:vAlign w:val="center"/>
          </w:tcPr>
          <w:p w14:paraId="7089BDE5">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1000≤Y＜5000</w:t>
            </w:r>
          </w:p>
        </w:tc>
        <w:tc>
          <w:tcPr>
            <w:tcW w:w="1426" w:type="dxa"/>
            <w:noWrap/>
            <w:vAlign w:val="center"/>
          </w:tcPr>
          <w:p w14:paraId="53D0414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500≤Y＜1000</w:t>
            </w:r>
          </w:p>
        </w:tc>
        <w:tc>
          <w:tcPr>
            <w:tcW w:w="992" w:type="dxa"/>
            <w:noWrap/>
            <w:vAlign w:val="center"/>
          </w:tcPr>
          <w:p w14:paraId="7162AF42">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Y＜500</w:t>
            </w:r>
          </w:p>
        </w:tc>
      </w:tr>
      <w:tr w14:paraId="436B14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restart"/>
            <w:noWrap/>
            <w:vAlign w:val="center"/>
          </w:tcPr>
          <w:p w14:paraId="6D962127">
            <w:pPr>
              <w:rPr>
                <w:color w:val="auto"/>
                <w:sz w:val="18"/>
                <w:szCs w:val="21"/>
                <w:highlight w:val="none"/>
              </w:rPr>
            </w:pPr>
            <w:r>
              <w:rPr>
                <w:rFonts w:hint="eastAsia"/>
                <w:color w:val="auto"/>
                <w:sz w:val="18"/>
                <w:szCs w:val="21"/>
                <w:highlight w:val="none"/>
              </w:rPr>
              <w:t>租赁和商务服务业</w:t>
            </w:r>
          </w:p>
        </w:tc>
        <w:tc>
          <w:tcPr>
            <w:tcW w:w="1369" w:type="dxa"/>
            <w:noWrap/>
            <w:vAlign w:val="center"/>
          </w:tcPr>
          <w:p w14:paraId="33568F9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6CD37F9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3FC4D2A8">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5A5EC4BC">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64C3318F">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00FC9AB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r w14:paraId="40484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vMerge w:val="continue"/>
            <w:noWrap/>
            <w:vAlign w:val="center"/>
          </w:tcPr>
          <w:p w14:paraId="200042CC">
            <w:pPr>
              <w:rPr>
                <w:color w:val="auto"/>
                <w:sz w:val="18"/>
                <w:szCs w:val="21"/>
                <w:highlight w:val="none"/>
              </w:rPr>
            </w:pPr>
          </w:p>
        </w:tc>
        <w:tc>
          <w:tcPr>
            <w:tcW w:w="1369" w:type="dxa"/>
            <w:noWrap/>
            <w:vAlign w:val="center"/>
          </w:tcPr>
          <w:p w14:paraId="7B902B87">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资产总额(Z)</w:t>
            </w:r>
          </w:p>
        </w:tc>
        <w:tc>
          <w:tcPr>
            <w:tcW w:w="709" w:type="dxa"/>
            <w:noWrap/>
            <w:vAlign w:val="center"/>
          </w:tcPr>
          <w:p w14:paraId="056591C4">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万元</w:t>
            </w:r>
          </w:p>
        </w:tc>
        <w:tc>
          <w:tcPr>
            <w:tcW w:w="1125" w:type="dxa"/>
            <w:noWrap/>
            <w:vAlign w:val="center"/>
          </w:tcPr>
          <w:p w14:paraId="45E2027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Z≥120000</w:t>
            </w:r>
          </w:p>
        </w:tc>
        <w:tc>
          <w:tcPr>
            <w:tcW w:w="1701" w:type="dxa"/>
            <w:noWrap/>
            <w:vAlign w:val="center"/>
          </w:tcPr>
          <w:p w14:paraId="02677A9D">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8000≤Z＜120000</w:t>
            </w:r>
          </w:p>
        </w:tc>
        <w:tc>
          <w:tcPr>
            <w:tcW w:w="1426" w:type="dxa"/>
            <w:noWrap/>
            <w:vAlign w:val="center"/>
          </w:tcPr>
          <w:p w14:paraId="61A8184C">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100≤Z＜8000</w:t>
            </w:r>
          </w:p>
        </w:tc>
        <w:tc>
          <w:tcPr>
            <w:tcW w:w="992" w:type="dxa"/>
            <w:noWrap/>
            <w:vAlign w:val="center"/>
          </w:tcPr>
          <w:p w14:paraId="2C25CCB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Z＜100</w:t>
            </w:r>
          </w:p>
        </w:tc>
      </w:tr>
      <w:tr w14:paraId="647FB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13" w:type="dxa"/>
            <w:noWrap/>
            <w:vAlign w:val="center"/>
          </w:tcPr>
          <w:p w14:paraId="5B7236D5">
            <w:pPr>
              <w:rPr>
                <w:color w:val="auto"/>
                <w:sz w:val="18"/>
                <w:szCs w:val="21"/>
                <w:highlight w:val="none"/>
              </w:rPr>
            </w:pPr>
            <w:r>
              <w:rPr>
                <w:rFonts w:hint="eastAsia"/>
                <w:color w:val="auto"/>
                <w:sz w:val="18"/>
                <w:szCs w:val="21"/>
                <w:highlight w:val="none"/>
              </w:rPr>
              <w:t>其他未列明行业 *</w:t>
            </w:r>
          </w:p>
        </w:tc>
        <w:tc>
          <w:tcPr>
            <w:tcW w:w="1369" w:type="dxa"/>
            <w:noWrap/>
            <w:vAlign w:val="center"/>
          </w:tcPr>
          <w:p w14:paraId="2AE3B5AB">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从业人员(X)</w:t>
            </w:r>
          </w:p>
        </w:tc>
        <w:tc>
          <w:tcPr>
            <w:tcW w:w="709" w:type="dxa"/>
            <w:noWrap/>
            <w:vAlign w:val="center"/>
          </w:tcPr>
          <w:p w14:paraId="5F6A8FC0">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人</w:t>
            </w:r>
          </w:p>
        </w:tc>
        <w:tc>
          <w:tcPr>
            <w:tcW w:w="1125" w:type="dxa"/>
            <w:noWrap/>
            <w:vAlign w:val="center"/>
          </w:tcPr>
          <w:p w14:paraId="67A05E09">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X≥300</w:t>
            </w:r>
          </w:p>
        </w:tc>
        <w:tc>
          <w:tcPr>
            <w:tcW w:w="1701" w:type="dxa"/>
            <w:noWrap/>
            <w:vAlign w:val="center"/>
          </w:tcPr>
          <w:p w14:paraId="217AA630">
            <w:pPr>
              <w:widowControl/>
              <w:spacing w:line="280" w:lineRule="exact"/>
              <w:ind w:left="1" w:leftChars="-51" w:hanging="108" w:hangingChars="60"/>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100≤X＜300</w:t>
            </w:r>
          </w:p>
        </w:tc>
        <w:tc>
          <w:tcPr>
            <w:tcW w:w="1426" w:type="dxa"/>
            <w:noWrap/>
            <w:vAlign w:val="center"/>
          </w:tcPr>
          <w:p w14:paraId="379CB436">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10≤X＜100</w:t>
            </w:r>
          </w:p>
        </w:tc>
        <w:tc>
          <w:tcPr>
            <w:tcW w:w="992" w:type="dxa"/>
            <w:noWrap/>
            <w:vAlign w:val="center"/>
          </w:tcPr>
          <w:p w14:paraId="00DEAF73">
            <w:pPr>
              <w:widowControl/>
              <w:spacing w:line="280" w:lineRule="exact"/>
              <w:jc w:val="center"/>
              <w:rPr>
                <w:rFonts w:ascii="宋体" w:hAnsi="宋体" w:cs="宋体"/>
                <w:color w:val="auto"/>
                <w:kern w:val="0"/>
                <w:sz w:val="18"/>
                <w:szCs w:val="18"/>
                <w:highlight w:val="none"/>
              </w:rPr>
            </w:pPr>
            <w:r>
              <w:rPr>
                <w:rFonts w:hint="eastAsia" w:ascii="宋体" w:hAnsi="宋体" w:cs="宋体"/>
                <w:color w:val="auto"/>
                <w:kern w:val="0"/>
                <w:sz w:val="18"/>
                <w:szCs w:val="18"/>
                <w:highlight w:val="none"/>
              </w:rPr>
              <w:t>X＜10</w:t>
            </w:r>
          </w:p>
        </w:tc>
      </w:tr>
    </w:tbl>
    <w:p w14:paraId="012C5940">
      <w:pPr>
        <w:widowControl/>
        <w:rPr>
          <w:rFonts w:ascii="宋体" w:hAnsi="宋体" w:cs="宋体"/>
          <w:color w:val="auto"/>
          <w:kern w:val="0"/>
          <w:szCs w:val="21"/>
          <w:highlight w:val="none"/>
        </w:rPr>
      </w:pPr>
      <w:r>
        <w:rPr>
          <w:rFonts w:hint="eastAsia" w:ascii="宋体" w:hAnsi="宋体" w:cs="宋体"/>
          <w:color w:val="auto"/>
          <w:kern w:val="0"/>
          <w:szCs w:val="21"/>
          <w:highlight w:val="none"/>
        </w:rPr>
        <w:t>说明：</w:t>
      </w:r>
    </w:p>
    <w:p w14:paraId="2B10AF09">
      <w:pPr>
        <w:adjustRightInd w:val="0"/>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1.大型、中型和小型企业须同时满足所列指标的下限，否则下划一档。微型企业只须满足所列指标中的一项即可。</w:t>
      </w:r>
    </w:p>
    <w:p w14:paraId="207DF0EF">
      <w:pPr>
        <w:adjustRightInd w:val="0"/>
        <w:ind w:firstLine="420" w:firstLineChars="200"/>
        <w:contextualSpacing/>
        <w:rPr>
          <w:rFonts w:ascii="宋体" w:hAnsi="宋体" w:cs="宋体"/>
          <w:color w:val="auto"/>
          <w:kern w:val="0"/>
          <w:szCs w:val="21"/>
          <w:highlight w:val="none"/>
        </w:rPr>
      </w:pPr>
      <w:r>
        <w:rPr>
          <w:rFonts w:hint="eastAsia" w:ascii="宋体" w:hAnsi="宋体" w:cs="宋体"/>
          <w:color w:val="auto"/>
          <w:kern w:val="0"/>
          <w:szCs w:val="21"/>
          <w:highlight w:val="none"/>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0C073299">
      <w:pPr>
        <w:ind w:firstLine="420" w:firstLineChars="200"/>
        <w:rPr>
          <w:rFonts w:ascii="宋体" w:hAnsi="宋体" w:cs="宋体"/>
          <w:color w:val="auto"/>
          <w:kern w:val="0"/>
          <w:sz w:val="24"/>
          <w:highlight w:val="none"/>
        </w:rPr>
      </w:pPr>
      <w:r>
        <w:rPr>
          <w:rFonts w:hint="eastAsia" w:ascii="宋体" w:hAnsi="宋体" w:cs="宋体"/>
          <w:color w:val="auto"/>
          <w:kern w:val="0"/>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5D4C60ED">
      <w:pPr>
        <w:pStyle w:val="2"/>
        <w:spacing w:line="480" w:lineRule="auto"/>
        <w:jc w:val="center"/>
        <w:rPr>
          <w:rFonts w:ascii="Calibri" w:hAnsi="Calibri"/>
          <w:color w:val="auto"/>
          <w:highlight w:val="none"/>
        </w:rPr>
      </w:pPr>
      <w:bookmarkStart w:id="66" w:name="_Toc9239"/>
      <w:bookmarkStart w:id="67" w:name="_Toc7704"/>
      <w:bookmarkStart w:id="68" w:name="_Toc13614"/>
      <w:bookmarkStart w:id="69" w:name="_Toc2072"/>
      <w:bookmarkStart w:id="70" w:name="_Toc19152"/>
      <w:bookmarkStart w:id="71" w:name="_Toc24174"/>
      <w:r>
        <w:rPr>
          <w:rFonts w:hint="eastAsia" w:ascii="Cambria" w:hAnsi="Cambria"/>
          <w:bCs w:val="0"/>
          <w:color w:val="auto"/>
          <w:sz w:val="32"/>
          <w:szCs w:val="32"/>
          <w:highlight w:val="none"/>
        </w:rPr>
        <w:t>第三章 供应商须知</w:t>
      </w:r>
      <w:bookmarkEnd w:id="63"/>
      <w:bookmarkEnd w:id="64"/>
      <w:bookmarkEnd w:id="66"/>
      <w:bookmarkEnd w:id="67"/>
      <w:bookmarkEnd w:id="68"/>
      <w:bookmarkEnd w:id="69"/>
      <w:bookmarkEnd w:id="70"/>
      <w:bookmarkEnd w:id="71"/>
    </w:p>
    <w:p w14:paraId="584F607C">
      <w:pPr>
        <w:pStyle w:val="3"/>
        <w:jc w:val="center"/>
        <w:rPr>
          <w:rFonts w:ascii="宋体" w:hAnsi="宋体"/>
          <w:b w:val="0"/>
          <w:color w:val="auto"/>
          <w:highlight w:val="none"/>
        </w:rPr>
      </w:pPr>
      <w:bookmarkStart w:id="72" w:name="_Toc9482"/>
      <w:bookmarkStart w:id="73" w:name="_Toc80886928"/>
      <w:bookmarkStart w:id="74" w:name="_Toc30660"/>
      <w:r>
        <w:rPr>
          <w:rFonts w:hint="eastAsia" w:ascii="宋体" w:hAnsi="宋体"/>
          <w:b w:val="0"/>
          <w:color w:val="auto"/>
          <w:highlight w:val="none"/>
        </w:rPr>
        <w:t>第一节 供应商须知前附表</w:t>
      </w:r>
      <w:bookmarkEnd w:id="72"/>
      <w:bookmarkEnd w:id="73"/>
      <w:bookmarkEnd w:id="74"/>
    </w:p>
    <w:tbl>
      <w:tblPr>
        <w:tblStyle w:val="31"/>
        <w:tblW w:w="976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3"/>
        <w:gridCol w:w="2390"/>
        <w:gridCol w:w="6416"/>
      </w:tblGrid>
      <w:tr w14:paraId="15CD1BF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tcPr>
          <w:p w14:paraId="783B5E04">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条款号</w:t>
            </w:r>
          </w:p>
        </w:tc>
        <w:tc>
          <w:tcPr>
            <w:tcW w:w="2390" w:type="dxa"/>
            <w:vAlign w:val="center"/>
          </w:tcPr>
          <w:p w14:paraId="2BCCDE89">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条款内容</w:t>
            </w:r>
          </w:p>
        </w:tc>
        <w:tc>
          <w:tcPr>
            <w:tcW w:w="6416" w:type="dxa"/>
          </w:tcPr>
          <w:p w14:paraId="3C5F9452">
            <w:pPr>
              <w:spacing w:line="360" w:lineRule="auto"/>
              <w:jc w:val="center"/>
              <w:rPr>
                <w:rFonts w:ascii="宋体" w:hAnsi="宋体" w:cs="宋体"/>
                <w:b/>
                <w:color w:val="auto"/>
                <w:szCs w:val="21"/>
                <w:highlight w:val="none"/>
              </w:rPr>
            </w:pPr>
            <w:r>
              <w:rPr>
                <w:rFonts w:hint="eastAsia" w:ascii="宋体" w:hAnsi="宋体" w:cs="宋体"/>
                <w:b/>
                <w:color w:val="auto"/>
                <w:szCs w:val="21"/>
                <w:highlight w:val="none"/>
              </w:rPr>
              <w:t>具体要求</w:t>
            </w:r>
          </w:p>
        </w:tc>
      </w:tr>
      <w:tr w14:paraId="45A36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3" w:hRule="atLeast"/>
          <w:jc w:val="center"/>
        </w:trPr>
        <w:tc>
          <w:tcPr>
            <w:tcW w:w="963" w:type="dxa"/>
            <w:vAlign w:val="center"/>
          </w:tcPr>
          <w:p w14:paraId="7603CC8A">
            <w:pPr>
              <w:spacing w:line="360" w:lineRule="auto"/>
              <w:jc w:val="center"/>
              <w:rPr>
                <w:rFonts w:hint="eastAsia" w:ascii="宋体" w:hAnsi="宋体" w:cs="宋体"/>
                <w:b/>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7</w:t>
            </w:r>
          </w:p>
        </w:tc>
        <w:tc>
          <w:tcPr>
            <w:tcW w:w="2390" w:type="dxa"/>
            <w:vAlign w:val="center"/>
          </w:tcPr>
          <w:p w14:paraId="73DA3CC8">
            <w:pPr>
              <w:spacing w:line="360" w:lineRule="auto"/>
              <w:jc w:val="center"/>
              <w:rPr>
                <w:rFonts w:hint="eastAsia" w:ascii="宋体" w:hAnsi="宋体" w:cs="宋体"/>
                <w:b/>
                <w:color w:val="auto"/>
                <w:szCs w:val="21"/>
                <w:highlight w:val="none"/>
              </w:rPr>
            </w:pPr>
            <w:r>
              <w:rPr>
                <w:rFonts w:hint="eastAsia" w:ascii="宋体" w:hAnsi="宋体" w:eastAsia="宋体" w:cs="宋体"/>
                <w:color w:val="auto"/>
                <w:szCs w:val="21"/>
                <w:highlight w:val="none"/>
              </w:rPr>
              <w:t>实质性要求</w:t>
            </w:r>
          </w:p>
        </w:tc>
        <w:tc>
          <w:tcPr>
            <w:tcW w:w="6416" w:type="dxa"/>
            <w:vAlign w:val="top"/>
          </w:tcPr>
          <w:p w14:paraId="78BF55FC">
            <w:pPr>
              <w:spacing w:line="360" w:lineRule="auto"/>
              <w:jc w:val="left"/>
              <w:rPr>
                <w:rFonts w:hint="eastAsia" w:ascii="宋体" w:hAnsi="宋体" w:cs="宋体"/>
                <w:b/>
                <w:color w:val="auto"/>
                <w:szCs w:val="21"/>
                <w:highlight w:val="none"/>
              </w:rPr>
            </w:pPr>
            <w:r>
              <w:rPr>
                <w:rFonts w:hint="eastAsia" w:ascii="宋体" w:hAnsi="宋体" w:eastAsia="宋体" w:cs="宋体"/>
                <w:color w:val="auto"/>
                <w:szCs w:val="21"/>
                <w:highlight w:val="none"/>
              </w:rPr>
              <w:t>指</w:t>
            </w:r>
            <w:r>
              <w:rPr>
                <w:rFonts w:hint="eastAsia" w:ascii="宋体" w:hAnsi="宋体" w:eastAsia="宋体" w:cs="宋体"/>
                <w:b w:val="0"/>
                <w:bCs w:val="0"/>
                <w:color w:val="auto"/>
                <w:szCs w:val="21"/>
                <w:highlight w:val="none"/>
                <w:lang w:eastAsia="zh-CN"/>
              </w:rPr>
              <w:t>竞争性</w:t>
            </w:r>
            <w:r>
              <w:rPr>
                <w:rFonts w:hint="eastAsia" w:ascii="宋体" w:hAnsi="宋体" w:eastAsia="宋体" w:cs="宋体"/>
                <w:b w:val="0"/>
                <w:bCs w:val="0"/>
                <w:color w:val="auto"/>
                <w:szCs w:val="21"/>
                <w:highlight w:val="none"/>
                <w:lang w:val="en-US" w:eastAsia="zh-CN"/>
              </w:rPr>
              <w:t>磋商</w:t>
            </w:r>
            <w:r>
              <w:rPr>
                <w:rFonts w:hint="eastAsia" w:ascii="宋体" w:hAnsi="宋体" w:eastAsia="宋体" w:cs="宋体"/>
                <w:b w:val="0"/>
                <w:bCs w:val="0"/>
                <w:color w:val="auto"/>
                <w:szCs w:val="21"/>
                <w:highlight w:val="none"/>
              </w:rPr>
              <w:t>文件中已经指明</w:t>
            </w:r>
            <w:r>
              <w:rPr>
                <w:rFonts w:hint="eastAsia" w:ascii="宋体" w:hAnsi="宋体" w:eastAsia="宋体" w:cs="宋体"/>
                <w:b w:val="0"/>
                <w:bCs w:val="0"/>
                <w:color w:val="auto"/>
                <w:szCs w:val="21"/>
                <w:highlight w:val="none"/>
                <w:lang w:eastAsia="zh-CN"/>
              </w:rPr>
              <w:t>不提供或</w:t>
            </w:r>
            <w:r>
              <w:rPr>
                <w:rFonts w:hint="eastAsia" w:ascii="宋体" w:hAnsi="宋体" w:eastAsia="宋体" w:cs="宋体"/>
                <w:b w:val="0"/>
                <w:bCs w:val="0"/>
                <w:color w:val="auto"/>
                <w:szCs w:val="21"/>
                <w:highlight w:val="none"/>
              </w:rPr>
              <w:t>不满足则响应文件</w:t>
            </w:r>
            <w:r>
              <w:rPr>
                <w:rFonts w:hint="eastAsia" w:ascii="宋体" w:hAnsi="宋体" w:eastAsia="宋体" w:cs="宋体"/>
                <w:b w:val="0"/>
                <w:bCs w:val="0"/>
                <w:color w:val="auto"/>
                <w:szCs w:val="21"/>
                <w:highlight w:val="none"/>
                <w:lang w:eastAsia="zh-CN"/>
              </w:rPr>
              <w:t>作</w:t>
            </w:r>
            <w:r>
              <w:rPr>
                <w:rFonts w:hint="eastAsia" w:ascii="宋体" w:hAnsi="宋体" w:eastAsia="宋体" w:cs="宋体"/>
                <w:b w:val="0"/>
                <w:bCs w:val="0"/>
                <w:color w:val="auto"/>
                <w:szCs w:val="21"/>
                <w:highlight w:val="none"/>
              </w:rPr>
              <w:t>无效响应处理的条款，或者</w:t>
            </w:r>
            <w:r>
              <w:rPr>
                <w:rFonts w:hint="eastAsia" w:ascii="宋体" w:hAnsi="宋体" w:eastAsia="宋体" w:cs="宋体"/>
                <w:color w:val="auto"/>
                <w:szCs w:val="21"/>
                <w:highlight w:val="none"/>
              </w:rPr>
              <w:t>第二章“采购需求”及第</w:t>
            </w:r>
            <w:r>
              <w:rPr>
                <w:rFonts w:hint="eastAsia" w:ascii="宋体" w:hAnsi="宋体" w:eastAsia="宋体" w:cs="宋体"/>
                <w:color w:val="auto"/>
                <w:szCs w:val="21"/>
                <w:highlight w:val="none"/>
                <w:lang w:eastAsia="zh-CN"/>
              </w:rPr>
              <w:t>五</w:t>
            </w:r>
            <w:r>
              <w:rPr>
                <w:rFonts w:hint="eastAsia" w:ascii="宋体" w:hAnsi="宋体" w:eastAsia="宋体" w:cs="宋体"/>
                <w:color w:val="auto"/>
                <w:szCs w:val="21"/>
                <w:highlight w:val="none"/>
              </w:rPr>
              <w:t>章“</w:t>
            </w:r>
            <w:r>
              <w:rPr>
                <w:rFonts w:hint="eastAsia" w:ascii="宋体" w:hAnsi="宋体" w:eastAsia="宋体" w:cs="宋体"/>
                <w:color w:val="auto"/>
                <w:szCs w:val="21"/>
                <w:highlight w:val="none"/>
                <w:lang w:val="en-US" w:eastAsia="zh-CN"/>
              </w:rPr>
              <w:t>响应</w:t>
            </w:r>
            <w:r>
              <w:rPr>
                <w:rFonts w:hint="eastAsia" w:ascii="宋体" w:hAnsi="宋体" w:eastAsia="宋体" w:cs="宋体"/>
                <w:color w:val="auto"/>
                <w:szCs w:val="21"/>
                <w:highlight w:val="none"/>
              </w:rPr>
              <w:t>文件格式”</w:t>
            </w:r>
            <w:r>
              <w:rPr>
                <w:rFonts w:hint="eastAsia" w:ascii="宋体" w:hAnsi="宋体" w:eastAsia="宋体" w:cs="宋体"/>
                <w:b w:val="0"/>
                <w:bCs w:val="0"/>
                <w:color w:val="auto"/>
                <w:szCs w:val="21"/>
                <w:highlight w:val="none"/>
              </w:rPr>
              <w:t>中带“▲”的条款</w:t>
            </w:r>
            <w:r>
              <w:rPr>
                <w:rFonts w:hint="eastAsia" w:ascii="宋体" w:hAnsi="宋体" w:eastAsia="宋体" w:cs="宋体"/>
                <w:color w:val="auto"/>
                <w:szCs w:val="21"/>
                <w:highlight w:val="none"/>
              </w:rPr>
              <w:t>。</w:t>
            </w:r>
          </w:p>
        </w:tc>
      </w:tr>
      <w:tr w14:paraId="59C2B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08B0BA1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w:t>
            </w:r>
          </w:p>
        </w:tc>
        <w:tc>
          <w:tcPr>
            <w:tcW w:w="2390" w:type="dxa"/>
            <w:vAlign w:val="center"/>
          </w:tcPr>
          <w:p w14:paraId="082CB0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供应商资格条件</w:t>
            </w:r>
          </w:p>
        </w:tc>
        <w:tc>
          <w:tcPr>
            <w:tcW w:w="6416" w:type="dxa"/>
          </w:tcPr>
          <w:p w14:paraId="57A0178F">
            <w:pPr>
              <w:spacing w:line="360" w:lineRule="auto"/>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2CC65E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AA7D2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5.1</w:t>
            </w:r>
          </w:p>
        </w:tc>
        <w:tc>
          <w:tcPr>
            <w:tcW w:w="2390" w:type="dxa"/>
            <w:vAlign w:val="center"/>
          </w:tcPr>
          <w:p w14:paraId="5D48EA0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是否接受联合体竞标</w:t>
            </w:r>
          </w:p>
        </w:tc>
        <w:tc>
          <w:tcPr>
            <w:tcW w:w="6416" w:type="dxa"/>
            <w:vAlign w:val="center"/>
          </w:tcPr>
          <w:p w14:paraId="7F75DEBF">
            <w:pPr>
              <w:spacing w:line="360" w:lineRule="auto"/>
              <w:rPr>
                <w:rFonts w:ascii="宋体" w:hAnsi="宋体" w:cs="宋体"/>
                <w:color w:val="auto"/>
                <w:szCs w:val="21"/>
                <w:highlight w:val="none"/>
              </w:rPr>
            </w:pPr>
            <w:bookmarkStart w:id="75" w:name="PO_3000001868_PM007"/>
            <w:r>
              <w:rPr>
                <w:rFonts w:hint="eastAsia" w:ascii="宋体" w:hAnsi="宋体" w:cs="宋体"/>
                <w:color w:val="auto"/>
                <w:szCs w:val="21"/>
                <w:highlight w:val="none"/>
              </w:rPr>
              <w:t>详见竞争性磋商公告</w:t>
            </w:r>
            <w:bookmarkEnd w:id="75"/>
          </w:p>
        </w:tc>
      </w:tr>
      <w:tr w14:paraId="22CC5C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C9B1A8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5.2</w:t>
            </w:r>
          </w:p>
        </w:tc>
        <w:tc>
          <w:tcPr>
            <w:tcW w:w="2390" w:type="dxa"/>
            <w:vAlign w:val="center"/>
          </w:tcPr>
          <w:p w14:paraId="026CF6F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联合体竞标要求</w:t>
            </w:r>
          </w:p>
        </w:tc>
        <w:tc>
          <w:tcPr>
            <w:tcW w:w="6416" w:type="dxa"/>
            <w:vAlign w:val="center"/>
          </w:tcPr>
          <w:p w14:paraId="1C59BEB4">
            <w:pPr>
              <w:spacing w:line="360" w:lineRule="auto"/>
              <w:rPr>
                <w:rFonts w:ascii="宋体" w:hAnsi="宋体" w:cs="宋体"/>
                <w:color w:val="auto"/>
                <w:szCs w:val="21"/>
                <w:highlight w:val="none"/>
              </w:rPr>
            </w:pPr>
            <w:r>
              <w:rPr>
                <w:rFonts w:hint="eastAsia" w:ascii="宋体" w:hAnsi="宋体" w:cs="宋体"/>
                <w:color w:val="auto"/>
                <w:szCs w:val="21"/>
                <w:highlight w:val="none"/>
              </w:rPr>
              <w:t>无。</w:t>
            </w:r>
          </w:p>
        </w:tc>
      </w:tr>
      <w:tr w14:paraId="28DD53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6D28D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6.1</w:t>
            </w:r>
          </w:p>
        </w:tc>
        <w:tc>
          <w:tcPr>
            <w:tcW w:w="2390" w:type="dxa"/>
            <w:vAlign w:val="center"/>
          </w:tcPr>
          <w:p w14:paraId="2E324B4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是否允许分包</w:t>
            </w:r>
          </w:p>
        </w:tc>
        <w:tc>
          <w:tcPr>
            <w:tcW w:w="6416" w:type="dxa"/>
            <w:vAlign w:val="center"/>
          </w:tcPr>
          <w:p w14:paraId="773AA2E1">
            <w:pPr>
              <w:pStyle w:val="13"/>
              <w:spacing w:line="360" w:lineRule="auto"/>
              <w:rPr>
                <w:rFonts w:ascii="宋体" w:hAnsi="宋体" w:cs="宋体"/>
                <w:color w:val="auto"/>
                <w:szCs w:val="21"/>
                <w:highlight w:val="none"/>
              </w:rPr>
            </w:pPr>
            <w:r>
              <w:rPr>
                <w:rFonts w:hint="eastAsia" w:ascii="宋体" w:hAnsi="宋体" w:cs="宋体"/>
                <w:color w:val="auto"/>
                <w:szCs w:val="21"/>
                <w:highlight w:val="none"/>
              </w:rPr>
              <w:t>不允许分包</w:t>
            </w:r>
          </w:p>
        </w:tc>
      </w:tr>
      <w:tr w14:paraId="47884F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7E9072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12.1.1</w:t>
            </w:r>
          </w:p>
        </w:tc>
        <w:tc>
          <w:tcPr>
            <w:tcW w:w="2390" w:type="dxa"/>
            <w:vAlign w:val="center"/>
          </w:tcPr>
          <w:p w14:paraId="6BA2B242">
            <w:pPr>
              <w:snapToGrid w:val="0"/>
              <w:spacing w:line="360" w:lineRule="auto"/>
              <w:jc w:val="center"/>
              <w:rPr>
                <w:rFonts w:ascii="宋体" w:hAnsi="宋体" w:cs="宋体"/>
                <w:color w:val="auto"/>
                <w:szCs w:val="21"/>
                <w:highlight w:val="none"/>
              </w:rPr>
            </w:pPr>
            <w:r>
              <w:rPr>
                <w:rFonts w:hint="eastAsia" w:ascii="宋体" w:hAnsi="宋体" w:cs="宋体"/>
                <w:b/>
                <w:color w:val="auto"/>
                <w:szCs w:val="21"/>
                <w:highlight w:val="none"/>
                <w:lang w:eastAsia="zh-CN"/>
              </w:rPr>
              <w:t>资格文件</w:t>
            </w:r>
            <w:r>
              <w:rPr>
                <w:rFonts w:hint="eastAsia" w:ascii="宋体" w:hAnsi="宋体" w:cs="宋体"/>
                <w:b/>
                <w:color w:val="auto"/>
                <w:szCs w:val="21"/>
                <w:highlight w:val="none"/>
              </w:rPr>
              <w:t>组成</w:t>
            </w:r>
          </w:p>
        </w:tc>
        <w:tc>
          <w:tcPr>
            <w:tcW w:w="6416" w:type="dxa"/>
            <w:vAlign w:val="center"/>
          </w:tcPr>
          <w:p w14:paraId="6FEF5766">
            <w:pPr>
              <w:pStyle w:val="13"/>
              <w:spacing w:line="360" w:lineRule="auto"/>
              <w:rPr>
                <w:rFonts w:ascii="宋体" w:hAnsi="宋体" w:cs="宋体"/>
                <w:color w:val="auto"/>
                <w:szCs w:val="21"/>
                <w:highlight w:val="none"/>
              </w:rPr>
            </w:pPr>
            <w:r>
              <w:rPr>
                <w:rFonts w:hint="eastAsia" w:ascii="宋体" w:hAnsi="宋体" w:cs="宋体"/>
                <w:color w:val="auto"/>
                <w:szCs w:val="21"/>
                <w:highlight w:val="none"/>
              </w:rPr>
              <w:t>1.供应商为法人或者其他组织的，提供营业执照等证明文件复印件（如营业执照或者事业单位法人证书或者执业许可证等），供应商为自然人的，提供有效身份证正反面复印件；银行、保险、石油石化、电力、电信等有行业特殊情况的，法人的分支机构经法人授权后可以分支机构的身份参加政府采购。如供应商为分支机构的，必须在响应文件中同时提供经法人授权供应商以分支机构名义参加竞标的授权委托书、法人营业执照及分支机构营业执照的复印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CB6D748">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2.供应商依法缴纳税收的相关材料（提供税款所属时期为</w:t>
            </w:r>
            <w:r>
              <w:rPr>
                <w:rFonts w:hint="eastAsia" w:ascii="宋体" w:hAnsi="宋体" w:cs="宋体"/>
                <w:color w:val="auto"/>
                <w:szCs w:val="21"/>
                <w:highlight w:val="none"/>
                <w:lang w:eastAsia="zh-CN"/>
              </w:rPr>
              <w:t>2025年6月</w:t>
            </w:r>
            <w:r>
              <w:rPr>
                <w:rFonts w:hint="eastAsia" w:ascii="宋体" w:hAnsi="宋体" w:cs="宋体"/>
                <w:color w:val="auto"/>
                <w:szCs w:val="21"/>
                <w:highlight w:val="none"/>
              </w:rPr>
              <w:t>至首次响应文件提交截止时间止的</w:t>
            </w:r>
            <w:r>
              <w:rPr>
                <w:rFonts w:hint="eastAsia" w:ascii="宋体" w:hAnsi="宋体" w:cs="宋体"/>
                <w:color w:val="auto"/>
                <w:szCs w:val="21"/>
                <w:highlight w:val="none"/>
                <w:lang w:eastAsia="zh-CN"/>
              </w:rPr>
              <w:t>任意1个月</w:t>
            </w:r>
            <w:r>
              <w:rPr>
                <w:rFonts w:hint="eastAsia" w:ascii="宋体" w:hAnsi="宋体" w:cs="宋体"/>
                <w:color w:val="auto"/>
                <w:szCs w:val="21"/>
                <w:highlight w:val="none"/>
              </w:rPr>
              <w:t>的依法缴纳税收的凭据复印件；依法免税的供应商，必须提供相应文件证明其依法免税。从取得营业执照时间起到首次响应文件提交截止时间为止不足要求月数的，只需提供从取得营业执照起的依法缴纳税收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E871242">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3.供应商依法缴纳社会保障资金的相关材料（提供税款所属时期或缴费起始时间为</w:t>
            </w:r>
            <w:r>
              <w:rPr>
                <w:rFonts w:hint="eastAsia" w:ascii="宋体" w:hAnsi="宋体" w:cs="宋体"/>
                <w:color w:val="auto"/>
                <w:szCs w:val="21"/>
                <w:highlight w:val="none"/>
                <w:lang w:eastAsia="zh-CN"/>
              </w:rPr>
              <w:t>2025年6月</w:t>
            </w:r>
            <w:r>
              <w:rPr>
                <w:rFonts w:hint="eastAsia" w:ascii="宋体" w:hAnsi="宋体" w:cs="宋体"/>
                <w:color w:val="auto"/>
                <w:szCs w:val="21"/>
                <w:highlight w:val="none"/>
              </w:rPr>
              <w:t>至首次响应文件提交截止时间止的</w:t>
            </w:r>
            <w:r>
              <w:rPr>
                <w:rFonts w:hint="eastAsia" w:ascii="宋体" w:hAnsi="宋体" w:cs="宋体"/>
                <w:color w:val="auto"/>
                <w:szCs w:val="21"/>
                <w:highlight w:val="none"/>
                <w:lang w:eastAsia="zh-CN"/>
              </w:rPr>
              <w:t>任意1个月</w:t>
            </w:r>
            <w:r>
              <w:rPr>
                <w:rFonts w:hint="eastAsia" w:ascii="宋体" w:hAnsi="宋体" w:cs="宋体"/>
                <w:color w:val="auto"/>
                <w:szCs w:val="21"/>
                <w:highlight w:val="none"/>
              </w:rPr>
              <w:t>的依法缴纳社会保障资金的缴费凭证复印件；依法不需要缴纳社会保障资金的供应商，必须提供相应文件证明不需要缴纳社会保障资金。从取得营业执照时间起到首次响应文件提交截止时间为止不足要求月数的只需提供从取得营业执照起的依法缴纳社会保障资金的相应证明文件）；（</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45FEA7E">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4.供应商财务状况报告（提供202</w:t>
            </w:r>
            <w:r>
              <w:rPr>
                <w:rFonts w:hint="eastAsia" w:ascii="宋体" w:hAnsi="宋体" w:cs="宋体"/>
                <w:color w:val="auto"/>
                <w:szCs w:val="21"/>
                <w:highlight w:val="none"/>
                <w:lang w:val="en-US" w:eastAsia="zh-CN"/>
              </w:rPr>
              <w:t>4或2025</w:t>
            </w:r>
            <w:r>
              <w:rPr>
                <w:rFonts w:hint="eastAsia" w:ascii="宋体" w:hAnsi="宋体" w:cs="宋体"/>
                <w:color w:val="auto"/>
                <w:szCs w:val="21"/>
                <w:highlight w:val="none"/>
              </w:rPr>
              <w:t>年度财务报告复印件或者截标时间前半年内至少一个月能反映财务状况的报表或者供应商自拟的截标时间前半年内至少一个月的财务情况说明）；</w:t>
            </w:r>
            <w:r>
              <w:rPr>
                <w:rFonts w:hint="eastAsia" w:ascii="宋体" w:hAnsi="宋体" w:cs="宋体"/>
                <w:bCs/>
                <w:color w:val="auto"/>
                <w:szCs w:val="21"/>
                <w:highlight w:val="none"/>
              </w:rPr>
              <w:t>（</w:t>
            </w:r>
            <w:r>
              <w:rPr>
                <w:rFonts w:hint="eastAsia" w:ascii="宋体" w:hAnsi="宋体" w:cs="宋体"/>
                <w:b/>
                <w:color w:val="auto"/>
                <w:szCs w:val="21"/>
                <w:highlight w:val="none"/>
              </w:rPr>
              <w:t>必须提供，否则响应文件按无效响应处理</w:t>
            </w:r>
            <w:r>
              <w:rPr>
                <w:rFonts w:hint="eastAsia" w:ascii="宋体" w:hAnsi="宋体" w:cs="宋体"/>
                <w:bCs/>
                <w:color w:val="auto"/>
                <w:szCs w:val="21"/>
                <w:highlight w:val="none"/>
              </w:rPr>
              <w:t>）</w:t>
            </w:r>
          </w:p>
          <w:p w14:paraId="1076AC25">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5.声明函（格式后附）；（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2C4B6506">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6.供应商直接控股股东信息表（格式后附）。（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C2FF9D0">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7.供应商直接管理关系信息表（格式后附）。（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908FB3">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8.中小企业声明函或者残疾人福利性单位声明函（格式后附）或者供应商属于监狱企业的，提供由省级以上监狱管理局、戒毒管理局（含新疆生产建设兵团）出具的属于监狱企业的证明文件；（</w:t>
            </w:r>
            <w:r>
              <w:rPr>
                <w:rFonts w:hint="eastAsia" w:ascii="宋体" w:hAnsi="宋体" w:cs="宋体"/>
                <w:b/>
                <w:bCs/>
                <w:color w:val="auto"/>
                <w:szCs w:val="21"/>
                <w:highlight w:val="none"/>
              </w:rPr>
              <w:t>必须提供，否则响应文件按无效响应处理</w:t>
            </w:r>
            <w:r>
              <w:rPr>
                <w:rFonts w:hint="eastAsia" w:ascii="宋体" w:hAnsi="宋体" w:cs="宋体"/>
                <w:color w:val="auto"/>
                <w:szCs w:val="21"/>
                <w:highlight w:val="none"/>
              </w:rPr>
              <w:t>）</w:t>
            </w:r>
          </w:p>
          <w:p w14:paraId="19200FB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9.联合体竞标协议书（格式后附）；（</w:t>
            </w:r>
            <w:r>
              <w:rPr>
                <w:rFonts w:hint="eastAsia" w:ascii="宋体" w:hAnsi="宋体" w:cs="宋体"/>
                <w:b/>
                <w:color w:val="auto"/>
                <w:szCs w:val="21"/>
                <w:highlight w:val="none"/>
              </w:rPr>
              <w:t>联合体竞标时必须提供，否则响应文件按无效响应处理</w:t>
            </w:r>
            <w:r>
              <w:rPr>
                <w:rFonts w:hint="eastAsia" w:ascii="宋体" w:hAnsi="宋体" w:cs="宋体"/>
                <w:color w:val="auto"/>
                <w:szCs w:val="21"/>
                <w:highlight w:val="none"/>
              </w:rPr>
              <w:t>）</w:t>
            </w:r>
          </w:p>
          <w:p w14:paraId="240DF34F">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10.除竞争性磋商文件规定必须提供以外，供应商认为需要提供的其他证明材料（格式自拟）。（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12F89589">
            <w:pPr>
              <w:pStyle w:val="13"/>
              <w:spacing w:line="360" w:lineRule="auto"/>
              <w:rPr>
                <w:rFonts w:ascii="宋体" w:hAnsi="宋体" w:cs="宋体"/>
                <w:b/>
                <w:color w:val="auto"/>
                <w:szCs w:val="21"/>
                <w:highlight w:val="none"/>
              </w:rPr>
            </w:pPr>
            <w:r>
              <w:rPr>
                <w:rFonts w:hint="eastAsia" w:ascii="宋体" w:hAnsi="宋体" w:cs="宋体"/>
                <w:b/>
                <w:color w:val="auto"/>
                <w:szCs w:val="21"/>
                <w:highlight w:val="none"/>
              </w:rPr>
              <w:t>注：</w:t>
            </w:r>
          </w:p>
          <w:p w14:paraId="5F4BE058">
            <w:pPr>
              <w:pStyle w:val="13"/>
              <w:spacing w:line="360" w:lineRule="auto"/>
              <w:rPr>
                <w:rFonts w:ascii="宋体" w:hAnsi="宋体" w:cs="宋体"/>
                <w:b/>
                <w:color w:val="auto"/>
                <w:szCs w:val="21"/>
                <w:highlight w:val="none"/>
              </w:rPr>
            </w:pPr>
            <w:r>
              <w:rPr>
                <w:rFonts w:hint="eastAsia" w:ascii="宋体" w:hAnsi="宋体" w:cs="宋体"/>
                <w:b/>
                <w:color w:val="auto"/>
                <w:szCs w:val="21"/>
                <w:highlight w:val="none"/>
              </w:rPr>
              <w:t>　　1.以上标明“必须提供”的材料属于复印件的扫描件的，必须加盖供应商公章，否则响应文件按无效响应处理。</w:t>
            </w:r>
          </w:p>
          <w:p w14:paraId="7EA51DB8">
            <w:pPr>
              <w:pStyle w:val="13"/>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2.联合体竞标时，第1-4项</w:t>
            </w:r>
            <w:r>
              <w:rPr>
                <w:rFonts w:hint="eastAsia" w:ascii="宋体" w:hAnsi="宋体" w:cs="宋体"/>
                <w:b/>
                <w:color w:val="auto"/>
                <w:szCs w:val="21"/>
                <w:highlight w:val="none"/>
                <w:lang w:eastAsia="zh-CN"/>
              </w:rPr>
              <w:t>资格文件</w:t>
            </w:r>
            <w:r>
              <w:rPr>
                <w:rFonts w:hint="eastAsia" w:ascii="宋体" w:hAnsi="宋体" w:cs="宋体"/>
                <w:b/>
                <w:color w:val="auto"/>
                <w:szCs w:val="21"/>
                <w:highlight w:val="none"/>
              </w:rPr>
              <w:t>联合体各方均必须分别提供，联合体各方分别盖章，否则响应文件按无效响应处理。</w:t>
            </w:r>
          </w:p>
        </w:tc>
      </w:tr>
      <w:tr w14:paraId="034D57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6E68391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12.1.2</w:t>
            </w:r>
          </w:p>
        </w:tc>
        <w:tc>
          <w:tcPr>
            <w:tcW w:w="2390" w:type="dxa"/>
            <w:vAlign w:val="center"/>
          </w:tcPr>
          <w:p w14:paraId="0F5153E0">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商务文件组成</w:t>
            </w:r>
          </w:p>
        </w:tc>
        <w:tc>
          <w:tcPr>
            <w:tcW w:w="6416" w:type="dxa"/>
            <w:vAlign w:val="center"/>
          </w:tcPr>
          <w:p w14:paraId="263CD493">
            <w:pPr>
              <w:spacing w:line="360" w:lineRule="auto"/>
              <w:rPr>
                <w:rFonts w:ascii="宋体" w:hAnsi="宋体" w:cs="宋体"/>
                <w:color w:val="auto"/>
                <w:szCs w:val="21"/>
                <w:highlight w:val="none"/>
              </w:rPr>
            </w:pPr>
            <w:r>
              <w:rPr>
                <w:rFonts w:hint="eastAsia" w:ascii="宋体" w:hAnsi="宋体" w:cs="宋体"/>
                <w:color w:val="auto"/>
                <w:szCs w:val="21"/>
                <w:highlight w:val="none"/>
              </w:rPr>
              <w:t>1.无串通竞标行为的承诺函（格式后附）；（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60AC07A">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2.法定代表人身份证明及法定代表人有效身份证正反面复印件（格式后附）；（</w:t>
            </w:r>
            <w:r>
              <w:rPr>
                <w:rFonts w:hint="eastAsia" w:ascii="宋体" w:hAnsi="宋体" w:cs="宋体"/>
                <w:b/>
                <w:bCs/>
                <w:color w:val="auto"/>
                <w:szCs w:val="21"/>
                <w:highlight w:val="none"/>
              </w:rPr>
              <w:t>除自然人竞标外</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6688E575">
            <w:pPr>
              <w:spacing w:line="360" w:lineRule="auto"/>
              <w:rPr>
                <w:rFonts w:ascii="宋体" w:hAnsi="宋体" w:cs="宋体"/>
                <w:color w:val="auto"/>
                <w:szCs w:val="21"/>
                <w:highlight w:val="none"/>
              </w:rPr>
            </w:pPr>
            <w:r>
              <w:rPr>
                <w:rFonts w:hint="eastAsia" w:ascii="宋体" w:hAnsi="宋体" w:cs="宋体"/>
                <w:color w:val="auto"/>
                <w:szCs w:val="21"/>
                <w:highlight w:val="none"/>
              </w:rPr>
              <w:t>3.法定代表人授权委托书及委托代理人有效身份证正反面复印件（格式后附）；（</w:t>
            </w:r>
            <w:r>
              <w:rPr>
                <w:rFonts w:hint="eastAsia" w:ascii="宋体" w:hAnsi="宋体" w:cs="宋体"/>
                <w:b/>
                <w:color w:val="auto"/>
                <w:szCs w:val="21"/>
                <w:highlight w:val="none"/>
              </w:rPr>
              <w:t>委托时必须提供，否则响应文件按无效响应处理</w:t>
            </w:r>
            <w:r>
              <w:rPr>
                <w:rFonts w:hint="eastAsia" w:ascii="宋体" w:hAnsi="宋体" w:cs="宋体"/>
                <w:color w:val="auto"/>
                <w:szCs w:val="21"/>
                <w:highlight w:val="none"/>
              </w:rPr>
              <w:t>）</w:t>
            </w:r>
          </w:p>
          <w:p w14:paraId="07392A8E">
            <w:pPr>
              <w:spacing w:line="360" w:lineRule="auto"/>
              <w:rPr>
                <w:rFonts w:ascii="宋体" w:hAnsi="宋体" w:cs="宋体"/>
                <w:color w:val="auto"/>
                <w:szCs w:val="21"/>
                <w:highlight w:val="none"/>
              </w:rPr>
            </w:pPr>
            <w:r>
              <w:rPr>
                <w:rFonts w:hint="eastAsia" w:ascii="宋体" w:hAnsi="宋体" w:cs="宋体"/>
                <w:color w:val="auto"/>
                <w:szCs w:val="21"/>
                <w:highlight w:val="none"/>
              </w:rPr>
              <w:t>4.磋商保证金提交凭证；（</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34A6A400">
            <w:pPr>
              <w:spacing w:line="360" w:lineRule="auto"/>
              <w:rPr>
                <w:rFonts w:ascii="宋体" w:hAnsi="宋体" w:cs="宋体"/>
                <w:color w:val="auto"/>
                <w:szCs w:val="21"/>
                <w:highlight w:val="none"/>
              </w:rPr>
            </w:pPr>
            <w:r>
              <w:rPr>
                <w:rFonts w:hint="eastAsia" w:ascii="宋体" w:hAnsi="宋体" w:cs="宋体"/>
                <w:color w:val="auto"/>
                <w:szCs w:val="21"/>
                <w:highlight w:val="none"/>
              </w:rPr>
              <w:t>5.商务条款偏离表（格式后附）；（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0A3A0AF">
            <w:pPr>
              <w:spacing w:line="360" w:lineRule="auto"/>
              <w:rPr>
                <w:rFonts w:ascii="宋体" w:hAnsi="宋体" w:cs="宋体"/>
                <w:color w:val="auto"/>
                <w:szCs w:val="21"/>
                <w:highlight w:val="none"/>
              </w:rPr>
            </w:pPr>
            <w:r>
              <w:rPr>
                <w:rFonts w:hint="eastAsia" w:ascii="宋体" w:hAnsi="宋体" w:cs="宋体"/>
                <w:color w:val="auto"/>
                <w:szCs w:val="21"/>
                <w:highlight w:val="none"/>
              </w:rPr>
              <w:t>6.供应商情况介绍（格式自拟）；（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61686B13">
            <w:pPr>
              <w:spacing w:line="360" w:lineRule="auto"/>
              <w:rPr>
                <w:rFonts w:ascii="宋体" w:hAnsi="宋体" w:cs="宋体"/>
                <w:color w:val="auto"/>
                <w:szCs w:val="21"/>
                <w:highlight w:val="none"/>
              </w:rPr>
            </w:pPr>
            <w:r>
              <w:rPr>
                <w:rFonts w:hint="eastAsia" w:ascii="宋体" w:hAnsi="宋体" w:cs="宋体"/>
                <w:color w:val="auto"/>
                <w:szCs w:val="21"/>
                <w:highlight w:val="none"/>
              </w:rPr>
              <w:t>7.对应采购需求的商务条款提供的其他文件资料（格式自拟）；（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11DDF8C4">
            <w:pPr>
              <w:spacing w:line="360" w:lineRule="auto"/>
              <w:rPr>
                <w:rFonts w:ascii="宋体" w:hAnsi="宋体" w:cs="宋体"/>
                <w:color w:val="auto"/>
                <w:szCs w:val="21"/>
                <w:highlight w:val="none"/>
              </w:rPr>
            </w:pPr>
            <w:r>
              <w:rPr>
                <w:rFonts w:hint="eastAsia" w:ascii="宋体" w:hAnsi="宋体" w:cs="宋体"/>
                <w:color w:val="auto"/>
                <w:szCs w:val="21"/>
                <w:highlight w:val="none"/>
              </w:rPr>
              <w:t>8.供应商认为需要提供的其他有关资料（格式自拟）。（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1C11C673">
            <w:pPr>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 xml:space="preserve">注： </w:t>
            </w:r>
          </w:p>
          <w:p w14:paraId="4CB6DD53">
            <w:pPr>
              <w:snapToGrid w:val="0"/>
              <w:spacing w:line="360" w:lineRule="auto"/>
              <w:ind w:firstLine="413" w:firstLineChars="196"/>
              <w:jc w:val="left"/>
              <w:rPr>
                <w:rFonts w:ascii="宋体" w:hAnsi="宋体" w:cs="宋体"/>
                <w:b/>
                <w:color w:val="auto"/>
                <w:szCs w:val="21"/>
                <w:highlight w:val="none"/>
              </w:rPr>
            </w:pPr>
            <w:r>
              <w:rPr>
                <w:rFonts w:hint="eastAsia" w:ascii="宋体" w:hAnsi="宋体" w:cs="宋体"/>
                <w:b/>
                <w:color w:val="auto"/>
                <w:szCs w:val="21"/>
                <w:highlight w:val="none"/>
              </w:rPr>
              <w:t>1.法定代表人授权委托书必须由法定代表人及其委托代理人签字，并加盖供应商公章，否则响应文件按无效响应处理。</w:t>
            </w:r>
          </w:p>
          <w:p w14:paraId="471C53B4">
            <w:pPr>
              <w:spacing w:line="360" w:lineRule="auto"/>
              <w:ind w:firstLine="413" w:firstLineChars="196"/>
              <w:rPr>
                <w:rFonts w:ascii="宋体" w:hAnsi="宋体" w:cs="宋体"/>
                <w:b/>
                <w:color w:val="auto"/>
                <w:szCs w:val="21"/>
                <w:highlight w:val="none"/>
              </w:rPr>
            </w:pPr>
            <w:r>
              <w:rPr>
                <w:rFonts w:hint="eastAsia" w:ascii="宋体" w:hAnsi="宋体" w:cs="宋体"/>
                <w:b/>
                <w:color w:val="auto"/>
                <w:szCs w:val="21"/>
                <w:highlight w:val="none"/>
              </w:rPr>
              <w:t>2.以上标明“必须提供”的材料属于复印件的扫描件的，必须加盖供应商公章，否则响应文件按无效响应处理。</w:t>
            </w:r>
          </w:p>
        </w:tc>
      </w:tr>
      <w:tr w14:paraId="38B4D4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5" w:hRule="atLeast"/>
          <w:jc w:val="center"/>
        </w:trPr>
        <w:tc>
          <w:tcPr>
            <w:tcW w:w="963" w:type="dxa"/>
            <w:vMerge w:val="continue"/>
            <w:vAlign w:val="center"/>
          </w:tcPr>
          <w:p w14:paraId="7E089FA8">
            <w:pPr>
              <w:spacing w:line="360" w:lineRule="auto"/>
              <w:jc w:val="center"/>
              <w:rPr>
                <w:rFonts w:ascii="宋体" w:hAnsi="宋体" w:cs="宋体"/>
                <w:color w:val="auto"/>
                <w:szCs w:val="21"/>
                <w:highlight w:val="none"/>
              </w:rPr>
            </w:pPr>
          </w:p>
        </w:tc>
        <w:tc>
          <w:tcPr>
            <w:tcW w:w="2390" w:type="dxa"/>
            <w:vAlign w:val="center"/>
          </w:tcPr>
          <w:p w14:paraId="4A36D1B5">
            <w:pPr>
              <w:spacing w:line="360" w:lineRule="auto"/>
              <w:jc w:val="center"/>
              <w:rPr>
                <w:rFonts w:ascii="宋体" w:hAnsi="宋体" w:cs="宋体"/>
                <w:b/>
                <w:bCs/>
                <w:color w:val="auto"/>
                <w:szCs w:val="21"/>
                <w:highlight w:val="none"/>
              </w:rPr>
            </w:pPr>
            <w:r>
              <w:rPr>
                <w:rFonts w:hint="eastAsia" w:ascii="宋体" w:hAnsi="宋体" w:cs="宋体"/>
                <w:b/>
                <w:bCs/>
                <w:color w:val="auto"/>
                <w:szCs w:val="21"/>
                <w:highlight w:val="none"/>
              </w:rPr>
              <w:t>技术文件组成</w:t>
            </w:r>
          </w:p>
        </w:tc>
        <w:tc>
          <w:tcPr>
            <w:tcW w:w="6416" w:type="dxa"/>
            <w:vAlign w:val="center"/>
          </w:tcPr>
          <w:p w14:paraId="7B1E503D">
            <w:pPr>
              <w:spacing w:line="360" w:lineRule="auto"/>
              <w:rPr>
                <w:rFonts w:ascii="宋体" w:hAnsi="宋体" w:cs="宋体"/>
                <w:color w:val="auto"/>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eastAsia="zh-CN"/>
              </w:rPr>
              <w:t>技术要求偏离表</w:t>
            </w:r>
            <w:r>
              <w:rPr>
                <w:rFonts w:hint="eastAsia" w:ascii="宋体" w:hAnsi="宋体" w:cs="宋体"/>
                <w:color w:val="auto"/>
                <w:szCs w:val="21"/>
                <w:highlight w:val="none"/>
              </w:rPr>
              <w:t>（格式后附）；（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55C31A54">
            <w:pPr>
              <w:spacing w:line="360" w:lineRule="auto"/>
              <w:rPr>
                <w:rFonts w:ascii="宋体" w:hAnsi="宋体" w:cs="宋体"/>
                <w:color w:val="auto"/>
                <w:szCs w:val="21"/>
                <w:highlight w:val="none"/>
              </w:rPr>
            </w:pPr>
            <w:r>
              <w:rPr>
                <w:rFonts w:hint="eastAsia" w:ascii="宋体" w:hAnsi="宋体" w:cs="宋体"/>
                <w:color w:val="auto"/>
                <w:szCs w:val="21"/>
                <w:highlight w:val="none"/>
              </w:rPr>
              <w:t>2.服务方案（格式自拟）；（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29AAF458">
            <w:pPr>
              <w:spacing w:line="360" w:lineRule="auto"/>
              <w:rPr>
                <w:rFonts w:ascii="宋体" w:hAnsi="宋体" w:cs="宋体"/>
                <w:color w:val="auto"/>
                <w:szCs w:val="21"/>
                <w:highlight w:val="none"/>
              </w:rPr>
            </w:pPr>
            <w:r>
              <w:rPr>
                <w:rFonts w:hint="eastAsia" w:ascii="宋体" w:hAnsi="宋体" w:cs="宋体"/>
                <w:color w:val="auto"/>
                <w:highlight w:val="none"/>
              </w:rPr>
              <w:t>3.</w:t>
            </w:r>
            <w:r>
              <w:rPr>
                <w:rFonts w:hint="eastAsia" w:ascii="宋体" w:hAnsi="宋体" w:cs="宋体"/>
                <w:color w:val="auto"/>
                <w:szCs w:val="21"/>
                <w:highlight w:val="none"/>
              </w:rPr>
              <w:t>项目质量保障措施（格式自拟）</w:t>
            </w:r>
            <w:r>
              <w:rPr>
                <w:rFonts w:hint="eastAsia" w:ascii="宋体" w:hAnsi="宋体" w:cs="宋体"/>
                <w:color w:val="auto"/>
                <w:highlight w:val="none"/>
              </w:rPr>
              <w:t>；</w:t>
            </w:r>
            <w:r>
              <w:rPr>
                <w:rFonts w:hint="eastAsia" w:ascii="宋体" w:hAnsi="宋体" w:cs="宋体"/>
                <w:color w:val="auto"/>
                <w:szCs w:val="21"/>
                <w:highlight w:val="none"/>
              </w:rPr>
              <w:t>（</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4FB6061C">
            <w:pPr>
              <w:spacing w:line="360" w:lineRule="auto"/>
              <w:rPr>
                <w:rFonts w:ascii="宋体" w:hAnsi="宋体" w:cs="宋体"/>
                <w:color w:val="auto"/>
                <w:szCs w:val="21"/>
                <w:highlight w:val="none"/>
              </w:rPr>
            </w:pPr>
            <w:r>
              <w:rPr>
                <w:rFonts w:hint="eastAsia" w:ascii="宋体" w:hAnsi="宋体" w:cs="宋体"/>
                <w:color w:val="auto"/>
                <w:szCs w:val="21"/>
                <w:highlight w:val="none"/>
              </w:rPr>
              <w:t>4.项目实施人员一览表（格式后附）；（</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5CF52082">
            <w:pPr>
              <w:spacing w:line="360" w:lineRule="auto"/>
              <w:rPr>
                <w:rFonts w:ascii="宋体" w:hAnsi="宋体" w:cs="宋体"/>
                <w:color w:val="auto"/>
                <w:szCs w:val="21"/>
                <w:highlight w:val="none"/>
              </w:rPr>
            </w:pPr>
            <w:r>
              <w:rPr>
                <w:rFonts w:hint="eastAsia" w:ascii="宋体" w:hAnsi="宋体" w:cs="宋体"/>
                <w:color w:val="auto"/>
                <w:szCs w:val="21"/>
                <w:highlight w:val="none"/>
              </w:rPr>
              <w:t>5.对应采购需求的服务需求提供的其他文件资料（格式自拟）；（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521687F6">
            <w:pPr>
              <w:spacing w:line="360" w:lineRule="auto"/>
              <w:rPr>
                <w:rFonts w:ascii="宋体" w:hAnsi="宋体" w:cs="宋体"/>
                <w:color w:val="auto"/>
                <w:szCs w:val="21"/>
                <w:highlight w:val="none"/>
              </w:rPr>
            </w:pPr>
            <w:r>
              <w:rPr>
                <w:rFonts w:hint="eastAsia" w:ascii="宋体" w:hAnsi="宋体" w:cs="宋体"/>
                <w:color w:val="auto"/>
                <w:szCs w:val="21"/>
                <w:highlight w:val="none"/>
              </w:rPr>
              <w:t>6.供应商认为需要提供的其他有关资料（格式自拟）。（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p w14:paraId="3E3D69EA">
            <w:pPr>
              <w:spacing w:line="360" w:lineRule="auto"/>
              <w:rPr>
                <w:rFonts w:ascii="宋体" w:hAnsi="宋体" w:cs="宋体"/>
                <w:b/>
                <w:color w:val="auto"/>
                <w:szCs w:val="21"/>
                <w:highlight w:val="none"/>
              </w:rPr>
            </w:pPr>
            <w:r>
              <w:rPr>
                <w:rFonts w:hint="eastAsia" w:ascii="宋体" w:hAnsi="宋体" w:cs="宋体"/>
                <w:b/>
                <w:color w:val="auto"/>
                <w:szCs w:val="21"/>
                <w:highlight w:val="none"/>
              </w:rPr>
              <w:t>注：以上标明“必须提供”的材料属于复印件的扫描件的，必须加盖供应商公章，否则响应文件按无效响应处理。</w:t>
            </w:r>
          </w:p>
        </w:tc>
      </w:tr>
      <w:tr w14:paraId="0E4871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6EFDFC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12.1.3</w:t>
            </w:r>
          </w:p>
        </w:tc>
        <w:tc>
          <w:tcPr>
            <w:tcW w:w="2390" w:type="dxa"/>
            <w:vAlign w:val="center"/>
          </w:tcPr>
          <w:p w14:paraId="37758F7A">
            <w:pPr>
              <w:spacing w:line="360" w:lineRule="auto"/>
              <w:jc w:val="center"/>
              <w:rPr>
                <w:rFonts w:ascii="宋体" w:hAnsi="宋体" w:cs="宋体"/>
                <w:color w:val="auto"/>
                <w:szCs w:val="21"/>
                <w:highlight w:val="none"/>
              </w:rPr>
            </w:pPr>
            <w:r>
              <w:rPr>
                <w:rFonts w:hint="eastAsia" w:ascii="宋体" w:hAnsi="宋体" w:cs="宋体"/>
                <w:b/>
                <w:bCs/>
                <w:color w:val="auto"/>
                <w:szCs w:val="21"/>
                <w:highlight w:val="none"/>
              </w:rPr>
              <w:t>报价文件组成</w:t>
            </w:r>
          </w:p>
        </w:tc>
        <w:tc>
          <w:tcPr>
            <w:tcW w:w="6416" w:type="dxa"/>
            <w:vAlign w:val="center"/>
          </w:tcPr>
          <w:p w14:paraId="3974C1A6">
            <w:pPr>
              <w:spacing w:line="360" w:lineRule="auto"/>
              <w:jc w:val="left"/>
              <w:rPr>
                <w:rFonts w:ascii="宋体" w:hAnsi="宋体" w:cs="宋体"/>
                <w:color w:val="auto"/>
                <w:szCs w:val="21"/>
                <w:highlight w:val="none"/>
              </w:rPr>
            </w:pPr>
            <w:r>
              <w:rPr>
                <w:rFonts w:hint="eastAsia" w:ascii="宋体" w:hAnsi="宋体" w:cs="宋体"/>
                <w:color w:val="auto"/>
                <w:szCs w:val="21"/>
                <w:highlight w:val="none"/>
              </w:rPr>
              <w:t>1.响应函（格式后附）；</w:t>
            </w:r>
            <w:r>
              <w:rPr>
                <w:rFonts w:hint="eastAsia" w:ascii="宋体" w:hAnsi="宋体" w:cs="宋体"/>
                <w:b/>
                <w:color w:val="auto"/>
                <w:szCs w:val="21"/>
                <w:highlight w:val="none"/>
              </w:rPr>
              <w:t>（必须提供，否则响应文件按无效响应处理）</w:t>
            </w:r>
          </w:p>
          <w:p w14:paraId="3D4EFB9E">
            <w:pPr>
              <w:spacing w:line="360" w:lineRule="auto"/>
              <w:rPr>
                <w:rFonts w:ascii="宋体" w:hAnsi="宋体" w:cs="宋体"/>
                <w:color w:val="auto"/>
                <w:szCs w:val="21"/>
                <w:highlight w:val="none"/>
              </w:rPr>
            </w:pPr>
            <w:r>
              <w:rPr>
                <w:rFonts w:hint="eastAsia" w:ascii="宋体" w:hAnsi="宋体" w:cs="宋体"/>
                <w:color w:val="auto"/>
                <w:szCs w:val="21"/>
                <w:highlight w:val="none"/>
              </w:rPr>
              <w:t>2.响应报价表（格式后附）；（</w:t>
            </w:r>
            <w:r>
              <w:rPr>
                <w:rFonts w:hint="eastAsia" w:ascii="宋体" w:hAnsi="宋体" w:cs="宋体"/>
                <w:b/>
                <w:color w:val="auto"/>
                <w:szCs w:val="21"/>
                <w:highlight w:val="none"/>
              </w:rPr>
              <w:t>必须提供，否则响应文件按无效响应处理</w:t>
            </w:r>
            <w:r>
              <w:rPr>
                <w:rFonts w:hint="eastAsia" w:ascii="宋体" w:hAnsi="宋体" w:cs="宋体"/>
                <w:color w:val="auto"/>
                <w:szCs w:val="21"/>
                <w:highlight w:val="none"/>
              </w:rPr>
              <w:t>）</w:t>
            </w:r>
          </w:p>
          <w:p w14:paraId="04CCF266">
            <w:pPr>
              <w:spacing w:line="360" w:lineRule="auto"/>
              <w:rPr>
                <w:rFonts w:ascii="宋体" w:hAnsi="宋体" w:cs="宋体"/>
                <w:color w:val="auto"/>
                <w:szCs w:val="21"/>
                <w:highlight w:val="none"/>
              </w:rPr>
            </w:pPr>
            <w:r>
              <w:rPr>
                <w:rFonts w:hint="eastAsia" w:ascii="宋体" w:hAnsi="宋体" w:cs="宋体"/>
                <w:color w:val="auto"/>
                <w:szCs w:val="21"/>
                <w:highlight w:val="none"/>
              </w:rPr>
              <w:t>3.供应商针对报价需要说明的其他文件和说明（格式自拟）。（</w:t>
            </w:r>
            <w:r>
              <w:rPr>
                <w:rFonts w:hint="eastAsia" w:ascii="宋体" w:hAnsi="宋体" w:cs="宋体"/>
                <w:b/>
                <w:bCs/>
                <w:color w:val="auto"/>
                <w:szCs w:val="21"/>
                <w:highlight w:val="none"/>
              </w:rPr>
              <w:t>如有，请提供</w:t>
            </w:r>
            <w:r>
              <w:rPr>
                <w:rFonts w:hint="eastAsia" w:ascii="宋体" w:hAnsi="宋体" w:cs="宋体"/>
                <w:color w:val="auto"/>
                <w:szCs w:val="21"/>
                <w:highlight w:val="none"/>
              </w:rPr>
              <w:t>）</w:t>
            </w:r>
          </w:p>
        </w:tc>
      </w:tr>
      <w:tr w14:paraId="3F39E96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2D1247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12.2</w:t>
            </w:r>
          </w:p>
        </w:tc>
        <w:tc>
          <w:tcPr>
            <w:tcW w:w="2390" w:type="dxa"/>
            <w:vAlign w:val="center"/>
          </w:tcPr>
          <w:p w14:paraId="63924EA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响应文件电子版要求</w:t>
            </w:r>
          </w:p>
        </w:tc>
        <w:tc>
          <w:tcPr>
            <w:tcW w:w="6416" w:type="dxa"/>
            <w:vAlign w:val="center"/>
          </w:tcPr>
          <w:p w14:paraId="28657BF9">
            <w:pPr>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1.响应文件电子版要求：按照本竞争性磋商文件“第五章 响应文件格式”编写，第五章未附格式的，由供应商自行拟定。</w:t>
            </w:r>
          </w:p>
          <w:p w14:paraId="456FFFD1">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2.响应文件电子版加密提交方式：电子响应文件通过平台有效CA加密后在广西政府采购云平台提交。</w:t>
            </w:r>
          </w:p>
        </w:tc>
      </w:tr>
      <w:tr w14:paraId="2CAF3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91CAC1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15.2</w:t>
            </w:r>
          </w:p>
        </w:tc>
        <w:tc>
          <w:tcPr>
            <w:tcW w:w="2390" w:type="dxa"/>
            <w:vAlign w:val="center"/>
          </w:tcPr>
          <w:p w14:paraId="4FAA980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响应报价要求</w:t>
            </w:r>
          </w:p>
        </w:tc>
        <w:tc>
          <w:tcPr>
            <w:tcW w:w="6416" w:type="dxa"/>
            <w:vAlign w:val="center"/>
          </w:tcPr>
          <w:p w14:paraId="7FD01CB1">
            <w:pPr>
              <w:snapToGrid w:val="0"/>
              <w:spacing w:line="360" w:lineRule="auto"/>
              <w:jc w:val="left"/>
              <w:rPr>
                <w:rFonts w:ascii="宋体" w:hAnsi="宋体" w:cs="宋体"/>
                <w:color w:val="auto"/>
                <w:highlight w:val="none"/>
              </w:rPr>
            </w:pPr>
            <w:r>
              <w:rPr>
                <w:rFonts w:hint="eastAsia" w:ascii="宋体" w:hAnsi="宋体" w:cs="宋体"/>
                <w:color w:val="auto"/>
                <w:highlight w:val="none"/>
              </w:rPr>
              <w:t>响应报价必须包含满足本次竞标全部采购需求所应提供的服务，以及伴随的货物和工程（如有）的价格；包含竞标服务、货物、工程的成本、运输（含保险）、安装（如有）、调试、检验、技术服务、培训、税费等所有费用。（采购需求另有约定的，从其约定。）</w:t>
            </w:r>
          </w:p>
          <w:p w14:paraId="506C3765">
            <w:pPr>
              <w:pStyle w:val="15"/>
              <w:spacing w:line="360" w:lineRule="auto"/>
              <w:rPr>
                <w:rFonts w:ascii="宋体" w:hAnsi="宋体" w:cs="宋体"/>
                <w:color w:val="auto"/>
                <w:highlight w:val="none"/>
              </w:rPr>
            </w:pPr>
            <w:r>
              <w:rPr>
                <w:rFonts w:hint="eastAsia" w:ascii="宋体" w:hAnsi="宋体" w:cs="宋体"/>
                <w:b/>
                <w:color w:val="auto"/>
                <w:szCs w:val="21"/>
                <w:highlight w:val="none"/>
              </w:rPr>
              <w:t>响应报价包含验收费用。</w:t>
            </w:r>
          </w:p>
        </w:tc>
      </w:tr>
      <w:tr w14:paraId="42CCCD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C7B6E3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16.2</w:t>
            </w:r>
          </w:p>
        </w:tc>
        <w:tc>
          <w:tcPr>
            <w:tcW w:w="2390" w:type="dxa"/>
            <w:vAlign w:val="center"/>
          </w:tcPr>
          <w:p w14:paraId="6D7FE0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竞标有效期</w:t>
            </w:r>
          </w:p>
        </w:tc>
        <w:tc>
          <w:tcPr>
            <w:tcW w:w="6416" w:type="dxa"/>
            <w:vAlign w:val="center"/>
          </w:tcPr>
          <w:p w14:paraId="423086DD">
            <w:pPr>
              <w:pStyle w:val="11"/>
              <w:widowControl w:val="0"/>
              <w:tabs>
                <w:tab w:val="clear" w:pos="454"/>
              </w:tabs>
              <w:snapToGrid w:val="0"/>
              <w:spacing w:afterLines="0" w:line="360" w:lineRule="auto"/>
              <w:ind w:left="283" w:hanging="283" w:hangingChars="135"/>
              <w:rPr>
                <w:rFonts w:ascii="宋体" w:hAnsi="宋体" w:cs="宋体"/>
                <w:color w:val="auto"/>
                <w:kern w:val="2"/>
                <w:sz w:val="21"/>
                <w:szCs w:val="21"/>
                <w:highlight w:val="none"/>
              </w:rPr>
            </w:pPr>
            <w:r>
              <w:rPr>
                <w:rFonts w:hint="eastAsia" w:ascii="宋体" w:hAnsi="宋体" w:cs="宋体"/>
                <w:color w:val="auto"/>
                <w:kern w:val="2"/>
                <w:sz w:val="21"/>
                <w:szCs w:val="21"/>
                <w:highlight w:val="none"/>
              </w:rPr>
              <w:t>自首次响应文件提交截止之日起</w:t>
            </w:r>
            <w:r>
              <w:rPr>
                <w:rFonts w:hint="eastAsia" w:ascii="宋体" w:hAnsi="宋体" w:cs="宋体"/>
                <w:color w:val="auto"/>
                <w:kern w:val="2"/>
                <w:sz w:val="21"/>
                <w:szCs w:val="21"/>
                <w:highlight w:val="none"/>
                <w:u w:val="single"/>
              </w:rPr>
              <w:t xml:space="preserve"> 60 </w:t>
            </w:r>
            <w:r>
              <w:rPr>
                <w:rFonts w:hint="eastAsia" w:ascii="宋体" w:hAnsi="宋体" w:cs="宋体"/>
                <w:color w:val="auto"/>
                <w:kern w:val="2"/>
                <w:sz w:val="21"/>
                <w:szCs w:val="21"/>
                <w:highlight w:val="none"/>
              </w:rPr>
              <w:t>日。</w:t>
            </w:r>
          </w:p>
        </w:tc>
      </w:tr>
      <w:tr w14:paraId="2443F8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3C626B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17.1</w:t>
            </w:r>
          </w:p>
        </w:tc>
        <w:tc>
          <w:tcPr>
            <w:tcW w:w="2390" w:type="dxa"/>
            <w:vAlign w:val="center"/>
          </w:tcPr>
          <w:p w14:paraId="1AC054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磋商保证金</w:t>
            </w:r>
          </w:p>
        </w:tc>
        <w:tc>
          <w:tcPr>
            <w:tcW w:w="6416" w:type="dxa"/>
            <w:vAlign w:val="center"/>
          </w:tcPr>
          <w:p w14:paraId="05E46AD1">
            <w:pPr>
              <w:snapToGrid w:val="0"/>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本项目需要缴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磋商保证金，相关要求如下：</w:t>
            </w:r>
          </w:p>
          <w:p w14:paraId="7BD74D3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1.磋商保证金的缴纳方式：详见竞争性磋商公告。</w:t>
            </w:r>
          </w:p>
          <w:p w14:paraId="45080E99">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2.磋商保证金的金额：详见竞争性磋商公告。</w:t>
            </w:r>
          </w:p>
          <w:p w14:paraId="287EACB8">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3.磋商保证金采用银行转账缴纳方式的，在首次响应文件提交截止时间前交至采购代理机构指定账户并且到账，供应商应将银行转账底单的复印件作为磋商保证金提交凭证，放置于商务文件中，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w:t>
            </w:r>
          </w:p>
          <w:p w14:paraId="3C5AA1A1">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4.磋商保证金采用支票、汇票、本票或者金融机构、担保机构出具的保函等缴纳方式的，供应商应将支票、汇票、本票或者金融机构、担保机构出具的保函等的复印件</w:t>
            </w:r>
            <w:r>
              <w:rPr>
                <w:color w:val="auto"/>
                <w:highlight w:val="none"/>
              </w:rPr>
              <w:t>或者金融机构、担保机构出具的电子保函</w:t>
            </w:r>
            <w:r>
              <w:rPr>
                <w:rFonts w:hint="eastAsia" w:ascii="宋体" w:hAnsi="宋体" w:cs="宋体"/>
                <w:color w:val="auto"/>
                <w:szCs w:val="21"/>
                <w:highlight w:val="none"/>
              </w:rPr>
              <w:t>作为磋商保证金提交凭证，放置于商务文件中，</w:t>
            </w:r>
            <w:r>
              <w:rPr>
                <w:rFonts w:hint="eastAsia" w:ascii="宋体" w:hAnsi="宋体" w:cs="宋体"/>
                <w:b/>
                <w:color w:val="auto"/>
                <w:szCs w:val="21"/>
                <w:highlight w:val="none"/>
              </w:rPr>
              <w:t>否则响应文件按无效响应处理</w:t>
            </w:r>
            <w:r>
              <w:rPr>
                <w:rFonts w:hint="eastAsia" w:ascii="宋体" w:hAnsi="宋体" w:cs="宋体"/>
                <w:color w:val="auto"/>
                <w:szCs w:val="21"/>
                <w:highlight w:val="none"/>
              </w:rPr>
              <w:t>。供应商必须在</w:t>
            </w:r>
            <w:r>
              <w:rPr>
                <w:rFonts w:hint="eastAsia" w:ascii="宋体" w:hAnsi="宋体" w:cs="宋体"/>
                <w:color w:val="auto"/>
                <w:kern w:val="0"/>
                <w:szCs w:val="21"/>
                <w:highlight w:val="none"/>
              </w:rPr>
              <w:t>首次响应文件提交截止时间前</w:t>
            </w:r>
            <w:r>
              <w:rPr>
                <w:rFonts w:hint="eastAsia" w:ascii="宋体" w:hAnsi="宋体" w:cs="宋体"/>
                <w:color w:val="auto"/>
                <w:szCs w:val="21"/>
                <w:highlight w:val="none"/>
              </w:rPr>
              <w:t>将支票、汇票、本票或者金融机构、担保机构出具的保函（电子保函除外）等原件提交给采购代理机构，由采购代理机构向供应商出具回执，并妥善保管。</w:t>
            </w:r>
          </w:p>
          <w:p w14:paraId="6F5AD18F">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5.磋商保证金指定账户：详见竞争性磋商公告。</w:t>
            </w:r>
          </w:p>
          <w:p w14:paraId="6A2C6F4D">
            <w:pPr>
              <w:snapToGrid w:val="0"/>
              <w:spacing w:line="360" w:lineRule="auto"/>
              <w:rPr>
                <w:rFonts w:ascii="宋体" w:hAnsi="宋体" w:cs="宋体"/>
                <w:b/>
                <w:color w:val="auto"/>
                <w:szCs w:val="21"/>
                <w:highlight w:val="none"/>
              </w:rPr>
            </w:pPr>
            <w:r>
              <w:rPr>
                <w:rFonts w:hint="eastAsia" w:ascii="宋体" w:hAnsi="宋体" w:cs="宋体"/>
                <w:color w:val="auto"/>
                <w:szCs w:val="21"/>
                <w:highlight w:val="none"/>
              </w:rPr>
              <w:t>6.供应商为联合体的，可以由联合体中的一方或者多方共同缴纳磋商保证金，其缴纳的磋商保证金对联合体各方均具有约束力。</w:t>
            </w:r>
          </w:p>
          <w:p w14:paraId="4023EEAF">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 xml:space="preserve">备注： </w:t>
            </w:r>
          </w:p>
          <w:p w14:paraId="766B61D2">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1.磋商保证金在首次响应文件提交截止时间后提交的，或者不按规定缴纳方式缴纳的，或者未足额缴纳的（包含保函额度不足的），视为无效磋商保证金。</w:t>
            </w:r>
          </w:p>
          <w:p w14:paraId="523E9AF3">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2.供应商采用现金方式或者从个人账户（自然人竞标除外）转出的磋商保证金，视为无效磋商保证金。</w:t>
            </w:r>
          </w:p>
          <w:p w14:paraId="721BAECA">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3.支票、汇票或者本票出现无效或者背书情形的，视为无效磋商保证金。</w:t>
            </w:r>
          </w:p>
          <w:p w14:paraId="2C16775B">
            <w:pPr>
              <w:snapToGrid w:val="0"/>
              <w:spacing w:line="360" w:lineRule="auto"/>
              <w:rPr>
                <w:rFonts w:ascii="宋体" w:hAnsi="宋体" w:cs="宋体"/>
                <w:b/>
                <w:color w:val="auto"/>
                <w:szCs w:val="21"/>
                <w:highlight w:val="none"/>
              </w:rPr>
            </w:pPr>
            <w:r>
              <w:rPr>
                <w:rFonts w:hint="eastAsia" w:ascii="宋体" w:hAnsi="宋体" w:cs="宋体"/>
                <w:b/>
                <w:color w:val="auto"/>
                <w:szCs w:val="21"/>
                <w:highlight w:val="none"/>
              </w:rPr>
              <w:t>4.保函有效期低于竞标有效期的，视为无效磋商保证金。</w:t>
            </w:r>
          </w:p>
          <w:p w14:paraId="3F761A76">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b/>
                <w:color w:val="auto"/>
                <w:szCs w:val="21"/>
                <w:highlight w:val="none"/>
              </w:rPr>
              <w:t>5.采用金融、担保机构出具保函的，必须为无条件保函，否则视为无效磋商保证金。</w:t>
            </w:r>
          </w:p>
        </w:tc>
      </w:tr>
      <w:tr w14:paraId="5693239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restart"/>
            <w:vAlign w:val="center"/>
          </w:tcPr>
          <w:p w14:paraId="7608314B">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20.1</w:t>
            </w:r>
          </w:p>
        </w:tc>
        <w:tc>
          <w:tcPr>
            <w:tcW w:w="2390" w:type="dxa"/>
            <w:vAlign w:val="center"/>
          </w:tcPr>
          <w:p w14:paraId="63192CF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首次响应文件提交截止时间</w:t>
            </w:r>
          </w:p>
        </w:tc>
        <w:tc>
          <w:tcPr>
            <w:tcW w:w="6416" w:type="dxa"/>
            <w:vAlign w:val="center"/>
          </w:tcPr>
          <w:p w14:paraId="65A97EB7">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35B5D2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atLeast"/>
          <w:jc w:val="center"/>
        </w:trPr>
        <w:tc>
          <w:tcPr>
            <w:tcW w:w="963" w:type="dxa"/>
            <w:vMerge w:val="continue"/>
            <w:vAlign w:val="center"/>
          </w:tcPr>
          <w:p w14:paraId="3B5941F5">
            <w:pPr>
              <w:spacing w:line="360" w:lineRule="auto"/>
              <w:jc w:val="center"/>
              <w:rPr>
                <w:rFonts w:ascii="宋体" w:hAnsi="宋体" w:cs="宋体"/>
                <w:color w:val="auto"/>
                <w:szCs w:val="21"/>
                <w:highlight w:val="none"/>
              </w:rPr>
            </w:pPr>
          </w:p>
        </w:tc>
        <w:tc>
          <w:tcPr>
            <w:tcW w:w="2390" w:type="dxa"/>
            <w:vAlign w:val="center"/>
          </w:tcPr>
          <w:p w14:paraId="7622BAE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首次响应文件开启时间</w:t>
            </w:r>
          </w:p>
        </w:tc>
        <w:tc>
          <w:tcPr>
            <w:tcW w:w="6416" w:type="dxa"/>
            <w:vAlign w:val="center"/>
          </w:tcPr>
          <w:p w14:paraId="57645644">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详见竞争性磋商公告。</w:t>
            </w:r>
          </w:p>
        </w:tc>
      </w:tr>
      <w:tr w14:paraId="484CE2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Merge w:val="continue"/>
            <w:vAlign w:val="center"/>
          </w:tcPr>
          <w:p w14:paraId="151FB56E">
            <w:pPr>
              <w:spacing w:line="360" w:lineRule="auto"/>
              <w:jc w:val="center"/>
              <w:rPr>
                <w:rFonts w:ascii="宋体" w:hAnsi="宋体" w:cs="宋体"/>
                <w:color w:val="auto"/>
                <w:szCs w:val="21"/>
                <w:highlight w:val="none"/>
              </w:rPr>
            </w:pPr>
          </w:p>
        </w:tc>
        <w:tc>
          <w:tcPr>
            <w:tcW w:w="2390" w:type="dxa"/>
            <w:vAlign w:val="center"/>
          </w:tcPr>
          <w:p w14:paraId="0ACDB25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首次响应文件提交地点</w:t>
            </w:r>
          </w:p>
        </w:tc>
        <w:tc>
          <w:tcPr>
            <w:tcW w:w="6416" w:type="dxa"/>
            <w:vAlign w:val="center"/>
          </w:tcPr>
          <w:p w14:paraId="7CD42D8A">
            <w:pPr>
              <w:snapToGrid w:val="0"/>
              <w:spacing w:line="360" w:lineRule="auto"/>
              <w:jc w:val="left"/>
              <w:rPr>
                <w:rFonts w:ascii="宋体" w:hAnsi="宋体" w:cs="宋体"/>
                <w:color w:val="auto"/>
                <w:szCs w:val="21"/>
                <w:highlight w:val="none"/>
                <w:u w:val="single"/>
              </w:rPr>
            </w:pPr>
            <w:r>
              <w:rPr>
                <w:rFonts w:hint="eastAsia" w:ascii="宋体" w:hAnsi="宋体" w:cs="宋体"/>
                <w:color w:val="auto"/>
                <w:szCs w:val="21"/>
                <w:highlight w:val="none"/>
              </w:rPr>
              <w:t>详见竞争性磋商公告。</w:t>
            </w:r>
          </w:p>
        </w:tc>
      </w:tr>
      <w:tr w14:paraId="51B897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2" w:hRule="atLeast"/>
          <w:jc w:val="center"/>
        </w:trPr>
        <w:tc>
          <w:tcPr>
            <w:tcW w:w="963" w:type="dxa"/>
            <w:vAlign w:val="center"/>
          </w:tcPr>
          <w:p w14:paraId="4F9BE4F5">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20.6</w:t>
            </w:r>
          </w:p>
        </w:tc>
        <w:tc>
          <w:tcPr>
            <w:tcW w:w="2390" w:type="dxa"/>
            <w:vAlign w:val="center"/>
          </w:tcPr>
          <w:p w14:paraId="4C0B84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备份响应文件</w:t>
            </w:r>
          </w:p>
        </w:tc>
        <w:tc>
          <w:tcPr>
            <w:tcW w:w="6416" w:type="dxa"/>
            <w:vAlign w:val="center"/>
          </w:tcPr>
          <w:p w14:paraId="286DD05B">
            <w:pPr>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本项目不接受备份响应文件。</w:t>
            </w:r>
          </w:p>
        </w:tc>
      </w:tr>
      <w:tr w14:paraId="43DA1C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restart"/>
            <w:vAlign w:val="center"/>
          </w:tcPr>
          <w:p w14:paraId="430E984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26</w:t>
            </w:r>
          </w:p>
        </w:tc>
        <w:tc>
          <w:tcPr>
            <w:tcW w:w="2390" w:type="dxa"/>
            <w:vAlign w:val="center"/>
          </w:tcPr>
          <w:p w14:paraId="18ADB92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负偏离要求</w:t>
            </w:r>
          </w:p>
        </w:tc>
        <w:tc>
          <w:tcPr>
            <w:tcW w:w="6416" w:type="dxa"/>
            <w:vAlign w:val="center"/>
          </w:tcPr>
          <w:p w14:paraId="08CC679D">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商务条款中允许负偏离的条款数为</w:t>
            </w:r>
            <w:r>
              <w:rPr>
                <w:rFonts w:hint="eastAsia" w:ascii="宋体" w:hAnsi="宋体" w:cs="宋体"/>
                <w:color w:val="auto"/>
                <w:szCs w:val="21"/>
                <w:highlight w:val="none"/>
                <w:u w:val="single"/>
              </w:rPr>
              <w:t xml:space="preserve">   0   </w:t>
            </w:r>
            <w:r>
              <w:rPr>
                <w:rFonts w:hint="eastAsia" w:ascii="宋体" w:hAnsi="宋体" w:cs="宋体"/>
                <w:color w:val="auto"/>
                <w:szCs w:val="21"/>
                <w:highlight w:val="none"/>
              </w:rPr>
              <w:t>项。</w:t>
            </w:r>
          </w:p>
          <w:p w14:paraId="358EBF1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技术要求中允许负偏离的条款数为</w:t>
            </w:r>
            <w:r>
              <w:rPr>
                <w:rFonts w:hint="eastAsia" w:ascii="宋体" w:hAnsi="宋体" w:cs="宋体"/>
                <w:color w:val="auto"/>
                <w:szCs w:val="21"/>
                <w:highlight w:val="none"/>
                <w:u w:val="single"/>
              </w:rPr>
              <w:t xml:space="preserve">   /   </w:t>
            </w:r>
            <w:r>
              <w:rPr>
                <w:rFonts w:hint="eastAsia" w:ascii="宋体" w:hAnsi="宋体" w:cs="宋体"/>
                <w:color w:val="auto"/>
                <w:szCs w:val="21"/>
                <w:highlight w:val="none"/>
              </w:rPr>
              <w:t>项。</w:t>
            </w:r>
          </w:p>
        </w:tc>
      </w:tr>
      <w:tr w14:paraId="4169CD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963" w:type="dxa"/>
            <w:vMerge w:val="continue"/>
            <w:vAlign w:val="center"/>
          </w:tcPr>
          <w:p w14:paraId="6BEF3964">
            <w:pPr>
              <w:spacing w:line="360" w:lineRule="auto"/>
              <w:jc w:val="center"/>
              <w:rPr>
                <w:rFonts w:ascii="宋体" w:hAnsi="宋体" w:cs="宋体"/>
                <w:color w:val="auto"/>
                <w:szCs w:val="21"/>
                <w:highlight w:val="none"/>
              </w:rPr>
            </w:pPr>
          </w:p>
        </w:tc>
        <w:tc>
          <w:tcPr>
            <w:tcW w:w="2390" w:type="dxa"/>
            <w:vAlign w:val="center"/>
          </w:tcPr>
          <w:p w14:paraId="00A3D0B8">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评审方法</w:t>
            </w:r>
          </w:p>
        </w:tc>
        <w:tc>
          <w:tcPr>
            <w:tcW w:w="6416" w:type="dxa"/>
            <w:vAlign w:val="center"/>
          </w:tcPr>
          <w:p w14:paraId="2C993118">
            <w:pPr>
              <w:pStyle w:val="13"/>
              <w:spacing w:line="360" w:lineRule="auto"/>
              <w:rPr>
                <w:rFonts w:ascii="宋体" w:hAnsi="宋体" w:cs="宋体"/>
                <w:color w:val="auto"/>
                <w:szCs w:val="21"/>
                <w:highlight w:val="none"/>
              </w:rPr>
            </w:pPr>
            <w:r>
              <w:rPr>
                <w:rFonts w:hint="eastAsia"/>
                <w:color w:val="auto"/>
                <w:highlight w:val="none"/>
              </w:rPr>
              <w:t>本项目采用综合评分法。综合评分法是指响应文件满足竞争性磋商文件全部实质性要求且按评审因素的量化指标评审得分最高的供应商为成交候选供应商的评审方法。</w:t>
            </w:r>
          </w:p>
        </w:tc>
      </w:tr>
      <w:tr w14:paraId="7DD944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4A107F5F">
            <w:pPr>
              <w:spacing w:line="360" w:lineRule="auto"/>
              <w:jc w:val="center"/>
              <w:rPr>
                <w:rFonts w:ascii="宋体" w:hAnsi="宋体" w:cs="宋体"/>
                <w:color w:val="auto"/>
                <w:szCs w:val="21"/>
                <w:highlight w:val="none"/>
              </w:rPr>
            </w:pPr>
          </w:p>
        </w:tc>
        <w:tc>
          <w:tcPr>
            <w:tcW w:w="2390" w:type="dxa"/>
            <w:vAlign w:val="center"/>
          </w:tcPr>
          <w:p w14:paraId="0D89C536">
            <w:pPr>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磋商的顺序</w:t>
            </w:r>
          </w:p>
        </w:tc>
        <w:tc>
          <w:tcPr>
            <w:tcW w:w="6416" w:type="dxa"/>
            <w:vAlign w:val="center"/>
          </w:tcPr>
          <w:p w14:paraId="204AB17B">
            <w:pPr>
              <w:pStyle w:val="13"/>
              <w:spacing w:line="360" w:lineRule="auto"/>
              <w:rPr>
                <w:rFonts w:ascii="宋体" w:hAnsi="宋体" w:cs="宋体"/>
                <w:color w:val="auto"/>
                <w:szCs w:val="21"/>
                <w:highlight w:val="none"/>
              </w:rPr>
            </w:pPr>
            <w:r>
              <w:rPr>
                <w:rFonts w:hint="eastAsia" w:ascii="宋体" w:hAnsi="宋体" w:cs="宋体"/>
                <w:color w:val="auto"/>
                <w:szCs w:val="21"/>
                <w:highlight w:val="none"/>
              </w:rPr>
              <w:t>如采用视频会议形式进行磋商，将按照提交首次响应文件的顺序，通知磋商时，若某供应商不在通知现场时，该供应商排序到最后磋商，按照签到的顺序由其下一位供应商先参与磋商。</w:t>
            </w:r>
          </w:p>
          <w:p w14:paraId="42A4AB9A">
            <w:pPr>
              <w:pStyle w:val="13"/>
              <w:spacing w:line="360" w:lineRule="auto"/>
              <w:rPr>
                <w:rFonts w:ascii="宋体" w:hAnsi="宋体" w:cs="宋体"/>
                <w:b/>
                <w:color w:val="auto"/>
                <w:szCs w:val="21"/>
                <w:highlight w:val="none"/>
              </w:rPr>
            </w:pPr>
            <w:r>
              <w:rPr>
                <w:rFonts w:hint="eastAsia" w:ascii="宋体" w:hAnsi="宋体" w:cs="宋体"/>
                <w:b/>
                <w:color w:val="auto"/>
                <w:szCs w:val="21"/>
                <w:highlight w:val="none"/>
              </w:rPr>
              <w:t>参与磋商前，磋商小组如有要求，供应商法定代表人或者委托代理人必须向磋商小组出示本人有效证件原件[有效证件可以是身份证（含临时身份证明）、机动车驾驶证、社会保障卡或者护照的其中一项]，若参与磋商的委托代理人不是响应文件中授权的委托代理人时，必须同时出示有效的法定代表人授权委托书原件，否则磋商小组将拒绝其参与磋商。</w:t>
            </w:r>
          </w:p>
        </w:tc>
      </w:tr>
      <w:tr w14:paraId="5FC2F6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276B197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28</w:t>
            </w:r>
          </w:p>
        </w:tc>
        <w:tc>
          <w:tcPr>
            <w:tcW w:w="2390" w:type="dxa"/>
            <w:vAlign w:val="center"/>
          </w:tcPr>
          <w:p w14:paraId="29DE26B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履约保证金</w:t>
            </w:r>
          </w:p>
        </w:tc>
        <w:tc>
          <w:tcPr>
            <w:tcW w:w="6416" w:type="dxa"/>
            <w:vAlign w:val="center"/>
          </w:tcPr>
          <w:p w14:paraId="6EDA5D2F">
            <w:pPr>
              <w:spacing w:line="360" w:lineRule="auto"/>
              <w:rPr>
                <w:rFonts w:ascii="宋体" w:hAnsi="宋体" w:cs="宋体"/>
                <w:b/>
                <w:bCs/>
                <w:color w:val="auto"/>
                <w:szCs w:val="21"/>
                <w:highlight w:val="none"/>
              </w:rPr>
            </w:pPr>
            <w:r>
              <w:rPr>
                <w:rFonts w:hint="eastAsia" w:ascii="宋体" w:hAnsi="宋体" w:cs="宋体"/>
                <w:b/>
                <w:bCs/>
                <w:color w:val="auto"/>
                <w:szCs w:val="21"/>
                <w:highlight w:val="none"/>
              </w:rPr>
              <w:t>本项目不需要缴</w:t>
            </w:r>
            <w:r>
              <w:rPr>
                <w:rFonts w:hint="eastAsia" w:ascii="宋体" w:hAnsi="宋体" w:cs="宋体"/>
                <w:b/>
                <w:bCs/>
                <w:color w:val="auto"/>
                <w:kern w:val="0"/>
                <w:szCs w:val="21"/>
                <w:highlight w:val="none"/>
              </w:rPr>
              <w:t>纳</w:t>
            </w:r>
            <w:r>
              <w:rPr>
                <w:rFonts w:hint="eastAsia" w:ascii="宋体" w:hAnsi="宋体" w:cs="宋体"/>
                <w:b/>
                <w:bCs/>
                <w:color w:val="auto"/>
                <w:szCs w:val="21"/>
                <w:highlight w:val="none"/>
              </w:rPr>
              <w:t>履约保证金。</w:t>
            </w:r>
          </w:p>
          <w:p w14:paraId="6EE27097">
            <w:pPr>
              <w:spacing w:line="360" w:lineRule="auto"/>
              <w:rPr>
                <w:rFonts w:ascii="宋体" w:hAnsi="宋体" w:cs="宋体"/>
                <w:b/>
                <w:color w:val="auto"/>
                <w:szCs w:val="21"/>
                <w:highlight w:val="none"/>
              </w:rPr>
            </w:pPr>
            <w:r>
              <w:rPr>
                <w:rFonts w:hint="eastAsia" w:ascii="宋体" w:hAnsi="宋体" w:cs="宋体"/>
                <w:color w:val="auto"/>
                <w:szCs w:val="21"/>
                <w:highlight w:val="none"/>
              </w:rPr>
              <w:t>备注：</w:t>
            </w:r>
            <w:r>
              <w:rPr>
                <w:rFonts w:hint="eastAsia" w:ascii="宋体" w:hAnsi="宋体" w:cs="宋体"/>
                <w:color w:val="auto"/>
                <w:szCs w:val="21"/>
                <w:highlight w:val="none"/>
              </w:rPr>
              <w:br w:type="textWrapping"/>
            </w:r>
            <w:r>
              <w:rPr>
                <w:rFonts w:hint="eastAsia" w:ascii="宋体" w:hAnsi="宋体" w:cs="宋体"/>
                <w:b/>
                <w:color w:val="auto"/>
                <w:szCs w:val="21"/>
                <w:highlight w:val="none"/>
              </w:rPr>
              <w:t>1. 根据《广西壮族自治区财政厅关于贯彻落实政府采购优化营商环境百日攻坚行动方案的通知》（桂财采〔2020〕49号）和《广西壮族自治区财政厅关于规范政府采购货物和服务项目保证金管理的通知》（桂财规〔2022〕8号）规定，鼓励采购人在与中小微企业签订政府采购合同时，减少或免于收取履约保证金，有必要收取履约保证金的，收取的履约保证金不得超过政府采购合同金额的5%，对中小企业收取的履约保证金数额不得超过政府采购合同金额的2%。</w:t>
            </w:r>
          </w:p>
          <w:p w14:paraId="0BC12EE9">
            <w:pPr>
              <w:spacing w:line="360" w:lineRule="auto"/>
              <w:rPr>
                <w:rFonts w:ascii="宋体" w:hAnsi="宋体" w:cs="宋体"/>
                <w:b/>
                <w:color w:val="auto"/>
                <w:szCs w:val="21"/>
                <w:highlight w:val="none"/>
              </w:rPr>
            </w:pPr>
            <w:r>
              <w:rPr>
                <w:rFonts w:hint="eastAsia" w:ascii="宋体" w:hAnsi="宋体" w:cs="宋体"/>
                <w:b/>
                <w:color w:val="auto"/>
                <w:szCs w:val="21"/>
                <w:highlight w:val="none"/>
              </w:rPr>
              <w:t>2.履约保证金不足额缴纳的（包含保函额度不足的），或者不按规定提交方式提交的，或者保函有效期低于合同履行期限的（即合同中规定的当事人履行自己的义务，如交付标的物、价款或者报酬，履行劳务、完成工作的时间界限）的，视为未按规定提交履约保证金。</w:t>
            </w:r>
          </w:p>
          <w:p w14:paraId="1CA0E28C">
            <w:pPr>
              <w:spacing w:line="360" w:lineRule="auto"/>
              <w:rPr>
                <w:rFonts w:ascii="宋体" w:hAnsi="宋体" w:cs="宋体"/>
                <w:b/>
                <w:color w:val="auto"/>
                <w:szCs w:val="21"/>
                <w:highlight w:val="none"/>
              </w:rPr>
            </w:pPr>
            <w:r>
              <w:rPr>
                <w:rFonts w:hint="eastAsia" w:ascii="宋体" w:hAnsi="宋体" w:cs="宋体"/>
                <w:b/>
                <w:color w:val="auto"/>
                <w:szCs w:val="21"/>
                <w:highlight w:val="none"/>
              </w:rPr>
              <w:t>3.采用金融、担保机构出具保函的，必须为无条件保函，否则视为未按规定提交履约保证金。</w:t>
            </w:r>
          </w:p>
          <w:p w14:paraId="3E91077E">
            <w:pPr>
              <w:spacing w:line="360" w:lineRule="auto"/>
              <w:rPr>
                <w:rFonts w:ascii="宋体" w:hAnsi="宋体" w:cs="宋体"/>
                <w:color w:val="auto"/>
                <w:szCs w:val="21"/>
                <w:highlight w:val="none"/>
              </w:rPr>
            </w:pPr>
            <w:r>
              <w:rPr>
                <w:rFonts w:hint="eastAsia" w:ascii="宋体" w:hAnsi="宋体" w:cs="宋体"/>
                <w:b/>
                <w:color w:val="auto"/>
                <w:szCs w:val="21"/>
                <w:highlight w:val="none"/>
              </w:rPr>
              <w:t xml:space="preserve">4.供应商为联合体的，可由联合体任意一方或者联合体各方共同提交的履约保证金，视为有效履约保证金。 </w:t>
            </w:r>
          </w:p>
        </w:tc>
      </w:tr>
      <w:tr w14:paraId="6D9531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66FDA729">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29.5</w:t>
            </w:r>
          </w:p>
        </w:tc>
        <w:tc>
          <w:tcPr>
            <w:tcW w:w="2390" w:type="dxa"/>
            <w:vAlign w:val="center"/>
          </w:tcPr>
          <w:p w14:paraId="28594302">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签订合同携带的材料</w:t>
            </w:r>
          </w:p>
        </w:tc>
        <w:tc>
          <w:tcPr>
            <w:tcW w:w="6416" w:type="dxa"/>
            <w:vAlign w:val="center"/>
          </w:tcPr>
          <w:p w14:paraId="04A64519">
            <w:pPr>
              <w:autoSpaceDE w:val="0"/>
              <w:autoSpaceDN w:val="0"/>
              <w:snapToGrid w:val="0"/>
              <w:spacing w:line="360" w:lineRule="auto"/>
              <w:textAlignment w:val="bottom"/>
              <w:rPr>
                <w:rFonts w:ascii="宋体" w:hAnsi="宋体" w:cs="宋体"/>
                <w:color w:val="auto"/>
                <w:szCs w:val="21"/>
                <w:highlight w:val="none"/>
              </w:rPr>
            </w:pPr>
            <w:r>
              <w:rPr>
                <w:rFonts w:hint="eastAsia" w:ascii="宋体" w:hAnsi="宋体" w:cs="宋体"/>
                <w:color w:val="auto"/>
                <w:szCs w:val="21"/>
                <w:highlight w:val="none"/>
              </w:rPr>
              <w:t>委托代理人负责签订合同的，须携带有效的法定代表人授权委托书及其委托代理人身份证原件等其他资格证件。</w:t>
            </w:r>
          </w:p>
          <w:p w14:paraId="383196C9">
            <w:pPr>
              <w:snapToGrid w:val="0"/>
              <w:spacing w:line="360" w:lineRule="auto"/>
              <w:rPr>
                <w:rFonts w:ascii="宋体" w:hAnsi="宋体" w:cs="宋体"/>
                <w:b/>
                <w:bCs/>
                <w:i/>
                <w:iCs/>
                <w:color w:val="auto"/>
                <w:szCs w:val="21"/>
                <w:highlight w:val="none"/>
              </w:rPr>
            </w:pPr>
            <w:r>
              <w:rPr>
                <w:rFonts w:hint="eastAsia" w:ascii="宋体" w:hAnsi="宋体" w:cs="宋体"/>
                <w:color w:val="auto"/>
                <w:szCs w:val="21"/>
                <w:highlight w:val="none"/>
              </w:rPr>
              <w:t>法定代表人负责签订合同的，须携带法定代表人身份证明原件及身份证原件等其他证明材料。</w:t>
            </w:r>
          </w:p>
        </w:tc>
      </w:tr>
      <w:tr w14:paraId="1BB92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restart"/>
            <w:vAlign w:val="center"/>
          </w:tcPr>
          <w:p w14:paraId="7659F7E1">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31.2</w:t>
            </w:r>
          </w:p>
        </w:tc>
        <w:tc>
          <w:tcPr>
            <w:tcW w:w="2390" w:type="dxa"/>
            <w:vAlign w:val="center"/>
          </w:tcPr>
          <w:p w14:paraId="7A5BC9CF">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接收质疑函方式</w:t>
            </w:r>
          </w:p>
        </w:tc>
        <w:tc>
          <w:tcPr>
            <w:tcW w:w="6416" w:type="dxa"/>
            <w:vAlign w:val="center"/>
          </w:tcPr>
          <w:p w14:paraId="13AB9892">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以书面形式</w:t>
            </w:r>
          </w:p>
        </w:tc>
      </w:tr>
      <w:tr w14:paraId="226D8E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03961CC9">
            <w:pPr>
              <w:spacing w:line="360" w:lineRule="auto"/>
              <w:jc w:val="center"/>
              <w:rPr>
                <w:rFonts w:ascii="宋体" w:hAnsi="宋体" w:cs="宋体"/>
                <w:color w:val="auto"/>
                <w:szCs w:val="21"/>
                <w:highlight w:val="none"/>
              </w:rPr>
            </w:pPr>
          </w:p>
        </w:tc>
        <w:tc>
          <w:tcPr>
            <w:tcW w:w="2390" w:type="dxa"/>
            <w:vAlign w:val="center"/>
          </w:tcPr>
          <w:p w14:paraId="23E0EC24">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质疑联系部门及联系</w:t>
            </w:r>
          </w:p>
          <w:p w14:paraId="0F15288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方式</w:t>
            </w:r>
          </w:p>
        </w:tc>
        <w:tc>
          <w:tcPr>
            <w:tcW w:w="6416" w:type="dxa"/>
            <w:vAlign w:val="center"/>
          </w:tcPr>
          <w:p w14:paraId="04077EB0">
            <w:pPr>
              <w:numPr>
                <w:ilvl w:val="0"/>
                <w:numId w:val="3"/>
              </w:numPr>
              <w:snapToGrid w:val="0"/>
              <w:spacing w:line="360" w:lineRule="auto"/>
              <w:rPr>
                <w:rFonts w:ascii="宋体" w:hAnsi="宋体" w:cs="宋体"/>
                <w:color w:val="auto"/>
                <w:szCs w:val="21"/>
                <w:highlight w:val="none"/>
              </w:rPr>
            </w:pPr>
            <w:bookmarkStart w:id="76" w:name="PO_3000001868_PM031_3"/>
            <w:r>
              <w:rPr>
                <w:rFonts w:hint="eastAsia" w:ascii="宋体" w:hAnsi="宋体" w:cs="宋体"/>
                <w:color w:val="auto"/>
                <w:szCs w:val="21"/>
                <w:highlight w:val="none"/>
              </w:rPr>
              <w:t>名称：</w:t>
            </w:r>
            <w:bookmarkEnd w:id="76"/>
            <w:r>
              <w:rPr>
                <w:rFonts w:hint="eastAsia" w:ascii="宋体" w:hAnsi="宋体" w:cs="宋体"/>
                <w:color w:val="auto"/>
                <w:szCs w:val="21"/>
                <w:highlight w:val="none"/>
              </w:rPr>
              <w:t>广西壮族自治区人事考试院</w:t>
            </w:r>
          </w:p>
          <w:p w14:paraId="73B42FC5">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联系电话：0771-5535935</w:t>
            </w:r>
          </w:p>
          <w:p w14:paraId="2B17D1DB">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通讯地址：广西南宁市青秀区桂春路9号</w:t>
            </w:r>
          </w:p>
          <w:p w14:paraId="4519AA64">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（2）名称：广西科联招标中心有限公司</w:t>
            </w:r>
          </w:p>
          <w:p w14:paraId="035DAAC1">
            <w:pPr>
              <w:snapToGrid w:val="0"/>
              <w:spacing w:line="360" w:lineRule="auto"/>
              <w:rPr>
                <w:rFonts w:hint="eastAsia" w:ascii="宋体" w:hAnsi="宋体" w:eastAsia="宋体" w:cs="宋体"/>
                <w:color w:val="auto"/>
                <w:highlight w:val="none"/>
              </w:rPr>
            </w:pPr>
            <w:r>
              <w:rPr>
                <w:rFonts w:hint="eastAsia"/>
                <w:color w:val="auto"/>
                <w:szCs w:val="21"/>
                <w:highlight w:val="none"/>
              </w:rPr>
              <w:t>联系</w:t>
            </w:r>
            <w:r>
              <w:rPr>
                <w:color w:val="auto"/>
                <w:szCs w:val="21"/>
                <w:highlight w:val="none"/>
              </w:rPr>
              <w:t>地址</w:t>
            </w:r>
            <w:r>
              <w:rPr>
                <w:rFonts w:hint="eastAsia" w:cs="Helvetica"/>
                <w:color w:val="auto"/>
                <w:szCs w:val="21"/>
                <w:highlight w:val="none"/>
              </w:rPr>
              <w:t>：</w:t>
            </w:r>
            <w:r>
              <w:rPr>
                <w:rFonts w:hint="eastAsia" w:ascii="宋体" w:hAnsi="宋体"/>
                <w:color w:val="auto"/>
                <w:szCs w:val="21"/>
                <w:highlight w:val="none"/>
              </w:rPr>
              <w:t>广西南宁市大学东路170号广西科联招标中心有限公司</w:t>
            </w:r>
            <w:r>
              <w:rPr>
                <w:rFonts w:hint="eastAsia" w:ascii="宋体" w:hAnsi="宋体" w:eastAsia="宋体" w:cs="宋体"/>
                <w:color w:val="auto"/>
                <w:highlight w:val="none"/>
              </w:rPr>
              <w:t>10</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室</w:t>
            </w:r>
          </w:p>
          <w:p w14:paraId="14E3B6E0">
            <w:pPr>
              <w:snapToGrid w:val="0"/>
              <w:spacing w:line="360" w:lineRule="auto"/>
              <w:rPr>
                <w:rFonts w:ascii="宋体" w:hAnsi="宋体" w:cs="宋体"/>
                <w:color w:val="auto"/>
                <w:szCs w:val="21"/>
                <w:highlight w:val="none"/>
              </w:rPr>
            </w:pPr>
            <w:r>
              <w:rPr>
                <w:rFonts w:hint="eastAsia" w:ascii="宋体" w:hAnsi="宋体" w:cs="宋体"/>
                <w:color w:val="auto"/>
                <w:szCs w:val="21"/>
                <w:highlight w:val="none"/>
              </w:rPr>
              <w:t>联系电话：</w:t>
            </w:r>
            <w:r>
              <w:rPr>
                <w:rFonts w:hint="eastAsia" w:ascii="宋体" w:hAnsi="宋体" w:cs="宋体"/>
                <w:color w:val="auto"/>
                <w:highlight w:val="none"/>
              </w:rPr>
              <w:t>0771-3486228</w:t>
            </w:r>
          </w:p>
        </w:tc>
      </w:tr>
      <w:tr w14:paraId="4946CA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Merge w:val="continue"/>
            <w:vAlign w:val="center"/>
          </w:tcPr>
          <w:p w14:paraId="72C3637F">
            <w:pPr>
              <w:spacing w:line="360" w:lineRule="auto"/>
              <w:jc w:val="center"/>
              <w:rPr>
                <w:rFonts w:ascii="宋体" w:hAnsi="宋体" w:cs="宋体"/>
                <w:color w:val="auto"/>
                <w:szCs w:val="21"/>
                <w:highlight w:val="none"/>
              </w:rPr>
            </w:pPr>
          </w:p>
        </w:tc>
        <w:tc>
          <w:tcPr>
            <w:tcW w:w="2390" w:type="dxa"/>
            <w:vAlign w:val="center"/>
          </w:tcPr>
          <w:p w14:paraId="53342DBA">
            <w:pPr>
              <w:spacing w:line="360" w:lineRule="auto"/>
              <w:jc w:val="center"/>
              <w:rPr>
                <w:rFonts w:ascii="宋体" w:hAnsi="宋体" w:cs="宋体"/>
                <w:color w:val="auto"/>
                <w:highlight w:val="none"/>
              </w:rPr>
            </w:pPr>
            <w:r>
              <w:rPr>
                <w:rFonts w:hint="eastAsia" w:ascii="宋体" w:hAnsi="宋体" w:cs="宋体"/>
                <w:color w:val="auto"/>
                <w:highlight w:val="none"/>
              </w:rPr>
              <w:t>现场提交质疑办理业务</w:t>
            </w:r>
          </w:p>
          <w:p w14:paraId="008E45CA">
            <w:pPr>
              <w:spacing w:line="360" w:lineRule="auto"/>
              <w:jc w:val="center"/>
              <w:rPr>
                <w:rFonts w:ascii="宋体" w:hAnsi="宋体" w:cs="宋体"/>
                <w:color w:val="auto"/>
                <w:szCs w:val="21"/>
                <w:highlight w:val="none"/>
              </w:rPr>
            </w:pPr>
            <w:r>
              <w:rPr>
                <w:rFonts w:hint="eastAsia" w:ascii="宋体" w:hAnsi="宋体" w:cs="宋体"/>
                <w:color w:val="auto"/>
                <w:highlight w:val="none"/>
              </w:rPr>
              <w:t>时间</w:t>
            </w:r>
          </w:p>
        </w:tc>
        <w:tc>
          <w:tcPr>
            <w:tcW w:w="6416" w:type="dxa"/>
            <w:vAlign w:val="center"/>
          </w:tcPr>
          <w:p w14:paraId="4518B79E">
            <w:pPr>
              <w:snapToGrid w:val="0"/>
              <w:spacing w:line="360" w:lineRule="auto"/>
              <w:rPr>
                <w:rFonts w:ascii="宋体" w:hAnsi="宋体" w:cs="宋体"/>
                <w:color w:val="auto"/>
                <w:szCs w:val="21"/>
                <w:highlight w:val="none"/>
              </w:rPr>
            </w:pPr>
            <w:r>
              <w:rPr>
                <w:rFonts w:hint="eastAsia" w:ascii="宋体" w:hAnsi="宋体" w:cs="宋体"/>
                <w:color w:val="auto"/>
                <w:highlight w:val="none"/>
              </w:rPr>
              <w:t>质疑期内每个工作日（北京时间）上午8时00分到12时00分，下午15时00分到18时00分。</w:t>
            </w:r>
          </w:p>
        </w:tc>
      </w:tr>
      <w:tr w14:paraId="038539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1872EE03">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31.6</w:t>
            </w:r>
          </w:p>
        </w:tc>
        <w:tc>
          <w:tcPr>
            <w:tcW w:w="2390" w:type="dxa"/>
            <w:vAlign w:val="center"/>
          </w:tcPr>
          <w:p w14:paraId="469D8728">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受理投诉方式</w:t>
            </w:r>
          </w:p>
        </w:tc>
        <w:tc>
          <w:tcPr>
            <w:tcW w:w="6416" w:type="dxa"/>
            <w:vAlign w:val="center"/>
          </w:tcPr>
          <w:p w14:paraId="12BFC595">
            <w:pPr>
              <w:snapToGrid w:val="0"/>
              <w:spacing w:line="360" w:lineRule="auto"/>
              <w:rPr>
                <w:rFonts w:ascii="宋体" w:hAnsi="宋体" w:cs="宋体"/>
                <w:color w:val="auto"/>
                <w:highlight w:val="none"/>
              </w:rPr>
            </w:pPr>
            <w:r>
              <w:rPr>
                <w:rFonts w:hint="eastAsia" w:ascii="宋体" w:hAnsi="宋体" w:cs="宋体"/>
                <w:color w:val="auto"/>
                <w:highlight w:val="none"/>
              </w:rPr>
              <w:t>1、受理方式：纸质方式受理，投诉书正、副本（经过质疑的事项才可投诉）。</w:t>
            </w:r>
          </w:p>
          <w:p w14:paraId="6E8B564E">
            <w:pPr>
              <w:snapToGrid w:val="0"/>
              <w:spacing w:line="360" w:lineRule="auto"/>
              <w:rPr>
                <w:rFonts w:ascii="宋体" w:hAnsi="宋体" w:cs="宋体"/>
                <w:color w:val="auto"/>
                <w:highlight w:val="none"/>
              </w:rPr>
            </w:pPr>
            <w:r>
              <w:rPr>
                <w:rFonts w:hint="eastAsia" w:ascii="宋体" w:hAnsi="宋体" w:cs="宋体"/>
                <w:color w:val="auto"/>
                <w:highlight w:val="none"/>
              </w:rPr>
              <w:t>2、通讯方式</w:t>
            </w:r>
          </w:p>
          <w:p w14:paraId="2BB55B39">
            <w:pPr>
              <w:snapToGrid w:val="0"/>
              <w:spacing w:line="360" w:lineRule="auto"/>
              <w:rPr>
                <w:rFonts w:ascii="宋体" w:hAnsi="宋体" w:cs="宋体"/>
                <w:color w:val="auto"/>
                <w:highlight w:val="none"/>
              </w:rPr>
            </w:pPr>
            <w:r>
              <w:rPr>
                <w:rFonts w:hint="eastAsia" w:ascii="宋体" w:hAnsi="宋体" w:cs="宋体"/>
                <w:color w:val="auto"/>
                <w:highlight w:val="none"/>
              </w:rPr>
              <w:t xml:space="preserve">名称： 广西壮族自治区财政厅 </w:t>
            </w:r>
          </w:p>
          <w:p w14:paraId="4A458686">
            <w:pPr>
              <w:snapToGrid w:val="0"/>
              <w:spacing w:line="360" w:lineRule="auto"/>
              <w:rPr>
                <w:rFonts w:ascii="宋体" w:hAnsi="宋体" w:cs="宋体"/>
                <w:color w:val="auto"/>
                <w:highlight w:val="none"/>
              </w:rPr>
            </w:pPr>
            <w:r>
              <w:rPr>
                <w:rFonts w:hint="eastAsia" w:ascii="宋体" w:hAnsi="宋体" w:cs="宋体"/>
                <w:color w:val="auto"/>
                <w:highlight w:val="none"/>
              </w:rPr>
              <w:t xml:space="preserve">地址： 南宁市青秀区桃源路69号 </w:t>
            </w:r>
          </w:p>
          <w:p w14:paraId="1485F754">
            <w:pPr>
              <w:snapToGrid w:val="0"/>
              <w:spacing w:line="360" w:lineRule="auto"/>
              <w:rPr>
                <w:rFonts w:ascii="宋体" w:hAnsi="宋体" w:cs="宋体"/>
                <w:color w:val="auto"/>
                <w:highlight w:val="none"/>
              </w:rPr>
            </w:pPr>
            <w:r>
              <w:rPr>
                <w:rFonts w:hint="eastAsia" w:ascii="宋体" w:hAnsi="宋体" w:cs="宋体"/>
                <w:color w:val="auto"/>
                <w:highlight w:val="none"/>
              </w:rPr>
              <w:t>联系电话：0771-5331544</w:t>
            </w:r>
          </w:p>
        </w:tc>
      </w:tr>
      <w:tr w14:paraId="1EF587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708AB84E">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33</w:t>
            </w:r>
          </w:p>
        </w:tc>
        <w:tc>
          <w:tcPr>
            <w:tcW w:w="2390" w:type="dxa"/>
            <w:vAlign w:val="center"/>
          </w:tcPr>
          <w:p w14:paraId="16797846">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采购代理服务费</w:t>
            </w:r>
          </w:p>
        </w:tc>
        <w:tc>
          <w:tcPr>
            <w:tcW w:w="6416" w:type="dxa"/>
            <w:vAlign w:val="center"/>
          </w:tcPr>
          <w:p w14:paraId="233D2480">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1. 本项目收取采购代理服务费</w:t>
            </w:r>
          </w:p>
          <w:p w14:paraId="3CD2ACBA">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2.采购代理服务费支付方式：</w:t>
            </w:r>
          </w:p>
          <w:p w14:paraId="08257074">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本项目采购代理服务费由成交供应商在签订合同前，</w:t>
            </w:r>
            <w:r>
              <w:rPr>
                <w:rFonts w:hint="eastAsia" w:ascii="宋体" w:hAnsi="宋体" w:cs="宋体"/>
                <w:color w:val="auto"/>
                <w:highlight w:val="none"/>
              </w:rPr>
              <w:t>以银行转账、电汇等方式</w:t>
            </w:r>
            <w:r>
              <w:rPr>
                <w:rFonts w:hint="eastAsia" w:ascii="宋体" w:hAnsi="宋体" w:cs="宋体"/>
                <w:color w:val="auto"/>
                <w:kern w:val="0"/>
                <w:szCs w:val="21"/>
                <w:highlight w:val="none"/>
              </w:rPr>
              <w:t>一次性向采购代理机构支付。</w:t>
            </w:r>
          </w:p>
          <w:p w14:paraId="2181F3DD">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3.采购代理服务费收取标准：</w:t>
            </w:r>
          </w:p>
          <w:p w14:paraId="007A4D2B">
            <w:pPr>
              <w:snapToGrid w:val="0"/>
              <w:spacing w:line="360" w:lineRule="auto"/>
              <w:rPr>
                <w:rFonts w:ascii="宋体" w:hAnsi="宋体" w:cs="宋体"/>
                <w:color w:val="auto"/>
                <w:kern w:val="0"/>
                <w:szCs w:val="21"/>
                <w:highlight w:val="none"/>
                <w:u w:val="single"/>
              </w:rPr>
            </w:pPr>
            <w:r>
              <w:rPr>
                <w:rFonts w:hint="eastAsia" w:ascii="宋体" w:hAnsi="宋体" w:cs="宋体"/>
                <w:color w:val="auto"/>
                <w:kern w:val="0"/>
                <w:szCs w:val="21"/>
                <w:highlight w:val="none"/>
              </w:rPr>
              <w:t>以项目预算金额为计费额，按</w:t>
            </w:r>
            <w:r>
              <w:rPr>
                <w:rFonts w:hint="eastAsia" w:ascii="宋体" w:hAnsi="宋体" w:cs="宋体"/>
                <w:color w:val="auto"/>
                <w:highlight w:val="none"/>
              </w:rPr>
              <w:t>本须知正文第33.2条规定的收费计算标准（</w:t>
            </w:r>
            <w:r>
              <w:rPr>
                <w:rFonts w:hint="eastAsia" w:ascii="宋体" w:hAnsi="宋体" w:cs="宋体"/>
                <w:b/>
                <w:bCs/>
                <w:color w:val="auto"/>
                <w:kern w:val="0"/>
                <w:szCs w:val="21"/>
                <w:highlight w:val="none"/>
                <w:u w:val="single"/>
              </w:rPr>
              <w:t>服务类</w:t>
            </w:r>
            <w:r>
              <w:rPr>
                <w:rFonts w:hint="eastAsia" w:ascii="宋体" w:hAnsi="宋体" w:cs="宋体"/>
                <w:color w:val="auto"/>
                <w:highlight w:val="none"/>
              </w:rPr>
              <w:t>）</w:t>
            </w:r>
            <w:r>
              <w:rPr>
                <w:rFonts w:hint="eastAsia" w:ascii="宋体" w:hAnsi="宋体" w:cs="宋体"/>
                <w:color w:val="auto"/>
                <w:kern w:val="0"/>
                <w:szCs w:val="21"/>
                <w:highlight w:val="none"/>
              </w:rPr>
              <w:t>采用差额定率累进法计算出收费基准价格，采购代理机构收费以收费基准价格收取。</w:t>
            </w:r>
          </w:p>
          <w:p w14:paraId="5BA269C6">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4.采购代理服务费收取银行账户的信息</w:t>
            </w:r>
          </w:p>
          <w:p w14:paraId="39552268">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开户名称：广西科联招标中心有限公司</w:t>
            </w:r>
          </w:p>
          <w:p w14:paraId="0994158B">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开户银行：中国工商银行南宁市高新科技支行</w:t>
            </w:r>
          </w:p>
          <w:p w14:paraId="10E3721E">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银行账号：2102111229300032105</w:t>
            </w:r>
          </w:p>
          <w:p w14:paraId="1DC2C7C4">
            <w:p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开户行行号：102611011101</w:t>
            </w:r>
          </w:p>
        </w:tc>
      </w:tr>
      <w:tr w14:paraId="7A3BFA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3C6F5B6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34.1</w:t>
            </w:r>
          </w:p>
        </w:tc>
        <w:tc>
          <w:tcPr>
            <w:tcW w:w="2390" w:type="dxa"/>
            <w:vAlign w:val="center"/>
          </w:tcPr>
          <w:p w14:paraId="2F9B4E58">
            <w:pPr>
              <w:spacing w:line="360" w:lineRule="auto"/>
              <w:jc w:val="center"/>
              <w:rPr>
                <w:rFonts w:ascii="宋体" w:hAnsi="宋体" w:cs="宋体"/>
                <w:color w:val="auto"/>
                <w:szCs w:val="21"/>
                <w:highlight w:val="none"/>
              </w:rPr>
            </w:pPr>
            <w:r>
              <w:rPr>
                <w:rFonts w:hint="eastAsia" w:ascii="宋体" w:hAnsi="宋体" w:cs="宋体"/>
                <w:color w:val="auto"/>
                <w:highlight w:val="none"/>
              </w:rPr>
              <w:t>解释</w:t>
            </w:r>
          </w:p>
        </w:tc>
        <w:tc>
          <w:tcPr>
            <w:tcW w:w="6416" w:type="dxa"/>
            <w:vAlign w:val="center"/>
          </w:tcPr>
          <w:p w14:paraId="72192A87">
            <w:pPr>
              <w:snapToGrid w:val="0"/>
              <w:spacing w:line="400" w:lineRule="exact"/>
              <w:rPr>
                <w:rFonts w:ascii="宋体" w:hAnsi="宋体" w:cs="宋体"/>
                <w:b/>
                <w:color w:val="auto"/>
                <w:kern w:val="0"/>
                <w:szCs w:val="21"/>
                <w:highlight w:val="none"/>
              </w:rPr>
            </w:pPr>
            <w:r>
              <w:rPr>
                <w:rFonts w:hint="eastAsia" w:ascii="宋体" w:hAnsi="宋体" w:cs="宋体"/>
                <w:b/>
                <w:color w:val="auto"/>
                <w:kern w:val="0"/>
                <w:szCs w:val="21"/>
                <w:highlight w:val="none"/>
              </w:rPr>
              <w:t>解释：</w:t>
            </w:r>
            <w:r>
              <w:rPr>
                <w:rFonts w:hint="eastAsia" w:ascii="宋体" w:hAnsi="宋体" w:cs="宋体"/>
                <w:color w:val="auto"/>
                <w:kern w:val="0"/>
                <w:szCs w:val="21"/>
                <w:highlight w:val="none"/>
              </w:rPr>
              <w:t>构成本竞争性磋商文件的各个组成文件应互为解释，互为说明；除竞争性磋商文件中有特别规定外，仅适用于竞标阶段的规定，按更正公告（澄清公告）、竞争性磋商公告、采购需求、供应商须知、评审程序、评审方法和评审标准、响应文件格式、合同文本的先后顺序解释；同一组成文件中就同一事项的规定或者约定不一致的，以编排顺序在后者为准；同一组成文件不同版本之间有不一致的，以形成时间在后者为准；更正公告（澄清公告）与同步更新的磋商文件不一致时以更正公告（澄清公告）为准。按本款前述规定仍不能形成结论的，</w:t>
            </w:r>
            <w:r>
              <w:rPr>
                <w:rFonts w:hint="eastAsia" w:ascii="宋体" w:hAnsi="宋体" w:cs="宋体"/>
                <w:b/>
                <w:color w:val="auto"/>
                <w:kern w:val="0"/>
                <w:szCs w:val="21"/>
                <w:highlight w:val="none"/>
              </w:rPr>
              <w:t>由采购人或者采购代理机构负责解释。</w:t>
            </w:r>
          </w:p>
          <w:p w14:paraId="273F0978">
            <w:pPr>
              <w:snapToGrid w:val="0"/>
              <w:spacing w:line="400" w:lineRule="exact"/>
              <w:rPr>
                <w:rFonts w:ascii="宋体" w:hAnsi="宋体" w:cs="宋体"/>
                <w:b/>
                <w:color w:val="auto"/>
                <w:kern w:val="0"/>
                <w:szCs w:val="21"/>
                <w:highlight w:val="none"/>
              </w:rPr>
            </w:pPr>
            <w:r>
              <w:rPr>
                <w:rFonts w:hint="eastAsia" w:ascii="宋体" w:hAnsi="宋体" w:cs="宋体"/>
                <w:b/>
                <w:color w:val="auto"/>
                <w:kern w:val="0"/>
                <w:szCs w:val="21"/>
                <w:highlight w:val="none"/>
              </w:rPr>
              <w:t>法律责任：</w:t>
            </w:r>
          </w:p>
          <w:p w14:paraId="6BBA63F8">
            <w:pPr>
              <w:snapToGrid w:val="0"/>
              <w:spacing w:line="400" w:lineRule="exact"/>
              <w:rPr>
                <w:rFonts w:ascii="宋体" w:hAnsi="宋体" w:cs="宋体"/>
                <w:color w:val="auto"/>
                <w:kern w:val="0"/>
                <w:szCs w:val="21"/>
                <w:highlight w:val="none"/>
              </w:rPr>
            </w:pPr>
            <w:r>
              <w:rPr>
                <w:rFonts w:hint="eastAsia" w:ascii="宋体" w:hAnsi="宋体" w:cs="宋体"/>
                <w:color w:val="auto"/>
                <w:kern w:val="0"/>
                <w:szCs w:val="21"/>
                <w:highlight w:val="none"/>
              </w:rPr>
              <w:t>本采购文件根据《中华人民共和国政府采购法》《中华人民共和国民法典》《中华人民共和国政府采购法实施条例》《政府采购竞争性磋商采购方式管理暂行办法》等有关法律、法规编制，参与本项目的各政府采购当事人依法享有上述法律法规所赋予的权利与义务。</w:t>
            </w:r>
          </w:p>
        </w:tc>
      </w:tr>
      <w:tr w14:paraId="788EB5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63" w:type="dxa"/>
            <w:vAlign w:val="center"/>
          </w:tcPr>
          <w:p w14:paraId="4A3E31BD">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34.2</w:t>
            </w:r>
          </w:p>
        </w:tc>
        <w:tc>
          <w:tcPr>
            <w:tcW w:w="2390" w:type="dxa"/>
            <w:vAlign w:val="center"/>
          </w:tcPr>
          <w:p w14:paraId="3714EFFC">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6416" w:type="dxa"/>
            <w:vAlign w:val="center"/>
          </w:tcPr>
          <w:p w14:paraId="5BDE347F">
            <w:pPr>
              <w:pStyle w:val="13"/>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1.本竞争性磋商文件中描述供应商的“公章”是指根据我国对公章的管理规定，用供应商法定主体行为名称制作的实物印章或供应商通过指定电子化政府采购平台办理数字证书（CA认证）获得的以法定主体行为名称制作的电子印章。除本竞争性磋商文件有特殊规定外，供应商的财务章、部门章、工会章、合同章、投</w:t>
            </w:r>
            <w:r>
              <w:rPr>
                <w:rFonts w:hint="eastAsia" w:ascii="宋体" w:hAnsi="宋体" w:cs="宋体"/>
                <w:color w:val="auto"/>
                <w:szCs w:val="21"/>
                <w:highlight w:val="none"/>
                <w:lang w:val="en-US" w:eastAsia="zh-CN"/>
              </w:rPr>
              <w:t>/竞</w:t>
            </w:r>
            <w:r>
              <w:rPr>
                <w:rFonts w:hint="eastAsia" w:ascii="宋体" w:hAnsi="宋体" w:cs="宋体"/>
                <w:color w:val="auto"/>
                <w:szCs w:val="21"/>
                <w:highlight w:val="none"/>
              </w:rPr>
              <w:t>标专用章、业务专用章及银行的转账章、现金收讫章、现金付讫章等其他形式印章均不能代替公章。</w:t>
            </w:r>
          </w:p>
          <w:p w14:paraId="18B912CC">
            <w:pPr>
              <w:pStyle w:val="13"/>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2.本竞争性磋商文件中描述供应商的“签字”是指供应商通过指定电子化政府采购平台办理数字证书（CA认证）获得的以供应商法定代表人或者委托代理人姓名制作的电子印章或手写签字。</w:t>
            </w:r>
          </w:p>
          <w:p w14:paraId="10CA2536">
            <w:pPr>
              <w:pStyle w:val="13"/>
              <w:tabs>
                <w:tab w:val="center" w:pos="4153"/>
                <w:tab w:val="right" w:pos="8306"/>
              </w:tabs>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3.本竞争性磋商文件所称的“电子签章”“电子签名”，是指经广西政府采购云平台认可的CA认证的电子签名数据为表现形式的印章，可用于签署电子响应文件，电子印章与实物印章具有同等法律效力，不因其采用电子化表现形式而否定其法律效力。</w:t>
            </w:r>
          </w:p>
          <w:p w14:paraId="1BA349D7">
            <w:pPr>
              <w:pStyle w:val="13"/>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4.供应商为其他组织、自然人时，本磋商文件规定的法定代表人指负责人或者自然人。本磋商文件所称负责人是指参加竞标的其他组织营业执照上的负责人，本磋商文件所称自然人指参与竞标的自然人本人。</w:t>
            </w:r>
          </w:p>
          <w:p w14:paraId="49DD4B84">
            <w:pPr>
              <w:pStyle w:val="13"/>
              <w:spacing w:line="40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5.自然人竞标的，竞争性磋商文件规定盖公章处由自然人摁手指指印。</w:t>
            </w:r>
          </w:p>
          <w:p w14:paraId="573E3851">
            <w:pPr>
              <w:snapToGrid w:val="0"/>
              <w:spacing w:line="400" w:lineRule="exact"/>
              <w:rPr>
                <w:rFonts w:ascii="宋体" w:hAnsi="宋体" w:cs="宋体"/>
                <w:color w:val="auto"/>
                <w:kern w:val="0"/>
                <w:szCs w:val="21"/>
                <w:highlight w:val="none"/>
              </w:rPr>
            </w:pPr>
            <w:r>
              <w:rPr>
                <w:rFonts w:hint="eastAsia" w:ascii="宋体" w:hAnsi="宋体" w:cs="宋体"/>
                <w:color w:val="auto"/>
                <w:szCs w:val="21"/>
                <w:highlight w:val="none"/>
              </w:rPr>
              <w:t xml:space="preserve">    6.本竞争性磋商文件所称的“以上”“以下”“以内”“届满”，包括本数；所称的“不满”“超过”“以外”，不包括本数。</w:t>
            </w:r>
          </w:p>
        </w:tc>
      </w:tr>
    </w:tbl>
    <w:p w14:paraId="40424EF1">
      <w:pPr>
        <w:pStyle w:val="3"/>
        <w:spacing w:line="420" w:lineRule="exact"/>
        <w:jc w:val="center"/>
        <w:rPr>
          <w:rFonts w:ascii="宋体" w:hAnsi="宋体"/>
          <w:b w:val="0"/>
          <w:color w:val="auto"/>
          <w:highlight w:val="none"/>
        </w:rPr>
      </w:pPr>
      <w:r>
        <w:rPr>
          <w:rFonts w:ascii="宋体" w:hAnsi="宋体"/>
          <w:b w:val="0"/>
          <w:color w:val="auto"/>
          <w:highlight w:val="none"/>
        </w:rPr>
        <w:br w:type="page"/>
      </w:r>
      <w:bookmarkStart w:id="77" w:name="_Toc30957"/>
      <w:bookmarkStart w:id="78" w:name="_Toc80886929"/>
      <w:bookmarkStart w:id="79" w:name="_Toc27094"/>
      <w:r>
        <w:rPr>
          <w:rFonts w:hint="eastAsia" w:ascii="宋体" w:hAnsi="宋体"/>
          <w:b w:val="0"/>
          <w:color w:val="auto"/>
          <w:highlight w:val="none"/>
        </w:rPr>
        <w:t>第二节 供应商须知正文</w:t>
      </w:r>
      <w:bookmarkEnd w:id="77"/>
      <w:bookmarkEnd w:id="78"/>
      <w:bookmarkEnd w:id="79"/>
    </w:p>
    <w:p w14:paraId="6116253F">
      <w:pPr>
        <w:pStyle w:val="4"/>
        <w:spacing w:before="0" w:after="0" w:line="360" w:lineRule="auto"/>
        <w:ind w:firstLine="640" w:firstLineChars="200"/>
        <w:rPr>
          <w:b w:val="0"/>
          <w:color w:val="auto"/>
          <w:highlight w:val="none"/>
        </w:rPr>
      </w:pPr>
      <w:bookmarkStart w:id="80" w:name="_Toc6457"/>
      <w:bookmarkStart w:id="81" w:name="_Toc26166"/>
      <w:bookmarkStart w:id="82" w:name="_Toc80886930"/>
      <w:r>
        <w:rPr>
          <w:rFonts w:hint="eastAsia"/>
          <w:b w:val="0"/>
          <w:color w:val="auto"/>
          <w:highlight w:val="none"/>
        </w:rPr>
        <w:t>一、总则</w:t>
      </w:r>
      <w:bookmarkEnd w:id="80"/>
      <w:bookmarkEnd w:id="81"/>
      <w:bookmarkEnd w:id="82"/>
    </w:p>
    <w:p w14:paraId="06C53909">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1.适用范围</w:t>
      </w:r>
    </w:p>
    <w:p w14:paraId="2F769A6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本项目采购人、采购代理机构、供应商、磋商小组的相关行为均受《中华人民共和国政府采购法》《中华人民共和国政府采购法实施条例》《政府采购竞争性磋商采购方式管理暂行办法》《财政部关于政府采购竞争性磋商采购方式管理暂行办法有关问题的补充通知》及本项目本级和上级财政部门政府采购有关规定的约束和保护。</w:t>
      </w:r>
    </w:p>
    <w:p w14:paraId="09E5583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w:t>
      </w:r>
      <w:r>
        <w:rPr>
          <w:rFonts w:hint="eastAsia" w:ascii="宋体" w:hAnsi="宋体" w:cs="宋体"/>
          <w:color w:val="auto"/>
          <w:spacing w:val="-6"/>
          <w:szCs w:val="21"/>
          <w:highlight w:val="none"/>
        </w:rPr>
        <w:t>本竞争性磋商文件（以下简称磋商文件）适用于本项目的所有采购程序和环节（法律、法规另有规定的，从其规定）。</w:t>
      </w:r>
    </w:p>
    <w:p w14:paraId="1A26CFC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2.定义</w:t>
      </w:r>
    </w:p>
    <w:p w14:paraId="7ABD8E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2.1“采购人”是指依法进行政府采购的国家机关、事业单位、团体组织。</w:t>
      </w:r>
    </w:p>
    <w:p w14:paraId="15E65FED">
      <w:pPr>
        <w:spacing w:line="360" w:lineRule="auto"/>
        <w:ind w:firstLine="420" w:firstLineChars="200"/>
        <w:rPr>
          <w:rFonts w:ascii="宋体" w:hAnsi="宋体" w:cs="宋体"/>
          <w:color w:val="auto"/>
          <w:szCs w:val="21"/>
          <w:highlight w:val="none"/>
          <w:u w:val="single"/>
        </w:rPr>
      </w:pPr>
      <w:r>
        <w:rPr>
          <w:rFonts w:hint="eastAsia" w:ascii="宋体" w:hAnsi="宋体" w:cs="宋体"/>
          <w:color w:val="auto"/>
          <w:szCs w:val="21"/>
          <w:highlight w:val="none"/>
        </w:rPr>
        <w:t>2.2“采购代理机构”是指政府采购集中采购机构和集中采购机构以外的采购代理机构。</w:t>
      </w:r>
    </w:p>
    <w:p w14:paraId="44E7FB6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2.3“供应商”是指向采购人提供货物、工程或者服务的法人、其他组织或者自然人。</w:t>
      </w:r>
    </w:p>
    <w:p w14:paraId="29E801E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2.4“服务”是指除货物和工程以外的其他政府采购对象。</w:t>
      </w:r>
    </w:p>
    <w:p w14:paraId="66AC345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2.5“竞标”是指供应商按照本项目竞争性磋商公告规定的方式获取磋商文件、提交响应文件并希望获得标的的行为。</w:t>
      </w:r>
    </w:p>
    <w:p w14:paraId="0747919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2.6“响应文件”</w:t>
      </w:r>
      <w:r>
        <w:rPr>
          <w:rFonts w:hint="eastAsia" w:ascii="宋体" w:hAnsi="宋体" w:cs="宋体"/>
          <w:color w:val="auto"/>
          <w:spacing w:val="-6"/>
          <w:szCs w:val="21"/>
          <w:highlight w:val="none"/>
        </w:rPr>
        <w:t>是指：供应商根据本磋商文件要求，编制包含</w:t>
      </w:r>
      <w:r>
        <w:rPr>
          <w:rFonts w:hint="eastAsia" w:ascii="宋体" w:hAnsi="宋体" w:cs="宋体"/>
          <w:color w:val="auto"/>
          <w:spacing w:val="-6"/>
          <w:szCs w:val="21"/>
          <w:highlight w:val="none"/>
          <w:lang w:eastAsia="zh-CN"/>
        </w:rPr>
        <w:t>资格文件</w:t>
      </w:r>
      <w:r>
        <w:rPr>
          <w:rFonts w:hint="eastAsia" w:ascii="宋体" w:hAnsi="宋体" w:cs="宋体"/>
          <w:color w:val="auto"/>
          <w:spacing w:val="-6"/>
          <w:szCs w:val="21"/>
          <w:highlight w:val="none"/>
        </w:rPr>
        <w:t>、</w:t>
      </w:r>
      <w:r>
        <w:rPr>
          <w:rFonts w:hint="eastAsia" w:ascii="宋体" w:hAnsi="宋体" w:cs="宋体"/>
          <w:color w:val="auto"/>
          <w:szCs w:val="21"/>
          <w:highlight w:val="none"/>
        </w:rPr>
        <w:t>报价文件、商务和技术文件</w:t>
      </w:r>
      <w:r>
        <w:rPr>
          <w:rFonts w:hint="eastAsia" w:ascii="宋体" w:hAnsi="宋体" w:cs="宋体"/>
          <w:color w:val="auto"/>
          <w:spacing w:val="-6"/>
          <w:szCs w:val="21"/>
          <w:highlight w:val="none"/>
        </w:rPr>
        <w:t>等所有内容的文件。</w:t>
      </w:r>
    </w:p>
    <w:p w14:paraId="2EFAC8F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2.7“实质性要求：详见供应商须知前附表。</w:t>
      </w:r>
    </w:p>
    <w:p w14:paraId="625EC90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2.8“正偏离”，是指响应文件对磋商文件“采购需求”中有关条款作出的响应优于条款要求并有利于采购人的情形。</w:t>
      </w:r>
    </w:p>
    <w:p w14:paraId="2DA1614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2.9“负偏离”，是指响应文件对磋商文件“采购需求”中有关条款作出的响应不满足条款要求，导致采购人要求不能得到满足的情形。</w:t>
      </w:r>
    </w:p>
    <w:p w14:paraId="4AD51B6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2.10“允许负偏离的条款”是指采购需求中的不属于“实质性要求”的条款。</w:t>
      </w:r>
    </w:p>
    <w:p w14:paraId="4EF99A3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2.11“书面形式”是指合同书、信件和数据电文（包括电报、电传、传真、电子数据交换和电子邮件）等可以有形地表现所载内容的形式。</w:t>
      </w:r>
    </w:p>
    <w:p w14:paraId="3E96DF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2.12“首次报价”是指供应商提交的首次响应文件中的报价。</w:t>
      </w:r>
    </w:p>
    <w:p w14:paraId="576141C1">
      <w:pPr>
        <w:spacing w:line="360" w:lineRule="auto"/>
        <w:ind w:firstLine="420" w:firstLineChars="200"/>
        <w:rPr>
          <w:rFonts w:cs="宋体"/>
          <w:color w:val="auto"/>
          <w:szCs w:val="21"/>
          <w:highlight w:val="none"/>
        </w:rPr>
      </w:pPr>
      <w:r>
        <w:rPr>
          <w:rFonts w:hint="eastAsia" w:ascii="宋体" w:hAnsi="宋体" w:cs="宋体"/>
          <w:color w:val="auto"/>
          <w:szCs w:val="21"/>
          <w:highlight w:val="none"/>
        </w:rPr>
        <w:t>2.13“</w:t>
      </w:r>
      <w:r>
        <w:rPr>
          <w:rFonts w:hint="eastAsia" w:ascii="宋体" w:hAnsi="宋体" w:cs="宋体"/>
          <w:color w:val="auto"/>
          <w:szCs w:val="21"/>
          <w:highlight w:val="none"/>
          <w:lang w:eastAsia="zh-CN"/>
        </w:rPr>
        <w:t>评审价</w:t>
      </w:r>
      <w:r>
        <w:rPr>
          <w:rFonts w:hint="eastAsia" w:ascii="宋体" w:hAnsi="宋体" w:cs="宋体"/>
          <w:color w:val="auto"/>
          <w:szCs w:val="21"/>
          <w:highlight w:val="none"/>
        </w:rPr>
        <w:t>”是指供应商提</w:t>
      </w:r>
      <w:r>
        <w:rPr>
          <w:rFonts w:hint="eastAsia" w:cs="宋体"/>
          <w:color w:val="auto"/>
          <w:szCs w:val="21"/>
          <w:highlight w:val="none"/>
        </w:rPr>
        <w:t>交的最后报价并经修正（如有）和政策功能价格扣除（如有）后的价格。</w:t>
      </w:r>
    </w:p>
    <w:p w14:paraId="3B1B3B2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3.供应商的资格条件</w:t>
      </w:r>
    </w:p>
    <w:p w14:paraId="30BF8067">
      <w:pPr>
        <w:spacing w:line="360" w:lineRule="auto"/>
        <w:ind w:firstLine="420" w:firstLineChars="200"/>
        <w:rPr>
          <w:rFonts w:cs="宋体"/>
          <w:color w:val="auto"/>
          <w:szCs w:val="21"/>
          <w:highlight w:val="none"/>
        </w:rPr>
      </w:pPr>
      <w:r>
        <w:rPr>
          <w:rFonts w:hint="eastAsia" w:cs="宋体"/>
          <w:color w:val="auto"/>
          <w:szCs w:val="21"/>
          <w:highlight w:val="none"/>
        </w:rPr>
        <w:t>供应商的资格条件详见“供应商须知前附表”。</w:t>
      </w:r>
    </w:p>
    <w:p w14:paraId="498B98CB">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4.磋商费用</w:t>
      </w:r>
    </w:p>
    <w:p w14:paraId="5D596B8D">
      <w:pPr>
        <w:spacing w:line="360" w:lineRule="auto"/>
        <w:ind w:firstLine="420" w:firstLineChars="200"/>
        <w:rPr>
          <w:rFonts w:cs="宋体"/>
          <w:color w:val="auto"/>
          <w:szCs w:val="21"/>
          <w:highlight w:val="none"/>
        </w:rPr>
      </w:pPr>
      <w:r>
        <w:rPr>
          <w:rFonts w:hint="eastAsia" w:cs="宋体"/>
          <w:color w:val="auto"/>
          <w:szCs w:val="21"/>
          <w:highlight w:val="none"/>
        </w:rPr>
        <w:t>供应商应承担参与本次采购活动有关的所有费用，包括但不限于勘查现场、编制和提交响应文件、参加磋商与应答、签订合同等，不论竞标结果如何，均应自行承担。</w:t>
      </w:r>
    </w:p>
    <w:p w14:paraId="48ABB30D">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5.联合体竞标</w:t>
      </w:r>
    </w:p>
    <w:p w14:paraId="537B65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5.1本项目是否接受联合体竞标，详见“供应商须知前附表”。</w:t>
      </w:r>
    </w:p>
    <w:p w14:paraId="7B5F800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w:t>
      </w:r>
      <w:r>
        <w:rPr>
          <w:rFonts w:hint="eastAsia" w:ascii="宋体" w:hAnsi="宋体" w:cs="宋体"/>
          <w:color w:val="auto"/>
          <w:highlight w:val="none"/>
        </w:rPr>
        <w:t>如接受联合体竞标，</w:t>
      </w:r>
      <w:r>
        <w:rPr>
          <w:rFonts w:hint="eastAsia" w:ascii="宋体" w:hAnsi="宋体" w:cs="宋体"/>
          <w:color w:val="auto"/>
          <w:szCs w:val="21"/>
          <w:highlight w:val="none"/>
        </w:rPr>
        <w:t>联合体竞标要求详见“供应商须知前附表”。</w:t>
      </w:r>
    </w:p>
    <w:p w14:paraId="58A85C5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 xml:space="preserve">6.转包与分包             </w:t>
      </w:r>
    </w:p>
    <w:p w14:paraId="51C2F9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6.1本项目不允许转包。</w:t>
      </w:r>
    </w:p>
    <w:p w14:paraId="4064ADC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6.2本项目是否允许分包详见“供应商须知前附表”，本项目不允许违法分包。</w:t>
      </w:r>
    </w:p>
    <w:p w14:paraId="15E1984A">
      <w:pPr>
        <w:spacing w:line="360" w:lineRule="auto"/>
        <w:ind w:firstLine="482" w:firstLineChars="200"/>
        <w:rPr>
          <w:rFonts w:ascii="黑体" w:hAnsi="黑体" w:eastAsia="黑体" w:cs="宋体"/>
          <w:b/>
          <w:bCs/>
          <w:color w:val="auto"/>
          <w:sz w:val="24"/>
          <w:highlight w:val="none"/>
        </w:rPr>
      </w:pPr>
      <w:bookmarkStart w:id="83" w:name="_Toc254970673"/>
      <w:bookmarkStart w:id="84" w:name="_Toc254970532"/>
      <w:r>
        <w:rPr>
          <w:rFonts w:hint="eastAsia" w:ascii="黑体" w:hAnsi="黑体" w:eastAsia="黑体" w:cs="宋体"/>
          <w:b/>
          <w:bCs/>
          <w:color w:val="auto"/>
          <w:sz w:val="24"/>
          <w:highlight w:val="none"/>
        </w:rPr>
        <w:t>7.特别说明</w:t>
      </w:r>
      <w:bookmarkEnd w:id="83"/>
      <w:bookmarkEnd w:id="84"/>
    </w:p>
    <w:p w14:paraId="721F69E4">
      <w:pPr>
        <w:spacing w:line="360" w:lineRule="auto"/>
        <w:ind w:firstLine="420" w:firstLineChars="200"/>
        <w:rPr>
          <w:rFonts w:ascii="宋体" w:hAnsi="宋体" w:cs="宋体"/>
          <w:color w:val="auto"/>
          <w:szCs w:val="21"/>
          <w:highlight w:val="none"/>
        </w:rPr>
      </w:pPr>
      <w:bookmarkStart w:id="85" w:name="_8.1提供相同品牌产品且通过资格审查、符合性审查的不同投标人参加同一合"/>
      <w:bookmarkEnd w:id="85"/>
      <w:r>
        <w:rPr>
          <w:rFonts w:hint="eastAsia" w:ascii="宋体" w:hAnsi="宋体" w:cs="宋体"/>
          <w:color w:val="auto"/>
          <w:szCs w:val="21"/>
          <w:highlight w:val="none"/>
        </w:rPr>
        <w:t>7.1</w:t>
      </w:r>
      <w:bookmarkStart w:id="86" w:name="_Hlk65832145"/>
      <w:r>
        <w:rPr>
          <w:rFonts w:hint="eastAsia" w:ascii="宋体" w:hAnsi="宋体" w:cs="宋体"/>
          <w:color w:val="auto"/>
          <w:szCs w:val="21"/>
          <w:highlight w:val="none"/>
        </w:rPr>
        <w:t>如果本磋商文件要求提供供应商或制造商的资格、信誉、荣誉、业绩与企业认证等材料的，资格、信誉、荣誉、业绩与企业认证等必须为供应商或者制造商所拥有或自身获得 。</w:t>
      </w:r>
    </w:p>
    <w:bookmarkEnd w:id="86"/>
    <w:p w14:paraId="789699F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7.2供应商应仔细阅读磋商文件的所有内容，按照磋商文件的要求提交响应文件，并对所提供的全部资料的真实性承担法律责任。</w:t>
      </w:r>
    </w:p>
    <w:p w14:paraId="1B38B2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7.3供应商在竞标活动中提供任何疑似虚假材料，其响应文件作无效处理，将报监管部门查处；签订合同后发现的，成交供应商须依照《中华人民共和国民法典》规定赔偿采购人，且民事赔偿并不免除违法供应商的行政与刑事责任。</w:t>
      </w:r>
    </w:p>
    <w:p w14:paraId="3F9B03B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7.4在政府采购活动中，采购人员及相关人员与供应商有下列利害关系之一的，应当回避：</w:t>
      </w:r>
    </w:p>
    <w:p w14:paraId="24AB2A4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（1）参加采购活动前3年内与供应商存在劳动关系；</w:t>
      </w:r>
    </w:p>
    <w:p w14:paraId="1F2F9E8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（2）参加采购活动前3年内担任供应商的董事、监事；</w:t>
      </w:r>
    </w:p>
    <w:p w14:paraId="2A343FC2">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（3）参加采购活动前3年内是供应商的控股股东或者实际控制人；</w:t>
      </w:r>
    </w:p>
    <w:p w14:paraId="2E0F437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（4）与供应商的法定代表人或者负责人有夫妻、直系血亲、三代以内旁系血亲或者近姻亲关系；</w:t>
      </w:r>
    </w:p>
    <w:p w14:paraId="65EA09F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（5）与供应商有其他可能影响政府采购活动公平、公正进行的关系。</w:t>
      </w:r>
    </w:p>
    <w:p w14:paraId="3708C9C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供应商认为采购人员及相关人员与其他供应商有利害关系的，可以向采购人或者采购代理机构书面提出回避申请，并说明理由。采购人或者采购代理机构应当及时询问被申请回避人员，有利害关系的被申请回避人员应当回避。</w:t>
      </w:r>
    </w:p>
    <w:p w14:paraId="6BC2408D">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7.5有下列情形之一的视为供应商相互串通竞标，响应文件将被视为无效：</w:t>
      </w:r>
    </w:p>
    <w:p w14:paraId="47E3A56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 xml:space="preserve">（1）不同供应商的响应文件由同一单位或者个人编制；或不同供应商报名的IP地址一致的； </w:t>
      </w:r>
    </w:p>
    <w:p w14:paraId="004FE6D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（2）不同供应商委托同一单位或者个人办理竞标事宜；</w:t>
      </w:r>
    </w:p>
    <w:p w14:paraId="789B7EA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（3）不同的供应商的响应文件载明的项目管理员为同一个人；</w:t>
      </w:r>
    </w:p>
    <w:p w14:paraId="2FA3185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（4）不同供应商的响应文件异常一致或者报价呈规律性差异；</w:t>
      </w:r>
    </w:p>
    <w:p w14:paraId="72A77738">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（5）不同供应商的响应文件相互混装；</w:t>
      </w:r>
    </w:p>
    <w:p w14:paraId="3CF69CD2">
      <w:pPr>
        <w:tabs>
          <w:tab w:val="left" w:pos="6931"/>
        </w:tabs>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（6）不同供应商的磋商保证金从同一单位或者个人账户转出。</w:t>
      </w:r>
      <w:r>
        <w:rPr>
          <w:rFonts w:hint="eastAsia" w:ascii="宋体" w:hAnsi="宋体" w:cs="宋体"/>
          <w:b/>
          <w:bCs/>
          <w:color w:val="auto"/>
          <w:szCs w:val="21"/>
          <w:highlight w:val="none"/>
        </w:rPr>
        <w:tab/>
      </w:r>
    </w:p>
    <w:p w14:paraId="74F1942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7.6供应商有下列情形之一的，属于恶意串通行为，将报同级监督管理部门：</w:t>
      </w:r>
    </w:p>
    <w:p w14:paraId="4C71BB83">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（1）供应商直接或者间接从采购人或者采购代理机构处获得其他供应商的相关信息并修改其响应文件；</w:t>
      </w:r>
    </w:p>
    <w:p w14:paraId="0A267B39">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（2）供应商按照采购人或者采购代理机构的授意撤换、修改响应文件；</w:t>
      </w:r>
    </w:p>
    <w:p w14:paraId="4A1DD46A">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（3）供应商之间协商报价、技术方案等响应文件的实质性内容；</w:t>
      </w:r>
    </w:p>
    <w:p w14:paraId="7A89382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（4）属于同一集团、协会、商会等组织成员的供应商按照该组织要求协同参加政府采购活动；</w:t>
      </w:r>
    </w:p>
    <w:p w14:paraId="0581C301">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（5）供应商之间事先约定一致抬高或者压低报价，或者在政府采购活动中事先约定轮流以高价位或者低价位成交，或者事先约定由某一特定供应商成交，然后再参加竞标；</w:t>
      </w:r>
    </w:p>
    <w:p w14:paraId="487D6B95">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（6）供应商之间商定部分供应商放弃参加政府采购活动或者放弃成交；</w:t>
      </w:r>
    </w:p>
    <w:p w14:paraId="3A2A308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（7）供应商与采购人或者采购代理机构之间、供应商相互之间，为谋求特定供应商成交或者排斥其他供应商的其他串通行为。</w:t>
      </w:r>
    </w:p>
    <w:p w14:paraId="41F65D56">
      <w:pPr>
        <w:pStyle w:val="4"/>
        <w:spacing w:before="0" w:after="0" w:line="360" w:lineRule="auto"/>
        <w:ind w:firstLine="640" w:firstLineChars="200"/>
        <w:rPr>
          <w:b w:val="0"/>
          <w:bCs w:val="0"/>
          <w:color w:val="auto"/>
          <w:highlight w:val="none"/>
        </w:rPr>
      </w:pPr>
      <w:bookmarkStart w:id="87" w:name="_Toc254970534"/>
      <w:bookmarkStart w:id="88" w:name="_Toc12713"/>
      <w:bookmarkStart w:id="89" w:name="_Toc27583"/>
      <w:bookmarkStart w:id="90" w:name="_Toc254970675"/>
      <w:bookmarkStart w:id="91" w:name="_Toc80886931"/>
    </w:p>
    <w:p w14:paraId="14C56D56">
      <w:pPr>
        <w:pStyle w:val="4"/>
        <w:spacing w:before="0" w:after="0" w:line="360" w:lineRule="auto"/>
        <w:ind w:firstLine="640" w:firstLineChars="200"/>
        <w:rPr>
          <w:b w:val="0"/>
          <w:bCs w:val="0"/>
          <w:color w:val="auto"/>
          <w:highlight w:val="none"/>
        </w:rPr>
      </w:pPr>
      <w:r>
        <w:rPr>
          <w:rFonts w:hint="eastAsia"/>
          <w:b w:val="0"/>
          <w:bCs w:val="0"/>
          <w:color w:val="auto"/>
          <w:highlight w:val="none"/>
        </w:rPr>
        <w:t>二、磋商文件</w:t>
      </w:r>
      <w:bookmarkEnd w:id="87"/>
      <w:bookmarkEnd w:id="88"/>
      <w:bookmarkEnd w:id="89"/>
      <w:bookmarkEnd w:id="90"/>
      <w:bookmarkEnd w:id="91"/>
    </w:p>
    <w:p w14:paraId="07EA4DB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8.磋商文件的构成</w:t>
      </w:r>
    </w:p>
    <w:p w14:paraId="255CC473">
      <w:pPr>
        <w:spacing w:line="360" w:lineRule="auto"/>
        <w:ind w:firstLine="420" w:firstLineChars="200"/>
        <w:jc w:val="left"/>
        <w:rPr>
          <w:color w:val="auto"/>
          <w:szCs w:val="21"/>
          <w:highlight w:val="none"/>
        </w:rPr>
      </w:pPr>
      <w:r>
        <w:rPr>
          <w:rFonts w:hint="eastAsia"/>
          <w:color w:val="auto"/>
          <w:szCs w:val="21"/>
          <w:highlight w:val="none"/>
        </w:rPr>
        <w:t>第一章 竞争性磋商公告；</w:t>
      </w:r>
    </w:p>
    <w:p w14:paraId="779C0731">
      <w:pPr>
        <w:spacing w:line="360" w:lineRule="auto"/>
        <w:ind w:firstLine="420" w:firstLineChars="200"/>
        <w:jc w:val="left"/>
        <w:rPr>
          <w:color w:val="auto"/>
          <w:szCs w:val="21"/>
          <w:highlight w:val="none"/>
        </w:rPr>
      </w:pPr>
      <w:r>
        <w:rPr>
          <w:rFonts w:hint="eastAsia"/>
          <w:color w:val="auto"/>
          <w:szCs w:val="21"/>
          <w:highlight w:val="none"/>
        </w:rPr>
        <w:t>第二章 采购需求；</w:t>
      </w:r>
    </w:p>
    <w:p w14:paraId="3ED6E7DD">
      <w:pPr>
        <w:spacing w:line="360" w:lineRule="auto"/>
        <w:ind w:firstLine="420" w:firstLineChars="200"/>
        <w:jc w:val="left"/>
        <w:rPr>
          <w:color w:val="auto"/>
          <w:szCs w:val="21"/>
          <w:highlight w:val="none"/>
        </w:rPr>
      </w:pPr>
      <w:r>
        <w:rPr>
          <w:rFonts w:hint="eastAsia"/>
          <w:color w:val="auto"/>
          <w:szCs w:val="21"/>
          <w:highlight w:val="none"/>
        </w:rPr>
        <w:t xml:space="preserve">第三章 供应商须知； </w:t>
      </w:r>
    </w:p>
    <w:p w14:paraId="293394AE">
      <w:pPr>
        <w:spacing w:line="360" w:lineRule="auto"/>
        <w:ind w:firstLine="420" w:firstLineChars="200"/>
        <w:jc w:val="left"/>
        <w:rPr>
          <w:color w:val="auto"/>
          <w:szCs w:val="21"/>
          <w:highlight w:val="none"/>
        </w:rPr>
      </w:pPr>
      <w:r>
        <w:rPr>
          <w:rFonts w:hint="eastAsia"/>
          <w:color w:val="auto"/>
          <w:szCs w:val="21"/>
          <w:highlight w:val="none"/>
        </w:rPr>
        <w:t>第四章 评审程序、评审方法和评审标准；</w:t>
      </w:r>
    </w:p>
    <w:p w14:paraId="00EF854F">
      <w:pPr>
        <w:spacing w:line="360" w:lineRule="auto"/>
        <w:ind w:firstLine="420" w:firstLineChars="200"/>
        <w:jc w:val="left"/>
        <w:rPr>
          <w:color w:val="auto"/>
          <w:szCs w:val="21"/>
          <w:highlight w:val="none"/>
        </w:rPr>
      </w:pPr>
      <w:r>
        <w:rPr>
          <w:rFonts w:hint="eastAsia"/>
          <w:color w:val="auto"/>
          <w:szCs w:val="21"/>
          <w:highlight w:val="none"/>
        </w:rPr>
        <w:t>第五章 响应文件格式；</w:t>
      </w:r>
    </w:p>
    <w:p w14:paraId="3C55ECED">
      <w:pPr>
        <w:spacing w:line="360" w:lineRule="auto"/>
        <w:ind w:firstLine="420" w:firstLineChars="200"/>
        <w:jc w:val="left"/>
        <w:rPr>
          <w:color w:val="auto"/>
          <w:szCs w:val="21"/>
          <w:highlight w:val="none"/>
        </w:rPr>
      </w:pPr>
      <w:r>
        <w:rPr>
          <w:rFonts w:hint="eastAsia"/>
          <w:color w:val="auto"/>
          <w:szCs w:val="21"/>
          <w:highlight w:val="none"/>
        </w:rPr>
        <w:t>第六章 合同文本；</w:t>
      </w:r>
    </w:p>
    <w:p w14:paraId="12B514C4">
      <w:pPr>
        <w:spacing w:line="360" w:lineRule="auto"/>
        <w:ind w:firstLine="420" w:firstLineChars="200"/>
        <w:jc w:val="left"/>
        <w:rPr>
          <w:color w:val="auto"/>
          <w:szCs w:val="21"/>
          <w:highlight w:val="none"/>
        </w:rPr>
      </w:pPr>
      <w:r>
        <w:rPr>
          <w:rFonts w:hint="eastAsia"/>
          <w:color w:val="auto"/>
          <w:szCs w:val="21"/>
          <w:highlight w:val="none"/>
        </w:rPr>
        <w:t>第七章 质疑、投诉材料格式。</w:t>
      </w:r>
    </w:p>
    <w:p w14:paraId="03418283">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9.供应商的询问</w:t>
      </w:r>
    </w:p>
    <w:p w14:paraId="00BFEDFB">
      <w:pPr>
        <w:spacing w:line="360" w:lineRule="auto"/>
        <w:ind w:firstLine="420" w:firstLineChars="200"/>
        <w:rPr>
          <w:color w:val="auto"/>
          <w:szCs w:val="21"/>
          <w:highlight w:val="none"/>
        </w:rPr>
      </w:pPr>
      <w:r>
        <w:rPr>
          <w:rFonts w:hint="eastAsia"/>
          <w:color w:val="auto"/>
          <w:szCs w:val="21"/>
          <w:highlight w:val="none"/>
        </w:rPr>
        <w:t>供应商应认真阅读磋商文件的采购需求，如供应商对磋商文件有疑问的，如要求采购人作出澄清或者修改的，供应商尽应在</w:t>
      </w:r>
      <w:r>
        <w:rPr>
          <w:color w:val="auto"/>
          <w:szCs w:val="21"/>
          <w:highlight w:val="none"/>
        </w:rPr>
        <w:t>提交首次响应文件截止之日前</w:t>
      </w:r>
      <w:r>
        <w:rPr>
          <w:rFonts w:hint="eastAsia"/>
          <w:color w:val="auto"/>
          <w:szCs w:val="21"/>
          <w:highlight w:val="none"/>
        </w:rPr>
        <w:t>，以书面形式向</w:t>
      </w:r>
      <w:r>
        <w:rPr>
          <w:color w:val="auto"/>
          <w:szCs w:val="21"/>
          <w:highlight w:val="none"/>
        </w:rPr>
        <w:t>采购人、采购代理机构</w:t>
      </w:r>
      <w:r>
        <w:rPr>
          <w:rFonts w:hint="eastAsia"/>
          <w:color w:val="auto"/>
          <w:szCs w:val="21"/>
          <w:highlight w:val="none"/>
        </w:rPr>
        <w:t>提出。</w:t>
      </w:r>
    </w:p>
    <w:p w14:paraId="09977705">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10.磋商文件的澄清和修改</w:t>
      </w:r>
    </w:p>
    <w:p w14:paraId="7ECB04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10.1已获取磋商文件的潜在供应商，若有问题需要澄清，应于应标截止时间前，以书面形式向采购代理机构提出，采购代理机构与采购人研究后，对认为有必要回答的问题，按照本章10.3的内容处理。</w:t>
      </w:r>
    </w:p>
    <w:p w14:paraId="6501DF11">
      <w:pPr>
        <w:spacing w:line="360" w:lineRule="auto"/>
        <w:ind w:firstLine="422" w:firstLineChars="200"/>
        <w:rPr>
          <w:rFonts w:ascii="宋体" w:hAnsi="宋体" w:cs="宋体"/>
          <w:b/>
          <w:color w:val="auto"/>
          <w:szCs w:val="21"/>
          <w:highlight w:val="none"/>
        </w:rPr>
      </w:pPr>
      <w:r>
        <w:rPr>
          <w:rFonts w:hint="eastAsia" w:ascii="宋体" w:hAnsi="宋体" w:cs="宋体"/>
          <w:b/>
          <w:color w:val="auto"/>
          <w:szCs w:val="21"/>
          <w:highlight w:val="none"/>
        </w:rPr>
        <w:t>10.2采购人或者采购代理机构可以对已发出的磋商文件进行必要的澄清或者修改，但不得改变采购标的和资格条件。澄清或者修改应当在原公告发布媒体上发布澄清公告。澄清或者修改的内容为磋商文件的组成部分。</w:t>
      </w:r>
    </w:p>
    <w:p w14:paraId="2F7FF98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10.3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或者磋商小组在提交首次响应文件截止之日5日前，以书面形式（目前为网上公告和系统短信等形式）通知所有获取磋商文件的供应商，不足5日的，应当顺延提交首次响应文件截止时间。澄清或者更正公告在竞争性磋商公告发布媒体上发布，一经发布，视作已以书面形式通知所有获取竞争性磋商文件的潜在供应商，不再另行通知，所有潜在供应商应密切关注竞争性磋商公告发布媒体，因未能及时获知，由此产生的后果均应自行承担。</w:t>
      </w:r>
    </w:p>
    <w:p w14:paraId="3B1B043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10.4</w:t>
      </w:r>
      <w:r>
        <w:rPr>
          <w:rFonts w:hint="eastAsia" w:ascii="宋体" w:hAnsi="宋体" w:cs="宋体"/>
          <w:color w:val="auto"/>
          <w:highlight w:val="none"/>
          <w:shd w:val="clear" w:color="auto" w:fill="FFFFFF"/>
        </w:rPr>
        <w:t>采购信息更正公告的内容应当包括采购人和采购代理机构名称、地址、联系方式，原公告的采购项目名称及首次公告日期，更正事项、内容及日期，采购项目联系人和电话。</w:t>
      </w:r>
    </w:p>
    <w:p w14:paraId="6AFDF8D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10.5  采购人和采购代理机构可以视采购具体情况，变更提交首次响应文件截止时间和竞谈时间，将变更时间将在“竞争性磋商公告”中“七、其他补充事宜2.网上查询地址”规定的政府采购信息发布媒体上发布更正公告。</w:t>
      </w:r>
    </w:p>
    <w:p w14:paraId="2C31AB84">
      <w:pPr>
        <w:spacing w:line="360" w:lineRule="auto"/>
        <w:ind w:firstLine="400" w:firstLineChars="200"/>
        <w:rPr>
          <w:rFonts w:ascii="宋体" w:hAnsi="宋体" w:cs="宋体"/>
          <w:color w:val="auto"/>
          <w:kern w:val="0"/>
          <w:sz w:val="20"/>
          <w:szCs w:val="21"/>
          <w:highlight w:val="none"/>
        </w:rPr>
      </w:pPr>
      <w:r>
        <w:rPr>
          <w:rFonts w:hint="eastAsia" w:ascii="宋体" w:hAnsi="宋体" w:cs="宋体"/>
          <w:color w:val="auto"/>
          <w:kern w:val="0"/>
          <w:sz w:val="20"/>
          <w:szCs w:val="21"/>
          <w:highlight w:val="none"/>
        </w:rPr>
        <w:t>▲</w:t>
      </w:r>
      <w:r>
        <w:rPr>
          <w:rFonts w:hint="eastAsia" w:ascii="宋体" w:hAnsi="宋体" w:cs="宋体"/>
          <w:b/>
          <w:color w:val="auto"/>
          <w:kern w:val="0"/>
          <w:sz w:val="20"/>
          <w:szCs w:val="21"/>
          <w:highlight w:val="none"/>
        </w:rPr>
        <w:t>响应文件未按磋商文件的澄清、修改的内容编制，又不符合实质性要求的，其响应文件按无效处理。</w:t>
      </w:r>
    </w:p>
    <w:p w14:paraId="3CC578E6">
      <w:pPr>
        <w:pStyle w:val="4"/>
        <w:spacing w:before="0" w:after="0" w:line="360" w:lineRule="auto"/>
        <w:ind w:firstLine="320" w:firstLineChars="100"/>
        <w:rPr>
          <w:b w:val="0"/>
          <w:bCs w:val="0"/>
          <w:color w:val="auto"/>
          <w:highlight w:val="none"/>
        </w:rPr>
      </w:pPr>
      <w:r>
        <w:rPr>
          <w:rFonts w:hint="eastAsia"/>
          <w:b w:val="0"/>
          <w:bCs w:val="0"/>
          <w:color w:val="auto"/>
          <w:highlight w:val="none"/>
        </w:rPr>
        <w:t xml:space="preserve"> </w:t>
      </w:r>
    </w:p>
    <w:p w14:paraId="1B7B03D2">
      <w:pPr>
        <w:pStyle w:val="4"/>
        <w:spacing w:before="0" w:after="0" w:line="360" w:lineRule="auto"/>
        <w:ind w:firstLine="320" w:firstLineChars="100"/>
        <w:rPr>
          <w:b w:val="0"/>
          <w:bCs w:val="0"/>
          <w:color w:val="auto"/>
          <w:highlight w:val="none"/>
        </w:rPr>
      </w:pPr>
      <w:r>
        <w:rPr>
          <w:rFonts w:hint="eastAsia"/>
          <w:b w:val="0"/>
          <w:bCs w:val="0"/>
          <w:color w:val="auto"/>
          <w:highlight w:val="none"/>
        </w:rPr>
        <w:t xml:space="preserve"> </w:t>
      </w:r>
      <w:bookmarkStart w:id="92" w:name="_Toc21690"/>
      <w:bookmarkStart w:id="93" w:name="_Toc21480"/>
      <w:bookmarkStart w:id="94" w:name="_Toc80886932"/>
      <w:r>
        <w:rPr>
          <w:rFonts w:hint="eastAsia"/>
          <w:b w:val="0"/>
          <w:bCs w:val="0"/>
          <w:color w:val="auto"/>
          <w:highlight w:val="none"/>
        </w:rPr>
        <w:t>三、响应文件的编制</w:t>
      </w:r>
      <w:bookmarkEnd w:id="92"/>
      <w:bookmarkEnd w:id="93"/>
      <w:bookmarkEnd w:id="94"/>
    </w:p>
    <w:p w14:paraId="08FB32B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11.响应文件的编制原则</w:t>
      </w:r>
    </w:p>
    <w:p w14:paraId="61008BE3">
      <w:pPr>
        <w:spacing w:line="360" w:lineRule="auto"/>
        <w:ind w:firstLine="420" w:firstLineChars="200"/>
        <w:rPr>
          <w:rFonts w:cs="宋体"/>
          <w:color w:val="auto"/>
          <w:szCs w:val="21"/>
          <w:highlight w:val="none"/>
        </w:rPr>
      </w:pPr>
      <w:r>
        <w:rPr>
          <w:rFonts w:hint="eastAsia" w:cs="宋体"/>
          <w:color w:val="auto"/>
          <w:szCs w:val="21"/>
          <w:highlight w:val="none"/>
        </w:rPr>
        <w:t>供应商必须按照磋商文件的要求编制响应文件，并对其提交的响应文件的真实性、合法性承担法律责任。响应文件必须对磋商文件作出实质性响应。</w:t>
      </w:r>
    </w:p>
    <w:p w14:paraId="102B09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12.响应文件的组成</w:t>
      </w:r>
    </w:p>
    <w:p w14:paraId="2B5A6B2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12.1响应文件由资格文件、报价文件、商务技术文件三部分组成。</w:t>
      </w:r>
    </w:p>
    <w:p w14:paraId="17783B55">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12.1.1资格文件：详见供应商须知前附表</w:t>
      </w:r>
    </w:p>
    <w:p w14:paraId="6CE075D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12.1.2商务技术文件：详见供应商须知前附表</w:t>
      </w:r>
    </w:p>
    <w:p w14:paraId="72EA23B6">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12.1.3报价文件：详见供应商须知前附表</w:t>
      </w:r>
    </w:p>
    <w:p w14:paraId="38ECCF0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12.2响应文件电子版：详见供应商须知前附表</w:t>
      </w:r>
    </w:p>
    <w:p w14:paraId="255AA19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13.计量单位</w:t>
      </w:r>
    </w:p>
    <w:p w14:paraId="12ED007D">
      <w:pPr>
        <w:spacing w:line="360" w:lineRule="auto"/>
        <w:ind w:firstLine="420" w:firstLineChars="200"/>
        <w:rPr>
          <w:rFonts w:cs="宋体"/>
          <w:color w:val="auto"/>
          <w:szCs w:val="21"/>
          <w:highlight w:val="none"/>
        </w:rPr>
      </w:pPr>
      <w:r>
        <w:rPr>
          <w:rFonts w:hint="eastAsia" w:cs="宋体"/>
          <w:color w:val="auto"/>
          <w:szCs w:val="21"/>
          <w:highlight w:val="none"/>
        </w:rPr>
        <w:t>磋商文件已有明确规定的，使用磋商文件规定的计量单位；磋商文件没有规定的，应采用中华人民共和国法定计量单位，货币种类为人民币，否则视同未响应。</w:t>
      </w:r>
    </w:p>
    <w:p w14:paraId="5340544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14.竞标的风险</w:t>
      </w:r>
    </w:p>
    <w:p w14:paraId="2CACE73E">
      <w:pPr>
        <w:spacing w:line="360" w:lineRule="auto"/>
        <w:ind w:firstLine="420" w:firstLineChars="200"/>
        <w:rPr>
          <w:rFonts w:cs="宋体"/>
          <w:color w:val="auto"/>
          <w:szCs w:val="21"/>
          <w:highlight w:val="none"/>
        </w:rPr>
      </w:pPr>
      <w:r>
        <w:rPr>
          <w:rFonts w:hint="eastAsia" w:cs="宋体"/>
          <w:color w:val="auto"/>
          <w:szCs w:val="21"/>
          <w:highlight w:val="none"/>
        </w:rPr>
        <w:t>供应商没有按照磋商文件要求提供全部资料，或者供应商没有对磋商文件在各方面作出实质性响应可能导致其响应无效，是供应商应当考虑的风险。</w:t>
      </w:r>
    </w:p>
    <w:p w14:paraId="5390408F">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15.响应报价要求和构成</w:t>
      </w:r>
    </w:p>
    <w:p w14:paraId="196AB9E6">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15.1响应报价应按“第五章 响应文件格式”中“响应报价表”格式填写。</w:t>
      </w:r>
    </w:p>
    <w:p w14:paraId="535A12DB">
      <w:pPr>
        <w:tabs>
          <w:tab w:val="left" w:pos="2492"/>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15.2响应报价的价格构成见“供应商须知前附表”。</w:t>
      </w:r>
    </w:p>
    <w:p w14:paraId="46EAB1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15.3响应报价要求</w:t>
      </w:r>
    </w:p>
    <w:p w14:paraId="3F21005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15.3.1供应商的响应报价应符合以下要求，否则响应文件按无效响应处理：</w:t>
      </w:r>
    </w:p>
    <w:p w14:paraId="421019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（1）供应商必须就“采购需求”中所竞标的项目/每个分标的全部内容分别作完整唯一总价报价，不得存在漏项报价；</w:t>
      </w:r>
    </w:p>
    <w:p w14:paraId="0A86830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（2）供应商必须就所竞标的项目/分标的单项内容作唯一报价。</w:t>
      </w:r>
    </w:p>
    <w:p w14:paraId="3B3B549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15.3.2响应报价（包含首次报价、最后报价）超过所竞标项目/分标规定的采购预算金额或者最高限价的（如本项目公布了最高限价），其响应文件将按无效处理。</w:t>
      </w:r>
    </w:p>
    <w:p w14:paraId="3CFC78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15.3.3</w:t>
      </w:r>
      <w:bookmarkStart w:id="95" w:name="_Hlk42592874"/>
      <w:r>
        <w:rPr>
          <w:rFonts w:hint="eastAsia" w:ascii="宋体" w:hAnsi="宋体" w:cs="宋体"/>
          <w:color w:val="auto"/>
          <w:szCs w:val="21"/>
          <w:highlight w:val="none"/>
        </w:rPr>
        <w:t>响应报价（包含首次报价、最后报价）超过分项采购预算金额或者最高限价的（如本项目公布了最高限价），其响应文件将按无效处理。</w:t>
      </w:r>
    </w:p>
    <w:bookmarkEnd w:id="95"/>
    <w:p w14:paraId="0B4C8766">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16.竞标有效期</w:t>
      </w:r>
    </w:p>
    <w:p w14:paraId="540FF2A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16.1竞标有效期是指为保证采购人有足够的时间在提交响应文件后完成评审、确定成交供应商、合同签订等工作而要求供应商提交的响应文件在一定时间内保持有效的期限。</w:t>
      </w:r>
    </w:p>
    <w:p w14:paraId="7785957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16.2 竞标有效期应由供应商按“供应商须知前附表”规定的期限作出响应。</w:t>
      </w:r>
    </w:p>
    <w:p w14:paraId="5DBAC5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16.3供应商的响应文件在竞标有效期内均保持有效。</w:t>
      </w:r>
    </w:p>
    <w:p w14:paraId="3A876F10">
      <w:pPr>
        <w:spacing w:line="360" w:lineRule="auto"/>
        <w:ind w:firstLine="482" w:firstLineChars="200"/>
        <w:rPr>
          <w:rFonts w:ascii="黑体" w:hAnsi="黑体" w:eastAsia="黑体" w:cs="宋体"/>
          <w:b/>
          <w:bCs/>
          <w:i/>
          <w:iCs/>
          <w:color w:val="auto"/>
          <w:sz w:val="24"/>
          <w:highlight w:val="none"/>
        </w:rPr>
      </w:pPr>
      <w:r>
        <w:rPr>
          <w:rFonts w:hint="eastAsia" w:ascii="黑体" w:hAnsi="黑体" w:eastAsia="黑体" w:cs="宋体"/>
          <w:b/>
          <w:bCs/>
          <w:color w:val="auto"/>
          <w:sz w:val="24"/>
          <w:highlight w:val="none"/>
        </w:rPr>
        <w:t>17.磋商保证金</w:t>
      </w:r>
    </w:p>
    <w:p w14:paraId="1E4FDF40">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17.1供应商须按“供应商须知前附表”的规定提交磋商保证金。</w:t>
      </w:r>
    </w:p>
    <w:p w14:paraId="3DAB8E7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17.2磋商保证金的退还</w:t>
      </w:r>
    </w:p>
    <w:p w14:paraId="302BC29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17.2.1未</w:t>
      </w:r>
      <w:r>
        <w:rPr>
          <w:rFonts w:hint="eastAsia" w:ascii="宋体" w:hAnsi="宋体" w:cs="宋体"/>
          <w:color w:val="auto"/>
          <w:spacing w:val="-6"/>
          <w:szCs w:val="21"/>
          <w:highlight w:val="none"/>
        </w:rPr>
        <w:t>成交供应商的磋商保证金自成交通知书发出之日起5个工作日内退还，退还方式如下：</w:t>
      </w:r>
    </w:p>
    <w:p w14:paraId="0E8218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（1）采用银行转账方式的，以转账方式退回到供应商银行账户。</w:t>
      </w:r>
    </w:p>
    <w:p w14:paraId="26A320C4">
      <w:pPr>
        <w:pStyle w:val="7"/>
        <w:spacing w:line="360" w:lineRule="auto"/>
        <w:ind w:firstLine="315" w:firstLineChars="150"/>
        <w:rPr>
          <w:rFonts w:ascii="宋体" w:hAnsi="宋体"/>
          <w:color w:val="auto"/>
          <w:szCs w:val="21"/>
          <w:highlight w:val="none"/>
        </w:rPr>
      </w:pPr>
      <w:r>
        <w:rPr>
          <w:rFonts w:hint="eastAsia" w:ascii="宋体" w:hAnsi="宋体" w:cs="宋体"/>
          <w:color w:val="auto"/>
          <w:szCs w:val="21"/>
          <w:highlight w:val="none"/>
        </w:rPr>
        <w:t>（2）</w:t>
      </w:r>
      <w:r>
        <w:rPr>
          <w:rFonts w:hint="eastAsia" w:ascii="宋体" w:hAnsi="宋体"/>
          <w:color w:val="auto"/>
          <w:szCs w:val="21"/>
          <w:highlight w:val="none"/>
        </w:rPr>
        <w:t>采用支票、汇票、本票或者金融机构、担保机构出具的保函等方式的，由供应商代表持相关授权证明材料至采购代理机构办理支票、汇票、本票或者金融机构、担保机构出具的保函等原件退还手续。</w:t>
      </w:r>
    </w:p>
    <w:p w14:paraId="0D52E4A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17.2.2成交供应商的磋商保证金自签订合同之日起5个工作日内退还，退还方式同未成交供应商的磋商保证金的退还方式。 </w:t>
      </w:r>
    </w:p>
    <w:p w14:paraId="1EBD207E">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17.3磋商保证金不计息。</w:t>
      </w:r>
    </w:p>
    <w:p w14:paraId="49D95F7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 xml:space="preserve">17.4供应商有下列情形之一的，磋商保证金将不予退还： </w:t>
      </w:r>
    </w:p>
    <w:p w14:paraId="09F637C8">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（1）供应商在提交响应文件截止时间后撤回响应文件的；</w:t>
      </w:r>
    </w:p>
    <w:p w14:paraId="4DC14C64">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（2）供应商在响应文件中提供虚假材料的；</w:t>
      </w:r>
    </w:p>
    <w:p w14:paraId="415191F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（3）除因不可抗力或者磋商文件认可的情形以外，成交供应商不与采购人签订合同的；</w:t>
      </w:r>
    </w:p>
    <w:p w14:paraId="57ED9591">
      <w:pPr>
        <w:spacing w:line="360" w:lineRule="auto"/>
        <w:ind w:left="420" w:leftChars="200"/>
        <w:rPr>
          <w:rFonts w:ascii="宋体" w:hAnsi="宋体" w:cs="宋体"/>
          <w:color w:val="auto"/>
          <w:szCs w:val="21"/>
          <w:highlight w:val="none"/>
        </w:rPr>
      </w:pPr>
      <w:r>
        <w:rPr>
          <w:rFonts w:hint="eastAsia" w:ascii="宋体" w:hAnsi="宋体" w:cs="宋体"/>
          <w:color w:val="auto"/>
          <w:szCs w:val="21"/>
          <w:highlight w:val="none"/>
        </w:rPr>
        <w:t>（4）供应商与采购人、其他供应商或者采购代理机构恶意串通的；</w:t>
      </w:r>
    </w:p>
    <w:p w14:paraId="03E607BE">
      <w:pPr>
        <w:spacing w:line="360" w:lineRule="auto"/>
        <w:ind w:left="420" w:leftChars="200"/>
        <w:rPr>
          <w:rFonts w:cs="宋体"/>
          <w:color w:val="auto"/>
          <w:szCs w:val="21"/>
          <w:highlight w:val="none"/>
        </w:rPr>
      </w:pPr>
      <w:r>
        <w:rPr>
          <w:rFonts w:hint="eastAsia" w:ascii="宋体" w:hAnsi="宋体" w:cs="宋体"/>
          <w:color w:val="auto"/>
          <w:szCs w:val="21"/>
          <w:highlight w:val="none"/>
        </w:rPr>
        <w:t>（5）磋商文件规定的其他情形。</w:t>
      </w:r>
    </w:p>
    <w:p w14:paraId="00228F87">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18.响应文件编制的要求</w:t>
      </w:r>
    </w:p>
    <w:p w14:paraId="362E61B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18.1各供应商在编制响应文件时请按照磋商文件“第五章 响应文件格式”规定的格式进行，混乱的编排导致响应文件被误读或磋商小组查找不到有效文件是供应商的风险。不完整、编排混乱导致响应文件被误读、漏读或者查找不到相关内容的，</w:t>
      </w:r>
      <w:r>
        <w:rPr>
          <w:rFonts w:hint="eastAsia" w:ascii="宋体" w:hAnsi="宋体" w:cs="宋体"/>
          <w:color w:val="auto"/>
          <w:highlight w:val="none"/>
        </w:rPr>
        <w:t>由此引发的</w:t>
      </w:r>
      <w:r>
        <w:rPr>
          <w:rFonts w:hint="eastAsia" w:ascii="宋体" w:hAnsi="宋体" w:cs="宋体"/>
          <w:color w:val="auto"/>
          <w:szCs w:val="21"/>
          <w:highlight w:val="none"/>
        </w:rPr>
        <w:t>后果由供应商承担。</w:t>
      </w:r>
    </w:p>
    <w:p w14:paraId="136259C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18.2响应文件应按资格文件、报价文件分别编制，商务文件与技术文件合并编制，本磋商只接受电子版响应文件，要求见本章“12.2响应文件电子版要求”。</w:t>
      </w:r>
    </w:p>
    <w:p w14:paraId="4E5BC5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w:t>
      </w:r>
      <w:bookmarkStart w:id="96" w:name="_Hlk65832699"/>
      <w:r>
        <w:rPr>
          <w:rFonts w:hint="eastAsia" w:ascii="宋体" w:hAnsi="宋体" w:cs="宋体"/>
          <w:color w:val="auto"/>
          <w:szCs w:val="21"/>
          <w:highlight w:val="none"/>
        </w:rPr>
        <w:t>3响应文件须由供应商按</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第五章 响应文件格式</w:t>
      </w:r>
      <w:r>
        <w:rPr>
          <w:rFonts w:hint="eastAsia" w:ascii="宋体" w:hAnsi="宋体" w:cs="宋体"/>
          <w:color w:val="auto"/>
          <w:kern w:val="0"/>
          <w:szCs w:val="21"/>
          <w:highlight w:val="none"/>
          <w:lang w:val="zh-CN"/>
        </w:rPr>
        <w:t>”</w:t>
      </w:r>
      <w:r>
        <w:rPr>
          <w:rFonts w:hint="eastAsia" w:ascii="宋体" w:hAnsi="宋体" w:cs="宋体"/>
          <w:color w:val="auto"/>
          <w:szCs w:val="21"/>
          <w:highlight w:val="none"/>
        </w:rPr>
        <w:t>要求进行签署、盖章</w:t>
      </w:r>
      <w:bookmarkEnd w:id="96"/>
      <w:r>
        <w:rPr>
          <w:rFonts w:hint="eastAsia" w:ascii="宋体" w:hAnsi="宋体" w:cs="宋体"/>
          <w:color w:val="auto"/>
          <w:szCs w:val="21"/>
          <w:highlight w:val="none"/>
        </w:rPr>
        <w:t>，</w:t>
      </w:r>
      <w:r>
        <w:rPr>
          <w:rFonts w:hint="eastAsia" w:ascii="宋体" w:hAnsi="宋体" w:cs="宋体"/>
          <w:b/>
          <w:bCs/>
          <w:color w:val="auto"/>
          <w:szCs w:val="21"/>
          <w:highlight w:val="none"/>
        </w:rPr>
        <w:t>否则其响应文件按无效响应处理</w:t>
      </w:r>
      <w:r>
        <w:rPr>
          <w:rFonts w:hint="eastAsia" w:ascii="宋体" w:hAnsi="宋体" w:cs="宋体"/>
          <w:color w:val="auto"/>
          <w:szCs w:val="21"/>
          <w:highlight w:val="none"/>
        </w:rPr>
        <w:t>。</w:t>
      </w:r>
    </w:p>
    <w:p w14:paraId="0135DAD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18.4响应文件中标注的供应商名称应与营业执照（事业单位法人证书、执业许可证、自然人身份证）及供应商公章一致，</w:t>
      </w:r>
      <w:r>
        <w:rPr>
          <w:rFonts w:hint="eastAsia" w:ascii="宋体" w:hAnsi="宋体" w:cs="宋体"/>
          <w:b/>
          <w:bCs/>
          <w:color w:val="auto"/>
          <w:szCs w:val="21"/>
          <w:highlight w:val="none"/>
        </w:rPr>
        <w:t>否则其响应文件按无效响应处理。</w:t>
      </w:r>
    </w:p>
    <w:p w14:paraId="449AC8F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18.5响应文件应避免涂改、行间插字或者删除。</w:t>
      </w:r>
    </w:p>
    <w:p w14:paraId="11A4064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19.响应文件的加密</w:t>
      </w:r>
    </w:p>
    <w:p w14:paraId="595A66AE">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19.1供应商进行电子交易应安装客户端软件，并按照磋商文件和电子交易平台的要求编制并加密响应文件。供应商未按规定加密的响应文件，电子交易平台将拒收并提示。</w:t>
      </w:r>
    </w:p>
    <w:p w14:paraId="41DDAC92">
      <w:pPr>
        <w:spacing w:line="360" w:lineRule="auto"/>
        <w:ind w:firstLine="420" w:firstLineChars="200"/>
        <w:rPr>
          <w:rFonts w:ascii="宋体" w:hAnsi="宋体" w:cs="宋体"/>
          <w:color w:val="auto"/>
          <w:kern w:val="0"/>
          <w:szCs w:val="21"/>
          <w:highlight w:val="none"/>
          <w:lang w:val="zh-CN"/>
        </w:rPr>
      </w:pPr>
      <w:r>
        <w:rPr>
          <w:rFonts w:hint="eastAsia" w:ascii="宋体" w:hAnsi="宋体" w:cs="宋体"/>
          <w:color w:val="auto"/>
          <w:kern w:val="0"/>
          <w:szCs w:val="21"/>
          <w:highlight w:val="none"/>
          <w:lang w:val="zh-CN"/>
        </w:rPr>
        <w:t>19.2使用广西政府采购云平台电子交易客户端需要提前申领CA数字证书。</w:t>
      </w:r>
    </w:p>
    <w:p w14:paraId="0745437F">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19.3为确保网上操作合法、有效和安全，供应商应当在响应文件提交截止时间前完成在“广西政府采购云平台”的身份认证，确保在电子交易过程中能够对相关数据电文进行加密和使用电子签名。</w:t>
      </w:r>
    </w:p>
    <w:p w14:paraId="334BDC0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20.响应文件的提交</w:t>
      </w:r>
    </w:p>
    <w:p w14:paraId="0CBB6A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20.1供应商必须在“供应商须知前附表”规定的时间和地点提交响应文件。</w:t>
      </w:r>
    </w:p>
    <w:p w14:paraId="55252B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20.2 在响应文件提交截止时间以后，不能补充、修改响应文件。</w:t>
      </w:r>
    </w:p>
    <w:p w14:paraId="5BDD6D7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20.3 在提交“最后报价”后，供应商不能退出磋商。</w:t>
      </w:r>
    </w:p>
    <w:p w14:paraId="36DB0C4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20.4 电子交易平台收到响应文件，将妥善保存并即时向供应商发出确认回执通知。在响应文件提交截止时间前，除供应商补充、修改或者撤回响应文件外，任何单位和个人不得解密或提取响应文件。</w:t>
      </w:r>
    </w:p>
    <w:p w14:paraId="204B07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20.5 采购机构不可视情况延长提交响应文件的截止时间。</w:t>
      </w:r>
    </w:p>
    <w:p w14:paraId="6F898061">
      <w:pPr>
        <w:spacing w:line="360" w:lineRule="auto"/>
        <w:ind w:firstLine="420" w:firstLineChars="200"/>
        <w:rPr>
          <w:rFonts w:ascii="宋体" w:hAnsi="宋体" w:cs="宋体"/>
          <w:color w:val="auto"/>
          <w:sz w:val="24"/>
          <w:highlight w:val="none"/>
        </w:rPr>
      </w:pPr>
      <w:r>
        <w:rPr>
          <w:rFonts w:hint="eastAsia" w:ascii="宋体" w:hAnsi="宋体" w:cs="宋体"/>
          <w:color w:val="auto"/>
          <w:szCs w:val="21"/>
          <w:highlight w:val="none"/>
        </w:rPr>
        <w:t>20.6备份响应文件。</w:t>
      </w:r>
      <w:r>
        <w:rPr>
          <w:rFonts w:hint="eastAsia" w:ascii="宋体" w:hAnsi="宋体" w:cs="宋体"/>
          <w:bCs/>
          <w:color w:val="auto"/>
          <w:szCs w:val="21"/>
          <w:highlight w:val="none"/>
        </w:rPr>
        <w:t>详见“供应商须知前附表”。</w:t>
      </w:r>
    </w:p>
    <w:p w14:paraId="18B26430">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21.首次响应文件的补充、修改与撤回</w:t>
      </w:r>
    </w:p>
    <w:p w14:paraId="4EF63213">
      <w:pPr>
        <w:spacing w:line="360" w:lineRule="auto"/>
        <w:ind w:firstLine="420" w:firstLineChars="200"/>
        <w:rPr>
          <w:rFonts w:cs="宋体"/>
          <w:color w:val="auto"/>
          <w:szCs w:val="21"/>
          <w:highlight w:val="none"/>
        </w:rPr>
      </w:pPr>
      <w:r>
        <w:rPr>
          <w:rFonts w:hint="eastAsia" w:cs="宋体"/>
          <w:color w:val="auto"/>
          <w:szCs w:val="21"/>
          <w:highlight w:val="none"/>
        </w:rPr>
        <w:t>供应商应当在提交响应文件截止时间前完成响应文件的传输提交，并可以补充、修改或者撤回响应文件。补充或者修改响应文件的，应当先行撤回原文件，补充、修改后重新传输提交。提交响应文件截止时间前未完成传输的，视为撤回响应文件。响应文件提交截止时间后提交的响应文件，电子交易平台将拒收。</w:t>
      </w:r>
    </w:p>
    <w:p w14:paraId="2CF98F2B">
      <w:pPr>
        <w:spacing w:line="360" w:lineRule="auto"/>
        <w:ind w:firstLine="482" w:firstLineChars="200"/>
        <w:rPr>
          <w:rFonts w:ascii="黑体" w:hAnsi="黑体" w:eastAsia="黑体" w:cs="宋体"/>
          <w:b/>
          <w:bCs/>
          <w:color w:val="auto"/>
          <w:sz w:val="24"/>
          <w:highlight w:val="none"/>
        </w:rPr>
      </w:pPr>
      <w:bookmarkStart w:id="97" w:name="_Hlk45702405"/>
      <w:r>
        <w:rPr>
          <w:rFonts w:hint="eastAsia" w:ascii="黑体" w:hAnsi="黑体" w:eastAsia="黑体" w:cs="宋体"/>
          <w:b/>
          <w:bCs/>
          <w:color w:val="auto"/>
          <w:sz w:val="24"/>
          <w:highlight w:val="none"/>
        </w:rPr>
        <w:t>22. 首次响应文件的退回</w:t>
      </w:r>
    </w:p>
    <w:p w14:paraId="2A8804AF">
      <w:pPr>
        <w:spacing w:line="360" w:lineRule="auto"/>
        <w:ind w:firstLine="420" w:firstLineChars="200"/>
        <w:rPr>
          <w:rFonts w:cs="宋体"/>
          <w:color w:val="auto"/>
          <w:szCs w:val="21"/>
          <w:highlight w:val="none"/>
        </w:rPr>
      </w:pPr>
      <w:r>
        <w:rPr>
          <w:rFonts w:hint="eastAsia" w:cs="宋体"/>
          <w:color w:val="auto"/>
          <w:szCs w:val="21"/>
          <w:highlight w:val="none"/>
        </w:rPr>
        <w:t>在首次响应文件提交截止时间止提交响应文件的供应商不足3家时，电子响应文件的退回由广西政府采购云平台自动操作。</w:t>
      </w:r>
    </w:p>
    <w:p w14:paraId="40732A4A">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23. 截止时间后的撤回</w:t>
      </w:r>
    </w:p>
    <w:bookmarkEnd w:id="97"/>
    <w:p w14:paraId="0BFD6553">
      <w:pPr>
        <w:pStyle w:val="15"/>
        <w:spacing w:line="360" w:lineRule="auto"/>
        <w:ind w:firstLine="420" w:firstLineChars="200"/>
        <w:rPr>
          <w:rFonts w:hint="eastAsia" w:ascii="宋体" w:hAnsi="宋体" w:eastAsia="宋体" w:cs="宋体"/>
          <w:i/>
          <w:iCs/>
          <w:color w:val="auto"/>
          <w:szCs w:val="21"/>
          <w:highlight w:val="none"/>
        </w:rPr>
      </w:pPr>
      <w:r>
        <w:rPr>
          <w:rFonts w:hint="eastAsia" w:ascii="宋体" w:hAnsi="宋体" w:eastAsia="宋体" w:cs="宋体"/>
          <w:color w:val="auto"/>
          <w:highlight w:val="none"/>
        </w:rPr>
        <w:t>供应商在首次响应文件提交截止时间后向采购人、采购代理机构书面申请撤回电子响应文件的，将根据本须知正文17.4的规定不予退还其磋商保证金（如有）。</w:t>
      </w:r>
    </w:p>
    <w:p w14:paraId="5DD60768">
      <w:pPr>
        <w:pStyle w:val="4"/>
        <w:spacing w:before="0" w:after="0" w:line="360" w:lineRule="auto"/>
        <w:ind w:firstLine="640" w:firstLineChars="200"/>
        <w:rPr>
          <w:b w:val="0"/>
          <w:bCs w:val="0"/>
          <w:color w:val="auto"/>
          <w:highlight w:val="none"/>
        </w:rPr>
      </w:pPr>
      <w:r>
        <w:rPr>
          <w:rFonts w:hint="eastAsia"/>
          <w:b w:val="0"/>
          <w:bCs w:val="0"/>
          <w:color w:val="auto"/>
          <w:highlight w:val="none"/>
        </w:rPr>
        <w:t xml:space="preserve"> </w:t>
      </w:r>
      <w:bookmarkStart w:id="98" w:name="_Toc17876"/>
      <w:bookmarkStart w:id="99" w:name="_Toc20044"/>
      <w:bookmarkStart w:id="100" w:name="_Toc80886933"/>
    </w:p>
    <w:p w14:paraId="2292FEF6">
      <w:pPr>
        <w:pStyle w:val="4"/>
        <w:spacing w:before="0" w:after="0" w:line="360" w:lineRule="auto"/>
        <w:ind w:firstLine="640" w:firstLineChars="200"/>
        <w:rPr>
          <w:b w:val="0"/>
          <w:bCs w:val="0"/>
          <w:color w:val="auto"/>
          <w:highlight w:val="none"/>
        </w:rPr>
      </w:pPr>
      <w:r>
        <w:rPr>
          <w:rFonts w:hint="eastAsia"/>
          <w:b w:val="0"/>
          <w:bCs w:val="0"/>
          <w:color w:val="auto"/>
          <w:highlight w:val="none"/>
        </w:rPr>
        <w:t>四、评审及磋商</w:t>
      </w:r>
      <w:bookmarkEnd w:id="98"/>
      <w:bookmarkEnd w:id="99"/>
      <w:bookmarkEnd w:id="100"/>
    </w:p>
    <w:p w14:paraId="4B456FE4">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24.磋商小组成立</w:t>
      </w:r>
    </w:p>
    <w:p w14:paraId="4EA02F5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24.1磋商小组由采购人代表和评审专家共3人以上单数组成，其中评审专家人数不得少于磋商小组成员总数的2/3。采购人代表不得以评审专家身份参加本部门或者本单位采购项目的评审。采购代理机构人员不得参加本机构代理的采购项目的评审。达到公开招标数额标准的货物或者服务采购项目，或者达到公开招标规模标准的政府采购工程，经批准采用竞争性磋商方式采购的，磋商小组由5人以上单数组成。</w:t>
      </w:r>
    </w:p>
    <w:p w14:paraId="30854C5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24.2评审专家应当从政府采购评审专家库内相关专业的专家名单中随机抽取。市场竞争不充分的科研项目，以及需要扶持的科技成果转化项目，以及情况特殊、通过随机方式难以确定合适的评审专家的项目，经主管预算单位同意，可以自行选定评审专家。</w:t>
      </w:r>
    </w:p>
    <w:p w14:paraId="602B9A7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25.</w:t>
      </w:r>
      <w:r>
        <w:rPr>
          <w:rFonts w:hint="eastAsia" w:ascii="黑体" w:hAnsi="黑体" w:eastAsia="黑体" w:cs="宋体"/>
          <w:b/>
          <w:bCs/>
          <w:color w:val="auto"/>
          <w:sz w:val="24"/>
          <w:highlight w:val="none"/>
        </w:rPr>
        <w:t>首次响应文件的开启</w:t>
      </w:r>
    </w:p>
    <w:p w14:paraId="5321781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25.1首次响应文件由磋商小组或者采购代理机构在“供应商须知前附表”规定的时间开启。</w:t>
      </w:r>
    </w:p>
    <w:p w14:paraId="0FC93D11">
      <w:pPr>
        <w:spacing w:line="360" w:lineRule="auto"/>
        <w:ind w:firstLine="420" w:firstLineChars="200"/>
        <w:rPr>
          <w:rFonts w:ascii="宋体" w:hAnsi="宋体" w:cs="宋体"/>
          <w:bCs/>
          <w:color w:val="auto"/>
          <w:kern w:val="0"/>
          <w:szCs w:val="21"/>
          <w:highlight w:val="none"/>
        </w:rPr>
      </w:pPr>
      <w:r>
        <w:rPr>
          <w:rFonts w:hint="eastAsia" w:ascii="宋体" w:hAnsi="宋体" w:cs="宋体"/>
          <w:color w:val="auto"/>
          <w:kern w:val="0"/>
          <w:szCs w:val="21"/>
          <w:highlight w:val="none"/>
        </w:rPr>
        <w:t xml:space="preserve">25.2 </w:t>
      </w:r>
      <w:r>
        <w:rPr>
          <w:rFonts w:hint="eastAsia" w:ascii="宋体" w:hAnsi="宋体" w:cs="宋体"/>
          <w:bCs/>
          <w:color w:val="auto"/>
          <w:kern w:val="0"/>
          <w:szCs w:val="21"/>
          <w:highlight w:val="none"/>
        </w:rPr>
        <w:t>响应文件解密</w:t>
      </w:r>
    </w:p>
    <w:p w14:paraId="6A17B26B">
      <w:pPr>
        <w:snapToGrid w:val="0"/>
        <w:spacing w:line="360" w:lineRule="auto"/>
        <w:ind w:firstLine="420" w:firstLineChars="200"/>
        <w:rPr>
          <w:rFonts w:ascii="宋体" w:hAnsi="宋体" w:cs="宋体"/>
          <w:color w:val="auto"/>
          <w:kern w:val="0"/>
          <w:szCs w:val="21"/>
          <w:highlight w:val="none"/>
        </w:rPr>
      </w:pPr>
      <w:r>
        <w:rPr>
          <w:rFonts w:hint="eastAsia" w:ascii="宋体" w:hAnsi="宋体" w:cs="宋体"/>
          <w:bCs/>
          <w:color w:val="auto"/>
          <w:kern w:val="0"/>
          <w:szCs w:val="21"/>
          <w:highlight w:val="none"/>
        </w:rPr>
        <w:t>采购代理机构将在“供应商须知前附表”规定的时</w:t>
      </w:r>
      <w:r>
        <w:rPr>
          <w:rFonts w:hint="eastAsia" w:ascii="宋体" w:hAnsi="宋体" w:cs="宋体"/>
          <w:color w:val="auto"/>
          <w:kern w:val="0"/>
          <w:szCs w:val="21"/>
          <w:highlight w:val="none"/>
        </w:rPr>
        <w:t>间通过电子交易平台组织响应文件开启，采购机构依托电子交易平台发起开始解密指令，供应商的法定代表人或其委托代理人</w:t>
      </w:r>
      <w:r>
        <w:rPr>
          <w:rFonts w:hint="eastAsia" w:ascii="宋体" w:hAnsi="宋体" w:cs="宋体"/>
          <w:b/>
          <w:color w:val="auto"/>
          <w:kern w:val="0"/>
          <w:szCs w:val="21"/>
          <w:highlight w:val="none"/>
        </w:rPr>
        <w:t>须携带加密时所用的CA锁按平台提示和采购文件的规定登录到广西政府采购云平台电子开标大厅签到并在规定的时间内完成对电子响应文件在线解密</w:t>
      </w:r>
      <w:r>
        <w:rPr>
          <w:rFonts w:hint="eastAsia" w:ascii="宋体" w:hAnsi="宋体" w:cs="宋体"/>
          <w:color w:val="auto"/>
          <w:kern w:val="0"/>
          <w:szCs w:val="21"/>
          <w:highlight w:val="none"/>
        </w:rPr>
        <w:t>。</w:t>
      </w:r>
      <w:r>
        <w:rPr>
          <w:rFonts w:hint="eastAsia" w:ascii="宋体" w:hAnsi="宋体" w:cs="宋体"/>
          <w:color w:val="auto"/>
          <w:kern w:val="1"/>
          <w:szCs w:val="21"/>
          <w:highlight w:val="none"/>
        </w:rPr>
        <w:t>响应文件未按时解密的</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视为响应文件无效。</w:t>
      </w:r>
      <w:r>
        <w:rPr>
          <w:rFonts w:hint="eastAsia" w:ascii="宋体" w:hAnsi="宋体" w:cs="宋体"/>
          <w:color w:val="auto"/>
          <w:kern w:val="0"/>
          <w:szCs w:val="21"/>
          <w:highlight w:val="none"/>
        </w:rPr>
        <w:t>（解密</w:t>
      </w:r>
      <w:r>
        <w:rPr>
          <w:rFonts w:hint="eastAsia" w:ascii="宋体" w:hAnsi="宋体" w:cs="宋体"/>
          <w:bCs/>
          <w:color w:val="auto"/>
          <w:kern w:val="0"/>
          <w:szCs w:val="21"/>
          <w:highlight w:val="none"/>
        </w:rPr>
        <w:t>异常情况处理：详见本章</w:t>
      </w:r>
      <w:r>
        <w:rPr>
          <w:rFonts w:hint="eastAsia" w:ascii="宋体" w:hAnsi="宋体" w:cs="宋体"/>
          <w:color w:val="auto"/>
          <w:kern w:val="0"/>
          <w:szCs w:val="21"/>
          <w:highlight w:val="none"/>
        </w:rPr>
        <w:t>26.4电子交易活动的中止。）</w:t>
      </w:r>
    </w:p>
    <w:p w14:paraId="140B3834">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如</w:t>
      </w:r>
      <w:r>
        <w:rPr>
          <w:rFonts w:hint="eastAsia" w:ascii="宋体" w:hAnsi="宋体" w:cs="宋体"/>
          <w:bCs/>
          <w:color w:val="auto"/>
          <w:kern w:val="0"/>
          <w:szCs w:val="21"/>
          <w:highlight w:val="none"/>
        </w:rPr>
        <w:t>供应商成功解密响应文件，但未在广西政府采购云平台电子开标大厅参加磋商的，视同认可磋商过程和结果，</w:t>
      </w:r>
      <w:r>
        <w:rPr>
          <w:rFonts w:hint="eastAsia" w:ascii="宋体" w:hAnsi="宋体" w:cs="宋体"/>
          <w:color w:val="auto"/>
          <w:kern w:val="0"/>
          <w:szCs w:val="21"/>
          <w:highlight w:val="none"/>
        </w:rPr>
        <w:t>由此产生的后果由供应商自行负责。 参与磋商的供应商不足3家的，不得磋商。</w:t>
      </w:r>
    </w:p>
    <w:p w14:paraId="17071B12">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26</w:t>
      </w:r>
      <w:r>
        <w:rPr>
          <w:rFonts w:hint="eastAsia" w:ascii="黑体" w:hAnsi="黑体" w:eastAsia="黑体" w:cs="宋体"/>
          <w:b/>
          <w:bCs/>
          <w:color w:val="auto"/>
          <w:sz w:val="24"/>
          <w:highlight w:val="none"/>
        </w:rPr>
        <w:t>.评审程序、评审方法和评审标准</w:t>
      </w:r>
    </w:p>
    <w:p w14:paraId="33F5967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26.1本项目的评审方法详见“供应商须知前附表”。磋商小组按照“第四章 评审程序、评审方法和评审标准”规定的方法、评审因素、标准和程序对响应文件进行评审。</w:t>
      </w:r>
    </w:p>
    <w:p w14:paraId="53A4E35E">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26.2磋商文件内容违反国家有关强制性规定的，磋商小组应当停止评审并向采购人或者采购代理机构说明情况，并在评审报告中书面体现。</w:t>
      </w:r>
    </w:p>
    <w:p w14:paraId="6104AF3C">
      <w:pPr>
        <w:spacing w:line="360" w:lineRule="auto"/>
        <w:ind w:firstLine="420" w:firstLineChars="200"/>
        <w:rPr>
          <w:rFonts w:ascii="宋体" w:hAnsi="宋体" w:cs="宋体"/>
          <w:color w:val="auto"/>
          <w:szCs w:val="21"/>
          <w:highlight w:val="none"/>
        </w:rPr>
      </w:pPr>
      <w:r>
        <w:rPr>
          <w:rFonts w:hint="eastAsia" w:ascii="宋体" w:hAnsi="宋体" w:cs="宋体"/>
          <w:color w:val="auto"/>
          <w:highlight w:val="none"/>
        </w:rPr>
        <w:t>26.3 采购需求负偏离要求及磋商顺序详见“供应商须知前附表</w:t>
      </w:r>
      <w:r>
        <w:rPr>
          <w:rFonts w:hint="eastAsia" w:ascii="宋体" w:hAnsi="宋体" w:cs="宋体"/>
          <w:color w:val="auto"/>
          <w:szCs w:val="21"/>
          <w:highlight w:val="none"/>
        </w:rPr>
        <w:t>”。</w:t>
      </w:r>
    </w:p>
    <w:p w14:paraId="216B73F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26.4电子交易活动的中止。采购过程中出现以下情形，导致电子交易平台无法正常运行，或者无法保证电子交易的公平、公正和安全时，采购机构可中止电子交易活动：</w:t>
      </w:r>
    </w:p>
    <w:p w14:paraId="3AA8195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（1）电子交易平台发生故障而无法登录访问的； </w:t>
      </w:r>
    </w:p>
    <w:p w14:paraId="1ECCB2C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（2）电子交易平台应用或数据库出现错误，不能进行正常操作的；</w:t>
      </w:r>
    </w:p>
    <w:p w14:paraId="2638C0B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（3）电子交易平台发现严重安全漏洞，有潜在泄密危险的；</w:t>
      </w:r>
    </w:p>
    <w:p w14:paraId="45EED92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（4）病毒发作导致不能进行正常操作的； </w:t>
      </w:r>
    </w:p>
    <w:p w14:paraId="09B1923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（5）其他无法保证电子交易的公平、公正和安全的情况。</w:t>
      </w:r>
    </w:p>
    <w:p w14:paraId="3E96468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26.5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部门备案。</w:t>
      </w:r>
    </w:p>
    <w:p w14:paraId="68D69495">
      <w:pPr>
        <w:pStyle w:val="4"/>
        <w:spacing w:before="0" w:after="0" w:line="360" w:lineRule="auto"/>
        <w:ind w:firstLine="480" w:firstLineChars="150"/>
        <w:rPr>
          <w:b w:val="0"/>
          <w:bCs w:val="0"/>
          <w:color w:val="auto"/>
          <w:highlight w:val="none"/>
        </w:rPr>
      </w:pPr>
      <w:bookmarkStart w:id="101" w:name="_Toc17745"/>
      <w:bookmarkStart w:id="102" w:name="_Toc80886934"/>
      <w:bookmarkStart w:id="103" w:name="_Toc12018"/>
    </w:p>
    <w:p w14:paraId="6A74C859">
      <w:pPr>
        <w:pStyle w:val="4"/>
        <w:spacing w:before="0" w:after="0" w:line="360" w:lineRule="auto"/>
        <w:ind w:firstLine="480" w:firstLineChars="150"/>
        <w:rPr>
          <w:b w:val="0"/>
          <w:bCs w:val="0"/>
          <w:color w:val="auto"/>
          <w:highlight w:val="none"/>
        </w:rPr>
      </w:pPr>
      <w:r>
        <w:rPr>
          <w:rFonts w:hint="eastAsia"/>
          <w:b w:val="0"/>
          <w:bCs w:val="0"/>
          <w:color w:val="auto"/>
          <w:highlight w:val="none"/>
        </w:rPr>
        <w:t>五、成交及合同</w:t>
      </w:r>
      <w:bookmarkEnd w:id="101"/>
      <w:bookmarkEnd w:id="102"/>
      <w:bookmarkEnd w:id="103"/>
    </w:p>
    <w:p w14:paraId="7DBC53C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27</w:t>
      </w:r>
      <w:r>
        <w:rPr>
          <w:rFonts w:hint="eastAsia" w:ascii="黑体" w:hAnsi="黑体" w:eastAsia="黑体" w:cs="宋体"/>
          <w:b/>
          <w:bCs/>
          <w:color w:val="auto"/>
          <w:sz w:val="24"/>
          <w:highlight w:val="none"/>
        </w:rPr>
        <w:t>.确定成交供应商及结果公告</w:t>
      </w:r>
    </w:p>
    <w:p w14:paraId="1E0D6F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27.1确定成交供应商。采购代理机构应当在评审结束后2个工作日内将评审报告送采购人确认。采购人应当在收到评审报告后5个工作日内，从评审报告提出的成交候选供应商中，按照排序由高到低的原则确定成交供应商，也可以书面授权磋商小组直接确定成交供应商。采购人逾期未确定成交供应商且不提出异议的，视为确定评审报告提出的排序第一的供应商为成交供应商。</w:t>
      </w:r>
    </w:p>
    <w:p w14:paraId="7EFF3AE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27.2成交通知及成交结果公告。采购代理机构应当在</w:t>
      </w:r>
      <w:r>
        <w:rPr>
          <w:rFonts w:hint="eastAsia" w:ascii="宋体" w:hAnsi="宋体" w:cs="宋体"/>
          <w:color w:val="auto"/>
          <w:kern w:val="0"/>
          <w:szCs w:val="21"/>
          <w:highlight w:val="none"/>
        </w:rPr>
        <w:t>成交</w:t>
      </w:r>
      <w:r>
        <w:rPr>
          <w:rFonts w:hint="eastAsia" w:ascii="宋体" w:hAnsi="宋体" w:cs="宋体"/>
          <w:color w:val="auto"/>
          <w:szCs w:val="21"/>
          <w:highlight w:val="none"/>
        </w:rPr>
        <w:t>供应商确定后2个工作日内，在省级以上财政部门指定的媒体上公告成交结果，同时向成交供应商发出成交通知书。</w:t>
      </w:r>
    </w:p>
    <w:p w14:paraId="08509E1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27.3采购人或者采购代理机构发出成交通知书前，应当对成交供应商信用进行查询核实，对列入失信被执行人、重大税收违法失信主体、政府采购严重违法失信行为记录名单及其他不符合《中华人民共和国政府采购法》第二十二条规定条件的供应商，取消其成交资格，并依法确定排名第二的成交候选人为成交供应商。排名第二的成交候选人因上述规定的同样原因被取消成交资格的，采购人可以依法确定排名第三的成交候选人为成交供应商，以此类推。以上信息查询记录及相关证据与磋商文件一并保存。成交供应商享受《政府采购促进中小企业发展管理办法》（财库〔2020〕46号）规定的中小企业扶持政策的，采购人、采购代理机构应当随成交结果公开成交供应商的《中小企业声明函》。</w:t>
      </w:r>
    </w:p>
    <w:p w14:paraId="2BC1A65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27.4采购人、采购代理机构认为供应商对采购过程、成交结果提出的质疑成立且影响或者可能影响成交结果的，合格供应商符合法定数量时，可以从合格的成交候选人中另行确定成交供应商的，应当依法另行确定成交供应商；否则应当重新开展采购活动。</w:t>
      </w:r>
    </w:p>
    <w:p w14:paraId="0E8D349F">
      <w:pPr>
        <w:spacing w:line="360" w:lineRule="auto"/>
        <w:ind w:firstLine="420" w:firstLineChars="200"/>
        <w:rPr>
          <w:rFonts w:ascii="宋体" w:hAnsi="宋体" w:cs="宋体"/>
          <w:color w:val="auto"/>
          <w:szCs w:val="21"/>
          <w:highlight w:val="none"/>
        </w:rPr>
      </w:pPr>
      <w:r>
        <w:rPr>
          <w:rFonts w:hint="eastAsia" w:ascii="宋体" w:hAnsi="宋体" w:cs="宋体"/>
          <w:bCs/>
          <w:color w:val="auto"/>
          <w:szCs w:val="21"/>
          <w:highlight w:val="none"/>
        </w:rPr>
        <w:t>27.5排名第一的成交候选人放弃成交，采购人可以按照评审报告推荐的成交候选人名单排序，依法确定下一候选人为成交</w:t>
      </w:r>
      <w:r>
        <w:rPr>
          <w:rFonts w:hint="eastAsia" w:ascii="宋体" w:hAnsi="宋体" w:cs="宋体"/>
          <w:color w:val="auto"/>
          <w:szCs w:val="21"/>
          <w:highlight w:val="none"/>
        </w:rPr>
        <w:t>供应商</w:t>
      </w:r>
      <w:r>
        <w:rPr>
          <w:rFonts w:hint="eastAsia" w:ascii="宋体" w:hAnsi="宋体" w:cs="宋体"/>
          <w:bCs/>
          <w:color w:val="auto"/>
          <w:szCs w:val="21"/>
          <w:highlight w:val="none"/>
        </w:rPr>
        <w:t>，也可以重新开展政府采购活动</w:t>
      </w:r>
      <w:r>
        <w:rPr>
          <w:rFonts w:hint="eastAsia" w:ascii="宋体" w:hAnsi="宋体" w:cs="宋体"/>
          <w:color w:val="auto"/>
          <w:szCs w:val="21"/>
          <w:highlight w:val="none"/>
        </w:rPr>
        <w:t>。</w:t>
      </w:r>
    </w:p>
    <w:p w14:paraId="32BD905A">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28</w:t>
      </w:r>
      <w:r>
        <w:rPr>
          <w:rFonts w:hint="eastAsia" w:ascii="黑体" w:hAnsi="黑体" w:eastAsia="黑体" w:cs="宋体"/>
          <w:b/>
          <w:bCs/>
          <w:color w:val="auto"/>
          <w:sz w:val="24"/>
          <w:highlight w:val="none"/>
        </w:rPr>
        <w:t>.履约保证金</w:t>
      </w:r>
    </w:p>
    <w:p w14:paraId="4DB99A34">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.1</w:t>
      </w:r>
      <w:r>
        <w:rPr>
          <w:rFonts w:ascii="宋体" w:hAnsi="宋体" w:cs="宋体"/>
          <w:color w:val="auto"/>
          <w:szCs w:val="21"/>
          <w:highlight w:val="none"/>
        </w:rPr>
        <w:t xml:space="preserve"> </w:t>
      </w:r>
      <w:r>
        <w:rPr>
          <w:rFonts w:hint="eastAsia" w:ascii="宋体" w:hAnsi="宋体" w:cs="宋体"/>
          <w:color w:val="auto"/>
          <w:szCs w:val="21"/>
          <w:highlight w:val="none"/>
        </w:rPr>
        <w:t>履约保证金的金额、提交方式、退付的时间和条件详见 “供应商须知前附表”。成交供应商未按规定提交履约保证金的，视为拒绝</w:t>
      </w:r>
      <w:r>
        <w:rPr>
          <w:rFonts w:ascii="宋体" w:hAnsi="宋体"/>
          <w:color w:val="auto"/>
          <w:highlight w:val="none"/>
        </w:rPr>
        <w:t>与采购人</w:t>
      </w:r>
      <w:r>
        <w:rPr>
          <w:rFonts w:hint="eastAsia" w:ascii="宋体" w:hAnsi="宋体" w:cs="宋体"/>
          <w:color w:val="auto"/>
          <w:szCs w:val="21"/>
          <w:highlight w:val="none"/>
        </w:rPr>
        <w:t>签订合同，采购人可以按照评审报告推荐的成交候选人名单排序，依法确定下一候选人为成交供应商，也可以重新开展政府采购活动。</w:t>
      </w:r>
    </w:p>
    <w:p w14:paraId="44F45BBC">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.2签订合同后，如成交供应商不按双方签订的合同规定履约，则没收其全部履约保证金，履约保证金不足以赔偿损失的，按实际损失赔偿。</w:t>
      </w:r>
    </w:p>
    <w:p w14:paraId="0A19AAD8">
      <w:pPr>
        <w:spacing w:line="360" w:lineRule="auto"/>
        <w:ind w:firstLine="424" w:firstLineChars="202"/>
        <w:rPr>
          <w:rFonts w:ascii="宋体" w:hAnsi="宋体" w:cs="宋体"/>
          <w:color w:val="auto"/>
          <w:szCs w:val="21"/>
          <w:highlight w:val="none"/>
        </w:rPr>
      </w:pPr>
      <w:r>
        <w:rPr>
          <w:rFonts w:ascii="宋体" w:hAnsi="宋体" w:cs="宋体"/>
          <w:color w:val="auto"/>
          <w:szCs w:val="21"/>
          <w:highlight w:val="none"/>
        </w:rPr>
        <w:t>28</w:t>
      </w:r>
      <w:r>
        <w:rPr>
          <w:rFonts w:hint="eastAsia" w:ascii="宋体" w:hAnsi="宋体" w:cs="宋体"/>
          <w:color w:val="auto"/>
          <w:szCs w:val="21"/>
          <w:highlight w:val="none"/>
        </w:rPr>
        <w:t>.</w:t>
      </w:r>
      <w:r>
        <w:rPr>
          <w:rFonts w:ascii="宋体" w:hAnsi="宋体" w:cs="宋体"/>
          <w:color w:val="auto"/>
          <w:szCs w:val="21"/>
          <w:highlight w:val="none"/>
        </w:rPr>
        <w:t>3</w:t>
      </w:r>
      <w:r>
        <w:rPr>
          <w:rFonts w:hint="eastAsia" w:ascii="宋体" w:hAnsi="宋体" w:cs="宋体"/>
          <w:color w:val="auto"/>
          <w:szCs w:val="21"/>
          <w:highlight w:val="none"/>
        </w:rPr>
        <w:t>在履约保证金退还日期前，若成交供应商的开户名称、开户银行、账号有变动的，请以书面形式通知履约保证金收取单位，否则由此产生的后果由成交供应商自行承担。</w:t>
      </w:r>
    </w:p>
    <w:p w14:paraId="6618407C">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29</w:t>
      </w:r>
      <w:r>
        <w:rPr>
          <w:rFonts w:hint="eastAsia" w:ascii="黑体" w:hAnsi="黑体" w:eastAsia="黑体" w:cs="宋体"/>
          <w:b/>
          <w:bCs/>
          <w:color w:val="auto"/>
          <w:sz w:val="24"/>
          <w:highlight w:val="none"/>
        </w:rPr>
        <w:t>.签订合同</w:t>
      </w:r>
    </w:p>
    <w:p w14:paraId="3D959ECE">
      <w:pPr>
        <w:pStyle w:val="67"/>
        <w:snapToGrid w:val="0"/>
        <w:spacing w:before="0"/>
        <w:ind w:firstLine="420"/>
        <w:rPr>
          <w:rFonts w:ascii="宋体" w:hAnsi="宋体" w:cs="宋体"/>
          <w:color w:val="auto"/>
          <w:sz w:val="21"/>
          <w:szCs w:val="21"/>
          <w:highlight w:val="none"/>
          <w:lang w:val="zh-CN"/>
        </w:rPr>
      </w:pPr>
      <w:r>
        <w:rPr>
          <w:rFonts w:hint="eastAsia" w:ascii="宋体" w:hAnsi="宋体" w:cs="宋体"/>
          <w:color w:val="auto"/>
          <w:sz w:val="21"/>
          <w:szCs w:val="21"/>
          <w:highlight w:val="none"/>
        </w:rPr>
        <w:t>29.1采购人与成交供应商应当在成交通知书规定的时间内，按照磋商文件确定的合同文本以及采购标的、服务技术、采购金额、采购数量、商务和服务要求等事项签订政府采购合同。如成交供应商为联合体的，由联合体成员各方法定代表人或其授权代表与采购人代表签订合同。</w:t>
      </w:r>
    </w:p>
    <w:p w14:paraId="512E1E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29.2采购人不得向成交供应商提出超出磋商文件以外的任何要求作为签订合同的条件，不得与成交供应商订立背离磋商文件确定的合同文本以及采购标的、服务技术、采购金额、采购数量、技术和服务要求等实质性内容的协议。</w:t>
      </w:r>
    </w:p>
    <w:p w14:paraId="2E94E67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29.3成交供应商拒绝签订政府采购合同的，采购人可以按照评审报告推荐的成交候选人名单排序，依法确定下一候选人为成交供应商，也可以重新开展采购活动。拒绝签订政府采购合同的成交供应商不得参加对该项目重新开展的采购活动。</w:t>
      </w:r>
    </w:p>
    <w:p w14:paraId="34962EC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29.4如签订合同并生效后，供应商无故拒绝或延期，除按照合同条款处理外，列入不良行为记录，并给予通报。</w:t>
      </w:r>
    </w:p>
    <w:p w14:paraId="1E37A161">
      <w:pPr>
        <w:spacing w:line="360" w:lineRule="auto"/>
        <w:ind w:firstLine="420" w:firstLineChars="200"/>
        <w:rPr>
          <w:rFonts w:ascii="宋体" w:hAnsi="宋体" w:cs="宋体"/>
          <w:b/>
          <w:bCs/>
          <w:i/>
          <w:iCs/>
          <w:color w:val="auto"/>
          <w:szCs w:val="21"/>
          <w:highlight w:val="none"/>
        </w:rPr>
      </w:pPr>
      <w:r>
        <w:rPr>
          <w:rFonts w:hint="eastAsia" w:ascii="宋体" w:hAnsi="宋体" w:cs="宋体"/>
          <w:color w:val="auto"/>
          <w:szCs w:val="21"/>
          <w:highlight w:val="none"/>
        </w:rPr>
        <w:t>29.5采购合同由采购人与成交供应商根据磋商文件、响应文件等内容签订，成交供应商应当在签订合同时向采购人出示相关证明材料，具体内容详见 “供应商须知前附表”，经采购人核验合格后方可签订合同。</w:t>
      </w:r>
    </w:p>
    <w:p w14:paraId="2D55CF6F">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30</w:t>
      </w:r>
      <w:r>
        <w:rPr>
          <w:rFonts w:hint="eastAsia" w:ascii="黑体" w:hAnsi="黑体" w:eastAsia="黑体" w:cs="宋体"/>
          <w:b/>
          <w:bCs/>
          <w:color w:val="auto"/>
          <w:sz w:val="24"/>
          <w:highlight w:val="none"/>
        </w:rPr>
        <w:t>.政府采购合同公告</w:t>
      </w:r>
    </w:p>
    <w:p w14:paraId="6A01CDCD">
      <w:pPr>
        <w:spacing w:line="360" w:lineRule="auto"/>
        <w:ind w:firstLine="420" w:firstLineChars="200"/>
        <w:rPr>
          <w:rFonts w:ascii="Calibri"/>
          <w:color w:val="auto"/>
          <w:highlight w:val="none"/>
        </w:rPr>
      </w:pPr>
      <w:r>
        <w:rPr>
          <w:rFonts w:hint="eastAsia" w:ascii="宋体" w:hAnsi="宋体" w:cs="宋体"/>
          <w:color w:val="auto"/>
          <w:szCs w:val="21"/>
          <w:highlight w:val="none"/>
        </w:rPr>
        <w:t>采购人应当自政府采购合同签订之日起2个工作日内，将政府采购合同在省级以上人民政府财政部门指定的媒体上公告，但政府采购合同中涉及国家秘密、商业秘密的内容除外</w:t>
      </w:r>
      <w:r>
        <w:rPr>
          <w:rFonts w:ascii="Calibri"/>
          <w:color w:val="auto"/>
          <w:highlight w:val="none"/>
        </w:rPr>
        <w:t>。</w:t>
      </w:r>
    </w:p>
    <w:p w14:paraId="0CDAC8F1">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31</w:t>
      </w:r>
      <w:r>
        <w:rPr>
          <w:rFonts w:hint="eastAsia" w:ascii="黑体" w:hAnsi="黑体" w:eastAsia="黑体" w:cs="宋体"/>
          <w:b/>
          <w:bCs/>
          <w:color w:val="auto"/>
          <w:sz w:val="24"/>
          <w:highlight w:val="none"/>
        </w:rPr>
        <w:t>. 询问、质疑和投诉</w:t>
      </w:r>
    </w:p>
    <w:p w14:paraId="6936A0A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31.1供应商对政府采购活动事项有疑问的，可以向采购人或者采购代理机构提出询问，采购人或者采购代理机构应当在3个工作日内对供应商依法提出的询问作出答复。</w:t>
      </w:r>
    </w:p>
    <w:p w14:paraId="0FE17C47">
      <w:pPr>
        <w:spacing w:line="360" w:lineRule="auto"/>
        <w:ind w:firstLine="420" w:firstLineChars="200"/>
        <w:rPr>
          <w:rFonts w:ascii="宋体" w:hAnsi="宋体" w:cs="宋体"/>
          <w:b/>
          <w:color w:val="auto"/>
          <w:szCs w:val="21"/>
          <w:highlight w:val="none"/>
        </w:rPr>
      </w:pPr>
      <w:r>
        <w:rPr>
          <w:rFonts w:hint="eastAsia" w:ascii="宋体" w:hAnsi="宋体" w:cs="宋体"/>
          <w:color w:val="auto"/>
          <w:highlight w:val="none"/>
        </w:rPr>
        <w:t>31.2供应商认为磋商文件、采购过程或者成交结果使自己的合法权益受到损害的，应当在知道或者应知其权益受到损害之日起7个工作日内，以书面形式向采购人或者采购代理机构提出质疑，采购人或者采购代理机构应当在7个工作日内对供应商依法提出的质疑作出答复。接收质疑函的方式、联系部门、联系电话和通讯地址等信息详见“供应商须知前附表”。</w:t>
      </w:r>
      <w:r>
        <w:rPr>
          <w:rFonts w:hint="eastAsia" w:ascii="宋体" w:hAnsi="宋体" w:cs="宋体"/>
          <w:b/>
          <w:color w:val="auto"/>
          <w:szCs w:val="21"/>
          <w:highlight w:val="none"/>
        </w:rPr>
        <w:t xml:space="preserve">具体质疑起算时间及处理方式如下： </w:t>
      </w:r>
    </w:p>
    <w:p w14:paraId="42B788E8">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（1）潜在供应商依法获取采购文件后，认为采购文件使自己的权益受到损害的，应当在竞争性磋商文件公告期限届满之日起7个工作日内提出质疑。</w:t>
      </w:r>
    </w:p>
    <w:p w14:paraId="550664FB">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2）供应商认为采购过程使自己的权益受到损害的，应当在各采购程序环节结束之日起7个工作日内提出质疑。对采购过程中资格审查、符合性审查等具体评审情况的质疑应向采购人或者采购代理机构提出，由采购人或者采购代理机构受理并负责答复；对采购过程中采购执行程序的质疑由采购代理机构受理并负责答复。</w:t>
      </w:r>
    </w:p>
    <w:p w14:paraId="27534463">
      <w:pPr>
        <w:spacing w:line="360" w:lineRule="auto"/>
        <w:ind w:firstLine="420" w:firstLineChars="200"/>
        <w:rPr>
          <w:rFonts w:ascii="宋体" w:hAnsi="宋体" w:cs="宋体"/>
          <w:bCs/>
          <w:color w:val="auto"/>
          <w:highlight w:val="none"/>
        </w:rPr>
      </w:pPr>
      <w:r>
        <w:rPr>
          <w:rFonts w:hint="eastAsia" w:ascii="宋体" w:hAnsi="宋体" w:cs="宋体"/>
          <w:bCs/>
          <w:color w:val="auto"/>
          <w:highlight w:val="none"/>
        </w:rPr>
        <w:t>（3）供应商认为成交结果使自己的权益受到损害的，应当在成交结果公告期限届满之日起7个工作日内提出质疑，由采购人受理并负责答复。</w:t>
      </w:r>
    </w:p>
    <w:p w14:paraId="175CFB6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31.3供应商提出的询问或者质疑超出采购人对采购代理机构委托授权范围的，采购代理机构应当告知供应商向采购人提出。政府采购评审专家应当配合采购人或者采购代理机构答复供应商的询问和质疑。</w:t>
      </w:r>
    </w:p>
    <w:p w14:paraId="49D9D328">
      <w:pPr>
        <w:spacing w:line="360" w:lineRule="auto"/>
        <w:ind w:firstLine="422" w:firstLineChars="200"/>
        <w:rPr>
          <w:rFonts w:ascii="宋体" w:hAnsi="宋体" w:cs="宋体"/>
          <w:color w:val="auto"/>
          <w:highlight w:val="none"/>
        </w:rPr>
      </w:pPr>
      <w:r>
        <w:rPr>
          <w:rFonts w:hint="eastAsia" w:ascii="宋体" w:hAnsi="宋体" w:cs="宋体"/>
          <w:b/>
          <w:bCs/>
          <w:color w:val="auto"/>
          <w:highlight w:val="none"/>
        </w:rPr>
        <w:t>31.4 供应商提出质疑应当提交质疑函和必要的证明材料，针对同一采购程序环节的质疑必须在法定质疑期内一次性提出。质疑函应当包括下列内容（质疑函格式后附）：</w:t>
      </w:r>
    </w:p>
    <w:p w14:paraId="65AAFAE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（1）供应商的姓名或者名称、地址、邮编、联系人及联系电话；</w:t>
      </w:r>
    </w:p>
    <w:p w14:paraId="5FB3CC85">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（2）质疑项目的名称、编号；</w:t>
      </w:r>
    </w:p>
    <w:p w14:paraId="1C5177B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（3）具体、明确的质疑事项和与质疑事项相关的请求；</w:t>
      </w:r>
    </w:p>
    <w:p w14:paraId="235F08ED">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（4）事实依据；</w:t>
      </w:r>
    </w:p>
    <w:p w14:paraId="6C439976">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（5）必要的法律依据；</w:t>
      </w:r>
    </w:p>
    <w:p w14:paraId="26211C0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（6）提出质疑的日期。</w:t>
      </w:r>
    </w:p>
    <w:p w14:paraId="1CE5992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供应商为自然人的，应当由本人签字；供应商为法人或者其他组织的，应当由法定代表人、主要负责人，或者其委托代理人签字或者盖章，并加盖公章。</w:t>
      </w:r>
    </w:p>
    <w:p w14:paraId="79BFD152">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31.5采购人、采购代理机构认为供应商质疑不成立，或者成立但未对成交结果构成影响的，继续开展采购活动；认为供应商质疑成立且影响或者可能影响成交结果的，按照下列情况处理：</w:t>
      </w:r>
    </w:p>
    <w:p w14:paraId="727305D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（一）对采购文件提出的质疑，依法通过澄清或者修改可以继续开展采购活动的，澄清或者修改采购文件后继续开展采购活动；否则应当修改采购文件后重新开展采购活动。</w:t>
      </w:r>
    </w:p>
    <w:p w14:paraId="57CEE4F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（二）对采购过程或者成交结果提出的质疑，合格供应商符合法定数量时，可以从合格的成交候选人中另行确定成交供应商的，应当依法另行确定成交供应商；否则应当重新开展采购活动。</w:t>
      </w:r>
    </w:p>
    <w:p w14:paraId="1EF32EE3">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质疑答复导致成交结果改变的，采购人或者采购代理机构应当将有关情况书面报告本级财政部门。</w:t>
      </w:r>
    </w:p>
    <w:p w14:paraId="1192AADF">
      <w:pPr>
        <w:spacing w:line="360" w:lineRule="auto"/>
        <w:ind w:firstLine="422" w:firstLineChars="200"/>
        <w:rPr>
          <w:rFonts w:ascii="宋体" w:hAnsi="宋体" w:cs="宋体"/>
          <w:color w:val="auto"/>
          <w:highlight w:val="none"/>
        </w:rPr>
      </w:pPr>
      <w:r>
        <w:rPr>
          <w:rFonts w:hint="eastAsia" w:ascii="宋体" w:hAnsi="宋体" w:cs="宋体"/>
          <w:b/>
          <w:bCs/>
          <w:color w:val="auto"/>
          <w:highlight w:val="none"/>
        </w:rPr>
        <w:t>31.6投诉的权利。质疑供应商对采购人或采购代理机构的答复不满意，或者采购人或采购代理机构未在规定时间内作出答复的，可以在答复期满后15个工作日内向《政府采购质疑和投诉办法》（财政部令第94号）第六条规定的财政部门提起投诉（投诉书格式后附），受理投诉方式见“供应商须知前附表”</w:t>
      </w:r>
      <w:r>
        <w:rPr>
          <w:rFonts w:hint="eastAsia" w:ascii="宋体" w:hAnsi="宋体" w:cs="宋体"/>
          <w:color w:val="auto"/>
          <w:highlight w:val="none"/>
        </w:rPr>
        <w:t>。</w:t>
      </w:r>
      <w:bookmarkStart w:id="104" w:name="_Toc80205930"/>
    </w:p>
    <w:p w14:paraId="70C61442">
      <w:pPr>
        <w:pStyle w:val="4"/>
        <w:spacing w:before="0" w:after="0" w:line="360" w:lineRule="auto"/>
        <w:ind w:firstLine="315" w:firstLineChars="98"/>
        <w:rPr>
          <w:color w:val="auto"/>
          <w:highlight w:val="none"/>
        </w:rPr>
      </w:pPr>
      <w:bookmarkStart w:id="105" w:name="_Toc80886935"/>
      <w:bookmarkStart w:id="106" w:name="_Toc9275"/>
      <w:bookmarkStart w:id="107" w:name="_Toc26989"/>
    </w:p>
    <w:p w14:paraId="38D66448">
      <w:pPr>
        <w:pStyle w:val="4"/>
        <w:spacing w:before="0" w:after="0" w:line="360" w:lineRule="auto"/>
        <w:ind w:firstLine="313" w:firstLineChars="98"/>
        <w:rPr>
          <w:b w:val="0"/>
          <w:color w:val="auto"/>
          <w:highlight w:val="none"/>
        </w:rPr>
      </w:pPr>
      <w:r>
        <w:rPr>
          <w:rFonts w:hint="eastAsia"/>
          <w:b w:val="0"/>
          <w:bCs w:val="0"/>
          <w:color w:val="auto"/>
          <w:highlight w:val="none"/>
        </w:rPr>
        <w:t>六</w:t>
      </w:r>
      <w:r>
        <w:rPr>
          <w:rFonts w:hint="eastAsia"/>
          <w:b w:val="0"/>
          <w:color w:val="auto"/>
          <w:highlight w:val="none"/>
        </w:rPr>
        <w:t>、验收</w:t>
      </w:r>
      <w:bookmarkEnd w:id="104"/>
      <w:bookmarkEnd w:id="105"/>
      <w:bookmarkEnd w:id="106"/>
      <w:bookmarkEnd w:id="107"/>
    </w:p>
    <w:p w14:paraId="5C019A3D">
      <w:pPr>
        <w:tabs>
          <w:tab w:val="left" w:pos="0"/>
        </w:tabs>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32.验收</w:t>
      </w:r>
    </w:p>
    <w:p w14:paraId="4DC04B53">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32.1采购人会同实际使用人组织对供应商履约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0EA7D559">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32.2采购人可以邀请参加本项目的其他供应商或者第三方机构参与验收。参与验收的供应商或者第三方机构的意见作为验收书的参考资料一并存档。</w:t>
      </w:r>
    </w:p>
    <w:p w14:paraId="1BFD9AEC">
      <w:pPr>
        <w:tabs>
          <w:tab w:val="left" w:pos="0"/>
        </w:tabs>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32.3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w:t>
      </w:r>
      <w:r>
        <w:rPr>
          <w:rFonts w:hint="eastAsia"/>
          <w:color w:val="auto"/>
          <w:highlight w:val="none"/>
        </w:rPr>
        <w:t>（如有）</w:t>
      </w:r>
      <w:r>
        <w:rPr>
          <w:rFonts w:hint="eastAsia" w:ascii="宋体" w:hAnsi="宋体" w:cs="宋体"/>
          <w:color w:val="auto"/>
          <w:kern w:val="0"/>
          <w:szCs w:val="21"/>
          <w:highlight w:val="none"/>
        </w:rPr>
        <w:t>返还条件挂钩。履约验收的各项资料应当存档备查。</w:t>
      </w:r>
    </w:p>
    <w:p w14:paraId="343DE00B">
      <w:pPr>
        <w:tabs>
          <w:tab w:val="left" w:pos="0"/>
        </w:tabs>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32.4验收合格的项目，实际使用人将根据采购合同的约定及时向供应商支付采购资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04B2E3F4">
      <w:pPr>
        <w:pStyle w:val="4"/>
        <w:spacing w:before="0" w:after="0" w:line="360" w:lineRule="auto"/>
        <w:ind w:firstLine="320" w:firstLineChars="100"/>
        <w:rPr>
          <w:b w:val="0"/>
          <w:bCs w:val="0"/>
          <w:color w:val="auto"/>
          <w:highlight w:val="none"/>
        </w:rPr>
      </w:pPr>
      <w:bookmarkStart w:id="108" w:name="_Toc80886936"/>
      <w:bookmarkStart w:id="109" w:name="_Toc10913"/>
      <w:bookmarkStart w:id="110" w:name="_Toc1170"/>
    </w:p>
    <w:p w14:paraId="47C22385">
      <w:pPr>
        <w:pStyle w:val="4"/>
        <w:spacing w:before="0" w:after="0" w:line="360" w:lineRule="auto"/>
        <w:ind w:firstLine="320" w:firstLineChars="100"/>
        <w:rPr>
          <w:b w:val="0"/>
          <w:bCs w:val="0"/>
          <w:color w:val="auto"/>
          <w:highlight w:val="none"/>
        </w:rPr>
      </w:pPr>
      <w:r>
        <w:rPr>
          <w:rFonts w:hint="eastAsia"/>
          <w:b w:val="0"/>
          <w:bCs w:val="0"/>
          <w:color w:val="auto"/>
          <w:highlight w:val="none"/>
        </w:rPr>
        <w:t>七、其他事项</w:t>
      </w:r>
      <w:bookmarkEnd w:id="108"/>
      <w:bookmarkEnd w:id="109"/>
      <w:bookmarkEnd w:id="110"/>
    </w:p>
    <w:p w14:paraId="34F4FE84">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3</w:t>
      </w:r>
      <w:r>
        <w:rPr>
          <w:rFonts w:hint="eastAsia" w:ascii="黑体" w:hAnsi="黑体" w:eastAsia="黑体" w:cs="宋体"/>
          <w:b/>
          <w:bCs/>
          <w:color w:val="auto"/>
          <w:sz w:val="24"/>
          <w:highlight w:val="none"/>
        </w:rPr>
        <w:t>3.采购代理服务费</w:t>
      </w:r>
    </w:p>
    <w:p w14:paraId="4F20080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33.1 采购代理服务费收费标准及缴费账户详见“供应商须知前附表”，供应商为联合体的，可以由联合体中的一方或者多方共同缴纳采购代理服务费。</w:t>
      </w:r>
    </w:p>
    <w:p w14:paraId="3427A0DD">
      <w:pPr>
        <w:pStyle w:val="15"/>
        <w:ind w:firstLine="420" w:firstLineChars="200"/>
        <w:rPr>
          <w:rFonts w:ascii="宋体" w:hAnsi="宋体" w:cs="宋体"/>
          <w:color w:val="auto"/>
          <w:highlight w:val="none"/>
        </w:rPr>
      </w:pPr>
      <w:r>
        <w:rPr>
          <w:rFonts w:hint="eastAsia" w:ascii="宋体" w:hAnsi="宋体" w:cs="宋体"/>
          <w:color w:val="auto"/>
          <w:szCs w:val="21"/>
          <w:highlight w:val="none"/>
        </w:rPr>
        <w:t>33.2采购代理服务费收费计算标准：</w:t>
      </w:r>
    </w:p>
    <w:tbl>
      <w:tblPr>
        <w:tblStyle w:val="31"/>
        <w:tblW w:w="82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72"/>
        <w:gridCol w:w="1659"/>
        <w:gridCol w:w="1532"/>
        <w:gridCol w:w="1546"/>
      </w:tblGrid>
      <w:tr w14:paraId="1836A6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Borders>
              <w:tl2br w:val="single" w:color="auto" w:sz="4" w:space="0"/>
            </w:tcBorders>
          </w:tcPr>
          <w:p w14:paraId="4D483BFA">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费率</w:t>
            </w:r>
          </w:p>
          <w:p w14:paraId="35FA30B9">
            <w:pPr>
              <w:spacing w:line="360" w:lineRule="auto"/>
              <w:rPr>
                <w:rFonts w:ascii="宋体" w:hAnsi="宋体" w:cs="宋体"/>
                <w:color w:val="auto"/>
                <w:szCs w:val="21"/>
                <w:highlight w:val="none"/>
              </w:rPr>
            </w:pPr>
            <w:r>
              <w:rPr>
                <w:rFonts w:hint="eastAsia" w:ascii="宋体" w:hAnsi="宋体" w:cs="宋体"/>
                <w:color w:val="auto"/>
                <w:szCs w:val="21"/>
                <w:highlight w:val="none"/>
              </w:rPr>
              <w:t>金额</w:t>
            </w:r>
          </w:p>
        </w:tc>
        <w:tc>
          <w:tcPr>
            <w:tcW w:w="1659" w:type="dxa"/>
            <w:vAlign w:val="center"/>
          </w:tcPr>
          <w:p w14:paraId="44CDC6A8">
            <w:pPr>
              <w:spacing w:line="360" w:lineRule="auto"/>
              <w:ind w:firstLine="105" w:firstLineChars="50"/>
              <w:jc w:val="center"/>
              <w:rPr>
                <w:rFonts w:ascii="宋体" w:hAnsi="宋体" w:cs="宋体"/>
                <w:color w:val="auto"/>
                <w:szCs w:val="21"/>
                <w:highlight w:val="none"/>
              </w:rPr>
            </w:pPr>
            <w:r>
              <w:rPr>
                <w:rFonts w:hint="eastAsia" w:ascii="宋体" w:hAnsi="宋体" w:cs="宋体"/>
                <w:color w:val="auto"/>
                <w:szCs w:val="21"/>
                <w:highlight w:val="none"/>
              </w:rPr>
              <w:t>货物类</w:t>
            </w:r>
          </w:p>
        </w:tc>
        <w:tc>
          <w:tcPr>
            <w:tcW w:w="1532" w:type="dxa"/>
            <w:vAlign w:val="center"/>
          </w:tcPr>
          <w:p w14:paraId="1EF9E2CA">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服务类</w:t>
            </w:r>
          </w:p>
        </w:tc>
        <w:tc>
          <w:tcPr>
            <w:tcW w:w="1546" w:type="dxa"/>
            <w:vAlign w:val="center"/>
          </w:tcPr>
          <w:p w14:paraId="1BA9B3C0">
            <w:pPr>
              <w:spacing w:line="360" w:lineRule="auto"/>
              <w:jc w:val="center"/>
              <w:rPr>
                <w:rFonts w:ascii="宋体" w:hAnsi="宋体" w:cs="宋体"/>
                <w:color w:val="auto"/>
                <w:szCs w:val="21"/>
                <w:highlight w:val="none"/>
              </w:rPr>
            </w:pPr>
            <w:r>
              <w:rPr>
                <w:rFonts w:hint="eastAsia" w:ascii="宋体" w:hAnsi="宋体" w:cs="宋体"/>
                <w:color w:val="auto"/>
                <w:szCs w:val="21"/>
                <w:highlight w:val="none"/>
              </w:rPr>
              <w:t>工程类</w:t>
            </w:r>
          </w:p>
        </w:tc>
      </w:tr>
      <w:tr w14:paraId="189C1D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45AB3FB">
            <w:pPr>
              <w:spacing w:line="360" w:lineRule="auto"/>
              <w:rPr>
                <w:rFonts w:ascii="宋体" w:hAnsi="宋体" w:cs="宋体"/>
                <w:color w:val="auto"/>
                <w:szCs w:val="21"/>
                <w:highlight w:val="none"/>
              </w:rPr>
            </w:pPr>
            <w:r>
              <w:rPr>
                <w:rFonts w:hint="eastAsia" w:ascii="宋体" w:hAnsi="宋体" w:cs="宋体"/>
                <w:color w:val="auto"/>
                <w:szCs w:val="21"/>
                <w:highlight w:val="none"/>
              </w:rPr>
              <w:t>100万元以下</w:t>
            </w:r>
          </w:p>
        </w:tc>
        <w:tc>
          <w:tcPr>
            <w:tcW w:w="1659" w:type="dxa"/>
          </w:tcPr>
          <w:p w14:paraId="27A7947A">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1.5%                </w:t>
            </w:r>
          </w:p>
        </w:tc>
        <w:tc>
          <w:tcPr>
            <w:tcW w:w="1532" w:type="dxa"/>
          </w:tcPr>
          <w:p w14:paraId="12CFBB52">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1.5%</w:t>
            </w:r>
          </w:p>
        </w:tc>
        <w:tc>
          <w:tcPr>
            <w:tcW w:w="1546" w:type="dxa"/>
          </w:tcPr>
          <w:p w14:paraId="3DA72BCE">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1.0% </w:t>
            </w:r>
          </w:p>
        </w:tc>
      </w:tr>
      <w:tr w14:paraId="3F31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B5E17C4">
            <w:pPr>
              <w:spacing w:line="360" w:lineRule="auto"/>
              <w:rPr>
                <w:rFonts w:ascii="宋体" w:hAnsi="宋体" w:cs="宋体"/>
                <w:color w:val="auto"/>
                <w:szCs w:val="21"/>
                <w:highlight w:val="none"/>
              </w:rPr>
            </w:pPr>
            <w:r>
              <w:rPr>
                <w:rFonts w:hint="eastAsia" w:ascii="宋体" w:hAnsi="宋体" w:cs="宋体"/>
                <w:color w:val="auto"/>
                <w:szCs w:val="21"/>
                <w:highlight w:val="none"/>
              </w:rPr>
              <w:t>100～500万元</w:t>
            </w:r>
          </w:p>
        </w:tc>
        <w:tc>
          <w:tcPr>
            <w:tcW w:w="1659" w:type="dxa"/>
          </w:tcPr>
          <w:p w14:paraId="79748E9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1.1%                 </w:t>
            </w:r>
          </w:p>
        </w:tc>
        <w:tc>
          <w:tcPr>
            <w:tcW w:w="1532" w:type="dxa"/>
          </w:tcPr>
          <w:p w14:paraId="376D3373">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0.8%</w:t>
            </w:r>
          </w:p>
        </w:tc>
        <w:tc>
          <w:tcPr>
            <w:tcW w:w="1546" w:type="dxa"/>
          </w:tcPr>
          <w:p w14:paraId="513F50A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0.7% </w:t>
            </w:r>
          </w:p>
        </w:tc>
      </w:tr>
      <w:tr w14:paraId="0EF35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75E8F76">
            <w:pPr>
              <w:spacing w:line="360" w:lineRule="auto"/>
              <w:rPr>
                <w:rFonts w:ascii="宋体" w:hAnsi="宋体" w:cs="宋体"/>
                <w:color w:val="auto"/>
                <w:szCs w:val="21"/>
                <w:highlight w:val="none"/>
              </w:rPr>
            </w:pPr>
            <w:r>
              <w:rPr>
                <w:rFonts w:hint="eastAsia" w:ascii="宋体" w:hAnsi="宋体" w:cs="宋体"/>
                <w:color w:val="auto"/>
                <w:szCs w:val="21"/>
                <w:highlight w:val="none"/>
              </w:rPr>
              <w:t>500～1000万元</w:t>
            </w:r>
          </w:p>
        </w:tc>
        <w:tc>
          <w:tcPr>
            <w:tcW w:w="1659" w:type="dxa"/>
          </w:tcPr>
          <w:p w14:paraId="6B4CFDDA">
            <w:pPr>
              <w:spacing w:line="360" w:lineRule="auto"/>
              <w:rPr>
                <w:rFonts w:ascii="宋体" w:hAnsi="宋体" w:cs="宋体"/>
                <w:color w:val="auto"/>
                <w:szCs w:val="21"/>
                <w:highlight w:val="none"/>
              </w:rPr>
            </w:pPr>
            <w:r>
              <w:rPr>
                <w:rFonts w:hint="eastAsia" w:ascii="宋体" w:hAnsi="宋体" w:cs="宋体"/>
                <w:color w:val="auto"/>
                <w:kern w:val="0"/>
                <w:szCs w:val="21"/>
                <w:highlight w:val="none"/>
              </w:rPr>
              <w:t xml:space="preserve">  0.8%                </w:t>
            </w:r>
          </w:p>
        </w:tc>
        <w:tc>
          <w:tcPr>
            <w:tcW w:w="1532" w:type="dxa"/>
          </w:tcPr>
          <w:p w14:paraId="3E4D034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0.45%</w:t>
            </w:r>
          </w:p>
        </w:tc>
        <w:tc>
          <w:tcPr>
            <w:tcW w:w="1546" w:type="dxa"/>
          </w:tcPr>
          <w:p w14:paraId="029D4C6F">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0.55%</w:t>
            </w:r>
          </w:p>
        </w:tc>
      </w:tr>
      <w:tr w14:paraId="08409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2BE4C554">
            <w:pPr>
              <w:spacing w:line="360" w:lineRule="auto"/>
              <w:rPr>
                <w:rFonts w:ascii="宋体" w:hAnsi="宋体" w:cs="宋体"/>
                <w:color w:val="auto"/>
                <w:szCs w:val="21"/>
                <w:highlight w:val="none"/>
              </w:rPr>
            </w:pPr>
            <w:r>
              <w:rPr>
                <w:rFonts w:hint="eastAsia" w:ascii="宋体" w:hAnsi="宋体" w:cs="宋体"/>
                <w:color w:val="auto"/>
                <w:szCs w:val="21"/>
                <w:highlight w:val="none"/>
              </w:rPr>
              <w:t>1000～5000万元</w:t>
            </w:r>
          </w:p>
        </w:tc>
        <w:tc>
          <w:tcPr>
            <w:tcW w:w="1659" w:type="dxa"/>
          </w:tcPr>
          <w:p w14:paraId="5BAACE9C">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0.5%                </w:t>
            </w:r>
          </w:p>
        </w:tc>
        <w:tc>
          <w:tcPr>
            <w:tcW w:w="1532" w:type="dxa"/>
          </w:tcPr>
          <w:p w14:paraId="5AE16B38">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0.25%</w:t>
            </w:r>
          </w:p>
        </w:tc>
        <w:tc>
          <w:tcPr>
            <w:tcW w:w="1546" w:type="dxa"/>
          </w:tcPr>
          <w:p w14:paraId="19311851">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0.35% </w:t>
            </w:r>
          </w:p>
        </w:tc>
      </w:tr>
      <w:tr w14:paraId="3E69A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1C0ED824">
            <w:pPr>
              <w:spacing w:line="360" w:lineRule="auto"/>
              <w:rPr>
                <w:rFonts w:ascii="宋体" w:hAnsi="宋体" w:cs="宋体"/>
                <w:color w:val="auto"/>
                <w:szCs w:val="21"/>
                <w:highlight w:val="none"/>
              </w:rPr>
            </w:pPr>
            <w:r>
              <w:rPr>
                <w:rFonts w:hint="eastAsia" w:ascii="宋体" w:hAnsi="宋体" w:cs="宋体"/>
                <w:color w:val="auto"/>
                <w:szCs w:val="21"/>
                <w:highlight w:val="none"/>
              </w:rPr>
              <w:t>5000万元～1亿元</w:t>
            </w:r>
          </w:p>
        </w:tc>
        <w:tc>
          <w:tcPr>
            <w:tcW w:w="1659" w:type="dxa"/>
          </w:tcPr>
          <w:p w14:paraId="0ED30DC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 xml:space="preserve">0.25%                 </w:t>
            </w:r>
          </w:p>
        </w:tc>
        <w:tc>
          <w:tcPr>
            <w:tcW w:w="1532" w:type="dxa"/>
          </w:tcPr>
          <w:p w14:paraId="6B7CD9BD">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0.1%</w:t>
            </w:r>
          </w:p>
        </w:tc>
        <w:tc>
          <w:tcPr>
            <w:tcW w:w="1546" w:type="dxa"/>
          </w:tcPr>
          <w:p w14:paraId="7CC31F55">
            <w:pPr>
              <w:spacing w:line="360" w:lineRule="auto"/>
              <w:ind w:firstLine="210" w:firstLineChars="100"/>
              <w:rPr>
                <w:rFonts w:ascii="宋体" w:hAnsi="宋体" w:cs="宋体"/>
                <w:color w:val="auto"/>
                <w:szCs w:val="21"/>
                <w:highlight w:val="none"/>
              </w:rPr>
            </w:pPr>
            <w:r>
              <w:rPr>
                <w:rFonts w:hint="eastAsia" w:ascii="宋体" w:hAnsi="宋体" w:cs="宋体"/>
                <w:color w:val="auto"/>
                <w:kern w:val="0"/>
                <w:szCs w:val="21"/>
                <w:highlight w:val="none"/>
              </w:rPr>
              <w:t>0.2%</w:t>
            </w:r>
          </w:p>
        </w:tc>
      </w:tr>
      <w:tr w14:paraId="3E7B5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5E9C639F">
            <w:pPr>
              <w:spacing w:line="360" w:lineRule="auto"/>
              <w:rPr>
                <w:rFonts w:ascii="宋体" w:hAnsi="宋体" w:cs="宋体"/>
                <w:color w:val="auto"/>
                <w:szCs w:val="21"/>
                <w:highlight w:val="none"/>
              </w:rPr>
            </w:pPr>
            <w:r>
              <w:rPr>
                <w:rFonts w:hint="eastAsia" w:ascii="宋体" w:hAnsi="宋体" w:cs="宋体"/>
                <w:color w:val="auto"/>
                <w:szCs w:val="21"/>
                <w:highlight w:val="none"/>
              </w:rPr>
              <w:t>1～5亿元</w:t>
            </w:r>
          </w:p>
        </w:tc>
        <w:tc>
          <w:tcPr>
            <w:tcW w:w="1659" w:type="dxa"/>
          </w:tcPr>
          <w:p w14:paraId="09E74D84">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0.05%</w:t>
            </w:r>
          </w:p>
        </w:tc>
        <w:tc>
          <w:tcPr>
            <w:tcW w:w="1532" w:type="dxa"/>
          </w:tcPr>
          <w:p w14:paraId="14430D6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c>
          <w:tcPr>
            <w:tcW w:w="1546" w:type="dxa"/>
          </w:tcPr>
          <w:p w14:paraId="451EE816">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0.05%</w:t>
            </w:r>
          </w:p>
        </w:tc>
      </w:tr>
      <w:tr w14:paraId="5ED79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FE6B934">
            <w:pPr>
              <w:spacing w:line="360" w:lineRule="auto"/>
              <w:rPr>
                <w:rFonts w:ascii="宋体" w:hAnsi="宋体" w:cs="宋体"/>
                <w:color w:val="auto"/>
                <w:szCs w:val="21"/>
                <w:highlight w:val="none"/>
              </w:rPr>
            </w:pPr>
            <w:r>
              <w:rPr>
                <w:rFonts w:hint="eastAsia" w:ascii="宋体" w:hAnsi="宋体" w:cs="宋体"/>
                <w:color w:val="auto"/>
                <w:szCs w:val="21"/>
                <w:highlight w:val="none"/>
              </w:rPr>
              <w:t>5～10亿元</w:t>
            </w:r>
          </w:p>
        </w:tc>
        <w:tc>
          <w:tcPr>
            <w:tcW w:w="1659" w:type="dxa"/>
          </w:tcPr>
          <w:p w14:paraId="6A2D6157">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c>
          <w:tcPr>
            <w:tcW w:w="1532" w:type="dxa"/>
          </w:tcPr>
          <w:p w14:paraId="33AB4DA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0.035%</w:t>
            </w:r>
          </w:p>
        </w:tc>
        <w:tc>
          <w:tcPr>
            <w:tcW w:w="1546" w:type="dxa"/>
          </w:tcPr>
          <w:p w14:paraId="0DCB5FF8">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0.035%</w:t>
            </w:r>
          </w:p>
        </w:tc>
      </w:tr>
      <w:tr w14:paraId="288D3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3877DB81">
            <w:pPr>
              <w:spacing w:line="360" w:lineRule="auto"/>
              <w:rPr>
                <w:rFonts w:ascii="宋体" w:hAnsi="宋体" w:cs="宋体"/>
                <w:color w:val="auto"/>
                <w:szCs w:val="21"/>
                <w:highlight w:val="none"/>
              </w:rPr>
            </w:pPr>
            <w:r>
              <w:rPr>
                <w:rFonts w:hint="eastAsia" w:ascii="宋体" w:hAnsi="宋体" w:cs="宋体"/>
                <w:color w:val="auto"/>
                <w:szCs w:val="21"/>
                <w:highlight w:val="none"/>
              </w:rPr>
              <w:t>10～50亿元</w:t>
            </w:r>
          </w:p>
        </w:tc>
        <w:tc>
          <w:tcPr>
            <w:tcW w:w="1659" w:type="dxa"/>
          </w:tcPr>
          <w:p w14:paraId="27B7A3FB">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c>
          <w:tcPr>
            <w:tcW w:w="1532" w:type="dxa"/>
          </w:tcPr>
          <w:p w14:paraId="7ABB304E">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0.008%</w:t>
            </w:r>
          </w:p>
        </w:tc>
        <w:tc>
          <w:tcPr>
            <w:tcW w:w="1546" w:type="dxa"/>
          </w:tcPr>
          <w:p w14:paraId="29DDB6E8">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0.008%</w:t>
            </w:r>
          </w:p>
        </w:tc>
      </w:tr>
      <w:tr w14:paraId="76FCCC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78D38353">
            <w:pPr>
              <w:spacing w:line="360" w:lineRule="auto"/>
              <w:rPr>
                <w:rFonts w:ascii="宋体" w:hAnsi="宋体" w:cs="宋体"/>
                <w:color w:val="auto"/>
                <w:szCs w:val="21"/>
                <w:highlight w:val="none"/>
              </w:rPr>
            </w:pPr>
            <w:r>
              <w:rPr>
                <w:rFonts w:hint="eastAsia" w:ascii="宋体" w:hAnsi="宋体" w:cs="宋体"/>
                <w:color w:val="auto"/>
                <w:szCs w:val="21"/>
                <w:highlight w:val="none"/>
              </w:rPr>
              <w:t>50～100亿元</w:t>
            </w:r>
          </w:p>
        </w:tc>
        <w:tc>
          <w:tcPr>
            <w:tcW w:w="1659" w:type="dxa"/>
          </w:tcPr>
          <w:p w14:paraId="39F8C019">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0.006%</w:t>
            </w:r>
          </w:p>
        </w:tc>
        <w:tc>
          <w:tcPr>
            <w:tcW w:w="1532" w:type="dxa"/>
          </w:tcPr>
          <w:p w14:paraId="20FB9298">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0.006%</w:t>
            </w:r>
          </w:p>
        </w:tc>
        <w:tc>
          <w:tcPr>
            <w:tcW w:w="1546" w:type="dxa"/>
          </w:tcPr>
          <w:p w14:paraId="1E1D5422">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0.006%</w:t>
            </w:r>
          </w:p>
        </w:tc>
      </w:tr>
      <w:tr w14:paraId="415BA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72" w:type="dxa"/>
          </w:tcPr>
          <w:p w14:paraId="466579B2">
            <w:pPr>
              <w:spacing w:line="360" w:lineRule="auto"/>
              <w:rPr>
                <w:rFonts w:ascii="宋体" w:hAnsi="宋体" w:cs="宋体"/>
                <w:color w:val="auto"/>
                <w:szCs w:val="21"/>
                <w:highlight w:val="none"/>
              </w:rPr>
            </w:pPr>
            <w:r>
              <w:rPr>
                <w:rFonts w:hint="eastAsia" w:ascii="宋体" w:hAnsi="宋体" w:cs="宋体"/>
                <w:color w:val="auto"/>
                <w:szCs w:val="21"/>
                <w:highlight w:val="none"/>
              </w:rPr>
              <w:t>100亿元以上</w:t>
            </w:r>
          </w:p>
        </w:tc>
        <w:tc>
          <w:tcPr>
            <w:tcW w:w="1659" w:type="dxa"/>
          </w:tcPr>
          <w:p w14:paraId="3BD7017F">
            <w:pPr>
              <w:spacing w:line="360" w:lineRule="auto"/>
              <w:rPr>
                <w:rFonts w:ascii="宋体" w:hAnsi="宋体" w:cs="宋体"/>
                <w:color w:val="auto"/>
                <w:szCs w:val="21"/>
                <w:highlight w:val="none"/>
              </w:rPr>
            </w:pPr>
            <w:r>
              <w:rPr>
                <w:rFonts w:hint="eastAsia" w:ascii="宋体" w:hAnsi="宋体" w:cs="宋体"/>
                <w:color w:val="auto"/>
                <w:szCs w:val="21"/>
                <w:highlight w:val="none"/>
              </w:rPr>
              <w:t xml:space="preserve"> 0.004%</w:t>
            </w:r>
          </w:p>
        </w:tc>
        <w:tc>
          <w:tcPr>
            <w:tcW w:w="1532" w:type="dxa"/>
          </w:tcPr>
          <w:p w14:paraId="34628F09">
            <w:pPr>
              <w:spacing w:line="360" w:lineRule="auto"/>
              <w:ind w:firstLine="210" w:firstLineChars="100"/>
              <w:rPr>
                <w:rFonts w:ascii="宋体" w:hAnsi="宋体" w:cs="宋体"/>
                <w:color w:val="auto"/>
                <w:szCs w:val="21"/>
                <w:highlight w:val="none"/>
              </w:rPr>
            </w:pPr>
            <w:r>
              <w:rPr>
                <w:rFonts w:hint="eastAsia" w:ascii="宋体" w:hAnsi="宋体" w:cs="宋体"/>
                <w:color w:val="auto"/>
                <w:szCs w:val="21"/>
                <w:highlight w:val="none"/>
              </w:rPr>
              <w:t>0.004%</w:t>
            </w:r>
          </w:p>
        </w:tc>
        <w:tc>
          <w:tcPr>
            <w:tcW w:w="1546" w:type="dxa"/>
          </w:tcPr>
          <w:p w14:paraId="1AAEADF0">
            <w:pPr>
              <w:spacing w:line="360" w:lineRule="auto"/>
              <w:ind w:firstLine="105" w:firstLineChars="50"/>
              <w:rPr>
                <w:rFonts w:ascii="宋体" w:hAnsi="宋体" w:cs="宋体"/>
                <w:color w:val="auto"/>
                <w:szCs w:val="21"/>
                <w:highlight w:val="none"/>
              </w:rPr>
            </w:pPr>
            <w:r>
              <w:rPr>
                <w:rFonts w:hint="eastAsia" w:ascii="宋体" w:hAnsi="宋体" w:cs="宋体"/>
                <w:color w:val="auto"/>
                <w:szCs w:val="21"/>
                <w:highlight w:val="none"/>
              </w:rPr>
              <w:t>0.004%</w:t>
            </w:r>
          </w:p>
        </w:tc>
      </w:tr>
    </w:tbl>
    <w:p w14:paraId="0CA8F18B">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注：</w:t>
      </w:r>
    </w:p>
    <w:p w14:paraId="599BB29A">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（1）按本表费率计算的收费为采购代理的收费基准价格；</w:t>
      </w:r>
    </w:p>
    <w:p w14:paraId="6A653B14">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（2）采购代理收费按差额定率累进法计算。</w:t>
      </w:r>
    </w:p>
    <w:p w14:paraId="794BB830">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例如：本项目预算金额为126</w:t>
      </w:r>
      <w:r>
        <w:rPr>
          <w:rFonts w:hint="eastAsia" w:ascii="宋体" w:hAnsi="宋体" w:cs="宋体"/>
          <w:color w:val="auto"/>
          <w:highlight w:val="none"/>
          <w:lang w:val="en-US" w:eastAsia="zh-CN"/>
        </w:rPr>
        <w:t>.</w:t>
      </w:r>
      <w:r>
        <w:rPr>
          <w:rFonts w:hint="eastAsia" w:ascii="宋体" w:hAnsi="宋体" w:cs="宋体"/>
          <w:color w:val="auto"/>
          <w:highlight w:val="none"/>
        </w:rPr>
        <w:t>62万元，计算采购代理收费额如下：</w:t>
      </w:r>
    </w:p>
    <w:p w14:paraId="317DE19F">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100 万元 ×l.5 ％＝ 1.5 万元</w:t>
      </w:r>
    </w:p>
    <w:p w14:paraId="2FCB108C">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126.62 － 100 ）万元 ×0.8％＝ 0.</w:t>
      </w:r>
      <w:r>
        <w:rPr>
          <w:rFonts w:hint="eastAsia" w:ascii="宋体" w:hAnsi="宋体" w:cs="宋体"/>
          <w:color w:val="auto"/>
          <w:highlight w:val="none"/>
          <w:lang w:val="en-US" w:eastAsia="zh-CN"/>
        </w:rPr>
        <w:t>21296</w:t>
      </w:r>
      <w:r>
        <w:rPr>
          <w:rFonts w:hint="eastAsia" w:ascii="宋体" w:hAnsi="宋体" w:cs="宋体"/>
          <w:color w:val="auto"/>
          <w:highlight w:val="none"/>
        </w:rPr>
        <w:t>万元</w:t>
      </w:r>
    </w:p>
    <w:p w14:paraId="205E3E67">
      <w:pPr>
        <w:spacing w:line="360" w:lineRule="auto"/>
        <w:ind w:firstLine="420" w:firstLineChars="200"/>
        <w:rPr>
          <w:rFonts w:ascii="宋体" w:hAnsi="宋体" w:cs="宋体"/>
          <w:color w:val="auto"/>
          <w:highlight w:val="none"/>
        </w:rPr>
      </w:pPr>
      <w:r>
        <w:rPr>
          <w:rFonts w:hint="eastAsia" w:ascii="宋体" w:hAnsi="宋体" w:cs="宋体"/>
          <w:color w:val="auto"/>
          <w:highlight w:val="none"/>
        </w:rPr>
        <w:t xml:space="preserve">合计收费＝ 1.5 ＋ 0.21296＝ </w:t>
      </w:r>
      <w:r>
        <w:rPr>
          <w:rFonts w:hint="eastAsia" w:ascii="宋体" w:hAnsi="宋体" w:cs="宋体"/>
          <w:color w:val="auto"/>
          <w:highlight w:val="none"/>
          <w:lang w:val="en-US" w:eastAsia="zh-CN"/>
        </w:rPr>
        <w:t>1</w:t>
      </w:r>
      <w:r>
        <w:rPr>
          <w:rFonts w:hint="eastAsia" w:ascii="宋体" w:hAnsi="宋体" w:cs="宋体"/>
          <w:color w:val="auto"/>
          <w:highlight w:val="none"/>
        </w:rPr>
        <w:t>.</w:t>
      </w:r>
      <w:r>
        <w:rPr>
          <w:rFonts w:hint="eastAsia" w:ascii="宋体" w:hAnsi="宋体" w:cs="宋体"/>
          <w:color w:val="auto"/>
          <w:highlight w:val="none"/>
          <w:lang w:val="en-US" w:eastAsia="zh-CN"/>
        </w:rPr>
        <w:t>71296</w:t>
      </w:r>
      <w:r>
        <w:rPr>
          <w:rFonts w:hint="eastAsia" w:ascii="宋体" w:hAnsi="宋体" w:cs="宋体"/>
          <w:color w:val="auto"/>
          <w:highlight w:val="none"/>
        </w:rPr>
        <w:t>万元</w:t>
      </w:r>
    </w:p>
    <w:p w14:paraId="051D4068">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34</w:t>
      </w:r>
      <w:r>
        <w:rPr>
          <w:rFonts w:ascii="黑体" w:hAnsi="黑体" w:eastAsia="黑体" w:cs="宋体"/>
          <w:b/>
          <w:bCs/>
          <w:color w:val="auto"/>
          <w:sz w:val="24"/>
          <w:highlight w:val="none"/>
        </w:rPr>
        <w:t>.需要补充的其他内容</w:t>
      </w:r>
    </w:p>
    <w:p w14:paraId="546E850F">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34.1本磋商文件解释规则详见“供应商须知前附表”。</w:t>
      </w:r>
    </w:p>
    <w:p w14:paraId="7CE09719">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34.2 其他事项详见“供应商须知前附表”。</w:t>
      </w:r>
    </w:p>
    <w:p w14:paraId="0771A5A6">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34.3本文件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w:t>
      </w:r>
      <w:r>
        <w:rPr>
          <w:rFonts w:hint="eastAsia" w:ascii="宋体" w:hAnsi="宋体" w:cs="宋体"/>
          <w:color w:val="auto"/>
          <w:kern w:val="0"/>
          <w:szCs w:val="21"/>
          <w:highlight w:val="none"/>
        </w:rPr>
        <w:t>服务由中小企业承接，即提供服务的人员为中小企业依照《中华人民共和国劳动合同法》订立劳动合同的从业人员，不对其中涉及的货物的制造商和工程承建商作出要求的</w:t>
      </w:r>
      <w:r>
        <w:rPr>
          <w:rFonts w:hint="eastAsia" w:ascii="宋体" w:hAnsi="宋体" w:cs="宋体"/>
          <w:color w:val="auto"/>
          <w:szCs w:val="21"/>
          <w:highlight w:val="none"/>
        </w:rPr>
        <w:t>，享受本文件规定的中小企业扶持政策。</w:t>
      </w:r>
    </w:p>
    <w:p w14:paraId="3EF6A7EC">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以联合体形式参加政府采购活动，联合体各方均为中小企业的，联合体视同中小企业。其中，联合体各方均为小微企业的，联合体视同小微企业。</w:t>
      </w:r>
    </w:p>
    <w:p w14:paraId="34770CEE">
      <w:pPr>
        <w:spacing w:line="360" w:lineRule="auto"/>
        <w:ind w:firstLine="420" w:firstLineChars="200"/>
        <w:textAlignment w:val="center"/>
        <w:rPr>
          <w:rFonts w:ascii="宋体" w:hAnsi="宋体" w:cs="宋体"/>
          <w:color w:val="auto"/>
          <w:szCs w:val="21"/>
          <w:highlight w:val="none"/>
        </w:rPr>
      </w:pPr>
      <w:r>
        <w:rPr>
          <w:rFonts w:hint="eastAsia" w:ascii="宋体" w:hAnsi="宋体" w:cs="宋体"/>
          <w:color w:val="auto"/>
          <w:szCs w:val="21"/>
          <w:highlight w:val="none"/>
        </w:rPr>
        <w:t>依据本文件规定享受扶持政策获得政府采购合同的，小微企业不得将合同分包给大中型企业，中型企业不得将合同分包给大型企业。</w:t>
      </w:r>
    </w:p>
    <w:p w14:paraId="183AB2D1">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 广西线上“政采贷”政策告知函</w:t>
      </w:r>
    </w:p>
    <w:p w14:paraId="1F17F131">
      <w:pPr>
        <w:spacing w:line="580" w:lineRule="exact"/>
        <w:jc w:val="center"/>
        <w:rPr>
          <w:rFonts w:ascii="宋体" w:hAnsi="宋体" w:cs="宋体"/>
          <w:color w:val="auto"/>
          <w:sz w:val="32"/>
          <w:szCs w:val="32"/>
          <w:highlight w:val="none"/>
        </w:rPr>
      </w:pPr>
    </w:p>
    <w:p w14:paraId="2018423B">
      <w:pPr>
        <w:spacing w:line="58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br w:type="page"/>
      </w:r>
      <w:r>
        <w:rPr>
          <w:rFonts w:hint="eastAsia" w:ascii="宋体" w:hAnsi="宋体" w:cs="宋体"/>
          <w:color w:val="auto"/>
          <w:sz w:val="32"/>
          <w:szCs w:val="32"/>
          <w:highlight w:val="none"/>
        </w:rPr>
        <w:t>广西线上“政采贷”政策告知函</w:t>
      </w:r>
    </w:p>
    <w:p w14:paraId="19B3135F">
      <w:pPr>
        <w:spacing w:line="580" w:lineRule="exact"/>
        <w:ind w:firstLine="420" w:firstLineChars="200"/>
        <w:rPr>
          <w:rFonts w:ascii="宋体" w:hAnsi="宋体" w:cs="宋体"/>
          <w:color w:val="auto"/>
          <w:szCs w:val="32"/>
          <w:highlight w:val="none"/>
        </w:rPr>
      </w:pPr>
    </w:p>
    <w:p w14:paraId="10AA9E92">
      <w:pPr>
        <w:spacing w:line="580" w:lineRule="exact"/>
        <w:rPr>
          <w:rFonts w:ascii="宋体" w:hAnsi="宋体" w:cs="宋体"/>
          <w:color w:val="auto"/>
          <w:szCs w:val="21"/>
          <w:highlight w:val="none"/>
        </w:rPr>
      </w:pPr>
      <w:r>
        <w:rPr>
          <w:rFonts w:hint="eastAsia" w:ascii="宋体" w:hAnsi="宋体" w:cs="宋体"/>
          <w:color w:val="auto"/>
          <w:szCs w:val="21"/>
          <w:highlight w:val="none"/>
        </w:rPr>
        <w:t>各供应商：</w:t>
      </w:r>
    </w:p>
    <w:p w14:paraId="4D12A48A">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欢迎贵公司参与广西政府采购活动！</w:t>
      </w:r>
    </w:p>
    <w:p w14:paraId="6BD1B013">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线上“政采贷”是人民银行南宁中心支行和自治区财政厅共同支持企业发展，针对参与政府采购活动的企业融资难、融资贵、融资慢、融资繁问题推出的一项融资政策。贵公司若成为本次政府采购项目的中标（成交）供应商，可持政府采购合同在线向银行业金融机构申请贷款，融资机构将根据《中国人民银行南宁中心支行 广西壮族自治区财政厅关于推广线上“政采贷”融资模式的通知》（南宁银发〔2021〕258号），按照双方自愿的原则提供便捷、优惠的贷款服务。</w:t>
      </w:r>
    </w:p>
    <w:p w14:paraId="20B685E7">
      <w:pPr>
        <w:spacing w:line="5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相关金融产品和银行业金融机构联系方式，可在中征应收账款融资服务平台查询（网址：</w:t>
      </w:r>
      <w:r>
        <w:rPr>
          <w:color w:val="auto"/>
          <w:highlight w:val="none"/>
        </w:rPr>
        <w:fldChar w:fldCharType="begin"/>
      </w:r>
      <w:r>
        <w:rPr>
          <w:color w:val="auto"/>
          <w:highlight w:val="none"/>
        </w:rPr>
        <w:instrText xml:space="preserve"> HYPERLINK "https://www.crcrfsp.com/" </w:instrText>
      </w:r>
      <w:r>
        <w:rPr>
          <w:color w:val="auto"/>
          <w:highlight w:val="none"/>
        </w:rPr>
        <w:fldChar w:fldCharType="separate"/>
      </w:r>
      <w:r>
        <w:rPr>
          <w:rStyle w:val="36"/>
          <w:rFonts w:hint="eastAsia" w:ascii="宋体" w:hAnsi="宋体" w:cs="宋体"/>
          <w:color w:val="auto"/>
          <w:szCs w:val="21"/>
          <w:highlight w:val="none"/>
        </w:rPr>
        <w:t>https://www.crcrfsp.com/</w:t>
      </w:r>
      <w:r>
        <w:rPr>
          <w:rStyle w:val="36"/>
          <w:rFonts w:hint="eastAsia" w:ascii="宋体" w:hAnsi="宋体" w:cs="宋体"/>
          <w:color w:val="auto"/>
          <w:szCs w:val="21"/>
          <w:highlight w:val="none"/>
        </w:rPr>
        <w:fldChar w:fldCharType="end"/>
      </w:r>
      <w:r>
        <w:rPr>
          <w:rFonts w:hint="eastAsia" w:ascii="宋体" w:hAnsi="宋体" w:cs="宋体"/>
          <w:color w:val="auto"/>
          <w:szCs w:val="21"/>
          <w:highlight w:val="none"/>
        </w:rPr>
        <w:t>，客服电话：400-009-0001）。</w:t>
      </w:r>
    </w:p>
    <w:p w14:paraId="36793EB2">
      <w:pPr>
        <w:pStyle w:val="23"/>
        <w:rPr>
          <w:rFonts w:ascii="宋体" w:hAnsi="宋体" w:cs="宋体"/>
          <w:color w:val="auto"/>
          <w:szCs w:val="21"/>
          <w:highlight w:val="none"/>
        </w:rPr>
      </w:pPr>
      <w:r>
        <w:rPr>
          <w:rFonts w:hint="eastAsia" w:ascii="宋体" w:hAnsi="宋体" w:cs="宋体"/>
          <w:color w:val="auto"/>
          <w:szCs w:val="21"/>
          <w:highlight w:val="none"/>
        </w:rPr>
        <w:br w:type="page"/>
      </w:r>
    </w:p>
    <w:p w14:paraId="06EA5C0C">
      <w:pPr>
        <w:pStyle w:val="2"/>
        <w:spacing w:line="240" w:lineRule="auto"/>
        <w:jc w:val="center"/>
        <w:rPr>
          <w:rFonts w:ascii="Calibri" w:hAnsi="Calibri"/>
          <w:color w:val="auto"/>
          <w:highlight w:val="none"/>
        </w:rPr>
      </w:pPr>
      <w:bookmarkStart w:id="111" w:name="_Toc3976"/>
      <w:bookmarkStart w:id="112" w:name="_Toc1088"/>
      <w:bookmarkStart w:id="113" w:name="_Toc28979"/>
      <w:bookmarkStart w:id="114" w:name="_Toc17511"/>
      <w:bookmarkStart w:id="115" w:name="_Toc8593"/>
      <w:bookmarkStart w:id="116" w:name="_Toc3879"/>
      <w:bookmarkStart w:id="117" w:name="_Toc80886937"/>
      <w:bookmarkStart w:id="118" w:name="_Toc8412"/>
      <w:r>
        <w:rPr>
          <w:rFonts w:hint="eastAsia" w:ascii="Calibri" w:hAnsi="Calibri"/>
          <w:color w:val="auto"/>
          <w:highlight w:val="none"/>
        </w:rPr>
        <w:t>第四章  评审程序、评审方法和评审标准</w:t>
      </w:r>
      <w:bookmarkEnd w:id="111"/>
      <w:bookmarkEnd w:id="112"/>
      <w:bookmarkEnd w:id="113"/>
      <w:bookmarkEnd w:id="114"/>
      <w:bookmarkEnd w:id="115"/>
      <w:bookmarkEnd w:id="116"/>
      <w:bookmarkEnd w:id="117"/>
      <w:bookmarkEnd w:id="118"/>
    </w:p>
    <w:p w14:paraId="74F444AB">
      <w:pPr>
        <w:pStyle w:val="3"/>
        <w:jc w:val="center"/>
        <w:rPr>
          <w:rFonts w:ascii="宋体" w:hAnsi="宋体"/>
          <w:b w:val="0"/>
          <w:color w:val="auto"/>
          <w:highlight w:val="none"/>
        </w:rPr>
      </w:pPr>
      <w:bookmarkStart w:id="119" w:name="_Toc17424"/>
      <w:bookmarkStart w:id="120" w:name="_Toc80886938"/>
      <w:bookmarkStart w:id="121" w:name="_Toc11607"/>
      <w:r>
        <w:rPr>
          <w:rFonts w:hint="eastAsia" w:ascii="宋体" w:hAnsi="宋体"/>
          <w:b w:val="0"/>
          <w:color w:val="auto"/>
          <w:highlight w:val="none"/>
        </w:rPr>
        <w:t>第一节 评审程序和评审方法</w:t>
      </w:r>
      <w:bookmarkEnd w:id="119"/>
      <w:bookmarkEnd w:id="120"/>
      <w:bookmarkEnd w:id="121"/>
    </w:p>
    <w:p w14:paraId="02A2CAA7">
      <w:pPr>
        <w:spacing w:line="360" w:lineRule="auto"/>
        <w:ind w:firstLine="482" w:firstLineChars="200"/>
        <w:rPr>
          <w:rFonts w:ascii="黑体" w:hAnsi="黑体" w:eastAsia="黑体" w:cs="宋体"/>
          <w:b/>
          <w:bCs/>
          <w:color w:val="auto"/>
          <w:sz w:val="24"/>
          <w:highlight w:val="none"/>
        </w:rPr>
      </w:pPr>
      <w:r>
        <w:rPr>
          <w:rFonts w:ascii="黑体" w:hAnsi="黑体" w:eastAsia="黑体" w:cs="宋体"/>
          <w:b/>
          <w:bCs/>
          <w:color w:val="auto"/>
          <w:sz w:val="24"/>
          <w:highlight w:val="none"/>
        </w:rPr>
        <w:t>1</w:t>
      </w:r>
      <w:r>
        <w:rPr>
          <w:rFonts w:hint="eastAsia" w:ascii="黑体" w:hAnsi="黑体" w:eastAsia="黑体" w:cs="宋体"/>
          <w:b/>
          <w:bCs/>
          <w:color w:val="auto"/>
          <w:sz w:val="24"/>
          <w:highlight w:val="none"/>
        </w:rPr>
        <w:t>.确认磋商文件</w:t>
      </w:r>
    </w:p>
    <w:p w14:paraId="7A9CC160">
      <w:pPr>
        <w:spacing w:line="360" w:lineRule="auto"/>
        <w:ind w:firstLine="420" w:firstLineChars="200"/>
        <w:rPr>
          <w:rFonts w:cs="宋体"/>
          <w:color w:val="auto"/>
          <w:szCs w:val="21"/>
          <w:highlight w:val="none"/>
        </w:rPr>
      </w:pPr>
      <w:r>
        <w:rPr>
          <w:rFonts w:hint="eastAsia" w:cs="宋体"/>
          <w:color w:val="auto"/>
          <w:szCs w:val="21"/>
          <w:highlight w:val="none"/>
        </w:rPr>
        <w:t>由磋商小组确认磋商文件。</w:t>
      </w:r>
    </w:p>
    <w:p w14:paraId="484F23DC">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2.资格审查</w:t>
      </w:r>
    </w:p>
    <w:p w14:paraId="49F804CF">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2.1响应文件开启后，磋商小组依法对供应商的资格文件进行审查。</w:t>
      </w:r>
    </w:p>
    <w:p w14:paraId="12656B8B">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注：采购人代表或者采购代理机构在资格审查结束前，对供应商进行信用查询。</w:t>
      </w:r>
    </w:p>
    <w:p w14:paraId="7250267B">
      <w:pPr>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（1）查询渠道：广西政府采购云平台“信用中国”网站(</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Style w:val="38"/>
          <w:rFonts w:hint="eastAsia" w:ascii="宋体" w:hAnsi="宋体" w:cs="宋体"/>
          <w:color w:val="auto"/>
          <w:highlight w:val="none"/>
          <w:u w:val="none"/>
        </w:rPr>
        <w:t>www.creditchina.gov.cn</w:t>
      </w:r>
      <w:r>
        <w:rPr>
          <w:rStyle w:val="38"/>
          <w:rFonts w:hint="eastAsia" w:ascii="宋体" w:hAnsi="宋体" w:cs="宋体"/>
          <w:color w:val="auto"/>
          <w:highlight w:val="none"/>
          <w:u w:val="none"/>
        </w:rPr>
        <w:fldChar w:fldCharType="end"/>
      </w:r>
      <w:r>
        <w:rPr>
          <w:rFonts w:hint="eastAsia" w:ascii="宋体" w:hAnsi="宋体" w:cs="宋体"/>
          <w:color w:val="auto"/>
          <w:szCs w:val="21"/>
          <w:highlight w:val="none"/>
        </w:rPr>
        <w:t>)、中国政府采购网(</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Style w:val="38"/>
          <w:rFonts w:hint="eastAsia" w:ascii="宋体" w:hAnsi="宋体" w:cs="宋体"/>
          <w:color w:val="auto"/>
          <w:highlight w:val="none"/>
          <w:u w:val="none"/>
        </w:rPr>
        <w:t>www.ccgp.gov.cn</w:t>
      </w:r>
      <w:r>
        <w:rPr>
          <w:rStyle w:val="38"/>
          <w:rFonts w:hint="eastAsia" w:ascii="宋体" w:hAnsi="宋体" w:cs="宋体"/>
          <w:color w:val="auto"/>
          <w:highlight w:val="none"/>
          <w:u w:val="none"/>
        </w:rPr>
        <w:fldChar w:fldCharType="end"/>
      </w:r>
      <w:r>
        <w:rPr>
          <w:rFonts w:hint="eastAsia" w:ascii="宋体" w:hAnsi="宋体" w:cs="宋体"/>
          <w:color w:val="auto"/>
          <w:szCs w:val="21"/>
          <w:highlight w:val="none"/>
        </w:rPr>
        <w:t>)链接入口。</w:t>
      </w:r>
    </w:p>
    <w:p w14:paraId="4BA03969">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（2）信用查询截止时点：资格审查结束前。</w:t>
      </w:r>
    </w:p>
    <w:p w14:paraId="600E051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查询记录和证据留存方式：在查询网站中直接打印查询记录，截图另存为电子文档作为评审资料保存。</w:t>
      </w:r>
    </w:p>
    <w:p w14:paraId="03EF31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（3）信用信息使用规则：对在“信用中国”网站(www.creditchina.gov.cn) 、中国政府采购网(www.ccgp.gov.cn)被列入失信被执行人、重大税收违法失信主体、政府采购严重违法失信行为记录名单及其他不符合《中华人民共和国政府采购法》第二十二条规定条件的供应商，资格审查不通过，不得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p w14:paraId="2BAD4E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2.2资格审查标准为本磋商文件中载明对供应商资格要求的条件。资格审查采用合格制，凡符合磋商文件规定的供应商资格要求的响应文件均通过资格审查。</w:t>
      </w:r>
    </w:p>
    <w:p w14:paraId="2C296B2F">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2.3供应商有下列情形之一的，资格审查不通过，其响应文件按无效响应处理：</w:t>
      </w:r>
    </w:p>
    <w:p w14:paraId="22C309C5">
      <w:pPr>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（1）不具备磋商文件中规定的资格要求的；</w:t>
      </w:r>
    </w:p>
    <w:p w14:paraId="02170D2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（2）响应文件未提供任一项“供应商须知前附表”</w:t>
      </w:r>
      <w:r>
        <w:rPr>
          <w:rFonts w:hint="eastAsia" w:ascii="宋体" w:hAnsi="宋体" w:cs="宋体"/>
          <w:color w:val="auto"/>
          <w:szCs w:val="21"/>
          <w:highlight w:val="none"/>
          <w:lang w:eastAsia="zh-CN"/>
        </w:rPr>
        <w:t>资格文件</w:t>
      </w:r>
      <w:r>
        <w:rPr>
          <w:rFonts w:hint="eastAsia" w:ascii="宋体" w:hAnsi="宋体" w:cs="宋体"/>
          <w:color w:val="auto"/>
          <w:szCs w:val="21"/>
          <w:highlight w:val="none"/>
        </w:rPr>
        <w:t>规定的“必须提供”的文件资料的；</w:t>
      </w:r>
    </w:p>
    <w:p w14:paraId="01E9BAC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（3）响应文件提供的</w:t>
      </w:r>
      <w:r>
        <w:rPr>
          <w:rFonts w:hint="eastAsia" w:ascii="宋体" w:hAnsi="宋体" w:cs="宋体"/>
          <w:color w:val="auto"/>
          <w:szCs w:val="21"/>
          <w:highlight w:val="none"/>
          <w:lang w:eastAsia="zh-CN"/>
        </w:rPr>
        <w:t>资格文件</w:t>
      </w:r>
      <w:r>
        <w:rPr>
          <w:rFonts w:hint="eastAsia" w:ascii="宋体" w:hAnsi="宋体" w:cs="宋体"/>
          <w:color w:val="auto"/>
          <w:szCs w:val="21"/>
          <w:highlight w:val="none"/>
        </w:rPr>
        <w:t>出现任一项不符合“供应商须知前附表”</w:t>
      </w:r>
      <w:r>
        <w:rPr>
          <w:rFonts w:hint="eastAsia" w:ascii="宋体" w:hAnsi="宋体" w:cs="宋体"/>
          <w:color w:val="auto"/>
          <w:szCs w:val="21"/>
          <w:highlight w:val="none"/>
          <w:lang w:eastAsia="zh-CN"/>
        </w:rPr>
        <w:t>资格文件</w:t>
      </w:r>
      <w:r>
        <w:rPr>
          <w:rFonts w:hint="eastAsia" w:ascii="宋体" w:hAnsi="宋体" w:cs="宋体"/>
          <w:color w:val="auto"/>
          <w:szCs w:val="21"/>
          <w:highlight w:val="none"/>
        </w:rPr>
        <w:t>规定的“必须提供”的文件资料要求或者无效的。</w:t>
      </w:r>
    </w:p>
    <w:p w14:paraId="4000FC96">
      <w:pPr>
        <w:spacing w:line="360" w:lineRule="auto"/>
        <w:ind w:firstLine="420" w:firstLineChars="200"/>
        <w:rPr>
          <w:rFonts w:ascii="宋体" w:hAnsi="宋体" w:cs="宋体"/>
          <w:color w:val="auto"/>
          <w:szCs w:val="21"/>
          <w:highlight w:val="none"/>
        </w:rPr>
      </w:pPr>
      <w:bookmarkStart w:id="122" w:name="_Hlk68601553"/>
      <w:r>
        <w:rPr>
          <w:rFonts w:hint="eastAsia" w:ascii="宋体" w:hAnsi="宋体" w:cs="宋体"/>
          <w:color w:val="auto"/>
          <w:szCs w:val="21"/>
          <w:highlight w:val="none"/>
        </w:rPr>
        <w:t>（4）同一合同项下的不同供应商，单位负责人为同一人或者存在直接控股、管理关系的；为本项目提供过整体设计、规范编制或者项目管理、监理、检测等服务的。</w:t>
      </w:r>
      <w:bookmarkEnd w:id="122"/>
    </w:p>
    <w:p w14:paraId="2EF1698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2.4通过资格审查的合格供应商不足3家的，不得进入符合性审查环节，采购人或者采购代理机构应当重新开展采购活动。</w:t>
      </w:r>
    </w:p>
    <w:p w14:paraId="2B3FBD21">
      <w:pPr>
        <w:spacing w:line="360" w:lineRule="auto"/>
        <w:ind w:firstLine="482" w:firstLineChars="200"/>
        <w:rPr>
          <w:rFonts w:ascii="黑体" w:hAnsi="黑体" w:eastAsia="黑体" w:cs="宋体"/>
          <w:b/>
          <w:bCs/>
          <w:color w:val="auto"/>
          <w:sz w:val="24"/>
          <w:highlight w:val="none"/>
        </w:rPr>
      </w:pPr>
      <w:r>
        <w:rPr>
          <w:rFonts w:hint="eastAsia" w:ascii="黑体" w:hAnsi="黑体" w:eastAsia="黑体" w:cs="宋体"/>
          <w:b/>
          <w:bCs/>
          <w:color w:val="auto"/>
          <w:sz w:val="24"/>
          <w:highlight w:val="none"/>
        </w:rPr>
        <w:t>3.符合性审查</w:t>
      </w:r>
    </w:p>
    <w:p w14:paraId="5419C4A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3.1由磋商小组对通过资格审查的合格供应商的响应文件的响应报价、商务、技术等实质性要求进行符合性审查，以确定其是否满足磋商文件的实质性要求。</w:t>
      </w:r>
    </w:p>
    <w:p w14:paraId="2638EE7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3.2磋商小组在对响应文件进行符合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16B266AF">
      <w:pPr>
        <w:spacing w:line="360" w:lineRule="auto"/>
        <w:ind w:firstLine="420" w:firstLineChars="200"/>
        <w:rPr>
          <w:rFonts w:ascii="宋体" w:hAnsi="宋体" w:cs="宋体"/>
          <w:color w:val="auto"/>
          <w:spacing w:val="-6"/>
          <w:szCs w:val="21"/>
          <w:highlight w:val="none"/>
        </w:rPr>
      </w:pPr>
      <w:r>
        <w:rPr>
          <w:rFonts w:hint="eastAsia" w:ascii="宋体" w:hAnsi="宋体" w:cs="宋体"/>
          <w:color w:val="auto"/>
          <w:szCs w:val="21"/>
          <w:highlight w:val="none"/>
        </w:rPr>
        <w:t>3.3磋商小组要求供应商澄清、说明或者更正响应文件应当以电子澄清函形式作出。供应商的澄清、说明或者更正应当以电子回函形式按照磋商小组的要求作出明确的澄清、说明或者更正，未按磋商小组的要求作出明确澄清、说明或者更正的供应商的响应文件将按照有利于采购人的原则由磋商小组进行判定。供应商的澄清、说明或者更正必须由法定代表人或其授权代表签字或者加盖公章。供应商为自然人的，必须由本人签字并附身份证明。</w:t>
      </w:r>
    </w:p>
    <w:p w14:paraId="36EF68BB">
      <w:pPr>
        <w:spacing w:line="360" w:lineRule="auto"/>
        <w:ind w:firstLine="396" w:firstLineChars="200"/>
        <w:rPr>
          <w:rFonts w:ascii="宋体" w:hAnsi="宋体" w:cs="宋体"/>
          <w:color w:val="auto"/>
          <w:szCs w:val="21"/>
          <w:highlight w:val="none"/>
        </w:rPr>
      </w:pPr>
      <w:r>
        <w:rPr>
          <w:rFonts w:hint="eastAsia" w:ascii="宋体" w:hAnsi="宋体" w:cs="宋体"/>
          <w:color w:val="auto"/>
          <w:spacing w:val="-6"/>
          <w:szCs w:val="21"/>
          <w:highlight w:val="none"/>
        </w:rPr>
        <w:t>3.4</w:t>
      </w:r>
      <w:r>
        <w:rPr>
          <w:rFonts w:hint="eastAsia" w:ascii="宋体" w:hAnsi="宋体" w:cs="宋体"/>
          <w:color w:val="auto"/>
          <w:szCs w:val="21"/>
          <w:highlight w:val="none"/>
        </w:rPr>
        <w:t xml:space="preserve">首次响应文件报价出现前后不一致的，按照下列规定修正： </w:t>
      </w:r>
    </w:p>
    <w:p w14:paraId="2164666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（1）响应文件中响应报价表内容与响应文件中相应内容不一致的，以响应报价表为准；</w:t>
      </w:r>
    </w:p>
    <w:p w14:paraId="4763B4A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（2）大写金额和小写金额不一致的，以大写金额为准；</w:t>
      </w:r>
    </w:p>
    <w:p w14:paraId="01A2BEB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（3）单价金额小数点或者百分比有明显错位的，以响应报价表的总价为准，并修改单价；</w:t>
      </w:r>
    </w:p>
    <w:p w14:paraId="7F592C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（4）总价金额与按单价汇总金额不一致的，以单价金额计算结果为准。</w:t>
      </w:r>
    </w:p>
    <w:p w14:paraId="48018B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同时出现两种以上不一致的，按照以上（1）</w:t>
      </w:r>
      <w:r>
        <w:rPr>
          <w:rFonts w:hint="eastAsia" w:ascii="宋体" w:hAnsi="宋体" w:cs="宋体"/>
          <w:color w:val="auto"/>
          <w:szCs w:val="21"/>
          <w:highlight w:val="none"/>
          <w:lang w:val="en-US" w:eastAsia="zh-CN"/>
        </w:rPr>
        <w:t>～</w:t>
      </w:r>
      <w:r>
        <w:rPr>
          <w:rFonts w:hint="eastAsia" w:ascii="宋体" w:hAnsi="宋体" w:cs="宋体"/>
          <w:color w:val="auto"/>
          <w:szCs w:val="21"/>
          <w:highlight w:val="none"/>
        </w:rPr>
        <w:t>（4）规定的顺序逐条进行修正。修正后的报价经供应商确认后产生约束力，供应商不确认的，其响应文件按无效响应处理。</w:t>
      </w:r>
    </w:p>
    <w:p w14:paraId="7CBA191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3.5商务技术、报价评审</w:t>
      </w:r>
    </w:p>
    <w:p w14:paraId="4ED10ED4">
      <w:pPr>
        <w:spacing w:line="360" w:lineRule="auto"/>
        <w:ind w:firstLine="422" w:firstLineChars="200"/>
        <w:rPr>
          <w:rFonts w:ascii="宋体" w:hAnsi="宋体" w:cs="宋体"/>
          <w:b/>
          <w:bCs/>
          <w:color w:val="auto"/>
          <w:szCs w:val="21"/>
          <w:highlight w:val="none"/>
        </w:rPr>
      </w:pPr>
      <w:r>
        <w:rPr>
          <w:rFonts w:hint="eastAsia" w:ascii="宋体" w:hAnsi="宋体" w:cs="宋体"/>
          <w:b/>
          <w:bCs/>
          <w:color w:val="auto"/>
          <w:szCs w:val="21"/>
          <w:highlight w:val="none"/>
        </w:rPr>
        <w:t>在评审时，如发现下列情形之一的，将被视为响应文件无效处理：</w:t>
      </w:r>
    </w:p>
    <w:p w14:paraId="225E5C1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（1）商务技术评审</w:t>
      </w:r>
    </w:p>
    <w:p w14:paraId="40A755F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1）响应文件未按磋商文件要求签署、盖章；</w:t>
      </w:r>
    </w:p>
    <w:p w14:paraId="6D7D0B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2）委托代理人未能出具有效身份证明或者出具的身份证明与授权委托书中的信息不符； </w:t>
      </w:r>
    </w:p>
    <w:p w14:paraId="2B57168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3）响应文件未提供任一项“供应商须知前附表” 商务技术文件中 “必须提供”或者“委托时必须提供”的文件资料；响应文件提供的商务技术文件出现任一项不符合“供应商须知前附表”商务技术文件中 “必须提供”或者“委托时必须提供”文件资料要求的规定或者提供的商务技术文件无效。</w:t>
      </w:r>
    </w:p>
    <w:p w14:paraId="680E46D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4）商务条款中标“▲”的条款发生负偏离的或者允许负偏离的条款数超过“供应商须知前附表”规定项数的或者标明实质性的要求发生负偏离；</w:t>
      </w:r>
    </w:p>
    <w:p w14:paraId="51FD035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5）未对竞标有效期作出响应或者响应文件承诺的竞标有效期不满足磋商文件要求；</w:t>
      </w:r>
    </w:p>
    <w:p w14:paraId="062832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6）响应文件的实质性内容未使用中文表述、使用计量单位不符合磋商文件要求；</w:t>
      </w:r>
    </w:p>
    <w:p w14:paraId="22FCFF7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7）响应文件中的文件资料因填写不齐全或者内容虚假或者出现其他情形而导致被磋商小组认定无效；</w:t>
      </w:r>
    </w:p>
    <w:p w14:paraId="227F8D3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8）响应文件含有采购人不能接受的附加条件；</w:t>
      </w:r>
    </w:p>
    <w:p w14:paraId="16425399">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9）属于“供应商须知正文”第7.5条情形；</w:t>
      </w:r>
    </w:p>
    <w:p w14:paraId="57BFB0F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10）技术需求允许负偏离的条款数超过“供应商须知前附表”规定项数；</w:t>
      </w:r>
    </w:p>
    <w:p w14:paraId="1BBAB8A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11）虚假竞标，或者出现其他情形而导致被磋商小组认定无效；</w:t>
      </w:r>
    </w:p>
    <w:p w14:paraId="4E72F05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12）竞标技术方案不明确，磋商文件未允许但响应文件中存在一个或者一个以上备选（替代）竞标方案；</w:t>
      </w:r>
    </w:p>
    <w:p w14:paraId="79DFF7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13）响应文件标注的项目名称或者项目编号与竞争性磋商文件标注的项目名称或者项目编号不一致的；</w:t>
      </w:r>
    </w:p>
    <w:p w14:paraId="68FCFF8F">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14）未响应磋商文件实质性要求；</w:t>
      </w:r>
    </w:p>
    <w:p w14:paraId="0F696883">
      <w:pPr>
        <w:pStyle w:val="15"/>
        <w:ind w:firstLine="420" w:firstLineChars="200"/>
        <w:rPr>
          <w:rFonts w:ascii="宋体" w:hAnsi="宋体" w:cs="宋体"/>
          <w:color w:val="auto"/>
          <w:highlight w:val="none"/>
        </w:rPr>
      </w:pPr>
      <w:r>
        <w:rPr>
          <w:rFonts w:hint="eastAsia" w:ascii="宋体" w:hAnsi="宋体" w:cs="宋体"/>
          <w:color w:val="auto"/>
          <w:szCs w:val="21"/>
          <w:highlight w:val="none"/>
        </w:rPr>
        <w:t>15）提交的磋商保证金无效的或者未按照磋商文件的规定提交磋商保证金；</w:t>
      </w:r>
    </w:p>
    <w:p w14:paraId="2D1573C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16）法律、法规和磋商文件规定的其他无效情形。</w:t>
      </w:r>
    </w:p>
    <w:p w14:paraId="1B3571C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（2）报价评审</w:t>
      </w:r>
    </w:p>
    <w:p w14:paraId="2A4E3F3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响应文件未提供“供应商须知前附表” 报价文件中规定的“响应报价表”；</w:t>
      </w:r>
    </w:p>
    <w:p w14:paraId="6A70D37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2）未采用人民币报价或者未按照磋商文件标明的币种报价；</w:t>
      </w:r>
    </w:p>
    <w:p w14:paraId="4C96CA2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供应商未就所竞标项目/分标进行报价或者存在漏项报价；供应商未就所竞标项目/分标的单项内容作唯一报价；供应商未就所竞标项目/分标的全部内容作唯一总价报价；供应商响应文件中存在有选择、有条件报价的（磋商文件允许有备选方案或者其他约定的除外）；</w:t>
      </w:r>
    </w:p>
    <w:p w14:paraId="33E7E5B3">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响应报价（包含首次报价、最后报价）超过所竞标项目/分标规定的采购预算金额或者最高限价的（如本项目公布了最高限价）；响应报价（包含首次报价、最后报价）超过磋商文件分项采购预算金额或者最高限价的（如本项目公布了最高限价）；</w:t>
      </w:r>
    </w:p>
    <w:p w14:paraId="48306CB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修正后的报价，供应商不确认的；或者经供应商确认修正后的响应报价（包含首次报价、最后报价）超过所竞标项目/分标规定的采购预算金额或者最高限价（如本项目公布了最高限价）；或者经供应商确认修正后响应报价（包含首次报价、最后报价）超过磋商文件分项采购预算金额或者最高限价的（如本项目公布了最高限价）。</w:t>
      </w:r>
    </w:p>
    <w:p w14:paraId="269F1E8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6）响应文件响应的标的数量及单位与竞争性磋商文件要求实质性不一致的。</w:t>
      </w:r>
    </w:p>
    <w:p w14:paraId="102E165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3.6磋商小组对响应文件进行评审，未实质性响应磋商文件的响应文件按无效处理，磋商小组应当将资格和符合性不通过的情况告知有关供应商。磋商小组从符合磋商文件规定的相应资格条件的供应商名单中确定不少于3家的供应商参加磋商。</w:t>
      </w:r>
    </w:p>
    <w:p w14:paraId="7A9534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3.7非政府购买服务项目，通过符合性审查的合格供应商不足3家的，不得进入磋商环节，采购人或者采购代理机构应当重新开展采购活动。政府购买服务项目，按《财政部关于政府采购竞争性磋商采购方式管理暂行办法有关问题的补充通知》（财库〔2015〕124号）规定，采购过程中通过符合性审查的供应商（社会资本）只有2家的，磋商采购活动可以继续进行。</w:t>
      </w:r>
    </w:p>
    <w:p w14:paraId="44626768">
      <w:pPr>
        <w:ind w:firstLine="482" w:firstLineChars="200"/>
        <w:rPr>
          <w:rFonts w:ascii="宋体" w:hAnsi="宋体" w:cs="宋体"/>
          <w:b/>
          <w:bCs/>
          <w:color w:val="auto"/>
          <w:sz w:val="24"/>
          <w:highlight w:val="none"/>
        </w:rPr>
      </w:pPr>
      <w:r>
        <w:rPr>
          <w:rFonts w:hint="eastAsia" w:ascii="宋体" w:hAnsi="宋体" w:cs="宋体"/>
          <w:b/>
          <w:bCs/>
          <w:color w:val="auto"/>
          <w:sz w:val="24"/>
          <w:highlight w:val="none"/>
        </w:rPr>
        <w:t>4.磋商程序</w:t>
      </w:r>
    </w:p>
    <w:p w14:paraId="1FCEB2AC">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4.1磋商小组按照“供应商须知前附表”</w:t>
      </w:r>
      <w:r>
        <w:rPr>
          <w:rFonts w:hint="eastAsia" w:ascii="宋体" w:hAnsi="宋体" w:cs="宋体"/>
          <w:color w:val="auto"/>
          <w:szCs w:val="21"/>
          <w:highlight w:val="none"/>
        </w:rPr>
        <w:t xml:space="preserve"> </w:t>
      </w:r>
      <w:r>
        <w:rPr>
          <w:rFonts w:hint="eastAsia" w:ascii="宋体" w:hAnsi="宋体" w:cs="宋体"/>
          <w:color w:val="auto"/>
          <w:kern w:val="0"/>
          <w:szCs w:val="21"/>
          <w:highlight w:val="none"/>
        </w:rPr>
        <w:t>确定的</w:t>
      </w:r>
      <w:r>
        <w:rPr>
          <w:rFonts w:hint="eastAsia" w:ascii="宋体" w:hAnsi="宋体" w:cs="宋体"/>
          <w:color w:val="auto"/>
          <w:szCs w:val="21"/>
          <w:highlight w:val="none"/>
        </w:rPr>
        <w:t>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49E6110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4.2在磋商过程中，磋商小组可以根据磋商文件和磋商情况实质性变动采购需求中的商务、服务要求以及合同草案条款，但不得变动磋商文件中的其他内容。实质性变动的内容，须经采购人代表确认。可能实质性变动的内容为采购需求中的商务、服务要求以及合同草案条款。</w:t>
      </w:r>
    </w:p>
    <w:p w14:paraId="33E8148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4.3对磋商文件作出的实质性变动是磋商文件的有效组成部分，由磋商小组及时以电子澄清函形式同时通知所有参加磋商的供应商。</w:t>
      </w:r>
    </w:p>
    <w:p w14:paraId="18E5B5F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4.4供应商必须按照磋商文件的变动情况和磋商小组的要求以回函的形式重新提交响应文件，并加盖供应商公章。供应商为自然人的，必须由本人签字并附身份证明。参加磋商的供应商未在规定时间内重新提交响应文件的，视同退出磋商。</w:t>
      </w:r>
    </w:p>
    <w:p w14:paraId="3337E49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4.5磋商中，</w:t>
      </w:r>
      <w:r>
        <w:rPr>
          <w:rFonts w:hint="eastAsia" w:ascii="宋体" w:hAnsi="宋体" w:cs="宋体"/>
          <w:color w:val="auto"/>
          <w:spacing w:val="-6"/>
          <w:szCs w:val="21"/>
          <w:highlight w:val="none"/>
        </w:rPr>
        <w:t>磋商的任何一方不得透露与磋商有关的其他供应商的技术资料、价格和其他信息。</w:t>
      </w:r>
    </w:p>
    <w:p w14:paraId="1F268EF7">
      <w:pPr>
        <w:widowControl/>
        <w:tabs>
          <w:tab w:val="left" w:pos="540"/>
        </w:tabs>
        <w:spacing w:line="360" w:lineRule="auto"/>
        <w:ind w:firstLine="420" w:firstLineChars="200"/>
        <w:jc w:val="left"/>
        <w:rPr>
          <w:rFonts w:ascii="宋体" w:hAnsi="宋体" w:cs="宋体"/>
          <w:b/>
          <w:color w:val="auto"/>
          <w:highlight w:val="none"/>
        </w:rPr>
      </w:pPr>
      <w:r>
        <w:rPr>
          <w:rFonts w:hint="eastAsia" w:ascii="宋体" w:hAnsi="宋体" w:cs="宋体"/>
          <w:color w:val="auto"/>
          <w:szCs w:val="21"/>
          <w:highlight w:val="none"/>
        </w:rPr>
        <w:t>4.6磋商小组应对磋商过程和重要磋商内容进行记录，作为评审报告一部分，磋商小组在记录上签字确认。</w:t>
      </w:r>
    </w:p>
    <w:p w14:paraId="1DCE1745">
      <w:pPr>
        <w:widowControl/>
        <w:tabs>
          <w:tab w:val="left" w:pos="540"/>
        </w:tabs>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4.7磋商过程中重新提交的响应文件，供应商可以在开启前补充、修改。</w:t>
      </w:r>
    </w:p>
    <w:p w14:paraId="0E5F15F7">
      <w:pPr>
        <w:tabs>
          <w:tab w:val="left" w:pos="2835"/>
        </w:tabs>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4.8对磋商过程提交的响应文件进行有效性、完整性和响应程度审查，通过审查的合格供应商不足3家的，采购人或者采购代理机构应当重新开展采购活动。</w:t>
      </w:r>
    </w:p>
    <w:p w14:paraId="559FEB7F">
      <w:pPr>
        <w:ind w:firstLine="200"/>
        <w:rPr>
          <w:rFonts w:ascii="宋体" w:hAnsi="宋体" w:cs="宋体"/>
          <w:color w:val="auto"/>
          <w:szCs w:val="21"/>
          <w:highlight w:val="none"/>
        </w:rPr>
      </w:pPr>
      <w:r>
        <w:rPr>
          <w:rFonts w:hint="eastAsia" w:ascii="宋体" w:hAnsi="宋体" w:cs="宋体"/>
          <w:b/>
          <w:bCs/>
          <w:color w:val="auto"/>
          <w:sz w:val="24"/>
          <w:highlight w:val="none"/>
        </w:rPr>
        <w:t>5. 最后报价</w:t>
      </w:r>
    </w:p>
    <w:p w14:paraId="06B5D2E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磋商文件能够详细列明采购标的的技术、服务要求的，磋商结束后，由磋商小组要求所有继续参加磋商的供应商在规定时间内提交最后报价，除本章第5.3条外，提交最后报价的供应商不得少于3家，否则必须重新采购。</w:t>
      </w:r>
    </w:p>
    <w:p w14:paraId="1F999CC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5.2磋商文件不能详细列明采购标的的技术、服务要求，需经磋商由供应商提供最后设计方案或者解决方案的，磋商结束后，由磋商小组按照少数服从多数的原则投票推荐3家以上供应商的设计方案或者解决方案，并要求其在规定时间内提交最后报价。</w:t>
      </w:r>
    </w:p>
    <w:p w14:paraId="485A0EA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5.3 最后报价是供应商响应文件的有效组成部分。符合《政府采购竞争性磋商采购方式管理暂行办法》（财库〔2014〕214号）第三条第四项“市场竞争不充分的科研项目，以及需要扶持的科技成果转化项目”的，提交最后报价的供应商可以为2家。</w:t>
      </w:r>
    </w:p>
    <w:p w14:paraId="7CA93ED2">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5.4已经提交响应文件的供应商，在提交最后报价之前，可以根据磋商情况退出磋商，退出磋商的供应商的响应文件按无效响应处理。</w:t>
      </w:r>
    </w:p>
    <w:p w14:paraId="0B3FA5E7">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5.5供应商未在规定时间内提交最后报价的，视同退出磋商，其响应文件按无效处理。</w:t>
      </w:r>
    </w:p>
    <w:p w14:paraId="5AB251D5">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5.6磋商小组收齐本项目/某一分标最后报价后统一开启，磋商小组对最后报价进行有效性、完整性和响应程度的审查。</w:t>
      </w:r>
    </w:p>
    <w:p w14:paraId="6CEE6A8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 xml:space="preserve">5.7最终响应文件的报价出现前后不一致的，按照本章第3.4条的规定修正。 </w:t>
      </w:r>
    </w:p>
    <w:p w14:paraId="6A89CD6E">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5.8修正后的最后报价出现下列情形的，按无效响应处理：</w:t>
      </w:r>
    </w:p>
    <w:p w14:paraId="77A629D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（1）供应商不确认的（全流程电子化评标采取在线确认）；</w:t>
      </w:r>
    </w:p>
    <w:p w14:paraId="7D1B964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（2）经供应商确认修正后的响应报价（包含首次报价、最后报价）超过所竞标项目/分标规定的采购预算金额或者最高限价的（如本项目公布了最高限价）；</w:t>
      </w:r>
    </w:p>
    <w:p w14:paraId="273A7BD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（3）经供应商确认修正后的响应报价（包含首次报价、最后报价）超过分项采购预算金额或者最高限价的（如本项目公布了最高限价）。</w:t>
      </w:r>
    </w:p>
    <w:p w14:paraId="1A729BE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5.9经供应商确认修正后的最后报价作为评审及签订合同的依据。</w:t>
      </w:r>
    </w:p>
    <w:p w14:paraId="6B1AA4F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5.10供应商出现最后报价按无效响应处理或者响应文件按无效处理时</w:t>
      </w:r>
      <w:r>
        <w:rPr>
          <w:rFonts w:hint="eastAsia" w:ascii="宋体" w:hAnsi="宋体" w:cs="宋体"/>
          <w:color w:val="auto"/>
          <w:sz w:val="22"/>
          <w:szCs w:val="22"/>
          <w:highlight w:val="none"/>
        </w:rPr>
        <w:t>，磋商小组应当告知有关供应商</w:t>
      </w:r>
      <w:r>
        <w:rPr>
          <w:rFonts w:hint="eastAsia" w:ascii="宋体" w:hAnsi="宋体" w:cs="宋体"/>
          <w:color w:val="auto"/>
          <w:szCs w:val="21"/>
          <w:highlight w:val="none"/>
        </w:rPr>
        <w:t>。</w:t>
      </w:r>
    </w:p>
    <w:p w14:paraId="2CB5EAB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5.11最后报价结束后，磋商小组不得再与供应商进行任何形式的商谈。</w:t>
      </w:r>
    </w:p>
    <w:p w14:paraId="1E8A77EC">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5.12采购评审中出现下列情形之一的，磋商小组应当启动异常低价响应审查程序：</w:t>
      </w:r>
    </w:p>
    <w:p w14:paraId="530D8D48">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A.最后报价低于全部通过符合性审查供应商最后报价平均值</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%的，即最后报价＜全部通过符合性审查供应商最后报价平均值×</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 xml:space="preserve">%； </w:t>
      </w:r>
    </w:p>
    <w:p w14:paraId="304D7A97">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B.最后报价低于通过符合性审查的次低报价供应商最后报价</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%的，即最后报价＜通过符合性审查的次低报价供应商最后报价×</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 xml:space="preserve">%； </w:t>
      </w:r>
    </w:p>
    <w:p w14:paraId="750E347E">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C.最后报价低于采购项目最高限价</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%的，即最后报价＜采购项目最高限价×</w:t>
      </w:r>
      <w:r>
        <w:rPr>
          <w:rFonts w:hint="eastAsia" w:ascii="宋体" w:hAnsi="宋体" w:cs="宋体"/>
          <w:color w:val="auto"/>
          <w:szCs w:val="21"/>
          <w:highlight w:val="none"/>
          <w:lang w:val="en-US" w:eastAsia="zh-CN"/>
        </w:rPr>
        <w:t>65</w:t>
      </w:r>
      <w:r>
        <w:rPr>
          <w:rFonts w:hint="eastAsia" w:ascii="宋体" w:hAnsi="宋体" w:cs="宋体"/>
          <w:color w:val="auto"/>
          <w:szCs w:val="21"/>
          <w:highlight w:val="none"/>
        </w:rPr>
        <w:t>%；</w:t>
      </w:r>
    </w:p>
    <w:p w14:paraId="03BA2EF2">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D.磋商小组基于专业判断，认为供应商报价过低，有可能影响产品质量或者不能诚信履约的其他情形。</w:t>
      </w:r>
    </w:p>
    <w:p w14:paraId="4F3955E3">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相关法律法规对供应商报价有规定的，从其规定。</w:t>
      </w:r>
    </w:p>
    <w:p w14:paraId="139D05EA">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5.13磋商小组启动异常低价响应审查后，属于上述A项至D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上述C项情形，供应商已随响应文件一并提交相关书面说明及必要的证明材料的，在评审现场可不再重复提交。</w:t>
      </w:r>
    </w:p>
    <w:p w14:paraId="78F065F9">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5.14磋商小组依据专业经验，参考同类项目中标（成交）价格、类似产品市场价格水平、行业人工费用标准、国家有关部门指导行业协会发布的行业平均成本等情况，对报价合理性进行判断。</w:t>
      </w:r>
      <w:r>
        <w:rPr>
          <w:rFonts w:hint="eastAsia" w:ascii="宋体" w:hAnsi="宋体" w:cs="宋体"/>
          <w:b/>
          <w:bCs/>
          <w:color w:val="auto"/>
          <w:szCs w:val="21"/>
          <w:highlight w:val="none"/>
        </w:rPr>
        <w:t>供应商不能提供书面说明、证明材料，或者提供的书面说明、证明材料不能证明其报价合理性的，磋商小组应当将其作为无效响应处理。</w:t>
      </w:r>
    </w:p>
    <w:p w14:paraId="6EB16F52">
      <w:pPr>
        <w:pStyle w:val="23"/>
        <w:spacing w:line="360" w:lineRule="auto"/>
        <w:ind w:firstLine="422" w:firstLineChars="200"/>
        <w:rPr>
          <w:color w:val="auto"/>
          <w:highlight w:val="none"/>
        </w:rPr>
      </w:pPr>
      <w:r>
        <w:rPr>
          <w:rFonts w:hint="eastAsia" w:ascii="宋体" w:hAnsi="宋体" w:cs="宋体"/>
          <w:b/>
          <w:bCs/>
          <w:color w:val="auto"/>
          <w:sz w:val="21"/>
          <w:szCs w:val="21"/>
          <w:highlight w:val="none"/>
        </w:rPr>
        <w:t>注：</w:t>
      </w:r>
      <w:r>
        <w:rPr>
          <w:rFonts w:hint="eastAsia"/>
          <w:b/>
          <w:bCs/>
          <w:color w:val="auto"/>
          <w:sz w:val="21"/>
          <w:szCs w:val="21"/>
          <w:highlight w:val="none"/>
        </w:rPr>
        <w:t>如磋商小组要求提供最后报价附件的，需按规定的时间提供。最后报价有时间限制，供应商可参照竞争性磋商文件“第五章 响应文件格式”的最后报价表提前准备，以免耽误最后报价</w:t>
      </w:r>
      <w:r>
        <w:rPr>
          <w:rFonts w:hint="eastAsia" w:ascii="宋体" w:hAnsi="宋体" w:cs="宋体"/>
          <w:b/>
          <w:bCs/>
          <w:color w:val="auto"/>
          <w:sz w:val="21"/>
          <w:szCs w:val="21"/>
          <w:highlight w:val="none"/>
          <w:lang w:val="zh-CN"/>
        </w:rPr>
        <w:t>。</w:t>
      </w:r>
    </w:p>
    <w:p w14:paraId="7FC87BF6">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6</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比较与评价</w:t>
      </w:r>
    </w:p>
    <w:p w14:paraId="7555D168">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6.1评审方法：综合评分法。</w:t>
      </w:r>
    </w:p>
    <w:p w14:paraId="4749A2B0">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6.2经磋商确定最终采购需求和提交最后报价的供应商后，由磋商小组采用综合评分法对提交最后报价的供应商的响应文件和最后报价进行综合评分。</w:t>
      </w:r>
    </w:p>
    <w:p w14:paraId="0AA21146">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6.3评审时，磋商小组各成员应当独立对每个有效响应的文件进行评价、打分，然后汇总每个供应商每项评分因素的得分。</w:t>
      </w:r>
    </w:p>
    <w:p w14:paraId="2532E76E">
      <w:pPr>
        <w:pStyle w:val="15"/>
        <w:spacing w:line="360" w:lineRule="auto"/>
        <w:ind w:firstLine="420" w:firstLineChars="200"/>
        <w:rPr>
          <w:rFonts w:ascii="宋体" w:hAnsi="宋体" w:cs="宋体"/>
          <w:color w:val="auto"/>
          <w:highlight w:val="none"/>
        </w:rPr>
      </w:pPr>
      <w:r>
        <w:rPr>
          <w:rFonts w:hint="eastAsia" w:ascii="宋体" w:hAnsi="宋体" w:cs="宋体"/>
          <w:color w:val="auto"/>
          <w:highlight w:val="none"/>
        </w:rPr>
        <w:t>（1）磋商小组成员要根据政府采购法律法规和采购文件所载明的评审方法、标准进行评审。对供应商的价格分等客观评分项的评分应当一致，对其他需要借助专业知识评判的主观评分项，应当严格按照评分细则公正评分。</w:t>
      </w:r>
    </w:p>
    <w:p w14:paraId="1EF6B15B">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（2）磋商小组按照磋商文件中规定的评审标准计算各供应商的报价得分。项目评审过程中，不得去掉最后报价中的最高报价和最低报价。</w:t>
      </w:r>
    </w:p>
    <w:p w14:paraId="4F1F8F99">
      <w:pPr>
        <w:spacing w:line="360" w:lineRule="auto"/>
        <w:ind w:firstLine="420" w:firstLineChars="200"/>
        <w:rPr>
          <w:rFonts w:ascii="宋体" w:hAnsi="宋体" w:cs="宋体"/>
          <w:color w:val="auto"/>
          <w:highlight w:val="none"/>
        </w:rPr>
      </w:pPr>
      <w:r>
        <w:rPr>
          <w:rFonts w:hint="eastAsia" w:ascii="宋体" w:hAnsi="宋体" w:cs="宋体"/>
          <w:color w:val="auto"/>
          <w:szCs w:val="21"/>
          <w:highlight w:val="none"/>
        </w:rPr>
        <w:t>（3）各供应商的得分为磋商小组所有成员的有效评分的算术平均数。</w:t>
      </w:r>
    </w:p>
    <w:p w14:paraId="3CB455C1">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6.4</w:t>
      </w:r>
      <w:r>
        <w:rPr>
          <w:rFonts w:hint="eastAsia" w:ascii="宋体" w:hAnsi="宋体" w:cs="宋体"/>
          <w:color w:val="auto"/>
          <w:szCs w:val="21"/>
          <w:highlight w:val="none"/>
          <w:lang w:eastAsia="zh-CN"/>
        </w:rPr>
        <w:t>评审价</w:t>
      </w:r>
      <w:r>
        <w:rPr>
          <w:rFonts w:hint="eastAsia" w:ascii="宋体" w:hAnsi="宋体" w:cs="宋体"/>
          <w:color w:val="auto"/>
          <w:szCs w:val="21"/>
          <w:highlight w:val="none"/>
        </w:rPr>
        <w:t>为供应商的最后报价进行政策性扣除后的价格，</w:t>
      </w:r>
      <w:r>
        <w:rPr>
          <w:rFonts w:hint="eastAsia" w:ascii="宋体" w:hAnsi="宋体" w:cs="宋体"/>
          <w:color w:val="auto"/>
          <w:szCs w:val="21"/>
          <w:highlight w:val="none"/>
          <w:lang w:eastAsia="zh-CN"/>
        </w:rPr>
        <w:t>评审价</w:t>
      </w:r>
      <w:r>
        <w:rPr>
          <w:rFonts w:hint="eastAsia" w:ascii="宋体" w:hAnsi="宋体" w:cs="宋体"/>
          <w:color w:val="auto"/>
          <w:szCs w:val="21"/>
          <w:highlight w:val="none"/>
        </w:rPr>
        <w:t>只是作为评审时使用。最终成交供应商的成交金额等于最后报价（如有修正，以确认修正后的最后报价为准）。</w:t>
      </w:r>
    </w:p>
    <w:p w14:paraId="6D591217">
      <w:pPr>
        <w:spacing w:line="360" w:lineRule="auto"/>
        <w:ind w:firstLine="420" w:firstLineChars="200"/>
        <w:rPr>
          <w:rFonts w:ascii="宋体" w:hAnsi="宋体" w:cs="宋体"/>
          <w:color w:val="auto"/>
          <w:kern w:val="0"/>
          <w:szCs w:val="21"/>
          <w:highlight w:val="none"/>
        </w:rPr>
      </w:pPr>
      <w:r>
        <w:rPr>
          <w:rFonts w:hint="eastAsia" w:ascii="宋体" w:hAnsi="宋体" w:cs="宋体"/>
          <w:color w:val="auto"/>
          <w:szCs w:val="21"/>
          <w:highlight w:val="none"/>
        </w:rPr>
        <w:t>6.5磋商小组根据综合评分情况，按照评审得分由高到低顺序推荐3名以上成交候选供应商，并编写评审报告。符合本章第5.3条情形的，可以推荐2家成交候选供应商。评审得分相同的，按照最后报价由低到高的顺序推荐。评审得分且最后报价相同的，按照技术指标优劣顺序推荐。</w:t>
      </w:r>
    </w:p>
    <w:p w14:paraId="0ECBEF5E">
      <w:pPr>
        <w:spacing w:line="360" w:lineRule="auto"/>
        <w:ind w:firstLine="420" w:firstLineChars="200"/>
        <w:rPr>
          <w:rFonts w:ascii="宋体" w:hAnsi="宋体" w:cs="宋体"/>
          <w:color w:val="auto"/>
          <w:szCs w:val="21"/>
          <w:highlight w:val="none"/>
        </w:rPr>
      </w:pPr>
      <w:r>
        <w:rPr>
          <w:rFonts w:hint="eastAsia" w:ascii="宋体" w:hAnsi="宋体" w:cs="宋体"/>
          <w:color w:val="auto"/>
          <w:kern w:val="0"/>
          <w:szCs w:val="21"/>
          <w:highlight w:val="none"/>
        </w:rPr>
        <w:t>6.6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0BFBBAA7">
      <w:pPr>
        <w:ind w:firstLine="200"/>
        <w:rPr>
          <w:rFonts w:ascii="黑体" w:hAnsi="黑体" w:eastAsia="黑体" w:cs="宋体"/>
          <w:b/>
          <w:bCs/>
          <w:color w:val="auto"/>
          <w:sz w:val="24"/>
          <w:highlight w:val="none"/>
        </w:rPr>
      </w:pPr>
      <w:r>
        <w:rPr>
          <w:rFonts w:hint="eastAsia" w:ascii="黑体" w:hAnsi="黑体" w:eastAsia="黑体" w:cs="宋体"/>
          <w:b/>
          <w:bCs/>
          <w:color w:val="auto"/>
          <w:sz w:val="24"/>
          <w:highlight w:val="none"/>
        </w:rPr>
        <w:t>7</w:t>
      </w:r>
      <w:r>
        <w:rPr>
          <w:rFonts w:ascii="黑体" w:hAnsi="黑体" w:eastAsia="黑体" w:cs="宋体"/>
          <w:b/>
          <w:bCs/>
          <w:color w:val="auto"/>
          <w:sz w:val="24"/>
          <w:highlight w:val="none"/>
        </w:rPr>
        <w:t>.</w:t>
      </w:r>
      <w:r>
        <w:rPr>
          <w:rFonts w:hint="eastAsia" w:ascii="黑体" w:hAnsi="黑体" w:eastAsia="黑体" w:cs="宋体"/>
          <w:b/>
          <w:bCs/>
          <w:color w:val="auto"/>
          <w:sz w:val="24"/>
          <w:highlight w:val="none"/>
        </w:rPr>
        <w:t>评审标准</w:t>
      </w:r>
    </w:p>
    <w:p w14:paraId="437C6F6E">
      <w:pPr>
        <w:spacing w:line="360" w:lineRule="auto"/>
        <w:ind w:firstLine="420" w:firstLineChars="200"/>
        <w:rPr>
          <w:rFonts w:hint="eastAsia" w:ascii="宋体" w:hAnsi="宋体" w:cs="宋体"/>
          <w:color w:val="auto"/>
          <w:kern w:val="0"/>
          <w:szCs w:val="21"/>
          <w:highlight w:val="none"/>
        </w:rPr>
      </w:pPr>
      <w:r>
        <w:rPr>
          <w:rFonts w:hint="eastAsia" w:ascii="宋体" w:hAnsi="宋体" w:cs="宋体"/>
          <w:color w:val="auto"/>
          <w:kern w:val="0"/>
          <w:szCs w:val="21"/>
          <w:highlight w:val="none"/>
        </w:rPr>
        <w:t>7.1评审依据：磋商小组将以响应文件为评审依据，对供应商的报价、技术、商务等方面内容按百分制打分，总得分=报价分+技术分+商务分。（计分方法按四舍五入取至百分位）</w:t>
      </w:r>
    </w:p>
    <w:tbl>
      <w:tblPr>
        <w:tblStyle w:val="31"/>
        <w:tblW w:w="98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2"/>
        <w:gridCol w:w="1100"/>
        <w:gridCol w:w="7454"/>
        <w:gridCol w:w="758"/>
      </w:tblGrid>
      <w:tr w14:paraId="588FC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42" w:type="dxa"/>
            <w:vAlign w:val="center"/>
          </w:tcPr>
          <w:p w14:paraId="30DDA41E">
            <w:pPr>
              <w:jc w:val="center"/>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1100" w:type="dxa"/>
            <w:vAlign w:val="center"/>
          </w:tcPr>
          <w:p w14:paraId="6D75E44C">
            <w:pPr>
              <w:jc w:val="center"/>
              <w:rPr>
                <w:rFonts w:hint="eastAsia" w:ascii="宋体" w:hAnsi="宋体" w:eastAsia="宋体" w:cs="宋体"/>
                <w:color w:val="auto"/>
                <w:highlight w:val="none"/>
              </w:rPr>
            </w:pPr>
            <w:r>
              <w:rPr>
                <w:rFonts w:hint="eastAsia" w:ascii="宋体" w:hAnsi="宋体" w:eastAsia="宋体" w:cs="宋体"/>
                <w:color w:val="auto"/>
                <w:highlight w:val="none"/>
              </w:rPr>
              <w:t>评分</w:t>
            </w:r>
          </w:p>
          <w:p w14:paraId="5FC75784">
            <w:pPr>
              <w:jc w:val="center"/>
              <w:rPr>
                <w:rFonts w:hint="eastAsia" w:ascii="宋体" w:hAnsi="宋体" w:eastAsia="宋体" w:cs="宋体"/>
                <w:color w:val="auto"/>
                <w:highlight w:val="none"/>
              </w:rPr>
            </w:pPr>
            <w:r>
              <w:rPr>
                <w:rFonts w:hint="eastAsia" w:ascii="宋体" w:hAnsi="宋体" w:eastAsia="宋体" w:cs="宋体"/>
                <w:color w:val="auto"/>
                <w:highlight w:val="none"/>
              </w:rPr>
              <w:t>类型</w:t>
            </w:r>
          </w:p>
        </w:tc>
        <w:tc>
          <w:tcPr>
            <w:tcW w:w="7454" w:type="dxa"/>
            <w:vAlign w:val="center"/>
          </w:tcPr>
          <w:p w14:paraId="66431C12">
            <w:pPr>
              <w:jc w:val="center"/>
              <w:rPr>
                <w:rFonts w:hint="eastAsia" w:ascii="宋体" w:hAnsi="宋体" w:eastAsia="宋体" w:cs="宋体"/>
                <w:color w:val="auto"/>
                <w:highlight w:val="none"/>
              </w:rPr>
            </w:pPr>
            <w:r>
              <w:rPr>
                <w:rFonts w:hint="eastAsia" w:ascii="宋体" w:hAnsi="宋体" w:eastAsia="宋体" w:cs="宋体"/>
                <w:color w:val="auto"/>
                <w:highlight w:val="none"/>
              </w:rPr>
              <w:t>评分标准</w:t>
            </w:r>
          </w:p>
        </w:tc>
        <w:tc>
          <w:tcPr>
            <w:tcW w:w="758" w:type="dxa"/>
            <w:vAlign w:val="center"/>
          </w:tcPr>
          <w:p w14:paraId="2BC93454">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满分</w:t>
            </w:r>
            <w:r>
              <w:rPr>
                <w:rFonts w:hint="eastAsia" w:ascii="宋体" w:hAnsi="宋体" w:eastAsia="宋体" w:cs="宋体"/>
                <w:color w:val="auto"/>
                <w:highlight w:val="none"/>
              </w:rPr>
              <w:t>分值</w:t>
            </w:r>
          </w:p>
        </w:tc>
      </w:tr>
      <w:tr w14:paraId="78D1B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8" w:hRule="atLeast"/>
          <w:jc w:val="center"/>
        </w:trPr>
        <w:tc>
          <w:tcPr>
            <w:tcW w:w="542" w:type="dxa"/>
            <w:vAlign w:val="center"/>
          </w:tcPr>
          <w:p w14:paraId="459312E3">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1</w:t>
            </w:r>
          </w:p>
        </w:tc>
        <w:tc>
          <w:tcPr>
            <w:tcW w:w="1100" w:type="dxa"/>
            <w:vAlign w:val="center"/>
          </w:tcPr>
          <w:p w14:paraId="753507D0">
            <w:pPr>
              <w:jc w:val="center"/>
              <w:rPr>
                <w:rFonts w:hint="eastAsia" w:ascii="宋体" w:hAnsi="宋体" w:eastAsia="宋体" w:cs="宋体"/>
                <w:color w:val="auto"/>
                <w:highlight w:val="none"/>
              </w:rPr>
            </w:pPr>
            <w:r>
              <w:rPr>
                <w:rFonts w:hint="eastAsia" w:ascii="宋体" w:hAnsi="宋体" w:eastAsia="宋体" w:cs="宋体"/>
                <w:color w:val="auto"/>
                <w:highlight w:val="none"/>
              </w:rPr>
              <w:t>报价</w:t>
            </w:r>
          </w:p>
        </w:tc>
        <w:tc>
          <w:tcPr>
            <w:tcW w:w="7454" w:type="dxa"/>
            <w:vAlign w:val="center"/>
          </w:tcPr>
          <w:p w14:paraId="170E68AE">
            <w:pPr>
              <w:jc w:val="left"/>
              <w:rPr>
                <w:rFonts w:hint="eastAsia" w:ascii="宋体" w:hAnsi="宋体" w:eastAsia="宋体" w:cs="宋体"/>
                <w:color w:val="auto"/>
                <w:highlight w:val="none"/>
              </w:rPr>
            </w:pPr>
            <w:r>
              <w:rPr>
                <w:rFonts w:hint="eastAsia" w:ascii="宋体" w:hAnsi="宋体" w:eastAsia="宋体" w:cs="宋体"/>
                <w:color w:val="auto"/>
                <w:highlight w:val="none"/>
              </w:rPr>
              <w:t>1.本项目为专门面向中小企业采购的项目，按照《政府采购促进中小企业发展管理办法》（财库〔2020〕46号）的规定，对供应商最后报价不再执行价格评审优惠的扶持政策。</w:t>
            </w:r>
          </w:p>
          <w:p w14:paraId="27346C3B">
            <w:pPr>
              <w:jc w:val="left"/>
              <w:rPr>
                <w:rFonts w:hint="eastAsia" w:ascii="宋体" w:hAnsi="宋体" w:eastAsia="宋体" w:cs="宋体"/>
                <w:color w:val="auto"/>
                <w:highlight w:val="none"/>
              </w:rPr>
            </w:pPr>
            <w:r>
              <w:rPr>
                <w:rFonts w:hint="eastAsia" w:ascii="宋体" w:hAnsi="宋体" w:eastAsia="宋体" w:cs="宋体"/>
                <w:color w:val="auto"/>
                <w:highlight w:val="none"/>
              </w:rPr>
              <w:t>2.评审报价为供应商的最后报价，评审报价只是作为评审时使用。最终成交供应商的成交金额等于最后报价（如有修正，以确认修正后的最后报价为准）。</w:t>
            </w:r>
          </w:p>
          <w:p w14:paraId="4506E2A3">
            <w:pPr>
              <w:jc w:val="left"/>
              <w:rPr>
                <w:rFonts w:hint="eastAsia" w:ascii="宋体" w:hAnsi="宋体" w:eastAsia="宋体" w:cs="宋体"/>
                <w:color w:val="auto"/>
                <w:highlight w:val="none"/>
              </w:rPr>
            </w:pPr>
            <w:r>
              <w:rPr>
                <w:rFonts w:hint="eastAsia" w:ascii="宋体" w:hAnsi="宋体" w:eastAsia="宋体" w:cs="宋体"/>
                <w:color w:val="auto"/>
                <w:highlight w:val="none"/>
              </w:rPr>
              <w:t>3.以进入比较与评价环节的最低的评审报价为基准价，基准价得分为</w:t>
            </w:r>
            <w:r>
              <w:rPr>
                <w:rFonts w:hint="eastAsia" w:ascii="宋体" w:hAnsi="宋体" w:cs="宋体"/>
                <w:color w:val="auto"/>
                <w:highlight w:val="none"/>
                <w:lang w:val="en-US" w:eastAsia="zh-CN"/>
              </w:rPr>
              <w:t>满</w:t>
            </w:r>
            <w:r>
              <w:rPr>
                <w:rFonts w:hint="eastAsia" w:ascii="宋体" w:hAnsi="宋体" w:eastAsia="宋体" w:cs="宋体"/>
                <w:color w:val="auto"/>
                <w:highlight w:val="none"/>
              </w:rPr>
              <w:t>分。</w:t>
            </w:r>
          </w:p>
          <w:p w14:paraId="44F6FB30">
            <w:pPr>
              <w:jc w:val="left"/>
              <w:rPr>
                <w:rFonts w:hint="eastAsia" w:ascii="宋体" w:hAnsi="宋体" w:eastAsia="宋体" w:cs="宋体"/>
                <w:color w:val="auto"/>
                <w:highlight w:val="none"/>
              </w:rPr>
            </w:pPr>
            <w:r>
              <w:rPr>
                <w:rFonts w:hint="eastAsia" w:ascii="宋体" w:hAnsi="宋体" w:eastAsia="宋体" w:cs="宋体"/>
                <w:color w:val="auto"/>
                <w:highlight w:val="none"/>
              </w:rPr>
              <w:t>4.价格分计算公式：</w:t>
            </w:r>
          </w:p>
          <w:p w14:paraId="0F2A262B">
            <w:pPr>
              <w:jc w:val="left"/>
              <w:rPr>
                <w:rFonts w:hint="eastAsia" w:ascii="宋体" w:hAnsi="宋体" w:eastAsia="宋体" w:cs="宋体"/>
                <w:color w:val="auto"/>
                <w:highlight w:val="none"/>
              </w:rPr>
            </w:pPr>
            <w:r>
              <w:rPr>
                <w:rFonts w:hint="eastAsia" w:ascii="宋体" w:hAnsi="宋体" w:eastAsia="宋体" w:cs="宋体"/>
                <w:color w:val="auto"/>
                <w:highlight w:val="none"/>
              </w:rPr>
              <w:t>报价得分=（基准价/评审报价）×</w:t>
            </w: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0</w:t>
            </w:r>
            <w:r>
              <w:rPr>
                <w:rFonts w:hint="eastAsia" w:ascii="宋体" w:hAnsi="宋体" w:eastAsia="宋体" w:cs="宋体"/>
                <w:color w:val="auto"/>
                <w:highlight w:val="none"/>
              </w:rPr>
              <w:t>分</w:t>
            </w:r>
          </w:p>
        </w:tc>
        <w:tc>
          <w:tcPr>
            <w:tcW w:w="758" w:type="dxa"/>
            <w:vAlign w:val="center"/>
          </w:tcPr>
          <w:p w14:paraId="66F57D05">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w:t>
            </w:r>
            <w:r>
              <w:rPr>
                <w:rFonts w:hint="eastAsia" w:ascii="宋体" w:hAnsi="宋体" w:cs="宋体"/>
                <w:color w:val="auto"/>
                <w:highlight w:val="none"/>
                <w:lang w:val="en-US" w:eastAsia="zh-CN"/>
              </w:rPr>
              <w:t>0</w:t>
            </w:r>
          </w:p>
        </w:tc>
      </w:tr>
      <w:tr w14:paraId="7BE15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542" w:type="dxa"/>
            <w:vAlign w:val="center"/>
          </w:tcPr>
          <w:p w14:paraId="52FE4513">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2</w:t>
            </w:r>
          </w:p>
        </w:tc>
        <w:tc>
          <w:tcPr>
            <w:tcW w:w="1100" w:type="dxa"/>
            <w:vAlign w:val="center"/>
          </w:tcPr>
          <w:p w14:paraId="4333A56C">
            <w:pPr>
              <w:jc w:val="center"/>
              <w:rPr>
                <w:rFonts w:hint="eastAsia" w:ascii="宋体" w:hAnsi="宋体" w:eastAsia="宋体" w:cs="宋体"/>
                <w:color w:val="auto"/>
                <w:highlight w:val="none"/>
              </w:rPr>
            </w:pPr>
            <w:r>
              <w:rPr>
                <w:rFonts w:hint="eastAsia" w:ascii="宋体" w:hAnsi="宋体" w:eastAsia="宋体" w:cs="宋体"/>
                <w:color w:val="auto"/>
                <w:highlight w:val="none"/>
              </w:rPr>
              <w:t>技术</w:t>
            </w:r>
          </w:p>
          <w:p w14:paraId="4CA81CA6">
            <w:pPr>
              <w:jc w:val="center"/>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ascii="宋体" w:hAnsi="宋体" w:cs="宋体"/>
                <w:color w:val="auto"/>
                <w:highlight w:val="none"/>
              </w:rPr>
              <w:t>服务团队</w:t>
            </w:r>
            <w:r>
              <w:rPr>
                <w:rFonts w:hint="eastAsia" w:ascii="宋体" w:hAnsi="宋体" w:eastAsia="宋体" w:cs="宋体"/>
                <w:color w:val="auto"/>
                <w:highlight w:val="none"/>
              </w:rPr>
              <w:t>）（客观分）</w:t>
            </w:r>
            <w:bookmarkStart w:id="172" w:name="_GoBack"/>
            <w:bookmarkEnd w:id="172"/>
          </w:p>
        </w:tc>
        <w:tc>
          <w:tcPr>
            <w:tcW w:w="7454" w:type="dxa"/>
            <w:vAlign w:val="center"/>
          </w:tcPr>
          <w:p w14:paraId="33737351">
            <w:pPr>
              <w:jc w:val="left"/>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服务团队分（满分20分）</w:t>
            </w:r>
          </w:p>
          <w:p w14:paraId="191BFCCE">
            <w:pPr>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（1）项目经理或技术总负责人具有电子化考试服务工作经验3年及以上得5分。（提供相关工作证明）；</w:t>
            </w:r>
          </w:p>
          <w:p w14:paraId="4FC26FBD">
            <w:pPr>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（2）项目经理或技术总负责人具备计算机相关专业中级及以上职称，得5分（提供相关人员职称证书作为证明材料）；</w:t>
            </w:r>
          </w:p>
          <w:p w14:paraId="08B677DE">
            <w:pPr>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3）提供主要技术团队成员（含项目经理、技术总负责人、考区技术负责人、考点技术负责人或考点流动系统管理员）名单，其中有10～20名成员为计算机、网络、软件相关专业毕业生或具有计算机相关职称人员，能提供学历证书（或职称证书），其中项目经理、技术总负责人为供应商在职人员（提供劳动合同或工资银行流水或</w:t>
            </w:r>
            <w:r>
              <w:rPr>
                <w:rFonts w:hint="eastAsia" w:ascii="宋体" w:hAnsi="宋体" w:cs="宋体"/>
                <w:b w:val="0"/>
                <w:bCs w:val="0"/>
                <w:color w:val="auto"/>
                <w:highlight w:val="none"/>
                <w:lang w:val="en-US" w:eastAsia="zh-CN"/>
              </w:rPr>
              <w:t>其他</w:t>
            </w:r>
            <w:r>
              <w:rPr>
                <w:rFonts w:hint="eastAsia" w:ascii="宋体" w:hAnsi="宋体" w:eastAsia="宋体" w:cs="宋体"/>
                <w:b w:val="0"/>
                <w:bCs w:val="0"/>
                <w:color w:val="auto"/>
                <w:highlight w:val="none"/>
                <w:lang w:val="en-US" w:eastAsia="zh-CN"/>
              </w:rPr>
              <w:t>证明</w:t>
            </w:r>
            <w:r>
              <w:rPr>
                <w:rFonts w:hint="eastAsia" w:ascii="宋体" w:hAnsi="宋体" w:cs="宋体"/>
                <w:b w:val="0"/>
                <w:bCs w:val="0"/>
                <w:color w:val="auto"/>
                <w:highlight w:val="none"/>
                <w:lang w:val="en-US" w:eastAsia="zh-CN"/>
              </w:rPr>
              <w:t>材料</w:t>
            </w:r>
            <w:r>
              <w:rPr>
                <w:rFonts w:hint="eastAsia" w:ascii="宋体" w:hAnsi="宋体" w:eastAsia="宋体" w:cs="宋体"/>
                <w:b w:val="0"/>
                <w:bCs w:val="0"/>
                <w:color w:val="auto"/>
                <w:highlight w:val="none"/>
                <w:lang w:val="en-US" w:eastAsia="zh-CN"/>
              </w:rPr>
              <w:t>，不限月数）得5分；有大于20名成员为计算机、网络、软件相关专业毕业生或具有计算机相关职称人员，能提供学历证书（职称证书），其中专职项目经理、技术总负责人为供应商在职人员（提供劳动合同或工资银行流水或</w:t>
            </w:r>
            <w:r>
              <w:rPr>
                <w:rFonts w:hint="eastAsia" w:ascii="宋体" w:hAnsi="宋体" w:cs="宋体"/>
                <w:b w:val="0"/>
                <w:bCs w:val="0"/>
                <w:color w:val="auto"/>
                <w:highlight w:val="none"/>
                <w:lang w:val="en-US" w:eastAsia="zh-CN"/>
              </w:rPr>
              <w:t>其他</w:t>
            </w:r>
            <w:r>
              <w:rPr>
                <w:rFonts w:hint="eastAsia" w:ascii="宋体" w:hAnsi="宋体" w:eastAsia="宋体" w:cs="宋体"/>
                <w:b w:val="0"/>
                <w:bCs w:val="0"/>
                <w:color w:val="auto"/>
                <w:highlight w:val="none"/>
                <w:lang w:val="en-US" w:eastAsia="zh-CN"/>
              </w:rPr>
              <w:t>证明</w:t>
            </w:r>
            <w:r>
              <w:rPr>
                <w:rFonts w:hint="eastAsia" w:ascii="宋体" w:hAnsi="宋体" w:cs="宋体"/>
                <w:b w:val="0"/>
                <w:bCs w:val="0"/>
                <w:color w:val="auto"/>
                <w:highlight w:val="none"/>
                <w:lang w:val="en-US" w:eastAsia="zh-CN"/>
              </w:rPr>
              <w:t>材料</w:t>
            </w:r>
            <w:r>
              <w:rPr>
                <w:rFonts w:hint="eastAsia" w:ascii="宋体" w:hAnsi="宋体" w:eastAsia="宋体" w:cs="宋体"/>
                <w:b w:val="0"/>
                <w:bCs w:val="0"/>
                <w:color w:val="auto"/>
                <w:highlight w:val="none"/>
                <w:lang w:val="en-US" w:eastAsia="zh-CN"/>
              </w:rPr>
              <w:t>，不限月数）得10分，满分10分。</w:t>
            </w:r>
          </w:p>
          <w:p w14:paraId="160ADBFB">
            <w:pPr>
              <w:jc w:val="left"/>
              <w:rPr>
                <w:rFonts w:hint="eastAsia" w:ascii="宋体" w:hAnsi="宋体" w:eastAsia="宋体" w:cs="宋体"/>
                <w:b w:val="0"/>
                <w:bCs w:val="0"/>
                <w:color w:val="auto"/>
                <w:highlight w:val="none"/>
                <w:lang w:val="en-US" w:eastAsia="zh-CN"/>
              </w:rPr>
            </w:pPr>
            <w:r>
              <w:rPr>
                <w:rFonts w:hint="eastAsia" w:ascii="宋体" w:hAnsi="宋体" w:eastAsia="宋体" w:cs="宋体"/>
                <w:b w:val="0"/>
                <w:bCs w:val="0"/>
                <w:color w:val="auto"/>
                <w:highlight w:val="none"/>
                <w:lang w:val="en-US" w:eastAsia="zh-CN"/>
              </w:rPr>
              <w:t>（注：须在首次响应文件中提供服务团队的主要技术团队人员名单）</w:t>
            </w:r>
          </w:p>
        </w:tc>
        <w:tc>
          <w:tcPr>
            <w:tcW w:w="758" w:type="dxa"/>
            <w:vAlign w:val="center"/>
          </w:tcPr>
          <w:p w14:paraId="770BE810">
            <w:p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20</w:t>
            </w:r>
          </w:p>
        </w:tc>
      </w:tr>
      <w:tr w14:paraId="1C09E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438C1C62">
            <w:pPr>
              <w:jc w:val="center"/>
              <w:rPr>
                <w:rFonts w:hint="eastAsia" w:ascii="宋体" w:hAnsi="宋体" w:eastAsia="宋体" w:cs="宋体"/>
                <w:color w:val="auto"/>
                <w:highlight w:val="none"/>
              </w:rPr>
            </w:pPr>
            <w:r>
              <w:rPr>
                <w:rFonts w:hint="eastAsia" w:ascii="宋体" w:hAnsi="宋体" w:cs="宋体"/>
                <w:color w:val="auto"/>
                <w:highlight w:val="none"/>
                <w:lang w:val="en-US" w:eastAsia="zh-CN"/>
              </w:rPr>
              <w:t>3</w:t>
            </w:r>
          </w:p>
        </w:tc>
        <w:tc>
          <w:tcPr>
            <w:tcW w:w="1100" w:type="dxa"/>
            <w:vAlign w:val="center"/>
          </w:tcPr>
          <w:p w14:paraId="3F57A1C7">
            <w:pPr>
              <w:jc w:val="center"/>
              <w:rPr>
                <w:rFonts w:hint="eastAsia" w:ascii="宋体" w:hAnsi="宋体" w:eastAsia="宋体" w:cs="宋体"/>
                <w:color w:val="auto"/>
                <w:highlight w:val="none"/>
              </w:rPr>
            </w:pPr>
            <w:r>
              <w:rPr>
                <w:rFonts w:hint="eastAsia" w:ascii="宋体" w:hAnsi="宋体" w:eastAsia="宋体" w:cs="宋体"/>
                <w:color w:val="auto"/>
                <w:highlight w:val="none"/>
              </w:rPr>
              <w:t>技术</w:t>
            </w:r>
          </w:p>
          <w:p w14:paraId="1646455D">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rPr>
              <w:t>项目实施方案</w:t>
            </w:r>
            <w:r>
              <w:rPr>
                <w:rFonts w:hint="eastAsia" w:ascii="宋体" w:hAnsi="宋体" w:cs="宋体"/>
                <w:color w:val="auto"/>
                <w:highlight w:val="none"/>
                <w:lang w:eastAsia="zh-CN"/>
              </w:rPr>
              <w:t>）</w:t>
            </w:r>
          </w:p>
        </w:tc>
        <w:tc>
          <w:tcPr>
            <w:tcW w:w="7454" w:type="dxa"/>
            <w:vAlign w:val="center"/>
          </w:tcPr>
          <w:p w14:paraId="719AD5AF">
            <w:pPr>
              <w:numPr>
                <w:ilvl w:val="-1"/>
                <w:numId w:val="0"/>
              </w:numPr>
              <w:jc w:val="left"/>
              <w:rPr>
                <w:rFonts w:hint="default" w:ascii="宋体" w:hAnsi="宋体" w:cs="宋体"/>
                <w:b/>
                <w:bCs/>
                <w:color w:val="auto"/>
                <w:highlight w:val="none"/>
                <w:lang w:val="en-US" w:eastAsia="zh-CN"/>
              </w:rPr>
            </w:pPr>
            <w:r>
              <w:rPr>
                <w:rFonts w:hint="default" w:ascii="宋体" w:hAnsi="宋体" w:cs="宋体"/>
                <w:b/>
                <w:bCs/>
                <w:color w:val="auto"/>
                <w:highlight w:val="none"/>
                <w:lang w:val="en-US" w:eastAsia="zh-CN"/>
              </w:rPr>
              <w:t>项目实施方案分（满分</w:t>
            </w:r>
            <w:r>
              <w:rPr>
                <w:rFonts w:hint="eastAsia" w:ascii="宋体" w:hAnsi="宋体" w:cs="宋体"/>
                <w:b/>
                <w:bCs/>
                <w:color w:val="auto"/>
                <w:highlight w:val="none"/>
                <w:lang w:val="en-US" w:eastAsia="zh-CN"/>
              </w:rPr>
              <w:t>20</w:t>
            </w:r>
            <w:r>
              <w:rPr>
                <w:rFonts w:hint="default" w:ascii="宋体" w:hAnsi="宋体" w:cs="宋体"/>
                <w:b/>
                <w:bCs/>
                <w:color w:val="auto"/>
                <w:highlight w:val="none"/>
                <w:lang w:val="en-US" w:eastAsia="zh-CN"/>
              </w:rPr>
              <w:t>分）</w:t>
            </w:r>
          </w:p>
          <w:p w14:paraId="4651220E">
            <w:pPr>
              <w:numPr>
                <w:ilvl w:val="-1"/>
                <w:numId w:val="0"/>
              </w:numPr>
              <w:jc w:val="left"/>
              <w:rPr>
                <w:rFonts w:hint="default" w:ascii="宋体" w:hAnsi="宋体" w:cs="宋体"/>
                <w:b w:val="0"/>
                <w:bCs w:val="0"/>
                <w:color w:val="auto"/>
                <w:highlight w:val="none"/>
                <w:lang w:val="en-US" w:eastAsia="zh-CN"/>
              </w:rPr>
            </w:pPr>
            <w:r>
              <w:rPr>
                <w:rFonts w:hint="default" w:ascii="宋体" w:hAnsi="宋体" w:cs="宋体"/>
                <w:b w:val="0"/>
                <w:bCs w:val="0"/>
                <w:color w:val="auto"/>
                <w:highlight w:val="none"/>
                <w:lang w:val="en-US" w:eastAsia="zh-CN"/>
              </w:rPr>
              <w:t xml:space="preserve">根据供应商对编写的项目实施方案进行打分： </w:t>
            </w:r>
          </w:p>
          <w:p w14:paraId="3835FCB9">
            <w:pPr>
              <w:numPr>
                <w:ilvl w:val="-1"/>
                <w:numId w:val="0"/>
              </w:numPr>
              <w:jc w:val="left"/>
              <w:rPr>
                <w:rFonts w:hint="default" w:ascii="宋体" w:hAnsi="宋体" w:cs="宋体"/>
                <w:b w:val="0"/>
                <w:bCs w:val="0"/>
                <w:color w:val="auto"/>
                <w:highlight w:val="none"/>
                <w:lang w:val="en-US" w:eastAsia="zh-CN"/>
              </w:rPr>
            </w:pPr>
            <w:r>
              <w:rPr>
                <w:rFonts w:hint="default" w:ascii="宋体" w:hAnsi="宋体" w:cs="宋体"/>
                <w:b w:val="0"/>
                <w:bCs w:val="0"/>
                <w:color w:val="auto"/>
                <w:highlight w:val="none"/>
                <w:lang w:val="en-US" w:eastAsia="zh-CN"/>
              </w:rPr>
              <w:t>一档（10分）：供应商提供了项目实施方案，无明显错漏；</w:t>
            </w:r>
          </w:p>
          <w:p w14:paraId="329135B2">
            <w:pPr>
              <w:numPr>
                <w:ilvl w:val="-1"/>
                <w:numId w:val="0"/>
              </w:numPr>
              <w:jc w:val="left"/>
              <w:rPr>
                <w:rFonts w:hint="default" w:ascii="宋体" w:hAnsi="宋体" w:cs="宋体"/>
                <w:b w:val="0"/>
                <w:bCs w:val="0"/>
                <w:color w:val="auto"/>
                <w:highlight w:val="none"/>
                <w:lang w:val="en-US" w:eastAsia="zh-CN"/>
              </w:rPr>
            </w:pPr>
            <w:r>
              <w:rPr>
                <w:rFonts w:hint="default" w:ascii="宋体" w:hAnsi="宋体" w:cs="宋体"/>
                <w:b w:val="0"/>
                <w:bCs w:val="0"/>
                <w:color w:val="auto"/>
                <w:highlight w:val="none"/>
                <w:lang w:val="en-US" w:eastAsia="zh-CN"/>
              </w:rPr>
              <w:t>二档（</w:t>
            </w:r>
            <w:r>
              <w:rPr>
                <w:rFonts w:hint="eastAsia" w:ascii="宋体" w:hAnsi="宋体" w:cs="宋体"/>
                <w:b w:val="0"/>
                <w:bCs w:val="0"/>
                <w:color w:val="auto"/>
                <w:highlight w:val="none"/>
                <w:lang w:val="en-US" w:eastAsia="zh-CN"/>
              </w:rPr>
              <w:t>15</w:t>
            </w:r>
            <w:r>
              <w:rPr>
                <w:rFonts w:hint="default" w:ascii="宋体" w:hAnsi="宋体" w:cs="宋体"/>
                <w:b w:val="0"/>
                <w:bCs w:val="0"/>
                <w:color w:val="auto"/>
                <w:highlight w:val="none"/>
                <w:lang w:val="en-US" w:eastAsia="zh-CN"/>
              </w:rPr>
              <w:t>分）：供应商提供了项目实施方案，有项目实施流程，有对各个服务内容和节点的描述，对项目实施过程中的重点、难点能提出技术解决方案，但解决方案</w:t>
            </w:r>
            <w:r>
              <w:rPr>
                <w:rFonts w:hint="eastAsia" w:ascii="宋体" w:hAnsi="宋体" w:cs="宋体"/>
                <w:b w:val="0"/>
                <w:bCs w:val="0"/>
                <w:color w:val="auto"/>
                <w:highlight w:val="none"/>
                <w:lang w:val="en-US" w:eastAsia="zh-CN"/>
              </w:rPr>
              <w:t>简单</w:t>
            </w:r>
            <w:r>
              <w:rPr>
                <w:rFonts w:hint="default" w:ascii="宋体" w:hAnsi="宋体" w:cs="宋体"/>
                <w:b w:val="0"/>
                <w:bCs w:val="0"/>
                <w:color w:val="auto"/>
                <w:highlight w:val="none"/>
                <w:lang w:val="en-US" w:eastAsia="zh-CN"/>
              </w:rPr>
              <w:t>。</w:t>
            </w:r>
          </w:p>
          <w:p w14:paraId="231261AD">
            <w:pPr>
              <w:numPr>
                <w:ilvl w:val="-1"/>
                <w:numId w:val="0"/>
              </w:numPr>
              <w:jc w:val="left"/>
              <w:rPr>
                <w:rFonts w:hint="default" w:ascii="宋体" w:hAnsi="宋体" w:cs="宋体"/>
                <w:b w:val="0"/>
                <w:bCs w:val="0"/>
                <w:color w:val="auto"/>
                <w:highlight w:val="none"/>
                <w:lang w:val="en-US" w:eastAsia="zh-CN"/>
              </w:rPr>
            </w:pPr>
            <w:r>
              <w:rPr>
                <w:rFonts w:hint="default" w:ascii="宋体" w:hAnsi="宋体" w:cs="宋体"/>
                <w:b w:val="0"/>
                <w:bCs w:val="0"/>
                <w:color w:val="auto"/>
                <w:highlight w:val="none"/>
                <w:lang w:val="en-US" w:eastAsia="zh-CN"/>
              </w:rPr>
              <w:t>三档（</w:t>
            </w:r>
            <w:r>
              <w:rPr>
                <w:rFonts w:hint="eastAsia" w:ascii="宋体" w:hAnsi="宋体" w:cs="宋体"/>
                <w:b w:val="0"/>
                <w:bCs w:val="0"/>
                <w:color w:val="auto"/>
                <w:highlight w:val="none"/>
                <w:lang w:val="en-US" w:eastAsia="zh-CN"/>
              </w:rPr>
              <w:t>20</w:t>
            </w:r>
            <w:r>
              <w:rPr>
                <w:rFonts w:hint="default" w:ascii="宋体" w:hAnsi="宋体" w:cs="宋体"/>
                <w:b w:val="0"/>
                <w:bCs w:val="0"/>
                <w:color w:val="auto"/>
                <w:highlight w:val="none"/>
                <w:lang w:val="en-US" w:eastAsia="zh-CN"/>
              </w:rPr>
              <w:t>分）：供应商提供了项目实施方案，有项目实施流程，对各个服务内容和节点的描述清晰，对本项目的考务服务实施内容、业务流程和工作要求，有正确理解与认识，项目实施方案逻辑清晰，对项目实施过程中的重点、难点能提出技术解决方案，有针对性，利于本项目顺利实施。</w:t>
            </w:r>
          </w:p>
        </w:tc>
        <w:tc>
          <w:tcPr>
            <w:tcW w:w="758" w:type="dxa"/>
            <w:vAlign w:val="center"/>
          </w:tcPr>
          <w:p w14:paraId="3AB36BC9">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w:t>
            </w:r>
          </w:p>
        </w:tc>
      </w:tr>
      <w:tr w14:paraId="78B65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6" w:hRule="atLeast"/>
          <w:jc w:val="center"/>
        </w:trPr>
        <w:tc>
          <w:tcPr>
            <w:tcW w:w="542" w:type="dxa"/>
            <w:vAlign w:val="center"/>
          </w:tcPr>
          <w:p w14:paraId="52E92928">
            <w:pPr>
              <w:jc w:val="center"/>
              <w:rPr>
                <w:rFonts w:hint="eastAsia" w:ascii="宋体" w:hAnsi="宋体" w:eastAsia="宋体" w:cs="宋体"/>
                <w:color w:val="auto"/>
                <w:highlight w:val="none"/>
                <w:lang w:eastAsia="zh-CN"/>
              </w:rPr>
            </w:pPr>
            <w:r>
              <w:rPr>
                <w:rFonts w:hint="eastAsia" w:ascii="宋体" w:hAnsi="宋体" w:cs="宋体"/>
                <w:color w:val="auto"/>
                <w:highlight w:val="none"/>
                <w:lang w:val="en-US" w:eastAsia="zh-CN"/>
              </w:rPr>
              <w:t>4</w:t>
            </w:r>
          </w:p>
        </w:tc>
        <w:tc>
          <w:tcPr>
            <w:tcW w:w="1100" w:type="dxa"/>
            <w:vAlign w:val="center"/>
          </w:tcPr>
          <w:p w14:paraId="578B17C6">
            <w:pPr>
              <w:jc w:val="center"/>
              <w:rPr>
                <w:rFonts w:hint="eastAsia" w:ascii="宋体" w:hAnsi="宋体" w:eastAsia="宋体" w:cs="宋体"/>
                <w:color w:val="auto"/>
                <w:highlight w:val="none"/>
              </w:rPr>
            </w:pPr>
            <w:r>
              <w:rPr>
                <w:rFonts w:hint="eastAsia" w:ascii="宋体" w:hAnsi="宋体" w:eastAsia="宋体" w:cs="宋体"/>
                <w:color w:val="auto"/>
                <w:highlight w:val="none"/>
              </w:rPr>
              <w:t>技术</w:t>
            </w:r>
          </w:p>
          <w:p w14:paraId="003A296F">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（信息安全方案）</w:t>
            </w:r>
          </w:p>
        </w:tc>
        <w:tc>
          <w:tcPr>
            <w:tcW w:w="7454" w:type="dxa"/>
            <w:vAlign w:val="center"/>
          </w:tcPr>
          <w:p w14:paraId="05E4604F">
            <w:pPr>
              <w:jc w:val="left"/>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信息安全方案分（满分</w:t>
            </w:r>
            <w:r>
              <w:rPr>
                <w:rFonts w:hint="eastAsia" w:ascii="宋体" w:hAnsi="宋体" w:cs="宋体"/>
                <w:b/>
                <w:bCs/>
                <w:color w:val="auto"/>
                <w:highlight w:val="none"/>
                <w:lang w:val="en-US" w:eastAsia="zh-CN"/>
              </w:rPr>
              <w:t>18</w:t>
            </w:r>
            <w:r>
              <w:rPr>
                <w:rFonts w:hint="eastAsia" w:ascii="宋体" w:hAnsi="宋体" w:eastAsia="宋体" w:cs="宋体"/>
                <w:b/>
                <w:bCs/>
                <w:color w:val="auto"/>
                <w:highlight w:val="none"/>
                <w:lang w:eastAsia="zh-CN"/>
              </w:rPr>
              <w:t>分）</w:t>
            </w:r>
          </w:p>
          <w:p w14:paraId="5B84D837">
            <w:pPr>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考生姓名、身份证号、准考证号、座位号及电子试卷等相关数据为考生个人信息及考试敏感信息，评委根据供应商提供的信息安全方案，对供应商的数据安全保障能力按以下档次进行打分：</w:t>
            </w:r>
          </w:p>
          <w:p w14:paraId="638FEBA9">
            <w:pPr>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一档（</w:t>
            </w:r>
            <w:r>
              <w:rPr>
                <w:rFonts w:hint="eastAsia" w:ascii="宋体" w:hAnsi="宋体" w:cs="宋体"/>
                <w:b w:val="0"/>
                <w:bCs w:val="0"/>
                <w:color w:val="auto"/>
                <w:highlight w:val="none"/>
                <w:lang w:val="en-US" w:eastAsia="zh-CN"/>
              </w:rPr>
              <w:t>7</w:t>
            </w:r>
            <w:r>
              <w:rPr>
                <w:rFonts w:hint="eastAsia" w:ascii="宋体" w:hAnsi="宋体" w:eastAsia="宋体" w:cs="宋体"/>
                <w:b w:val="0"/>
                <w:bCs w:val="0"/>
                <w:color w:val="auto"/>
                <w:highlight w:val="none"/>
                <w:lang w:eastAsia="zh-CN"/>
              </w:rPr>
              <w:t>分）：提供了数据安全管理制度及方案。</w:t>
            </w:r>
          </w:p>
          <w:p w14:paraId="5FA791CB">
            <w:pPr>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二档（</w:t>
            </w:r>
            <w:r>
              <w:rPr>
                <w:rFonts w:hint="eastAsia" w:ascii="宋体" w:hAnsi="宋体" w:cs="宋体"/>
                <w:b w:val="0"/>
                <w:bCs w:val="0"/>
                <w:color w:val="auto"/>
                <w:highlight w:val="none"/>
                <w:lang w:val="en-US" w:eastAsia="zh-CN"/>
              </w:rPr>
              <w:t>13</w:t>
            </w:r>
            <w:r>
              <w:rPr>
                <w:rFonts w:hint="eastAsia" w:ascii="宋体" w:hAnsi="宋体" w:eastAsia="宋体" w:cs="宋体"/>
                <w:b w:val="0"/>
                <w:bCs w:val="0"/>
                <w:color w:val="auto"/>
                <w:highlight w:val="none"/>
                <w:lang w:eastAsia="zh-CN"/>
              </w:rPr>
              <w:t>分）：提供了数据安全管理制度，没有明显错漏，但是细节</w:t>
            </w:r>
            <w:r>
              <w:rPr>
                <w:rFonts w:hint="eastAsia" w:ascii="宋体" w:hAnsi="宋体" w:cs="宋体"/>
                <w:b w:val="0"/>
                <w:bCs w:val="0"/>
                <w:color w:val="auto"/>
                <w:highlight w:val="none"/>
                <w:lang w:val="en-US" w:eastAsia="zh-CN"/>
              </w:rPr>
              <w:t>描述简单</w:t>
            </w:r>
            <w:r>
              <w:rPr>
                <w:rFonts w:hint="eastAsia" w:ascii="宋体" w:hAnsi="宋体" w:eastAsia="宋体" w:cs="宋体"/>
                <w:b w:val="0"/>
                <w:bCs w:val="0"/>
                <w:color w:val="auto"/>
                <w:highlight w:val="none"/>
                <w:lang w:eastAsia="zh-CN"/>
              </w:rPr>
              <w:t>、</w:t>
            </w:r>
            <w:r>
              <w:rPr>
                <w:rFonts w:hint="eastAsia" w:ascii="宋体" w:hAnsi="宋体" w:cs="宋体"/>
                <w:b w:val="0"/>
                <w:bCs w:val="0"/>
                <w:color w:val="auto"/>
                <w:highlight w:val="none"/>
                <w:lang w:val="en-US" w:eastAsia="zh-CN"/>
              </w:rPr>
              <w:t>无</w:t>
            </w:r>
            <w:r>
              <w:rPr>
                <w:rFonts w:hint="eastAsia" w:ascii="宋体" w:hAnsi="宋体" w:eastAsia="宋体" w:cs="宋体"/>
                <w:b w:val="0"/>
                <w:bCs w:val="0"/>
                <w:color w:val="auto"/>
                <w:highlight w:val="none"/>
                <w:lang w:eastAsia="zh-CN"/>
              </w:rPr>
              <w:t>针对性；项目实施人员经过相关信息数据安全保障培训，能在首次响应文件中提供相关证书进行佐证。</w:t>
            </w:r>
          </w:p>
          <w:p w14:paraId="7BF6FBD8">
            <w:pPr>
              <w:jc w:val="left"/>
              <w:rPr>
                <w:rFonts w:hint="eastAsia" w:ascii="宋体" w:hAnsi="宋体" w:eastAsia="宋体" w:cs="宋体"/>
                <w:b w:val="0"/>
                <w:bCs w:val="0"/>
                <w:color w:val="auto"/>
                <w:highlight w:val="none"/>
                <w:lang w:eastAsia="zh-CN"/>
              </w:rPr>
            </w:pPr>
            <w:r>
              <w:rPr>
                <w:rFonts w:hint="eastAsia" w:ascii="宋体" w:hAnsi="宋体" w:eastAsia="宋体" w:cs="宋体"/>
                <w:b w:val="0"/>
                <w:bCs w:val="0"/>
                <w:color w:val="auto"/>
                <w:highlight w:val="none"/>
                <w:lang w:eastAsia="zh-CN"/>
              </w:rPr>
              <w:t>三档（</w:t>
            </w:r>
            <w:r>
              <w:rPr>
                <w:rFonts w:hint="eastAsia" w:ascii="宋体" w:hAnsi="宋体" w:cs="宋体"/>
                <w:b w:val="0"/>
                <w:bCs w:val="0"/>
                <w:color w:val="auto"/>
                <w:highlight w:val="none"/>
                <w:lang w:val="en-US" w:eastAsia="zh-CN"/>
              </w:rPr>
              <w:t>18</w:t>
            </w:r>
            <w:r>
              <w:rPr>
                <w:rFonts w:hint="eastAsia" w:ascii="宋体" w:hAnsi="宋体" w:eastAsia="宋体" w:cs="宋体"/>
                <w:b w:val="0"/>
                <w:bCs w:val="0"/>
                <w:color w:val="auto"/>
                <w:highlight w:val="none"/>
                <w:lang w:eastAsia="zh-CN"/>
              </w:rPr>
              <w:t>分）：提供了有针对性的数据安全管理制度，数据安全管理制度条款条理清晰，能有效的防止考生个人信息及考试信息泄露；项目实施人员经过相关信息数据安全保障培训，能在首次响应文件中提供相关证书进行佐证。</w:t>
            </w:r>
          </w:p>
        </w:tc>
        <w:tc>
          <w:tcPr>
            <w:tcW w:w="758" w:type="dxa"/>
            <w:vAlign w:val="center"/>
          </w:tcPr>
          <w:p w14:paraId="503BEFBE">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18</w:t>
            </w:r>
          </w:p>
        </w:tc>
      </w:tr>
      <w:tr w14:paraId="61DC0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31FC98D5">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5</w:t>
            </w:r>
          </w:p>
        </w:tc>
        <w:tc>
          <w:tcPr>
            <w:tcW w:w="1100" w:type="dxa"/>
            <w:vAlign w:val="center"/>
          </w:tcPr>
          <w:p w14:paraId="290A0C11">
            <w:pPr>
              <w:jc w:val="center"/>
              <w:rPr>
                <w:rFonts w:hint="eastAsia" w:ascii="宋体" w:hAnsi="宋体" w:eastAsia="宋体" w:cs="宋体"/>
                <w:color w:val="auto"/>
                <w:highlight w:val="none"/>
              </w:rPr>
            </w:pPr>
            <w:r>
              <w:rPr>
                <w:rFonts w:hint="eastAsia" w:ascii="宋体" w:hAnsi="宋体" w:eastAsia="宋体" w:cs="宋体"/>
                <w:color w:val="auto"/>
                <w:highlight w:val="none"/>
              </w:rPr>
              <w:t>技术</w:t>
            </w:r>
          </w:p>
          <w:p w14:paraId="79670D8C">
            <w:pPr>
              <w:jc w:val="center"/>
              <w:rPr>
                <w:rFonts w:hint="eastAsia" w:ascii="宋体" w:hAnsi="宋体" w:eastAsia="宋体" w:cs="宋体"/>
                <w:color w:val="auto"/>
                <w:highlight w:val="none"/>
                <w:lang w:eastAsia="zh-CN"/>
              </w:rPr>
            </w:pPr>
            <w:r>
              <w:rPr>
                <w:rFonts w:hint="eastAsia" w:ascii="宋体" w:hAnsi="宋体" w:cs="宋体"/>
                <w:color w:val="auto"/>
                <w:highlight w:val="none"/>
                <w:lang w:eastAsia="zh-CN"/>
              </w:rPr>
              <w:t>（</w:t>
            </w:r>
            <w:r>
              <w:rPr>
                <w:rFonts w:hint="eastAsia" w:ascii="宋体" w:hAnsi="宋体" w:cs="宋体"/>
                <w:color w:val="auto"/>
                <w:highlight w:val="none"/>
              </w:rPr>
              <w:t>项目进度与质量保障</w:t>
            </w:r>
            <w:r>
              <w:rPr>
                <w:rFonts w:hint="eastAsia" w:ascii="宋体" w:hAnsi="宋体" w:cs="宋体"/>
                <w:color w:val="auto"/>
                <w:highlight w:val="none"/>
                <w:lang w:eastAsia="zh-CN"/>
              </w:rPr>
              <w:t>）</w:t>
            </w:r>
          </w:p>
        </w:tc>
        <w:tc>
          <w:tcPr>
            <w:tcW w:w="7454" w:type="dxa"/>
            <w:vAlign w:val="center"/>
          </w:tcPr>
          <w:p w14:paraId="4A61C333">
            <w:pPr>
              <w:jc w:val="left"/>
              <w:rPr>
                <w:rFonts w:hint="default" w:ascii="宋体" w:hAnsi="宋体" w:eastAsia="宋体" w:cs="宋体"/>
                <w:b/>
                <w:bCs/>
                <w:color w:val="auto"/>
                <w:highlight w:val="none"/>
                <w:lang w:val="en-US" w:eastAsia="zh-CN"/>
              </w:rPr>
            </w:pPr>
            <w:r>
              <w:rPr>
                <w:rFonts w:hint="default" w:ascii="宋体" w:hAnsi="宋体" w:eastAsia="宋体" w:cs="宋体"/>
                <w:b/>
                <w:bCs/>
                <w:color w:val="auto"/>
                <w:highlight w:val="none"/>
                <w:lang w:val="en-US" w:eastAsia="zh-CN"/>
              </w:rPr>
              <w:t>项目进度与质量保障方案分（满分</w:t>
            </w:r>
            <w:r>
              <w:rPr>
                <w:rFonts w:hint="eastAsia" w:ascii="宋体" w:hAnsi="宋体" w:cs="宋体"/>
                <w:b/>
                <w:bCs/>
                <w:color w:val="auto"/>
                <w:highlight w:val="none"/>
                <w:lang w:val="en-US" w:eastAsia="zh-CN"/>
              </w:rPr>
              <w:t>20</w:t>
            </w:r>
            <w:r>
              <w:rPr>
                <w:rFonts w:hint="default" w:ascii="宋体" w:hAnsi="宋体" w:eastAsia="宋体" w:cs="宋体"/>
                <w:b/>
                <w:bCs/>
                <w:color w:val="auto"/>
                <w:highlight w:val="none"/>
                <w:lang w:val="en-US" w:eastAsia="zh-CN"/>
              </w:rPr>
              <w:t>分）</w:t>
            </w:r>
          </w:p>
          <w:p w14:paraId="758CA704">
            <w:pPr>
              <w:jc w:val="left"/>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根据供应商提供的项目进度与质量保障方案进行评分：</w:t>
            </w:r>
          </w:p>
          <w:p w14:paraId="262123CE">
            <w:pPr>
              <w:jc w:val="left"/>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一档（</w:t>
            </w:r>
            <w:r>
              <w:rPr>
                <w:rFonts w:hint="eastAsia" w:ascii="宋体" w:hAnsi="宋体" w:cs="宋体"/>
                <w:b w:val="0"/>
                <w:bCs w:val="0"/>
                <w:color w:val="auto"/>
                <w:highlight w:val="none"/>
                <w:lang w:val="en-US" w:eastAsia="zh-CN"/>
              </w:rPr>
              <w:t>10</w:t>
            </w:r>
            <w:r>
              <w:rPr>
                <w:rFonts w:hint="default" w:ascii="宋体" w:hAnsi="宋体" w:eastAsia="宋体" w:cs="宋体"/>
                <w:b w:val="0"/>
                <w:bCs w:val="0"/>
                <w:color w:val="auto"/>
                <w:highlight w:val="none"/>
                <w:lang w:val="en-US" w:eastAsia="zh-CN"/>
              </w:rPr>
              <w:t>分）：提供了项目进度与质量保障方案；</w:t>
            </w:r>
          </w:p>
          <w:p w14:paraId="4CA44977">
            <w:pPr>
              <w:jc w:val="left"/>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二档（</w:t>
            </w:r>
            <w:r>
              <w:rPr>
                <w:rFonts w:hint="eastAsia" w:ascii="宋体" w:hAnsi="宋体" w:cs="宋体"/>
                <w:b w:val="0"/>
                <w:bCs w:val="0"/>
                <w:color w:val="auto"/>
                <w:highlight w:val="none"/>
                <w:lang w:val="en-US" w:eastAsia="zh-CN"/>
              </w:rPr>
              <w:t>15</w:t>
            </w:r>
            <w:r>
              <w:rPr>
                <w:rFonts w:hint="default" w:ascii="宋体" w:hAnsi="宋体" w:eastAsia="宋体" w:cs="宋体"/>
                <w:b w:val="0"/>
                <w:bCs w:val="0"/>
                <w:color w:val="auto"/>
                <w:highlight w:val="none"/>
                <w:lang w:val="en-US" w:eastAsia="zh-CN"/>
              </w:rPr>
              <w:t>分）：提供了项目进度与质量保障方案，有项目进度控制措施、质量保障措施，针对可能出现的特殊情况有应急方案，</w:t>
            </w:r>
            <w:r>
              <w:rPr>
                <w:rFonts w:hint="eastAsia" w:ascii="宋体" w:hAnsi="宋体" w:cs="宋体"/>
                <w:b w:val="0"/>
                <w:bCs w:val="0"/>
                <w:color w:val="auto"/>
                <w:highlight w:val="none"/>
                <w:lang w:val="en-US" w:eastAsia="zh-CN"/>
              </w:rPr>
              <w:t>方案简单</w:t>
            </w:r>
            <w:r>
              <w:rPr>
                <w:rFonts w:hint="default" w:ascii="宋体" w:hAnsi="宋体" w:eastAsia="宋体" w:cs="宋体"/>
                <w:b w:val="0"/>
                <w:bCs w:val="0"/>
                <w:color w:val="auto"/>
                <w:highlight w:val="none"/>
                <w:lang w:val="en-US" w:eastAsia="zh-CN"/>
              </w:rPr>
              <w:t>；</w:t>
            </w:r>
          </w:p>
          <w:p w14:paraId="2B0DB0CE">
            <w:pPr>
              <w:jc w:val="left"/>
              <w:rPr>
                <w:rFonts w:hint="default" w:ascii="宋体" w:hAnsi="宋体" w:eastAsia="宋体" w:cs="宋体"/>
                <w:b w:val="0"/>
                <w:bCs w:val="0"/>
                <w:color w:val="auto"/>
                <w:highlight w:val="none"/>
                <w:lang w:val="en-US" w:eastAsia="zh-CN"/>
              </w:rPr>
            </w:pPr>
            <w:r>
              <w:rPr>
                <w:rFonts w:hint="default" w:ascii="宋体" w:hAnsi="宋体" w:eastAsia="宋体" w:cs="宋体"/>
                <w:b w:val="0"/>
                <w:bCs w:val="0"/>
                <w:color w:val="auto"/>
                <w:highlight w:val="none"/>
                <w:lang w:val="en-US" w:eastAsia="zh-CN"/>
              </w:rPr>
              <w:t>三档（</w:t>
            </w:r>
            <w:r>
              <w:rPr>
                <w:rFonts w:hint="eastAsia" w:ascii="宋体" w:hAnsi="宋体" w:cs="宋体"/>
                <w:b w:val="0"/>
                <w:bCs w:val="0"/>
                <w:color w:val="auto"/>
                <w:highlight w:val="none"/>
                <w:lang w:val="en-US" w:eastAsia="zh-CN"/>
              </w:rPr>
              <w:t>20</w:t>
            </w:r>
            <w:r>
              <w:rPr>
                <w:rFonts w:hint="default" w:ascii="宋体" w:hAnsi="宋体" w:eastAsia="宋体" w:cs="宋体"/>
                <w:b w:val="0"/>
                <w:bCs w:val="0"/>
                <w:color w:val="auto"/>
                <w:highlight w:val="none"/>
                <w:lang w:val="en-US" w:eastAsia="zh-CN"/>
              </w:rPr>
              <w:t>分）：提供了项目进度与质量保障方案，项目进度安排、质量控制等实施过程中的保障性和控制性措施</w:t>
            </w:r>
            <w:r>
              <w:rPr>
                <w:rFonts w:hint="eastAsia" w:ascii="宋体" w:hAnsi="宋体" w:cs="宋体"/>
                <w:b w:val="0"/>
                <w:bCs w:val="0"/>
                <w:color w:val="auto"/>
                <w:highlight w:val="none"/>
                <w:lang w:val="en-US" w:eastAsia="zh-CN"/>
              </w:rPr>
              <w:t>详细、</w:t>
            </w:r>
            <w:r>
              <w:rPr>
                <w:rFonts w:hint="default" w:ascii="宋体" w:hAnsi="宋体" w:eastAsia="宋体" w:cs="宋体"/>
                <w:b w:val="0"/>
                <w:bCs w:val="0"/>
                <w:color w:val="auto"/>
                <w:highlight w:val="none"/>
                <w:lang w:val="en-US" w:eastAsia="zh-CN"/>
              </w:rPr>
              <w:t>具有针对性</w:t>
            </w:r>
            <w:r>
              <w:rPr>
                <w:rFonts w:hint="eastAsia" w:ascii="宋体" w:hAnsi="宋体" w:cs="宋体"/>
                <w:b w:val="0"/>
                <w:bCs w:val="0"/>
                <w:color w:val="auto"/>
                <w:highlight w:val="none"/>
                <w:lang w:val="en-US" w:eastAsia="zh-CN"/>
              </w:rPr>
              <w:t>。</w:t>
            </w:r>
            <w:r>
              <w:rPr>
                <w:rFonts w:hint="default" w:ascii="宋体" w:hAnsi="宋体" w:eastAsia="宋体" w:cs="宋体"/>
                <w:b w:val="0"/>
                <w:bCs w:val="0"/>
                <w:color w:val="auto"/>
                <w:highlight w:val="none"/>
                <w:lang w:val="en-US" w:eastAsia="zh-CN"/>
              </w:rPr>
              <w:t>能针对考试考务服务中遇到的特殊情况或者紧急状况，制定有针对性的处置方案，包括对特殊情况（如网络、软件等方面的故障）响应的时间、应对措施、人员安排等，能保证本项能按时完成。</w:t>
            </w:r>
          </w:p>
        </w:tc>
        <w:tc>
          <w:tcPr>
            <w:tcW w:w="758" w:type="dxa"/>
            <w:vAlign w:val="center"/>
          </w:tcPr>
          <w:p w14:paraId="56772DDF">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20</w:t>
            </w:r>
          </w:p>
        </w:tc>
      </w:tr>
      <w:tr w14:paraId="5CC97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281330F7">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6</w:t>
            </w:r>
          </w:p>
        </w:tc>
        <w:tc>
          <w:tcPr>
            <w:tcW w:w="1100" w:type="dxa"/>
            <w:vAlign w:val="center"/>
          </w:tcPr>
          <w:p w14:paraId="201BE408">
            <w:pPr>
              <w:jc w:val="center"/>
              <w:rPr>
                <w:rFonts w:hint="eastAsia" w:ascii="宋体" w:hAnsi="宋体" w:eastAsia="宋体" w:cs="宋体"/>
                <w:color w:val="auto"/>
                <w:highlight w:val="none"/>
              </w:rPr>
            </w:pPr>
            <w:r>
              <w:rPr>
                <w:rFonts w:hint="eastAsia" w:ascii="宋体" w:hAnsi="宋体" w:eastAsia="宋体" w:cs="宋体"/>
                <w:color w:val="auto"/>
                <w:highlight w:val="none"/>
              </w:rPr>
              <w:t>商务（客观分）</w:t>
            </w:r>
          </w:p>
        </w:tc>
        <w:tc>
          <w:tcPr>
            <w:tcW w:w="7454" w:type="dxa"/>
            <w:vAlign w:val="center"/>
          </w:tcPr>
          <w:p w14:paraId="40217C8C">
            <w:pPr>
              <w:jc w:val="lef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供应商近三年（202</w:t>
            </w:r>
            <w:r>
              <w:rPr>
                <w:rFonts w:hint="eastAsia" w:ascii="宋体" w:hAnsi="宋体" w:eastAsia="宋体" w:cs="宋体"/>
                <w:b w:val="0"/>
                <w:bCs w:val="0"/>
                <w:color w:val="auto"/>
                <w:highlight w:val="none"/>
                <w:lang w:val="en-US" w:eastAsia="zh-CN"/>
              </w:rPr>
              <w:t>3</w:t>
            </w:r>
            <w:r>
              <w:rPr>
                <w:rFonts w:hint="eastAsia" w:ascii="宋体" w:hAnsi="宋体" w:eastAsia="宋体" w:cs="宋体"/>
                <w:b w:val="0"/>
                <w:bCs w:val="0"/>
                <w:color w:val="auto"/>
                <w:highlight w:val="none"/>
              </w:rPr>
              <w:t>年1月1日至响应文件递交截止时间）具有电子化考试业绩，每个得2分，最多得</w:t>
            </w: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rPr>
              <w:t>分（即“业绩个数×2分”超过</w:t>
            </w: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rPr>
              <w:t>分的，按</w:t>
            </w:r>
            <w:r>
              <w:rPr>
                <w:rFonts w:hint="eastAsia" w:ascii="宋体" w:hAnsi="宋体" w:eastAsia="宋体" w:cs="宋体"/>
                <w:b w:val="0"/>
                <w:bCs w:val="0"/>
                <w:color w:val="auto"/>
                <w:highlight w:val="none"/>
                <w:lang w:val="en-US" w:eastAsia="zh-CN"/>
              </w:rPr>
              <w:t>8</w:t>
            </w:r>
            <w:r>
              <w:rPr>
                <w:rFonts w:hint="eastAsia" w:ascii="宋体" w:hAnsi="宋体" w:eastAsia="宋体" w:cs="宋体"/>
                <w:b w:val="0"/>
                <w:bCs w:val="0"/>
                <w:color w:val="auto"/>
                <w:highlight w:val="none"/>
              </w:rPr>
              <w:t>分计）。</w:t>
            </w:r>
          </w:p>
          <w:p w14:paraId="4325B405">
            <w:pPr>
              <w:jc w:val="left"/>
              <w:rPr>
                <w:rFonts w:hint="eastAsia" w:ascii="宋体" w:hAnsi="宋体" w:eastAsia="宋体" w:cs="宋体"/>
                <w:b w:val="0"/>
                <w:bCs w:val="0"/>
                <w:color w:val="auto"/>
                <w:highlight w:val="none"/>
              </w:rPr>
            </w:pPr>
            <w:r>
              <w:rPr>
                <w:rFonts w:hint="eastAsia" w:ascii="宋体" w:hAnsi="宋体" w:eastAsia="宋体" w:cs="宋体"/>
                <w:b w:val="0"/>
                <w:bCs w:val="0"/>
                <w:color w:val="auto"/>
                <w:highlight w:val="none"/>
              </w:rPr>
              <w:t>【业绩</w:t>
            </w:r>
            <w:r>
              <w:rPr>
                <w:rFonts w:hint="eastAsia" w:ascii="宋体" w:hAnsi="宋体" w:cs="宋体"/>
                <w:b w:val="0"/>
                <w:bCs w:val="0"/>
                <w:color w:val="auto"/>
                <w:highlight w:val="none"/>
                <w:lang w:val="en-US" w:eastAsia="zh-CN"/>
              </w:rPr>
              <w:t>证明材料</w:t>
            </w:r>
            <w:r>
              <w:rPr>
                <w:rFonts w:hint="eastAsia" w:ascii="宋体" w:hAnsi="宋体" w:eastAsia="宋体" w:cs="宋体"/>
                <w:b w:val="0"/>
                <w:bCs w:val="0"/>
                <w:color w:val="auto"/>
                <w:highlight w:val="none"/>
              </w:rPr>
              <w:t>中须含采购合同文本关键页（首页、标的页、合同价款页、签章页）复印件</w:t>
            </w:r>
            <w:r>
              <w:rPr>
                <w:rFonts w:hint="eastAsia" w:ascii="宋体" w:hAnsi="宋体" w:cs="宋体"/>
                <w:b w:val="0"/>
                <w:bCs w:val="0"/>
                <w:color w:val="auto"/>
                <w:highlight w:val="none"/>
                <w:lang w:eastAsia="zh-CN"/>
              </w:rPr>
              <w:t>，</w:t>
            </w:r>
            <w:r>
              <w:rPr>
                <w:rFonts w:hint="eastAsia" w:ascii="宋体" w:hAnsi="宋体" w:cs="宋体"/>
                <w:b w:val="0"/>
                <w:bCs w:val="0"/>
                <w:color w:val="auto"/>
                <w:highlight w:val="none"/>
                <w:lang w:val="en-US" w:eastAsia="zh-CN"/>
              </w:rPr>
              <w:t>以及</w:t>
            </w:r>
            <w:r>
              <w:rPr>
                <w:rFonts w:hint="eastAsia" w:ascii="宋体" w:hAnsi="宋体" w:eastAsia="宋体" w:cs="宋体"/>
                <w:b w:val="0"/>
                <w:bCs w:val="0"/>
                <w:color w:val="auto"/>
                <w:highlight w:val="none"/>
              </w:rPr>
              <w:t>能够证明该业绩项目已经采购人验收合格的相关证明文件复印件，未同时提供以上各项证明材料的，该项业绩不给予计分。】</w:t>
            </w:r>
          </w:p>
        </w:tc>
        <w:tc>
          <w:tcPr>
            <w:tcW w:w="758" w:type="dxa"/>
            <w:vAlign w:val="center"/>
          </w:tcPr>
          <w:p w14:paraId="71E4029B">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8</w:t>
            </w:r>
          </w:p>
        </w:tc>
      </w:tr>
      <w:tr w14:paraId="4A54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42" w:type="dxa"/>
            <w:vAlign w:val="center"/>
          </w:tcPr>
          <w:p w14:paraId="17A4BE9A">
            <w:pPr>
              <w:jc w:val="center"/>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7</w:t>
            </w:r>
          </w:p>
        </w:tc>
        <w:tc>
          <w:tcPr>
            <w:tcW w:w="1100" w:type="dxa"/>
            <w:vAlign w:val="center"/>
          </w:tcPr>
          <w:p w14:paraId="68228CB6">
            <w:pPr>
              <w:jc w:val="center"/>
              <w:rPr>
                <w:rFonts w:hint="eastAsia" w:ascii="宋体" w:hAnsi="宋体" w:eastAsia="宋体" w:cs="宋体"/>
                <w:color w:val="auto"/>
                <w:highlight w:val="none"/>
              </w:rPr>
            </w:pPr>
            <w:r>
              <w:rPr>
                <w:rFonts w:hint="eastAsia" w:ascii="宋体" w:hAnsi="宋体" w:eastAsia="宋体" w:cs="宋体"/>
                <w:color w:val="auto"/>
                <w:highlight w:val="none"/>
              </w:rPr>
              <w:t>商务（客观分）</w:t>
            </w:r>
          </w:p>
        </w:tc>
        <w:tc>
          <w:tcPr>
            <w:tcW w:w="7454" w:type="dxa"/>
            <w:vAlign w:val="center"/>
          </w:tcPr>
          <w:p w14:paraId="603FA63F">
            <w:pPr>
              <w:jc w:val="left"/>
              <w:rPr>
                <w:rFonts w:hint="default" w:ascii="宋体" w:hAnsi="宋体" w:cs="宋体"/>
                <w:b w:val="0"/>
                <w:bCs w:val="0"/>
                <w:color w:val="auto"/>
                <w:highlight w:val="none"/>
                <w:lang w:val="en-US" w:eastAsia="zh-CN"/>
              </w:rPr>
            </w:pPr>
            <w:r>
              <w:rPr>
                <w:rFonts w:hint="default" w:ascii="宋体" w:hAnsi="宋体" w:cs="宋体"/>
                <w:b w:val="0"/>
                <w:bCs w:val="0"/>
                <w:color w:val="auto"/>
                <w:highlight w:val="none"/>
                <w:lang w:val="en-US" w:eastAsia="zh-CN"/>
              </w:rPr>
              <w:t>为保障考试工作的服务质量及工作顺利开展，供应商每具备一个以下资质的，得</w:t>
            </w:r>
            <w:r>
              <w:rPr>
                <w:rFonts w:hint="eastAsia" w:ascii="宋体" w:hAnsi="宋体" w:cs="宋体"/>
                <w:b w:val="0"/>
                <w:bCs w:val="0"/>
                <w:color w:val="auto"/>
                <w:highlight w:val="none"/>
                <w:lang w:val="en-US" w:eastAsia="zh-CN"/>
              </w:rPr>
              <w:t>2</w:t>
            </w:r>
            <w:r>
              <w:rPr>
                <w:rFonts w:hint="default" w:ascii="宋体" w:hAnsi="宋体" w:cs="宋体"/>
                <w:b w:val="0"/>
                <w:bCs w:val="0"/>
                <w:color w:val="auto"/>
                <w:highlight w:val="none"/>
                <w:lang w:val="en-US" w:eastAsia="zh-CN"/>
              </w:rPr>
              <w:t>分：</w:t>
            </w:r>
          </w:p>
          <w:p w14:paraId="5F8AA3A7">
            <w:pPr>
              <w:jc w:val="left"/>
              <w:rPr>
                <w:rFonts w:hint="default" w:ascii="宋体" w:hAnsi="宋体" w:cs="宋体"/>
                <w:b w:val="0"/>
                <w:bCs w:val="0"/>
                <w:color w:val="auto"/>
                <w:highlight w:val="none"/>
                <w:lang w:val="en-US" w:eastAsia="zh-CN"/>
              </w:rPr>
            </w:pPr>
            <w:r>
              <w:rPr>
                <w:rFonts w:hint="default" w:ascii="宋体" w:hAnsi="宋体" w:cs="宋体"/>
                <w:b w:val="0"/>
                <w:bCs w:val="0"/>
                <w:color w:val="auto"/>
                <w:highlight w:val="none"/>
                <w:lang w:val="en-US" w:eastAsia="zh-CN"/>
              </w:rPr>
              <w:t>（1）通过ISO27001信息安全管理体系认证；</w:t>
            </w:r>
          </w:p>
          <w:p w14:paraId="7379300A">
            <w:pPr>
              <w:jc w:val="left"/>
              <w:rPr>
                <w:rFonts w:hint="default" w:ascii="宋体" w:hAnsi="宋体" w:cs="宋体"/>
                <w:b w:val="0"/>
                <w:bCs w:val="0"/>
                <w:color w:val="auto"/>
                <w:highlight w:val="none"/>
                <w:lang w:val="en-US" w:eastAsia="zh-CN"/>
              </w:rPr>
            </w:pPr>
            <w:r>
              <w:rPr>
                <w:rFonts w:hint="default" w:ascii="宋体" w:hAnsi="宋体" w:cs="宋体"/>
                <w:b w:val="0"/>
                <w:bCs w:val="0"/>
                <w:color w:val="auto"/>
                <w:highlight w:val="none"/>
                <w:lang w:val="en-US" w:eastAsia="zh-CN"/>
              </w:rPr>
              <w:t>（2）通过ISO9001质量管理体系认证；</w:t>
            </w:r>
          </w:p>
          <w:p w14:paraId="29FD14AB">
            <w:pPr>
              <w:jc w:val="left"/>
              <w:rPr>
                <w:rFonts w:hint="default" w:ascii="宋体" w:hAnsi="宋体" w:cs="宋体"/>
                <w:b w:val="0"/>
                <w:bCs w:val="0"/>
                <w:color w:val="auto"/>
                <w:highlight w:val="none"/>
                <w:lang w:val="en-US" w:eastAsia="zh-CN"/>
              </w:rPr>
            </w:pPr>
            <w:r>
              <w:rPr>
                <w:rFonts w:hint="default" w:ascii="宋体" w:hAnsi="宋体" w:cs="宋体"/>
                <w:b w:val="0"/>
                <w:bCs w:val="0"/>
                <w:color w:val="auto"/>
                <w:highlight w:val="none"/>
                <w:lang w:val="en-US" w:eastAsia="zh-CN"/>
              </w:rPr>
              <w:t>注：以上材料须提供有效的认证证明复印件，并加盖供应商公章。</w:t>
            </w:r>
          </w:p>
        </w:tc>
        <w:tc>
          <w:tcPr>
            <w:tcW w:w="758" w:type="dxa"/>
            <w:vAlign w:val="center"/>
          </w:tcPr>
          <w:p w14:paraId="12880B03">
            <w:pPr>
              <w:jc w:val="center"/>
              <w:rPr>
                <w:rFonts w:hint="default" w:ascii="宋体" w:hAnsi="宋体" w:eastAsia="宋体" w:cs="宋体"/>
                <w:color w:val="auto"/>
                <w:highlight w:val="none"/>
                <w:lang w:val="en-US" w:eastAsia="zh-CN"/>
              </w:rPr>
            </w:pPr>
            <w:r>
              <w:rPr>
                <w:rFonts w:hint="eastAsia" w:ascii="宋体" w:hAnsi="宋体" w:cs="宋体"/>
                <w:color w:val="auto"/>
                <w:highlight w:val="none"/>
                <w:lang w:val="en-US" w:eastAsia="zh-CN"/>
              </w:rPr>
              <w:t>4</w:t>
            </w:r>
          </w:p>
        </w:tc>
      </w:tr>
    </w:tbl>
    <w:p w14:paraId="08CC68F3">
      <w:pPr>
        <w:spacing w:line="360" w:lineRule="auto"/>
        <w:ind w:firstLine="420" w:firstLineChars="200"/>
        <w:rPr>
          <w:rFonts w:hint="eastAsia" w:ascii="宋体" w:hAnsi="宋体" w:cs="宋体"/>
          <w:color w:val="auto"/>
          <w:kern w:val="0"/>
          <w:szCs w:val="21"/>
          <w:highlight w:val="none"/>
        </w:rPr>
      </w:pPr>
    </w:p>
    <w:p w14:paraId="3F6CC6F4">
      <w:pPr>
        <w:spacing w:line="360" w:lineRule="auto"/>
        <w:ind w:firstLine="420" w:firstLineChars="200"/>
        <w:rPr>
          <w:rFonts w:ascii="宋体" w:hAnsi="宋体" w:cs="宋体"/>
          <w:color w:val="auto"/>
          <w:highlight w:val="none"/>
        </w:rPr>
      </w:pPr>
      <w:bookmarkStart w:id="123" w:name="_Toc80205935"/>
      <w:r>
        <w:rPr>
          <w:rFonts w:hint="eastAsia" w:ascii="宋体" w:hAnsi="宋体" w:cs="宋体"/>
          <w:color w:val="auto"/>
          <w:highlight w:val="none"/>
        </w:rPr>
        <w:t>7.2终止竞争性磋商采购活动</w:t>
      </w:r>
    </w:p>
    <w:p w14:paraId="2F495991">
      <w:pPr>
        <w:spacing w:line="360" w:lineRule="auto"/>
        <w:ind w:firstLine="420" w:firstLineChars="200"/>
        <w:rPr>
          <w:rFonts w:ascii="宋体" w:hAnsi="宋体"/>
          <w:b/>
          <w:color w:val="auto"/>
          <w:highlight w:val="none"/>
        </w:rPr>
      </w:pPr>
      <w:r>
        <w:rPr>
          <w:rFonts w:hint="eastAsia" w:ascii="宋体" w:hAnsi="宋体" w:cs="宋体"/>
          <w:color w:val="auto"/>
          <w:highlight w:val="none"/>
        </w:rPr>
        <w:t>磋商小组发现竞争性磋商文件存在歧义、重大缺陷导致评审工作无法进行，或者竞争性磋商文件内容违反国家有关规定的，要停止评审工作并向采购人或采购代理机构书面说明情况，采购人或采购代理机构应当修改竞争性磋商文件后重新组织采购活动；发现供应商提供虚假材料、串通等违法违规行为的，要及时向采购人或采购代理机构报告。</w:t>
      </w:r>
    </w:p>
    <w:p w14:paraId="2DD84AE4">
      <w:pPr>
        <w:pStyle w:val="3"/>
        <w:spacing w:before="0" w:after="0" w:line="360" w:lineRule="auto"/>
        <w:ind w:firstLine="640" w:firstLineChars="200"/>
        <w:jc w:val="center"/>
        <w:rPr>
          <w:rFonts w:ascii="宋体" w:hAnsi="宋体"/>
          <w:b w:val="0"/>
          <w:color w:val="auto"/>
          <w:highlight w:val="none"/>
        </w:rPr>
      </w:pPr>
      <w:bookmarkStart w:id="124" w:name="_Toc22545"/>
      <w:bookmarkStart w:id="125" w:name="_Toc11595"/>
      <w:bookmarkStart w:id="126" w:name="_Toc80886939"/>
      <w:r>
        <w:rPr>
          <w:rFonts w:hint="eastAsia" w:ascii="宋体" w:hAnsi="宋体"/>
          <w:b w:val="0"/>
          <w:color w:val="auto"/>
          <w:highlight w:val="none"/>
        </w:rPr>
        <w:t>第二节 评审报告</w:t>
      </w:r>
      <w:bookmarkEnd w:id="123"/>
      <w:bookmarkEnd w:id="124"/>
      <w:bookmarkEnd w:id="125"/>
      <w:bookmarkEnd w:id="126"/>
    </w:p>
    <w:p w14:paraId="5FB1A380">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1.成交标准</w:t>
      </w:r>
    </w:p>
    <w:p w14:paraId="4C29C1E7">
      <w:pPr>
        <w:spacing w:line="360" w:lineRule="auto"/>
        <w:ind w:firstLine="420" w:firstLineChars="200"/>
        <w:rPr>
          <w:rFonts w:ascii="宋体" w:hAnsi="宋体" w:cs="宋体"/>
          <w:color w:val="auto"/>
          <w:sz w:val="24"/>
          <w:highlight w:val="none"/>
        </w:rPr>
      </w:pPr>
      <w:r>
        <w:rPr>
          <w:rFonts w:hint="eastAsia" w:ascii="宋体" w:hAnsi="宋体" w:cs="宋体"/>
          <w:bCs/>
          <w:color w:val="auto"/>
          <w:szCs w:val="21"/>
          <w:highlight w:val="none"/>
        </w:rPr>
        <w:t>由磋商小组根据综合评分情况，按照评审得分由高到低顺序推荐3名以上成交候选供应商</w:t>
      </w:r>
      <w:r>
        <w:rPr>
          <w:rFonts w:hint="eastAsia" w:ascii="宋体" w:hAnsi="宋体" w:cs="宋体"/>
          <w:color w:val="auto"/>
          <w:highlight w:val="none"/>
        </w:rPr>
        <w:t>,并在线编写电子评审报告</w:t>
      </w:r>
      <w:r>
        <w:rPr>
          <w:rFonts w:hint="eastAsia" w:ascii="宋体" w:hAnsi="宋体" w:cs="宋体"/>
          <w:bCs/>
          <w:color w:val="auto"/>
          <w:szCs w:val="21"/>
          <w:highlight w:val="none"/>
        </w:rPr>
        <w:t>。符合本章第一节第5.3条情形的，可以推荐2家成交候选供应商。评审得分相同的，按照最后报价（不计算价格折扣）由低到高的顺序推荐。评审得分且最后报价（不计算价格折扣）相同的，按照技术指标优劣顺序推荐（按技术分得分由高到低排序，技术分得分相同的按照商务分得分由高到低排序）。评审得分、最后报价（不计算价格折扣）、技术分得分、商务分得分均相同的，由磋商小组随机抽取推荐。</w:t>
      </w:r>
    </w:p>
    <w:p w14:paraId="51584C44">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2.评审争议</w:t>
      </w:r>
      <w:r>
        <w:rPr>
          <w:rFonts w:ascii="黑体" w:hAnsi="黑体" w:eastAsia="黑体" w:cs="宋体"/>
          <w:color w:val="auto"/>
          <w:sz w:val="24"/>
          <w:szCs w:val="32"/>
          <w:highlight w:val="none"/>
        </w:rPr>
        <w:t>事项</w:t>
      </w:r>
      <w:r>
        <w:rPr>
          <w:rFonts w:hint="eastAsia" w:ascii="黑体" w:hAnsi="黑体" w:eastAsia="黑体" w:cs="宋体"/>
          <w:color w:val="auto"/>
          <w:sz w:val="24"/>
          <w:szCs w:val="32"/>
          <w:highlight w:val="none"/>
        </w:rPr>
        <w:t>处理</w:t>
      </w:r>
    </w:p>
    <w:p w14:paraId="55ECAE65">
      <w:pPr>
        <w:pStyle w:val="67"/>
        <w:spacing w:before="0"/>
        <w:ind w:firstLine="420"/>
        <w:rPr>
          <w:rFonts w:ascii="宋体" w:hAnsi="宋体" w:cs="宋体"/>
          <w:color w:val="auto"/>
          <w:kern w:val="2"/>
          <w:sz w:val="21"/>
          <w:szCs w:val="24"/>
          <w:highlight w:val="none"/>
        </w:rPr>
      </w:pPr>
      <w:r>
        <w:rPr>
          <w:rFonts w:hint="eastAsia" w:ascii="宋体" w:hAnsi="宋体" w:cs="宋体"/>
          <w:color w:val="auto"/>
          <w:kern w:val="2"/>
          <w:sz w:val="21"/>
          <w:szCs w:val="24"/>
          <w:highlight w:val="none"/>
        </w:rPr>
        <w:t>磋商小组成员对需要共同认定的事项存在争议的，应当按照少数服从多数的原则作出结论。持不同意见的磋商小组成员应当在评审报告上签署不同意见及理由，否则视为同意评审报告。</w:t>
      </w:r>
    </w:p>
    <w:p w14:paraId="76E46F4A">
      <w:pPr>
        <w:pStyle w:val="67"/>
        <w:spacing w:before="0"/>
        <w:ind w:firstLine="420"/>
        <w:rPr>
          <w:rFonts w:cs="宋体"/>
          <w:color w:val="auto"/>
          <w:kern w:val="2"/>
          <w:sz w:val="21"/>
          <w:szCs w:val="24"/>
          <w:highlight w:val="none"/>
        </w:rPr>
      </w:pPr>
    </w:p>
    <w:p w14:paraId="51119B85">
      <w:pPr>
        <w:pStyle w:val="3"/>
        <w:spacing w:before="0" w:after="0" w:line="360" w:lineRule="auto"/>
        <w:ind w:firstLine="640" w:firstLineChars="200"/>
        <w:jc w:val="center"/>
        <w:rPr>
          <w:rFonts w:ascii="宋体" w:hAnsi="宋体"/>
          <w:b w:val="0"/>
          <w:color w:val="auto"/>
          <w:highlight w:val="none"/>
        </w:rPr>
      </w:pPr>
      <w:bookmarkStart w:id="127" w:name="_Toc80205936"/>
      <w:bookmarkStart w:id="128" w:name="_Toc2025"/>
      <w:bookmarkStart w:id="129" w:name="_Toc20045"/>
      <w:bookmarkStart w:id="130" w:name="_Toc80886940"/>
      <w:r>
        <w:rPr>
          <w:rFonts w:hint="eastAsia" w:ascii="宋体" w:hAnsi="宋体"/>
          <w:b w:val="0"/>
          <w:color w:val="auto"/>
          <w:highlight w:val="none"/>
        </w:rPr>
        <w:t>第三节 评审过程的保密与录像</w:t>
      </w:r>
      <w:bookmarkEnd w:id="127"/>
      <w:bookmarkEnd w:id="128"/>
      <w:bookmarkEnd w:id="129"/>
      <w:bookmarkEnd w:id="130"/>
    </w:p>
    <w:p w14:paraId="75BAD65A">
      <w:pPr>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1.保密。</w:t>
      </w:r>
    </w:p>
    <w:p w14:paraId="18137F57">
      <w:pPr>
        <w:widowControl/>
        <w:spacing w:line="360" w:lineRule="auto"/>
        <w:ind w:firstLine="420" w:firstLineChars="200"/>
        <w:rPr>
          <w:rFonts w:cs="宋体"/>
          <w:color w:val="auto"/>
          <w:highlight w:val="none"/>
        </w:rPr>
      </w:pPr>
      <w:r>
        <w:rPr>
          <w:rFonts w:cs="宋体"/>
          <w:color w:val="auto"/>
          <w:highlight w:val="none"/>
        </w:rPr>
        <w:t>评审活动在严格保密的情况下进行。评审过程中凡是与响应文件评审和比较、成交供应商推荐等评审有关的情况，以及涉及国家秘密和商业秘密等信息，</w:t>
      </w:r>
      <w:r>
        <w:rPr>
          <w:rFonts w:hint="eastAsia" w:cs="宋体"/>
          <w:color w:val="auto"/>
          <w:highlight w:val="none"/>
        </w:rPr>
        <w:t>磋商小组</w:t>
      </w:r>
      <w:r>
        <w:rPr>
          <w:rFonts w:cs="宋体"/>
          <w:color w:val="auto"/>
          <w:highlight w:val="none"/>
        </w:rPr>
        <w:t>成员、采购人和采购</w:t>
      </w:r>
      <w:r>
        <w:rPr>
          <w:rFonts w:hint="eastAsia" w:cs="宋体"/>
          <w:color w:val="auto"/>
          <w:highlight w:val="none"/>
        </w:rPr>
        <w:t>代理</w:t>
      </w:r>
      <w:r>
        <w:rPr>
          <w:rFonts w:cs="宋体"/>
          <w:color w:val="auto"/>
          <w:highlight w:val="none"/>
        </w:rPr>
        <w:t>机构工作人员、相关监督人员等与评审有关的人员应当予以保密。</w:t>
      </w:r>
    </w:p>
    <w:p w14:paraId="4EA4F4E9">
      <w:pPr>
        <w:widowControl/>
        <w:spacing w:line="360" w:lineRule="auto"/>
        <w:ind w:firstLine="480" w:firstLineChars="200"/>
        <w:rPr>
          <w:rFonts w:ascii="黑体" w:hAnsi="黑体" w:eastAsia="黑体" w:cs="宋体"/>
          <w:color w:val="auto"/>
          <w:sz w:val="24"/>
          <w:szCs w:val="32"/>
          <w:highlight w:val="none"/>
        </w:rPr>
      </w:pPr>
      <w:r>
        <w:rPr>
          <w:rFonts w:hint="eastAsia" w:ascii="黑体" w:hAnsi="黑体" w:eastAsia="黑体" w:cs="宋体"/>
          <w:color w:val="auto"/>
          <w:sz w:val="24"/>
          <w:szCs w:val="32"/>
          <w:highlight w:val="none"/>
        </w:rPr>
        <w:t>2.录音录像。</w:t>
      </w:r>
    </w:p>
    <w:p w14:paraId="612EC268">
      <w:pPr>
        <w:spacing w:line="360" w:lineRule="auto"/>
        <w:ind w:firstLine="420" w:firstLineChars="200"/>
        <w:rPr>
          <w:color w:val="auto"/>
          <w:highlight w:val="none"/>
        </w:rPr>
      </w:pPr>
      <w:r>
        <w:rPr>
          <w:rFonts w:hint="eastAsia" w:cs="宋体"/>
          <w:color w:val="auto"/>
          <w:highlight w:val="none"/>
        </w:rPr>
        <w:t>采购代理机构对评审工作现场及操作屏幕进行全过程录音录像，录音录像资料作为采购项目文件随其他文件一并存档。</w:t>
      </w:r>
    </w:p>
    <w:p w14:paraId="25503EE5">
      <w:pPr>
        <w:pStyle w:val="3"/>
        <w:jc w:val="center"/>
        <w:rPr>
          <w:color w:val="auto"/>
          <w:highlight w:val="none"/>
        </w:rPr>
      </w:pPr>
      <w:r>
        <w:rPr>
          <w:color w:val="auto"/>
          <w:highlight w:val="none"/>
        </w:rPr>
        <w:br w:type="page"/>
      </w:r>
    </w:p>
    <w:p w14:paraId="04E3D1CB">
      <w:pPr>
        <w:pStyle w:val="3"/>
        <w:jc w:val="center"/>
        <w:rPr>
          <w:color w:val="auto"/>
          <w:highlight w:val="none"/>
        </w:rPr>
      </w:pPr>
    </w:p>
    <w:p w14:paraId="4C426DB3">
      <w:pPr>
        <w:pStyle w:val="3"/>
        <w:jc w:val="center"/>
        <w:rPr>
          <w:color w:val="auto"/>
          <w:highlight w:val="none"/>
        </w:rPr>
      </w:pPr>
    </w:p>
    <w:p w14:paraId="04927002">
      <w:pPr>
        <w:pStyle w:val="3"/>
        <w:jc w:val="center"/>
        <w:rPr>
          <w:color w:val="auto"/>
          <w:highlight w:val="none"/>
        </w:rPr>
      </w:pPr>
    </w:p>
    <w:p w14:paraId="379EA8C0">
      <w:pPr>
        <w:rPr>
          <w:color w:val="auto"/>
          <w:highlight w:val="none"/>
        </w:rPr>
      </w:pPr>
    </w:p>
    <w:p w14:paraId="6C046B92">
      <w:pPr>
        <w:pStyle w:val="2"/>
        <w:rPr>
          <w:color w:val="auto"/>
          <w:highlight w:val="none"/>
        </w:rPr>
      </w:pPr>
    </w:p>
    <w:p w14:paraId="1FAD13F9">
      <w:pPr>
        <w:rPr>
          <w:color w:val="auto"/>
          <w:highlight w:val="none"/>
        </w:rPr>
      </w:pPr>
    </w:p>
    <w:p w14:paraId="73C41E09">
      <w:pPr>
        <w:pStyle w:val="2"/>
        <w:jc w:val="center"/>
        <w:rPr>
          <w:color w:val="auto"/>
          <w:highlight w:val="none"/>
        </w:rPr>
        <w:sectPr>
          <w:headerReference r:id="rId10" w:type="default"/>
          <w:footerReference r:id="rId11" w:type="default"/>
          <w:pgSz w:w="11911" w:h="16838"/>
          <w:pgMar w:top="1134" w:right="1134" w:bottom="1134" w:left="1134" w:header="720" w:footer="720" w:gutter="0"/>
          <w:cols w:space="720" w:num="1"/>
        </w:sectPr>
      </w:pPr>
      <w:bookmarkStart w:id="131" w:name="_Toc12890"/>
      <w:bookmarkStart w:id="132" w:name="_Toc7776"/>
      <w:bookmarkStart w:id="133" w:name="_Toc22302"/>
      <w:bookmarkStart w:id="134" w:name="_Toc26272"/>
      <w:bookmarkStart w:id="135" w:name="_Toc5005"/>
      <w:bookmarkStart w:id="136" w:name="_Toc27282"/>
      <w:bookmarkStart w:id="137" w:name="_Toc80886941"/>
      <w:bookmarkStart w:id="138" w:name="_Toc17404"/>
      <w:r>
        <w:rPr>
          <w:rFonts w:hint="eastAsia" w:ascii="Calibri" w:hAnsi="Calibri"/>
          <w:color w:val="auto"/>
          <w:highlight w:val="none"/>
        </w:rPr>
        <w:t>第五章 响应文件格式</w:t>
      </w:r>
      <w:bookmarkEnd w:id="131"/>
      <w:bookmarkEnd w:id="132"/>
      <w:bookmarkEnd w:id="133"/>
      <w:bookmarkEnd w:id="134"/>
      <w:bookmarkEnd w:id="135"/>
      <w:bookmarkEnd w:id="136"/>
      <w:bookmarkEnd w:id="137"/>
      <w:bookmarkEnd w:id="138"/>
    </w:p>
    <w:p w14:paraId="0C7DED9F">
      <w:pPr>
        <w:pStyle w:val="3"/>
        <w:jc w:val="center"/>
        <w:rPr>
          <w:rFonts w:ascii="宋体" w:hAnsi="宋体"/>
          <w:bCs w:val="0"/>
          <w:color w:val="auto"/>
          <w:highlight w:val="none"/>
        </w:rPr>
      </w:pPr>
      <w:bookmarkStart w:id="139" w:name="_Toc22245"/>
      <w:bookmarkStart w:id="140" w:name="_Toc80205939"/>
      <w:bookmarkStart w:id="141" w:name="_Toc12994"/>
      <w:bookmarkStart w:id="142" w:name="_Toc80886943"/>
      <w:r>
        <w:rPr>
          <w:rFonts w:hint="eastAsia" w:ascii="宋体" w:hAnsi="宋体"/>
          <w:bCs w:val="0"/>
          <w:color w:val="auto"/>
          <w:highlight w:val="none"/>
        </w:rPr>
        <w:t xml:space="preserve">第一节 </w:t>
      </w:r>
      <w:r>
        <w:rPr>
          <w:rFonts w:hint="eastAsia" w:ascii="宋体" w:hAnsi="宋体"/>
          <w:bCs w:val="0"/>
          <w:color w:val="auto"/>
          <w:highlight w:val="none"/>
          <w:lang w:eastAsia="zh-CN"/>
        </w:rPr>
        <w:t>资格文件</w:t>
      </w:r>
      <w:r>
        <w:rPr>
          <w:rFonts w:hint="eastAsia" w:ascii="宋体" w:hAnsi="宋体"/>
          <w:bCs w:val="0"/>
          <w:color w:val="auto"/>
          <w:highlight w:val="none"/>
        </w:rPr>
        <w:t>格式</w:t>
      </w:r>
      <w:bookmarkEnd w:id="139"/>
      <w:bookmarkEnd w:id="140"/>
      <w:bookmarkEnd w:id="141"/>
      <w:bookmarkEnd w:id="142"/>
    </w:p>
    <w:p w14:paraId="62AC47B8">
      <w:pPr>
        <w:snapToGrid w:val="0"/>
        <w:spacing w:before="120" w:beforeLines="50" w:after="50"/>
        <w:jc w:val="left"/>
        <w:rPr>
          <w:color w:val="auto"/>
          <w:sz w:val="24"/>
          <w:highlight w:val="none"/>
        </w:rPr>
      </w:pPr>
      <w:r>
        <w:rPr>
          <w:rFonts w:hint="eastAsia" w:hAnsi="宋体" w:cs="宋体"/>
          <w:b/>
          <w:bCs/>
          <w:color w:val="auto"/>
          <w:sz w:val="28"/>
          <w:szCs w:val="28"/>
          <w:highlight w:val="none"/>
        </w:rPr>
        <w:t>1.</w:t>
      </w:r>
      <w:r>
        <w:rPr>
          <w:rFonts w:hint="eastAsia" w:hAnsi="宋体" w:cs="宋体"/>
          <w:b/>
          <w:bCs/>
          <w:color w:val="auto"/>
          <w:sz w:val="28"/>
          <w:szCs w:val="28"/>
          <w:highlight w:val="none"/>
          <w:lang w:eastAsia="zh-CN"/>
        </w:rPr>
        <w:t>资格文件</w:t>
      </w:r>
      <w:r>
        <w:rPr>
          <w:rFonts w:hint="eastAsia" w:hAnsi="宋体" w:cs="宋体"/>
          <w:b/>
          <w:bCs/>
          <w:color w:val="auto"/>
          <w:sz w:val="28"/>
          <w:szCs w:val="28"/>
          <w:highlight w:val="none"/>
        </w:rPr>
        <w:t>封面的格式</w:t>
      </w:r>
      <w:r>
        <w:rPr>
          <w:rFonts w:hint="eastAsia" w:ascii="宋体" w:hAnsi="宋体" w:cs="宋体"/>
          <w:b/>
          <w:color w:val="auto"/>
          <w:sz w:val="28"/>
          <w:szCs w:val="28"/>
          <w:highlight w:val="none"/>
        </w:rPr>
        <w:t>（参照此格式自拟）</w:t>
      </w:r>
      <w:r>
        <w:rPr>
          <w:rFonts w:hint="eastAsia" w:hAnsi="宋体" w:cs="宋体"/>
          <w:b/>
          <w:bCs/>
          <w:color w:val="auto"/>
          <w:sz w:val="28"/>
          <w:szCs w:val="28"/>
          <w:highlight w:val="none"/>
        </w:rPr>
        <w:t>：</w:t>
      </w:r>
      <w:r>
        <w:rPr>
          <w:rFonts w:hint="eastAsia"/>
          <w:color w:val="auto"/>
          <w:sz w:val="24"/>
          <w:highlight w:val="none"/>
        </w:rPr>
        <w:t xml:space="preserve">                                      </w:t>
      </w:r>
    </w:p>
    <w:p w14:paraId="3EEBA3D9">
      <w:pPr>
        <w:snapToGrid w:val="0"/>
        <w:spacing w:before="120" w:beforeLines="50" w:after="50"/>
        <w:ind w:firstLine="6930" w:firstLineChars="3300"/>
        <w:rPr>
          <w:bCs/>
          <w:color w:val="auto"/>
          <w:sz w:val="32"/>
          <w:szCs w:val="20"/>
          <w:highlight w:val="none"/>
        </w:rPr>
      </w:pPr>
      <w:r>
        <w:rPr>
          <w:rFonts w:hint="eastAsia"/>
          <w:bCs/>
          <w:color w:val="auto"/>
          <w:highlight w:val="none"/>
        </w:rPr>
        <w:t>全流程电子文件</w:t>
      </w:r>
    </w:p>
    <w:p w14:paraId="57ADF9BD">
      <w:pPr>
        <w:snapToGrid w:val="0"/>
        <w:spacing w:before="120" w:beforeLines="50" w:after="50"/>
        <w:rPr>
          <w:color w:val="auto"/>
          <w:sz w:val="24"/>
          <w:szCs w:val="20"/>
          <w:highlight w:val="none"/>
        </w:rPr>
      </w:pPr>
    </w:p>
    <w:p w14:paraId="50E5E3C4">
      <w:pPr>
        <w:snapToGrid w:val="0"/>
        <w:spacing w:before="120" w:beforeLines="50" w:after="50"/>
        <w:rPr>
          <w:color w:val="auto"/>
          <w:sz w:val="24"/>
          <w:szCs w:val="20"/>
          <w:highlight w:val="none"/>
        </w:rPr>
      </w:pPr>
    </w:p>
    <w:p w14:paraId="1C2A7939">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资  格  证  明  文  件</w:t>
      </w:r>
    </w:p>
    <w:p w14:paraId="5B1EFD3D">
      <w:pPr>
        <w:snapToGrid w:val="0"/>
        <w:spacing w:before="120" w:beforeLines="50" w:after="50"/>
        <w:rPr>
          <w:bCs/>
          <w:color w:val="auto"/>
          <w:sz w:val="24"/>
          <w:szCs w:val="20"/>
          <w:highlight w:val="none"/>
        </w:rPr>
      </w:pPr>
    </w:p>
    <w:p w14:paraId="09A41631">
      <w:pPr>
        <w:snapToGrid w:val="0"/>
        <w:spacing w:before="120" w:beforeLines="50" w:after="50"/>
        <w:rPr>
          <w:bCs/>
          <w:color w:val="auto"/>
          <w:sz w:val="24"/>
          <w:szCs w:val="20"/>
          <w:highlight w:val="none"/>
        </w:rPr>
      </w:pPr>
    </w:p>
    <w:p w14:paraId="0167C616">
      <w:pPr>
        <w:snapToGrid w:val="0"/>
        <w:spacing w:before="120" w:beforeLines="50" w:after="50"/>
        <w:rPr>
          <w:bCs/>
          <w:color w:val="auto"/>
          <w:sz w:val="24"/>
          <w:szCs w:val="20"/>
          <w:highlight w:val="none"/>
        </w:rPr>
      </w:pPr>
    </w:p>
    <w:p w14:paraId="5FA10974">
      <w:pPr>
        <w:snapToGrid w:val="0"/>
        <w:spacing w:before="120" w:beforeLines="50" w:after="50"/>
        <w:rPr>
          <w:bCs/>
          <w:color w:val="auto"/>
          <w:sz w:val="24"/>
          <w:szCs w:val="20"/>
          <w:highlight w:val="none"/>
        </w:rPr>
      </w:pPr>
    </w:p>
    <w:p w14:paraId="041D2D66">
      <w:pPr>
        <w:snapToGrid w:val="0"/>
        <w:spacing w:before="120" w:beforeLines="50" w:after="50"/>
        <w:rPr>
          <w:bCs/>
          <w:color w:val="auto"/>
          <w:sz w:val="24"/>
          <w:szCs w:val="20"/>
          <w:highlight w:val="none"/>
        </w:rPr>
      </w:pPr>
    </w:p>
    <w:p w14:paraId="65A71B56">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14:paraId="7F2C466C">
      <w:pPr>
        <w:snapToGrid w:val="0"/>
        <w:spacing w:before="120" w:beforeLines="50" w:after="50"/>
        <w:ind w:firstLine="720" w:firstLineChars="225"/>
        <w:rPr>
          <w:rFonts w:cs="仿宋_GB2312"/>
          <w:bCs/>
          <w:color w:val="auto"/>
          <w:sz w:val="32"/>
          <w:szCs w:val="32"/>
          <w:highlight w:val="none"/>
        </w:rPr>
      </w:pPr>
    </w:p>
    <w:p w14:paraId="53AC4DB5">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项目编号：</w:t>
      </w:r>
    </w:p>
    <w:p w14:paraId="418A71A5">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14:paraId="3E8E635F">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59D7CC55">
      <w:pPr>
        <w:snapToGrid w:val="0"/>
        <w:spacing w:before="120" w:beforeLines="50" w:after="50"/>
        <w:ind w:firstLine="720" w:firstLineChars="225"/>
        <w:rPr>
          <w:rFonts w:cs="仿宋_GB2312"/>
          <w:bCs/>
          <w:color w:val="auto"/>
          <w:sz w:val="32"/>
          <w:szCs w:val="32"/>
          <w:highlight w:val="none"/>
        </w:rPr>
      </w:pPr>
    </w:p>
    <w:p w14:paraId="59D01985">
      <w:pPr>
        <w:pStyle w:val="7"/>
        <w:snapToGrid w:val="0"/>
        <w:spacing w:before="50" w:after="50"/>
        <w:ind w:firstLine="720" w:firstLineChars="225"/>
        <w:rPr>
          <w:rFonts w:cs="仿宋_GB2312"/>
          <w:bCs/>
          <w:color w:val="auto"/>
          <w:sz w:val="32"/>
          <w:szCs w:val="32"/>
          <w:highlight w:val="none"/>
        </w:rPr>
      </w:pPr>
      <w:r>
        <w:rPr>
          <w:rFonts w:hint="eastAsia" w:cs="仿宋_GB2312"/>
          <w:bCs/>
          <w:color w:val="auto"/>
          <w:sz w:val="32"/>
          <w:szCs w:val="32"/>
          <w:highlight w:val="none"/>
        </w:rPr>
        <w:t>供应商名称：</w:t>
      </w:r>
    </w:p>
    <w:p w14:paraId="3996373C">
      <w:pPr>
        <w:pStyle w:val="7"/>
        <w:snapToGrid w:val="0"/>
        <w:spacing w:before="50" w:after="50"/>
        <w:ind w:firstLine="720" w:firstLineChars="225"/>
        <w:rPr>
          <w:rFonts w:cs="仿宋_GB2312"/>
          <w:bCs/>
          <w:color w:val="auto"/>
          <w:sz w:val="32"/>
          <w:szCs w:val="32"/>
          <w:highlight w:val="none"/>
        </w:rPr>
      </w:pPr>
    </w:p>
    <w:p w14:paraId="5BBE3BC6">
      <w:pPr>
        <w:pStyle w:val="7"/>
        <w:snapToGrid w:val="0"/>
        <w:spacing w:before="50" w:after="50"/>
        <w:ind w:firstLine="720" w:firstLineChars="225"/>
        <w:rPr>
          <w:rFonts w:cs="仿宋_GB2312"/>
          <w:bCs/>
          <w:color w:val="auto"/>
          <w:sz w:val="32"/>
          <w:szCs w:val="32"/>
          <w:highlight w:val="none"/>
        </w:rPr>
      </w:pPr>
    </w:p>
    <w:p w14:paraId="1CF6BB22">
      <w:pPr>
        <w:pStyle w:val="7"/>
        <w:snapToGrid w:val="0"/>
        <w:spacing w:before="50" w:after="50"/>
        <w:ind w:firstLine="720" w:firstLineChars="225"/>
        <w:rPr>
          <w:rFonts w:cs="仿宋_GB2312"/>
          <w:bCs/>
          <w:color w:val="auto"/>
          <w:sz w:val="32"/>
          <w:szCs w:val="32"/>
          <w:highlight w:val="none"/>
        </w:rPr>
      </w:pPr>
    </w:p>
    <w:p w14:paraId="7BC00EDB">
      <w:pPr>
        <w:pStyle w:val="7"/>
        <w:snapToGrid w:val="0"/>
        <w:spacing w:before="50" w:after="50"/>
        <w:ind w:firstLine="1280" w:firstLineChars="400"/>
        <w:rPr>
          <w:rFonts w:cs="仿宋_GB2312"/>
          <w:bCs/>
          <w:color w:val="auto"/>
          <w:sz w:val="32"/>
          <w:szCs w:val="32"/>
          <w:highlight w:val="none"/>
        </w:rPr>
      </w:pPr>
    </w:p>
    <w:p w14:paraId="103FE348">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14:paraId="15CF13E4">
      <w:pPr>
        <w:snapToGrid w:val="0"/>
        <w:spacing w:before="120" w:beforeLines="50" w:after="50" w:line="360" w:lineRule="auto"/>
        <w:jc w:val="left"/>
        <w:rPr>
          <w:rFonts w:ascii="宋体" w:hAnsi="宋体" w:cs="宋体"/>
          <w:b/>
          <w:bCs/>
          <w:color w:val="auto"/>
          <w:sz w:val="28"/>
          <w:szCs w:val="28"/>
          <w:highlight w:val="none"/>
        </w:rPr>
      </w:pPr>
      <w:r>
        <w:rPr>
          <w:color w:val="auto"/>
          <w:sz w:val="24"/>
          <w:highlight w:val="none"/>
        </w:rPr>
        <w:br w:type="page"/>
      </w:r>
      <w:r>
        <w:rPr>
          <w:rFonts w:hint="eastAsia" w:ascii="宋体" w:hAnsi="宋体" w:cs="宋体"/>
          <w:b/>
          <w:bCs/>
          <w:color w:val="auto"/>
          <w:sz w:val="28"/>
          <w:szCs w:val="28"/>
          <w:highlight w:val="none"/>
        </w:rPr>
        <w:t>2.</w:t>
      </w:r>
      <w:r>
        <w:rPr>
          <w:rFonts w:hint="eastAsia" w:ascii="宋体" w:hAnsi="宋体" w:cs="宋体"/>
          <w:b/>
          <w:bCs/>
          <w:color w:val="auto"/>
          <w:sz w:val="28"/>
          <w:szCs w:val="28"/>
          <w:highlight w:val="none"/>
          <w:lang w:eastAsia="zh-CN"/>
        </w:rPr>
        <w:t>资格文件</w:t>
      </w:r>
      <w:r>
        <w:rPr>
          <w:rFonts w:hint="eastAsia" w:ascii="宋体" w:hAnsi="宋体" w:cs="宋体"/>
          <w:b/>
          <w:bCs/>
          <w:color w:val="auto"/>
          <w:sz w:val="28"/>
          <w:szCs w:val="28"/>
          <w:highlight w:val="none"/>
        </w:rPr>
        <w:t>目录</w:t>
      </w:r>
    </w:p>
    <w:p w14:paraId="344EF216">
      <w:pPr>
        <w:spacing w:line="360" w:lineRule="auto"/>
        <w:rPr>
          <w:rFonts w:ascii="宋体" w:hAnsi="宋体" w:cs="宋体"/>
          <w:b/>
          <w:bCs/>
          <w:color w:val="auto"/>
          <w:sz w:val="28"/>
          <w:szCs w:val="28"/>
          <w:highlight w:val="none"/>
        </w:rPr>
      </w:pPr>
      <w:r>
        <w:rPr>
          <w:rFonts w:hint="eastAsia" w:ascii="宋体" w:hAnsi="宋体" w:cs="宋体"/>
          <w:color w:val="auto"/>
          <w:sz w:val="28"/>
          <w:szCs w:val="28"/>
          <w:highlight w:val="none"/>
        </w:rPr>
        <w:t xml:space="preserve">    根据竞争性磋商文件规定及供应商提供的材料自行编写目录（部分格式后附）。</w:t>
      </w:r>
    </w:p>
    <w:p w14:paraId="0F41155E">
      <w:pPr>
        <w:spacing w:line="320" w:lineRule="exact"/>
        <w:jc w:val="left"/>
        <w:rPr>
          <w:rFonts w:ascii="宋体" w:hAnsi="宋体" w:cs="宋体"/>
          <w:b/>
          <w:bCs/>
          <w:color w:val="auto"/>
          <w:sz w:val="28"/>
          <w:szCs w:val="28"/>
          <w:highlight w:val="none"/>
        </w:rPr>
      </w:pPr>
      <w:r>
        <w:rPr>
          <w:rFonts w:hint="eastAsia"/>
          <w:color w:val="auto"/>
          <w:szCs w:val="21"/>
          <w:highlight w:val="none"/>
        </w:rPr>
        <w:br w:type="page"/>
      </w:r>
      <w:r>
        <w:rPr>
          <w:rFonts w:hint="eastAsia" w:ascii="宋体" w:hAnsi="宋体" w:cs="宋体"/>
          <w:b/>
          <w:bCs/>
          <w:color w:val="auto"/>
          <w:kern w:val="0"/>
          <w:sz w:val="28"/>
          <w:szCs w:val="28"/>
          <w:highlight w:val="none"/>
        </w:rPr>
        <w:t>3.声明函的格式：</w:t>
      </w:r>
    </w:p>
    <w:p w14:paraId="0AE514C7">
      <w:pPr>
        <w:spacing w:line="320" w:lineRule="exact"/>
        <w:jc w:val="center"/>
        <w:rPr>
          <w:b/>
          <w:color w:val="auto"/>
          <w:sz w:val="32"/>
          <w:szCs w:val="32"/>
          <w:highlight w:val="none"/>
        </w:rPr>
      </w:pPr>
    </w:p>
    <w:p w14:paraId="1F3DED9C">
      <w:pPr>
        <w:spacing w:line="320" w:lineRule="exact"/>
        <w:jc w:val="center"/>
        <w:rPr>
          <w:b/>
          <w:color w:val="auto"/>
          <w:sz w:val="32"/>
          <w:szCs w:val="32"/>
          <w:highlight w:val="none"/>
        </w:rPr>
      </w:pPr>
      <w:r>
        <w:rPr>
          <w:rFonts w:hint="eastAsia"/>
          <w:b/>
          <w:color w:val="auto"/>
          <w:sz w:val="32"/>
          <w:szCs w:val="32"/>
          <w:highlight w:val="none"/>
        </w:rPr>
        <w:t>声明函</w:t>
      </w:r>
    </w:p>
    <w:p w14:paraId="41CB385F">
      <w:pPr>
        <w:spacing w:line="320" w:lineRule="exact"/>
        <w:jc w:val="center"/>
        <w:rPr>
          <w:color w:val="auto"/>
          <w:sz w:val="24"/>
          <w:szCs w:val="20"/>
          <w:highlight w:val="none"/>
        </w:rPr>
      </w:pPr>
    </w:p>
    <w:p w14:paraId="488A078A">
      <w:pPr>
        <w:spacing w:line="440" w:lineRule="exact"/>
        <w:contextualSpacing/>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（采购代理机构名称）</w:t>
      </w:r>
      <w:r>
        <w:rPr>
          <w:rFonts w:hint="eastAsia" w:ascii="宋体" w:hAnsi="宋体" w:cs="宋体"/>
          <w:color w:val="auto"/>
          <w:sz w:val="24"/>
          <w:highlight w:val="none"/>
        </w:rPr>
        <w:t>：</w:t>
      </w:r>
    </w:p>
    <w:p w14:paraId="132CCEA0">
      <w:pPr>
        <w:spacing w:line="440" w:lineRule="exact"/>
        <w:ind w:firstLine="480" w:firstLineChars="200"/>
        <w:contextualSpacing/>
        <w:rPr>
          <w:rFonts w:ascii="宋体" w:hAnsi="宋体" w:cs="宋体"/>
          <w:color w:val="auto"/>
          <w:sz w:val="24"/>
          <w:highlight w:val="none"/>
        </w:rPr>
      </w:pPr>
      <w:r>
        <w:rPr>
          <w:rFonts w:hint="eastAsia" w:ascii="宋体" w:hAnsi="宋体" w:cs="宋体"/>
          <w:i/>
          <w:iCs/>
          <w:color w:val="auto"/>
          <w:sz w:val="24"/>
          <w:highlight w:val="none"/>
          <w:u w:val="single"/>
        </w:rPr>
        <w:t>（供应商名称）</w:t>
      </w:r>
      <w:r>
        <w:rPr>
          <w:rFonts w:hint="eastAsia" w:ascii="宋体" w:hAnsi="宋体" w:cs="宋体"/>
          <w:color w:val="auto"/>
          <w:sz w:val="24"/>
          <w:highlight w:val="none"/>
        </w:rPr>
        <w:t>系中华人民共和国合法供应商，经营地址</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586095D">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我方愿意参加贵方组织的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项目的竞标，为便于贵方公正、择优地确定成交供应商及其竞标产品和服务，我方就本次竞标有关事项郑重声明如下：</w:t>
      </w:r>
    </w:p>
    <w:p w14:paraId="21490782">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1.我方向贵方提交的所有响应文件、资料都是准确的和真实的。</w:t>
      </w:r>
    </w:p>
    <w:p w14:paraId="327AC332">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我方不是采购人的附属机构；不是为本次采购项目提供整体设计、规范编制或者项目管理、监理、检测等服务的供应商；在获知本项目采购信息后，与采购人聘请的为此项目提供咨询服务的公司及其附属机构没有任何联系。</w:t>
      </w:r>
    </w:p>
    <w:p w14:paraId="17677E75">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3.在此，我方宣布同意如下：</w:t>
      </w:r>
    </w:p>
    <w:p w14:paraId="2A09D988">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（1）将按磋商文件的约定履行合同责任和义务；</w:t>
      </w:r>
    </w:p>
    <w:p w14:paraId="70C1EE24">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（2）已详细审查磋商文件的全部内容，包括澄清或者更正公告（如有）；</w:t>
      </w:r>
    </w:p>
    <w:p w14:paraId="7C00A394">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（3）同意提供按照贵方可能要求的与磋商有关的一切数据或者资料。</w:t>
      </w:r>
    </w:p>
    <w:p w14:paraId="26182EBF">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我方在此声明，我方在参加本项目的政府采购活动前三年内，在经营活动中没有重大违法记录（重大违法记录是指供应商因违法经营受到刑事处罚或者责令停产停业、吊销许可证或者执照、较大数额罚款等行政处罚），未被列入失信被执行人、重大税收违法失信主体、政府采购严重违法失信行为记录名单。</w:t>
      </w:r>
    </w:p>
    <w:p w14:paraId="3E7785A3">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根据《中华人民共和国政府采购法实施条例》第五十条要求对政府采购合同进行公告，但政府采购合同中涉及国家秘密、商业秘密的内容除外。我方就对本次响应文件进行注明如下：（两项内容中必须选择一项）</w:t>
      </w:r>
    </w:p>
    <w:p w14:paraId="43283B8C">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内容中</w:t>
      </w:r>
      <w:r>
        <w:rPr>
          <w:rFonts w:hint="eastAsia" w:ascii="宋体" w:hAnsi="宋体" w:cs="宋体"/>
          <w:color w:val="auto"/>
          <w:sz w:val="24"/>
          <w:highlight w:val="none"/>
        </w:rPr>
        <w:t>未</w:t>
      </w:r>
      <w:r>
        <w:rPr>
          <w:rFonts w:hint="eastAsia" w:ascii="宋体" w:hAnsi="宋体" w:cs="宋体"/>
          <w:color w:val="auto"/>
          <w:kern w:val="0"/>
          <w:sz w:val="24"/>
          <w:highlight w:val="none"/>
        </w:rPr>
        <w:t>涉及商业秘密；</w:t>
      </w:r>
    </w:p>
    <w:p w14:paraId="78DDA29C">
      <w:pPr>
        <w:spacing w:line="440" w:lineRule="exact"/>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□我方本次响应文件</w:t>
      </w:r>
      <w:r>
        <w:rPr>
          <w:rFonts w:hint="eastAsia" w:ascii="宋体" w:hAnsi="宋体" w:cs="宋体"/>
          <w:color w:val="auto"/>
          <w:kern w:val="0"/>
          <w:sz w:val="24"/>
          <w:highlight w:val="none"/>
        </w:rPr>
        <w:t>涉及商业秘密的内容有：</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0FDD7D5">
      <w:pPr>
        <w:pStyle w:val="18"/>
        <w:tabs>
          <w:tab w:val="left" w:pos="939"/>
        </w:tabs>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kern w:val="0"/>
          <w:sz w:val="24"/>
          <w:highlight w:val="none"/>
        </w:rPr>
        <w:t>6.</w:t>
      </w:r>
      <w:r>
        <w:rPr>
          <w:rFonts w:hint="eastAsia" w:ascii="宋体" w:hAnsi="宋体" w:cs="宋体"/>
          <w:color w:val="auto"/>
          <w:sz w:val="24"/>
          <w:highlight w:val="none"/>
        </w:rPr>
        <w:t>以上事项如有虚假或者隐瞒，我方愿意承担一切后果，并不再寻求任何旨在减轻或者免除法律责任的辩解。</w:t>
      </w:r>
    </w:p>
    <w:p w14:paraId="6CAA8AF2">
      <w:pPr>
        <w:pStyle w:val="18"/>
        <w:tabs>
          <w:tab w:val="left" w:pos="939"/>
        </w:tabs>
        <w:spacing w:line="44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42F76660">
      <w:pPr>
        <w:pStyle w:val="18"/>
        <w:tabs>
          <w:tab w:val="left" w:pos="939"/>
        </w:tabs>
        <w:spacing w:line="440" w:lineRule="exact"/>
        <w:ind w:left="0" w:leftChars="0" w:firstLine="480" w:firstLineChars="200"/>
        <w:rPr>
          <w:rFonts w:ascii="宋体" w:hAnsi="宋体" w:cs="宋体"/>
          <w:color w:val="auto"/>
          <w:sz w:val="24"/>
          <w:highlight w:val="none"/>
        </w:rPr>
      </w:pPr>
      <w:r>
        <w:rPr>
          <w:rFonts w:hint="eastAsia" w:ascii="宋体" w:hAnsi="宋体" w:cs="宋体"/>
          <w:color w:val="auto"/>
          <w:sz w:val="24"/>
          <w:highlight w:val="none"/>
        </w:rPr>
        <w:t>注：如为联合体竞标，盖章处须加盖联合体各方公章，否则其响应文件按无效响应处理。</w:t>
      </w:r>
    </w:p>
    <w:p w14:paraId="7A41A1C2">
      <w:pPr>
        <w:autoSpaceDE w:val="0"/>
        <w:autoSpaceDN w:val="0"/>
        <w:spacing w:line="360" w:lineRule="auto"/>
        <w:ind w:left="4365" w:leftChars="1850" w:hanging="480" w:hangingChars="200"/>
        <w:rPr>
          <w:rFonts w:ascii="宋体" w:hAnsi="宋体" w:cs="宋体"/>
          <w:color w:val="auto"/>
          <w:kern w:val="0"/>
          <w:sz w:val="24"/>
          <w:highlight w:val="none"/>
        </w:rPr>
      </w:pPr>
    </w:p>
    <w:p w14:paraId="4D6AF3CB">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1C2F355F">
      <w:pPr>
        <w:autoSpaceDE w:val="0"/>
        <w:autoSpaceDN w:val="0"/>
        <w:spacing w:line="360" w:lineRule="auto"/>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256AB99">
      <w:pPr>
        <w:rPr>
          <w:rFonts w:ascii="宋体" w:hAnsi="宋体" w:cs="宋体"/>
          <w:color w:val="auto"/>
          <w:kern w:val="0"/>
          <w:sz w:val="24"/>
          <w:highlight w:val="none"/>
          <w:lang w:val="zh-CN"/>
        </w:rPr>
      </w:pPr>
    </w:p>
    <w:p w14:paraId="7AC47CA0">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4.</w:t>
      </w:r>
      <w:r>
        <w:rPr>
          <w:rFonts w:hint="eastAsia" w:ascii="宋体" w:hAnsi="宋体" w:cs="宋体"/>
          <w:b/>
          <w:color w:val="auto"/>
          <w:sz w:val="28"/>
          <w:szCs w:val="28"/>
          <w:highlight w:val="none"/>
        </w:rPr>
        <w:t>供应商直接控股股东信息表的格式</w:t>
      </w:r>
      <w:r>
        <w:rPr>
          <w:rFonts w:hint="eastAsia"/>
          <w:color w:val="auto"/>
          <w:sz w:val="28"/>
          <w:szCs w:val="28"/>
          <w:highlight w:val="none"/>
        </w:rPr>
        <w:t>：</w:t>
      </w:r>
    </w:p>
    <w:p w14:paraId="433B3AA9">
      <w:pPr>
        <w:snapToGrid w:val="0"/>
        <w:jc w:val="left"/>
        <w:rPr>
          <w:color w:val="auto"/>
          <w:sz w:val="18"/>
          <w:szCs w:val="18"/>
          <w:highlight w:val="none"/>
        </w:rPr>
      </w:pPr>
    </w:p>
    <w:p w14:paraId="0377A090">
      <w:pPr>
        <w:snapToGrid w:val="0"/>
        <w:spacing w:before="50" w:after="120" w:afterLines="50" w:line="360" w:lineRule="auto"/>
        <w:jc w:val="center"/>
        <w:rPr>
          <w:rFonts w:ascii="仿宋_GB2312" w:hAnsi="仿宋" w:eastAsia="仿宋_GB2312" w:cs="仿宋_GB2312"/>
          <w:b/>
          <w:color w:val="auto"/>
          <w:kern w:val="0"/>
          <w:sz w:val="32"/>
          <w:szCs w:val="32"/>
          <w:highlight w:val="none"/>
        </w:rPr>
      </w:pPr>
      <w:r>
        <w:rPr>
          <w:rFonts w:hint="eastAsia" w:ascii="仿宋_GB2312" w:hAnsi="仿宋" w:eastAsia="仿宋_GB2312" w:cs="仿宋_GB2312"/>
          <w:b/>
          <w:color w:val="auto"/>
          <w:kern w:val="0"/>
          <w:sz w:val="32"/>
          <w:szCs w:val="32"/>
          <w:highlight w:val="none"/>
        </w:rPr>
        <w:t>供应商直接控股股东信息表</w:t>
      </w:r>
    </w:p>
    <w:tbl>
      <w:tblPr>
        <w:tblStyle w:val="31"/>
        <w:tblW w:w="0" w:type="auto"/>
        <w:tblInd w:w="125" w:type="dxa"/>
        <w:shd w:val="clear" w:color="auto" w:fill="FBFBFB"/>
        <w:tblLayout w:type="fixed"/>
        <w:tblCellMar>
          <w:top w:w="0" w:type="dxa"/>
          <w:left w:w="0" w:type="dxa"/>
          <w:bottom w:w="0" w:type="dxa"/>
          <w:right w:w="0" w:type="dxa"/>
        </w:tblCellMar>
      </w:tblPr>
      <w:tblGrid>
        <w:gridCol w:w="828"/>
        <w:gridCol w:w="2269"/>
        <w:gridCol w:w="1239"/>
        <w:gridCol w:w="3879"/>
        <w:gridCol w:w="1261"/>
      </w:tblGrid>
      <w:tr w14:paraId="5061E1CA">
        <w:tblPrEx>
          <w:shd w:val="clear" w:color="auto" w:fill="FBFBFB"/>
          <w:tblCellMar>
            <w:top w:w="0" w:type="dxa"/>
            <w:left w:w="0" w:type="dxa"/>
            <w:bottom w:w="0" w:type="dxa"/>
            <w:right w:w="0" w:type="dxa"/>
          </w:tblCellMar>
        </w:tblPrEx>
        <w:trPr>
          <w:tblHeader/>
        </w:trPr>
        <w:tc>
          <w:tcPr>
            <w:tcW w:w="828"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5700CE8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26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040E8D11">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直接控股股东名称</w:t>
            </w:r>
          </w:p>
        </w:tc>
        <w:tc>
          <w:tcPr>
            <w:tcW w:w="123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428192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出资比例</w:t>
            </w:r>
          </w:p>
        </w:tc>
        <w:tc>
          <w:tcPr>
            <w:tcW w:w="387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63DA565">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身份证号码或者统一社会信用代码</w:t>
            </w:r>
          </w:p>
        </w:tc>
        <w:tc>
          <w:tcPr>
            <w:tcW w:w="1261"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4D966B8B">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6030E3F1">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218F45D">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34EA5D">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29B7125">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6777403">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CC904C1">
            <w:pPr>
              <w:spacing w:line="360" w:lineRule="auto"/>
              <w:jc w:val="center"/>
              <w:rPr>
                <w:rFonts w:ascii="宋体" w:hAnsi="宋体" w:cs="宋体"/>
                <w:color w:val="auto"/>
                <w:kern w:val="0"/>
                <w:sz w:val="24"/>
                <w:highlight w:val="none"/>
              </w:rPr>
            </w:pPr>
          </w:p>
        </w:tc>
      </w:tr>
      <w:tr w14:paraId="02CFEC47">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87A1162">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A369B02">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1EFCF50A">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A69F2A8">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5EF59F6">
            <w:pPr>
              <w:spacing w:line="360" w:lineRule="auto"/>
              <w:jc w:val="center"/>
              <w:rPr>
                <w:rFonts w:ascii="宋体" w:hAnsi="宋体" w:cs="宋体"/>
                <w:color w:val="auto"/>
                <w:kern w:val="0"/>
                <w:sz w:val="24"/>
                <w:highlight w:val="none"/>
              </w:rPr>
            </w:pPr>
          </w:p>
        </w:tc>
      </w:tr>
      <w:tr w14:paraId="486211E2">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E35C55">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F46A69">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F71220">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DA5A906">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6277FEF">
            <w:pPr>
              <w:spacing w:line="360" w:lineRule="auto"/>
              <w:jc w:val="center"/>
              <w:rPr>
                <w:rFonts w:ascii="宋体" w:hAnsi="宋体" w:cs="宋体"/>
                <w:color w:val="auto"/>
                <w:kern w:val="0"/>
                <w:sz w:val="24"/>
                <w:highlight w:val="none"/>
              </w:rPr>
            </w:pPr>
          </w:p>
        </w:tc>
      </w:tr>
      <w:tr w14:paraId="7D666AE8">
        <w:tblPrEx>
          <w:shd w:val="clear" w:color="auto" w:fill="FBFBFB"/>
          <w:tblCellMar>
            <w:top w:w="0" w:type="dxa"/>
            <w:left w:w="0" w:type="dxa"/>
            <w:bottom w:w="0" w:type="dxa"/>
            <w:right w:w="0" w:type="dxa"/>
          </w:tblCellMar>
        </w:tblPrEx>
        <w:tc>
          <w:tcPr>
            <w:tcW w:w="828"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3E1292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26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7BC314E">
            <w:pPr>
              <w:spacing w:line="360" w:lineRule="auto"/>
              <w:jc w:val="center"/>
              <w:rPr>
                <w:rFonts w:ascii="宋体" w:hAnsi="宋体" w:cs="宋体"/>
                <w:color w:val="auto"/>
                <w:kern w:val="0"/>
                <w:sz w:val="24"/>
                <w:highlight w:val="none"/>
              </w:rPr>
            </w:pPr>
          </w:p>
        </w:tc>
        <w:tc>
          <w:tcPr>
            <w:tcW w:w="123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430B78B">
            <w:pPr>
              <w:spacing w:line="360" w:lineRule="auto"/>
              <w:jc w:val="center"/>
              <w:rPr>
                <w:rFonts w:ascii="宋体" w:hAnsi="宋体" w:cs="宋体"/>
                <w:color w:val="auto"/>
                <w:kern w:val="0"/>
                <w:sz w:val="24"/>
                <w:highlight w:val="none"/>
              </w:rPr>
            </w:pPr>
          </w:p>
        </w:tc>
        <w:tc>
          <w:tcPr>
            <w:tcW w:w="387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2B0DC65">
            <w:pPr>
              <w:spacing w:line="360" w:lineRule="auto"/>
              <w:jc w:val="center"/>
              <w:rPr>
                <w:rFonts w:ascii="宋体" w:hAnsi="宋体" w:cs="宋体"/>
                <w:color w:val="auto"/>
                <w:kern w:val="0"/>
                <w:sz w:val="24"/>
                <w:highlight w:val="none"/>
              </w:rPr>
            </w:pPr>
          </w:p>
        </w:tc>
        <w:tc>
          <w:tcPr>
            <w:tcW w:w="1261"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FEF757">
            <w:pPr>
              <w:spacing w:line="360" w:lineRule="auto"/>
              <w:jc w:val="center"/>
              <w:rPr>
                <w:rFonts w:ascii="宋体" w:hAnsi="宋体" w:cs="宋体"/>
                <w:color w:val="auto"/>
                <w:kern w:val="0"/>
                <w:sz w:val="24"/>
                <w:highlight w:val="none"/>
              </w:rPr>
            </w:pPr>
          </w:p>
        </w:tc>
      </w:tr>
    </w:tbl>
    <w:p w14:paraId="7986856E">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2467A479">
      <w:pPr>
        <w:snapToGrid w:val="0"/>
        <w:spacing w:line="360" w:lineRule="auto"/>
        <w:jc w:val="left"/>
        <w:rPr>
          <w:rFonts w:ascii="宋体" w:hAnsi="宋体"/>
          <w:color w:val="auto"/>
          <w:sz w:val="24"/>
          <w:highlight w:val="none"/>
        </w:rPr>
      </w:pPr>
      <w:r>
        <w:rPr>
          <w:rFonts w:hint="eastAsia" w:ascii="宋体" w:hAnsi="宋体"/>
          <w:color w:val="auto"/>
          <w:sz w:val="24"/>
          <w:highlight w:val="none"/>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1BE8F734">
      <w:pPr>
        <w:snapToGrid w:val="0"/>
        <w:spacing w:line="360" w:lineRule="auto"/>
        <w:jc w:val="left"/>
        <w:rPr>
          <w:rFonts w:ascii="宋体" w:hAnsi="宋体"/>
          <w:color w:val="auto"/>
          <w:sz w:val="24"/>
          <w:highlight w:val="none"/>
        </w:rPr>
      </w:pPr>
      <w:r>
        <w:rPr>
          <w:rFonts w:hint="eastAsia" w:ascii="宋体" w:hAnsi="宋体"/>
          <w:color w:val="auto"/>
          <w:sz w:val="24"/>
          <w:highlight w:val="none"/>
        </w:rPr>
        <w:t>2.本表所指的控股关系仅限于直接控股关系，不包括间接的控股关系。公司实际控制人与公司之间的关系不属于本表所指的直接控股关系。</w:t>
      </w:r>
    </w:p>
    <w:p w14:paraId="46CE72AE">
      <w:pPr>
        <w:snapToGrid w:val="0"/>
        <w:spacing w:line="360" w:lineRule="auto"/>
        <w:jc w:val="left"/>
        <w:rPr>
          <w:rFonts w:ascii="宋体" w:hAnsi="宋体"/>
          <w:color w:val="auto"/>
          <w:sz w:val="24"/>
          <w:highlight w:val="none"/>
        </w:rPr>
      </w:pPr>
      <w:r>
        <w:rPr>
          <w:rFonts w:hint="eastAsia" w:ascii="宋体" w:hAnsi="宋体"/>
          <w:color w:val="auto"/>
          <w:sz w:val="24"/>
          <w:highlight w:val="none"/>
        </w:rPr>
        <w:t>3.供应商不存在直接控股股东的，则填“无”。</w:t>
      </w:r>
    </w:p>
    <w:p w14:paraId="323B6214">
      <w:pPr>
        <w:snapToGrid w:val="0"/>
        <w:spacing w:before="50" w:after="120" w:afterLines="50"/>
        <w:ind w:firstLine="180" w:firstLineChars="100"/>
        <w:jc w:val="left"/>
        <w:rPr>
          <w:rFonts w:ascii="宋体" w:hAnsi="宋体"/>
          <w:color w:val="auto"/>
          <w:sz w:val="18"/>
          <w:szCs w:val="18"/>
          <w:highlight w:val="none"/>
        </w:rPr>
      </w:pPr>
    </w:p>
    <w:p w14:paraId="27DB06B9">
      <w:pPr>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379A0C0B">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14:paraId="3E015C60">
      <w:pPr>
        <w:snapToGrid w:val="0"/>
        <w:spacing w:before="50" w:after="24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日期：  年  月   日</w:t>
      </w:r>
    </w:p>
    <w:p w14:paraId="2BA6A8B3">
      <w:pPr>
        <w:rPr>
          <w:rFonts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2CBD2BC">
      <w:pPr>
        <w:snapToGrid w:val="0"/>
        <w:spacing w:line="360" w:lineRule="auto"/>
        <w:ind w:right="48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5.</w:t>
      </w:r>
      <w:r>
        <w:rPr>
          <w:rFonts w:hint="eastAsia" w:ascii="宋体" w:hAnsi="宋体" w:cs="宋体"/>
          <w:b/>
          <w:color w:val="auto"/>
          <w:sz w:val="28"/>
          <w:szCs w:val="28"/>
          <w:highlight w:val="none"/>
        </w:rPr>
        <w:t>供应商直接管理关系信息表的格式</w:t>
      </w:r>
      <w:r>
        <w:rPr>
          <w:rFonts w:hint="eastAsia"/>
          <w:color w:val="auto"/>
          <w:sz w:val="28"/>
          <w:szCs w:val="28"/>
          <w:highlight w:val="none"/>
        </w:rPr>
        <w:t>：</w:t>
      </w:r>
    </w:p>
    <w:p w14:paraId="2DE1E3D1">
      <w:pPr>
        <w:snapToGrid w:val="0"/>
        <w:jc w:val="left"/>
        <w:rPr>
          <w:color w:val="auto"/>
          <w:sz w:val="18"/>
          <w:szCs w:val="18"/>
          <w:highlight w:val="none"/>
        </w:rPr>
      </w:pPr>
    </w:p>
    <w:p w14:paraId="7E75188F">
      <w:pPr>
        <w:snapToGrid w:val="0"/>
        <w:spacing w:line="360" w:lineRule="auto"/>
        <w:jc w:val="center"/>
        <w:rPr>
          <w:rFonts w:ascii="宋体" w:hAnsi="宋体"/>
          <w:color w:val="auto"/>
          <w:sz w:val="32"/>
          <w:szCs w:val="32"/>
          <w:highlight w:val="none"/>
        </w:rPr>
      </w:pPr>
      <w:r>
        <w:rPr>
          <w:rFonts w:hint="eastAsia" w:ascii="宋体" w:hAnsi="宋体"/>
          <w:b/>
          <w:color w:val="auto"/>
          <w:sz w:val="32"/>
          <w:szCs w:val="32"/>
          <w:highlight w:val="none"/>
        </w:rPr>
        <w:t>供应商直接管理关系信息表</w:t>
      </w:r>
    </w:p>
    <w:tbl>
      <w:tblPr>
        <w:tblStyle w:val="31"/>
        <w:tblW w:w="0" w:type="auto"/>
        <w:tblInd w:w="125" w:type="dxa"/>
        <w:shd w:val="clear" w:color="auto" w:fill="FBFBFB"/>
        <w:tblLayout w:type="fixed"/>
        <w:tblCellMar>
          <w:top w:w="0" w:type="dxa"/>
          <w:left w:w="0" w:type="dxa"/>
          <w:bottom w:w="0" w:type="dxa"/>
          <w:right w:w="0" w:type="dxa"/>
        </w:tblCellMar>
      </w:tblPr>
      <w:tblGrid>
        <w:gridCol w:w="1005"/>
        <w:gridCol w:w="2659"/>
        <w:gridCol w:w="3924"/>
        <w:gridCol w:w="2064"/>
      </w:tblGrid>
      <w:tr w14:paraId="39CF790D">
        <w:tblPrEx>
          <w:shd w:val="clear" w:color="auto" w:fill="FBFBFB"/>
          <w:tblCellMar>
            <w:top w:w="0" w:type="dxa"/>
            <w:left w:w="0" w:type="dxa"/>
            <w:bottom w:w="0" w:type="dxa"/>
            <w:right w:w="0" w:type="dxa"/>
          </w:tblCellMar>
        </w:tblPrEx>
        <w:trPr>
          <w:tblHeader/>
        </w:trPr>
        <w:tc>
          <w:tcPr>
            <w:tcW w:w="1005"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70DB1C">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序号</w:t>
            </w:r>
          </w:p>
        </w:tc>
        <w:tc>
          <w:tcPr>
            <w:tcW w:w="2659"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333672B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直接管理关系单位名称</w:t>
            </w:r>
          </w:p>
        </w:tc>
        <w:tc>
          <w:tcPr>
            <w:tcW w:w="392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D8E9479">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统一社会信用代码</w:t>
            </w:r>
          </w:p>
        </w:tc>
        <w:tc>
          <w:tcPr>
            <w:tcW w:w="2064" w:type="dxa"/>
            <w:tcBorders>
              <w:top w:val="single" w:color="auto" w:sz="4" w:space="0"/>
              <w:left w:val="single" w:color="auto" w:sz="4" w:space="0"/>
              <w:bottom w:val="single" w:color="auto" w:sz="4" w:space="0"/>
              <w:right w:val="single" w:color="auto" w:sz="4" w:space="0"/>
            </w:tcBorders>
            <w:shd w:val="clear" w:color="auto" w:fill="EAE3D8"/>
            <w:tcMar>
              <w:top w:w="120" w:type="dxa"/>
              <w:left w:w="120" w:type="dxa"/>
              <w:bottom w:w="120" w:type="dxa"/>
              <w:right w:w="120" w:type="dxa"/>
            </w:tcMar>
            <w:vAlign w:val="center"/>
          </w:tcPr>
          <w:p w14:paraId="2E590A13">
            <w:pPr>
              <w:spacing w:line="360" w:lineRule="auto"/>
              <w:jc w:val="center"/>
              <w:rPr>
                <w:rFonts w:ascii="宋体" w:hAnsi="宋体" w:cs="宋体"/>
                <w:b/>
                <w:bCs/>
                <w:color w:val="auto"/>
                <w:kern w:val="0"/>
                <w:sz w:val="24"/>
                <w:highlight w:val="none"/>
              </w:rPr>
            </w:pPr>
            <w:r>
              <w:rPr>
                <w:rFonts w:hint="eastAsia" w:ascii="宋体" w:hAnsi="宋体" w:cs="宋体"/>
                <w:b/>
                <w:bCs/>
                <w:color w:val="auto"/>
                <w:kern w:val="0"/>
                <w:sz w:val="24"/>
                <w:highlight w:val="none"/>
              </w:rPr>
              <w:t>备注</w:t>
            </w:r>
          </w:p>
        </w:tc>
      </w:tr>
      <w:tr w14:paraId="44458CEC">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EEAE7A7">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86D0E9A">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9301BD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19C1834">
            <w:pPr>
              <w:spacing w:line="360" w:lineRule="auto"/>
              <w:jc w:val="center"/>
              <w:rPr>
                <w:rFonts w:ascii="宋体" w:hAnsi="宋体" w:cs="宋体"/>
                <w:color w:val="auto"/>
                <w:kern w:val="0"/>
                <w:sz w:val="24"/>
                <w:highlight w:val="none"/>
              </w:rPr>
            </w:pPr>
          </w:p>
        </w:tc>
      </w:tr>
      <w:tr w14:paraId="12617B05">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0503599">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392CEE2">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0B46A0A3">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6D44219">
            <w:pPr>
              <w:spacing w:line="360" w:lineRule="auto"/>
              <w:jc w:val="center"/>
              <w:rPr>
                <w:rFonts w:ascii="宋体" w:hAnsi="宋体" w:cs="宋体"/>
                <w:color w:val="auto"/>
                <w:kern w:val="0"/>
                <w:sz w:val="24"/>
                <w:highlight w:val="none"/>
              </w:rPr>
            </w:pPr>
          </w:p>
        </w:tc>
      </w:tr>
      <w:tr w14:paraId="4FD096E2">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83E46D8">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3</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51196F76">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42C78C02">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7D9EC051">
            <w:pPr>
              <w:spacing w:line="360" w:lineRule="auto"/>
              <w:jc w:val="center"/>
              <w:rPr>
                <w:rFonts w:ascii="宋体" w:hAnsi="宋体" w:cs="宋体"/>
                <w:color w:val="auto"/>
                <w:kern w:val="0"/>
                <w:sz w:val="24"/>
                <w:highlight w:val="none"/>
              </w:rPr>
            </w:pPr>
          </w:p>
        </w:tc>
      </w:tr>
      <w:tr w14:paraId="44F256C3">
        <w:tblPrEx>
          <w:shd w:val="clear" w:color="auto" w:fill="FBFBFB"/>
          <w:tblCellMar>
            <w:top w:w="0" w:type="dxa"/>
            <w:left w:w="0" w:type="dxa"/>
            <w:bottom w:w="0" w:type="dxa"/>
            <w:right w:w="0" w:type="dxa"/>
          </w:tblCellMar>
        </w:tblPrEx>
        <w:tc>
          <w:tcPr>
            <w:tcW w:w="1005"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A7D25B0">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2659"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2BE39370">
            <w:pPr>
              <w:spacing w:line="360" w:lineRule="auto"/>
              <w:jc w:val="center"/>
              <w:rPr>
                <w:rFonts w:ascii="宋体" w:hAnsi="宋体" w:cs="宋体"/>
                <w:color w:val="auto"/>
                <w:kern w:val="0"/>
                <w:sz w:val="24"/>
                <w:highlight w:val="none"/>
              </w:rPr>
            </w:pPr>
          </w:p>
        </w:tc>
        <w:tc>
          <w:tcPr>
            <w:tcW w:w="392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69D7DDAD">
            <w:pPr>
              <w:spacing w:line="360" w:lineRule="auto"/>
              <w:jc w:val="center"/>
              <w:rPr>
                <w:rFonts w:ascii="宋体" w:hAnsi="宋体" w:cs="宋体"/>
                <w:color w:val="auto"/>
                <w:kern w:val="0"/>
                <w:sz w:val="24"/>
                <w:highlight w:val="none"/>
              </w:rPr>
            </w:pPr>
          </w:p>
        </w:tc>
        <w:tc>
          <w:tcPr>
            <w:tcW w:w="2064" w:type="dxa"/>
            <w:tcBorders>
              <w:top w:val="single" w:color="auto" w:sz="4" w:space="0"/>
              <w:left w:val="single" w:color="auto" w:sz="4" w:space="0"/>
              <w:bottom w:val="single" w:color="auto" w:sz="4" w:space="0"/>
              <w:right w:val="single" w:color="auto" w:sz="4" w:space="0"/>
            </w:tcBorders>
            <w:shd w:val="clear" w:color="auto" w:fill="F9F9F9"/>
            <w:tcMar>
              <w:top w:w="120" w:type="dxa"/>
              <w:left w:w="120" w:type="dxa"/>
              <w:bottom w:w="120" w:type="dxa"/>
              <w:right w:w="120" w:type="dxa"/>
            </w:tcMar>
            <w:vAlign w:val="center"/>
          </w:tcPr>
          <w:p w14:paraId="318DAA17">
            <w:pPr>
              <w:spacing w:line="360" w:lineRule="auto"/>
              <w:jc w:val="center"/>
              <w:rPr>
                <w:rFonts w:ascii="宋体" w:hAnsi="宋体" w:cs="宋体"/>
                <w:color w:val="auto"/>
                <w:kern w:val="0"/>
                <w:sz w:val="24"/>
                <w:highlight w:val="none"/>
              </w:rPr>
            </w:pPr>
          </w:p>
        </w:tc>
      </w:tr>
    </w:tbl>
    <w:p w14:paraId="6F21FD41">
      <w:pPr>
        <w:snapToGrid w:val="0"/>
        <w:spacing w:line="360" w:lineRule="auto"/>
        <w:jc w:val="left"/>
        <w:rPr>
          <w:rFonts w:ascii="宋体" w:hAnsi="宋体"/>
          <w:color w:val="auto"/>
          <w:sz w:val="24"/>
          <w:highlight w:val="none"/>
        </w:rPr>
      </w:pPr>
      <w:r>
        <w:rPr>
          <w:rFonts w:hint="eastAsia" w:ascii="宋体" w:hAnsi="宋体"/>
          <w:color w:val="auto"/>
          <w:sz w:val="24"/>
          <w:highlight w:val="none"/>
        </w:rPr>
        <w:t>注：</w:t>
      </w:r>
    </w:p>
    <w:p w14:paraId="784A20D5">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1.管理关系：是指不具有出资持股关系的其他单位之间存在的管理与被管理关系，如一些上下级关系的事业单位和团体组织。</w:t>
      </w:r>
    </w:p>
    <w:p w14:paraId="5A5BC532">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2.</w:t>
      </w:r>
      <w:r>
        <w:rPr>
          <w:rFonts w:hint="eastAsia" w:ascii="宋体" w:hAnsi="宋体"/>
          <w:color w:val="auto"/>
          <w:spacing w:val="-6"/>
          <w:sz w:val="24"/>
          <w:highlight w:val="none"/>
        </w:rPr>
        <w:t>本表所指的管理关系仅限于直接管理关系，不包括间接的管理关系。</w:t>
      </w:r>
    </w:p>
    <w:p w14:paraId="36CDF221">
      <w:pPr>
        <w:snapToGrid w:val="0"/>
        <w:spacing w:line="360" w:lineRule="auto"/>
        <w:ind w:firstLine="480" w:firstLineChars="200"/>
        <w:jc w:val="left"/>
        <w:rPr>
          <w:rFonts w:ascii="宋体" w:hAnsi="宋体"/>
          <w:color w:val="auto"/>
          <w:sz w:val="24"/>
          <w:highlight w:val="none"/>
        </w:rPr>
      </w:pPr>
      <w:r>
        <w:rPr>
          <w:rFonts w:hint="eastAsia" w:ascii="宋体" w:hAnsi="宋体"/>
          <w:color w:val="auto"/>
          <w:sz w:val="24"/>
          <w:highlight w:val="none"/>
        </w:rPr>
        <w:t>3.供应商不存在直接管理关系的，则填“无”。</w:t>
      </w:r>
    </w:p>
    <w:p w14:paraId="731BE64F">
      <w:pPr>
        <w:snapToGrid w:val="0"/>
        <w:spacing w:before="50" w:after="120" w:afterLines="50"/>
        <w:ind w:firstLine="180" w:firstLineChars="100"/>
        <w:jc w:val="left"/>
        <w:rPr>
          <w:rFonts w:ascii="宋体" w:hAnsi="宋体"/>
          <w:color w:val="auto"/>
          <w:sz w:val="18"/>
          <w:szCs w:val="18"/>
          <w:highlight w:val="none"/>
        </w:rPr>
      </w:pPr>
    </w:p>
    <w:p w14:paraId="4C61B195">
      <w:pPr>
        <w:snapToGrid w:val="0"/>
        <w:spacing w:before="50" w:after="240" w:afterLines="100" w:line="360" w:lineRule="auto"/>
        <w:jc w:val="left"/>
        <w:rPr>
          <w:rFonts w:ascii="宋体" w:hAnsi="宋体" w:cs="宋体"/>
          <w:color w:val="auto"/>
          <w:sz w:val="24"/>
          <w:highlight w:val="none"/>
        </w:rPr>
      </w:pPr>
      <w:r>
        <w:rPr>
          <w:rFonts w:hint="eastAsia" w:ascii="宋体" w:hAnsi="宋体" w:cs="宋体"/>
          <w:color w:val="auto"/>
          <w:sz w:val="24"/>
          <w:highlight w:val="none"/>
        </w:rPr>
        <w:t xml:space="preserve">                                     </w:t>
      </w:r>
    </w:p>
    <w:p w14:paraId="7491B8BA">
      <w:pPr>
        <w:autoSpaceDE w:val="0"/>
        <w:autoSpaceDN w:val="0"/>
        <w:spacing w:line="360" w:lineRule="auto"/>
        <w:ind w:left="4365" w:leftChars="1850" w:hanging="480" w:hangingChars="200"/>
        <w:rPr>
          <w:rFonts w:ascii="宋体" w:hAnsi="宋体" w:cs="宋体"/>
          <w:color w:val="auto"/>
          <w:kern w:val="0"/>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14:paraId="5F1BA411">
      <w:pPr>
        <w:snapToGrid w:val="0"/>
        <w:spacing w:before="50" w:after="240" w:afterLines="100" w:line="360" w:lineRule="auto"/>
        <w:ind w:left="7428" w:leftChars="2223" w:hanging="2760" w:hangingChars="1150"/>
        <w:jc w:val="left"/>
        <w:rPr>
          <w:rFonts w:ascii="宋体" w:hAnsi="宋体" w:cs="宋体"/>
          <w:b/>
          <w:bCs/>
          <w:color w:val="auto"/>
          <w:sz w:val="30"/>
          <w:szCs w:val="30"/>
          <w:highlight w:val="none"/>
        </w:rPr>
      </w:pPr>
      <w:r>
        <w:rPr>
          <w:rFonts w:hint="eastAsia" w:ascii="宋体" w:hAnsi="宋体" w:cs="宋体"/>
          <w:color w:val="auto"/>
          <w:kern w:val="0"/>
          <w:sz w:val="24"/>
          <w:highlight w:val="none"/>
          <w:lang w:val="zh-CN"/>
        </w:rPr>
        <w:t>日期：  年  月   日</w:t>
      </w:r>
    </w:p>
    <w:p w14:paraId="1C475F9E">
      <w:pPr>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br w:type="page"/>
      </w:r>
    </w:p>
    <w:p w14:paraId="296A9086">
      <w:pPr>
        <w:pStyle w:val="7"/>
        <w:overflowPunct w:val="0"/>
        <w:spacing w:line="520" w:lineRule="exact"/>
        <w:ind w:firstLine="0"/>
        <w:rPr>
          <w:rFonts w:ascii="宋体" w:hAnsi="宋体" w:cs="宋体"/>
          <w:b/>
          <w:bCs/>
          <w:color w:val="auto"/>
          <w:sz w:val="28"/>
          <w:szCs w:val="28"/>
          <w:highlight w:val="none"/>
        </w:rPr>
      </w:pPr>
      <w:r>
        <w:rPr>
          <w:rFonts w:hint="eastAsia" w:ascii="宋体" w:hAnsi="宋体" w:cs="宋体"/>
          <w:b/>
          <w:color w:val="auto"/>
          <w:kern w:val="0"/>
          <w:sz w:val="28"/>
          <w:szCs w:val="28"/>
          <w:highlight w:val="none"/>
        </w:rPr>
        <w:t>6.联合体竞标协议书的格式：</w:t>
      </w:r>
    </w:p>
    <w:p w14:paraId="45461815">
      <w:pPr>
        <w:spacing w:line="600" w:lineRule="exact"/>
        <w:jc w:val="center"/>
        <w:rPr>
          <w:rFonts w:ascii="仿宋" w:hAnsi="仿宋" w:eastAsia="仿宋" w:cs="仿宋"/>
          <w:color w:val="auto"/>
          <w:sz w:val="44"/>
          <w:szCs w:val="44"/>
          <w:highlight w:val="none"/>
        </w:rPr>
      </w:pPr>
    </w:p>
    <w:p w14:paraId="0534D892">
      <w:pPr>
        <w:spacing w:line="6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联合体竞标协议书</w:t>
      </w:r>
    </w:p>
    <w:p w14:paraId="4948E141">
      <w:pPr>
        <w:autoSpaceDE w:val="0"/>
        <w:autoSpaceDN w:val="0"/>
        <w:adjustRightInd w:val="0"/>
        <w:spacing w:line="360" w:lineRule="auto"/>
        <w:jc w:val="left"/>
        <w:rPr>
          <w:rFonts w:hAnsi="Calibri" w:cs="宋体"/>
          <w:color w:val="auto"/>
          <w:kern w:val="0"/>
          <w:szCs w:val="21"/>
          <w:highlight w:val="none"/>
          <w:u w:val="single"/>
        </w:rPr>
      </w:pPr>
    </w:p>
    <w:p w14:paraId="0CFFCE63">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（所有成员单位名称）自愿组成联合体，共同参加</w:t>
      </w:r>
      <w:r>
        <w:rPr>
          <w:rFonts w:hint="eastAsia" w:ascii="宋体" w:hAnsi="宋体" w:cs="宋体"/>
          <w:color w:val="auto"/>
          <w:kern w:val="0"/>
          <w:sz w:val="24"/>
          <w:highlight w:val="none"/>
          <w:u w:val="single"/>
        </w:rPr>
        <w:t xml:space="preserve">     </w:t>
      </w:r>
      <w:r>
        <w:rPr>
          <w:rFonts w:hint="eastAsia" w:ascii="宋体" w:hAnsi="宋体" w:cs="宋体"/>
          <w:i/>
          <w:iCs/>
          <w:color w:val="auto"/>
          <w:kern w:val="0"/>
          <w:sz w:val="24"/>
          <w:highlight w:val="none"/>
          <w:u w:val="single"/>
        </w:rPr>
        <w:t>（采购代理机构名称）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组织的</w:t>
      </w:r>
      <w:r>
        <w:rPr>
          <w:rFonts w:hint="eastAsia" w:ascii="宋体" w:hAnsi="宋体" w:cs="宋体"/>
          <w:color w:val="auto"/>
          <w:kern w:val="0"/>
          <w:sz w:val="24"/>
          <w:highlight w:val="none"/>
          <w:u w:val="single"/>
        </w:rPr>
        <w:t xml:space="preserve">        </w:t>
      </w:r>
      <w:r>
        <w:rPr>
          <w:rFonts w:hint="eastAsia" w:ascii="宋体" w:hAnsi="宋体" w:cs="宋体"/>
          <w:i/>
          <w:iCs/>
          <w:color w:val="auto"/>
          <w:kern w:val="0"/>
          <w:sz w:val="24"/>
          <w:highlight w:val="none"/>
          <w:u w:val="single"/>
        </w:rPr>
        <w:t xml:space="preserve"> （项目名称）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（项目编号：</w:t>
      </w:r>
      <w:r>
        <w:rPr>
          <w:rFonts w:hint="eastAsia" w:ascii="宋体" w:hAnsi="宋体" w:cs="宋体"/>
          <w:i/>
          <w:iCs/>
          <w:color w:val="auto"/>
          <w:kern w:val="0"/>
          <w:sz w:val="24"/>
          <w:highlight w:val="none"/>
          <w:u w:val="single"/>
        </w:rPr>
        <w:t>（项目编号）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）竞争性磋商采购。现就联合体竞标事宜订立如下协议：</w:t>
      </w:r>
    </w:p>
    <w:p w14:paraId="32D9EB3E">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（某成员单位名称）为联合体名称牵头人。</w:t>
      </w:r>
    </w:p>
    <w:p w14:paraId="20BC5BDF">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2、联合体牵头人合法代表联合体各成员负责本磋商项目响应文件编制和合同谈判活动，并代表联合体提交和接收相关的资料、信息及指示，并处理与之有关的一切事务，负责合同实施阶段的主办、组织和协调工作。</w:t>
      </w:r>
    </w:p>
    <w:p w14:paraId="49FA1F26">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3、联合体牵头人在本项目中签署和盖章的一切文件和处理的一切事宜，联合体各成员均予以承认。 联合体各成员将严格按照磋商文件、响应文件和合同的要求全面履行义务，并向采购人承担连带责任。</w:t>
      </w:r>
    </w:p>
    <w:p w14:paraId="77E7040B">
      <w:pPr>
        <w:autoSpaceDE w:val="0"/>
        <w:autoSpaceDN w:val="0"/>
        <w:adjustRightInd w:val="0"/>
        <w:spacing w:line="360" w:lineRule="exact"/>
        <w:ind w:left="479" w:leftChars="228"/>
        <w:jc w:val="left"/>
        <w:rPr>
          <w:rFonts w:ascii="宋体" w:hAnsi="宋体" w:cs="宋体"/>
          <w:color w:val="auto"/>
          <w:kern w:val="0"/>
          <w:sz w:val="24"/>
          <w:highlight w:val="none"/>
        </w:rPr>
      </w:pPr>
      <w:r>
        <w:rPr>
          <w:rFonts w:hint="eastAsia" w:ascii="宋体" w:hAnsi="宋体" w:cs="宋体"/>
          <w:color w:val="auto"/>
          <w:kern w:val="0"/>
          <w:sz w:val="24"/>
          <w:highlight w:val="none"/>
        </w:rPr>
        <w:t>4、联合体各成员单位内部的职责分工如下：</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22E0193B">
      <w:pPr>
        <w:spacing w:line="3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5、本联合体中，</w:t>
      </w:r>
      <w:r>
        <w:rPr>
          <w:rFonts w:hint="eastAsia" w:ascii="宋体" w:hAnsi="宋体" w:cs="宋体"/>
          <w:color w:val="auto"/>
          <w:kern w:val="0"/>
          <w:sz w:val="24"/>
          <w:highlight w:val="none"/>
          <w:u w:val="single"/>
        </w:rPr>
        <w:t xml:space="preserve">                         （某成员单位名称）为       </w:t>
      </w:r>
      <w:r>
        <w:rPr>
          <w:rFonts w:hint="eastAsia" w:ascii="宋体" w:hAnsi="宋体" w:cs="宋体"/>
          <w:color w:val="auto"/>
          <w:kern w:val="0"/>
          <w:sz w:val="24"/>
          <w:highlight w:val="none"/>
        </w:rPr>
        <w:t>（请填写：中型、小型、微型）企业，其协议合同金额占联合体协议合同总金额的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%。【如联合体成员中有小型、微型企业的，请填写此条，否则无需填写；如联合体成员中有多个小型、微型企业的，请逐一列出。】</w:t>
      </w:r>
    </w:p>
    <w:p w14:paraId="67FDF07E">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6、本协议书自签署之日起生效，合同履行完毕后自动失效。</w:t>
      </w:r>
    </w:p>
    <w:p w14:paraId="4B4784F7">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7、本协议书一式</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份，联合体成员和采购代理机构各执一份。</w:t>
      </w:r>
    </w:p>
    <w:p w14:paraId="34971B4C">
      <w:pPr>
        <w:autoSpaceDE w:val="0"/>
        <w:autoSpaceDN w:val="0"/>
        <w:adjustRightInd w:val="0"/>
        <w:spacing w:line="360" w:lineRule="exact"/>
        <w:ind w:firstLine="420"/>
        <w:jc w:val="left"/>
        <w:rPr>
          <w:rFonts w:ascii="宋体" w:hAnsi="宋体" w:cs="宋体"/>
          <w:color w:val="auto"/>
          <w:kern w:val="0"/>
          <w:sz w:val="24"/>
          <w:highlight w:val="none"/>
        </w:rPr>
      </w:pPr>
      <w:r>
        <w:rPr>
          <w:rFonts w:hint="eastAsia" w:ascii="宋体" w:hAnsi="宋体" w:cs="宋体"/>
          <w:color w:val="auto"/>
          <w:kern w:val="0"/>
          <w:sz w:val="24"/>
          <w:highlight w:val="none"/>
        </w:rPr>
        <w:t>注：本协议书由法定代表人签字的，应附法定代表人身份证明；本协议书由委托代理人签字的，应附法定代表人授权委托书。</w:t>
      </w:r>
    </w:p>
    <w:p w14:paraId="1921FF7C">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牵头人名称：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14:paraId="6F20EAC3">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14:paraId="2F82B30D">
      <w:pPr>
        <w:autoSpaceDE w:val="0"/>
        <w:autoSpaceDN w:val="0"/>
        <w:adjustRightInd w:val="0"/>
        <w:spacing w:line="360" w:lineRule="exact"/>
        <w:jc w:val="left"/>
        <w:rPr>
          <w:rFonts w:ascii="宋体" w:hAnsi="宋体" w:cs="宋体"/>
          <w:color w:val="auto"/>
          <w:kern w:val="0"/>
          <w:sz w:val="24"/>
          <w:highlight w:val="none"/>
        </w:rPr>
      </w:pPr>
    </w:p>
    <w:p w14:paraId="4D316F79">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成员一名称：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14:paraId="002BC1A2">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（签字）</w:t>
      </w:r>
    </w:p>
    <w:p w14:paraId="36C7C683">
      <w:pPr>
        <w:autoSpaceDE w:val="0"/>
        <w:autoSpaceDN w:val="0"/>
        <w:adjustRightInd w:val="0"/>
        <w:spacing w:line="360" w:lineRule="exact"/>
        <w:jc w:val="left"/>
        <w:rPr>
          <w:rFonts w:ascii="宋体" w:hAnsi="宋体" w:cs="宋体"/>
          <w:color w:val="auto"/>
          <w:kern w:val="0"/>
          <w:szCs w:val="21"/>
          <w:highlight w:val="none"/>
        </w:rPr>
      </w:pPr>
    </w:p>
    <w:p w14:paraId="23DE2883">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成员二名称：</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（盖公章）</w:t>
      </w:r>
    </w:p>
    <w:p w14:paraId="5FF0965D">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法定代表人或其委托代理人：                         （签字）</w:t>
      </w:r>
    </w:p>
    <w:p w14:paraId="06D3E419">
      <w:pPr>
        <w:autoSpaceDE w:val="0"/>
        <w:autoSpaceDN w:val="0"/>
        <w:adjustRightInd w:val="0"/>
        <w:spacing w:line="360" w:lineRule="exact"/>
        <w:jc w:val="left"/>
        <w:rPr>
          <w:rFonts w:ascii="宋体" w:hAnsi="宋体" w:cs="宋体"/>
          <w:color w:val="auto"/>
          <w:kern w:val="0"/>
          <w:sz w:val="24"/>
          <w:highlight w:val="none"/>
        </w:rPr>
      </w:pPr>
    </w:p>
    <w:p w14:paraId="64A58941">
      <w:pPr>
        <w:autoSpaceDE w:val="0"/>
        <w:autoSpaceDN w:val="0"/>
        <w:adjustRightInd w:val="0"/>
        <w:spacing w:line="360" w:lineRule="exact"/>
        <w:jc w:val="left"/>
        <w:rPr>
          <w:rFonts w:ascii="宋体" w:hAnsi="宋体" w:cs="宋体"/>
          <w:color w:val="auto"/>
          <w:kern w:val="0"/>
          <w:sz w:val="24"/>
          <w:highlight w:val="none"/>
        </w:rPr>
      </w:pPr>
      <w:r>
        <w:rPr>
          <w:rFonts w:hint="eastAsia" w:ascii="宋体" w:hAnsi="宋体" w:cs="宋体"/>
          <w:color w:val="auto"/>
          <w:kern w:val="0"/>
          <w:sz w:val="24"/>
          <w:highlight w:val="none"/>
        </w:rPr>
        <w:t>......</w:t>
      </w:r>
    </w:p>
    <w:p w14:paraId="011E4B38">
      <w:pPr>
        <w:autoSpaceDE w:val="0"/>
        <w:autoSpaceDN w:val="0"/>
        <w:spacing w:line="360" w:lineRule="exact"/>
        <w:ind w:left="4365" w:leftChars="1850" w:hanging="480" w:hangingChars="200"/>
        <w:rPr>
          <w:rFonts w:ascii="宋体" w:hAnsi="宋体" w:cs="宋体"/>
          <w:color w:val="auto"/>
          <w:kern w:val="0"/>
          <w:sz w:val="24"/>
          <w:highlight w:val="none"/>
        </w:rPr>
      </w:pPr>
    </w:p>
    <w:p w14:paraId="1515319B">
      <w:pPr>
        <w:autoSpaceDE w:val="0"/>
        <w:autoSpaceDN w:val="0"/>
        <w:spacing w:line="360" w:lineRule="exact"/>
        <w:ind w:firstLine="6120" w:firstLineChars="255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342EAFC2">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14:paraId="2475E8A4">
      <w:pPr>
        <w:autoSpaceDE w:val="0"/>
        <w:autoSpaceDN w:val="0"/>
        <w:spacing w:line="360" w:lineRule="auto"/>
        <w:ind w:firstLine="6120" w:firstLineChars="2550"/>
        <w:rPr>
          <w:rFonts w:ascii="仿宋_GB2312" w:hAnsi="仿宋" w:eastAsia="仿宋_GB2312" w:cs="仿宋_GB2312"/>
          <w:color w:val="auto"/>
          <w:kern w:val="0"/>
          <w:sz w:val="24"/>
          <w:highlight w:val="none"/>
          <w:lang w:val="zh-CN"/>
        </w:rPr>
      </w:pPr>
    </w:p>
    <w:p w14:paraId="5D0CAA01">
      <w:pPr>
        <w:pStyle w:val="3"/>
        <w:jc w:val="center"/>
        <w:rPr>
          <w:rFonts w:ascii="宋体" w:hAnsi="宋体"/>
          <w:b w:val="0"/>
          <w:color w:val="auto"/>
          <w:highlight w:val="none"/>
        </w:rPr>
      </w:pPr>
      <w:bookmarkStart w:id="143" w:name="_Toc80886944"/>
      <w:bookmarkStart w:id="144" w:name="_Toc15951"/>
      <w:bookmarkStart w:id="145" w:name="_Toc20562"/>
      <w:bookmarkStart w:id="146" w:name="_Toc80205940"/>
      <w:r>
        <w:rPr>
          <w:rFonts w:hint="eastAsia" w:ascii="宋体" w:hAnsi="宋体"/>
          <w:b w:val="0"/>
          <w:bCs w:val="0"/>
          <w:color w:val="auto"/>
          <w:highlight w:val="none"/>
        </w:rPr>
        <w:t xml:space="preserve">第二节 </w:t>
      </w:r>
      <w:r>
        <w:rPr>
          <w:rFonts w:hint="eastAsia" w:ascii="宋体" w:hAnsi="宋体"/>
          <w:b w:val="0"/>
          <w:color w:val="auto"/>
          <w:highlight w:val="none"/>
        </w:rPr>
        <w:t>商务技术文件格式</w:t>
      </w:r>
      <w:bookmarkEnd w:id="143"/>
      <w:bookmarkEnd w:id="144"/>
      <w:bookmarkEnd w:id="145"/>
      <w:bookmarkEnd w:id="146"/>
    </w:p>
    <w:p w14:paraId="59663815">
      <w:pPr>
        <w:snapToGrid w:val="0"/>
        <w:spacing w:before="120" w:beforeLines="50" w:after="50" w:line="360" w:lineRule="auto"/>
        <w:jc w:val="left"/>
        <w:rPr>
          <w:rFonts w:ascii="宋体" w:hAnsi="宋体"/>
          <w:b/>
          <w:color w:val="auto"/>
          <w:sz w:val="32"/>
          <w:szCs w:val="32"/>
          <w:highlight w:val="none"/>
        </w:rPr>
      </w:pPr>
      <w:r>
        <w:rPr>
          <w:rFonts w:hint="eastAsia" w:ascii="宋体" w:hAnsi="宋体"/>
          <w:b/>
          <w:color w:val="auto"/>
          <w:sz w:val="28"/>
          <w:szCs w:val="28"/>
          <w:highlight w:val="none"/>
        </w:rPr>
        <w:t>1.商务技术文件封面的格式</w:t>
      </w:r>
      <w:r>
        <w:rPr>
          <w:rFonts w:hint="eastAsia" w:ascii="宋体" w:hAnsi="宋体" w:cs="宋体"/>
          <w:b/>
          <w:color w:val="auto"/>
          <w:sz w:val="28"/>
          <w:szCs w:val="28"/>
          <w:highlight w:val="none"/>
        </w:rPr>
        <w:t>（参照此格式自拟）</w:t>
      </w:r>
      <w:r>
        <w:rPr>
          <w:rFonts w:hint="eastAsia" w:ascii="宋体" w:hAnsi="宋体"/>
          <w:b/>
          <w:color w:val="auto"/>
          <w:sz w:val="28"/>
          <w:szCs w:val="28"/>
          <w:highlight w:val="none"/>
        </w:rPr>
        <w:t>：</w:t>
      </w:r>
    </w:p>
    <w:p w14:paraId="18FE1F5C">
      <w:pPr>
        <w:snapToGrid w:val="0"/>
        <w:spacing w:before="120" w:beforeLines="50" w:after="50"/>
        <w:rPr>
          <w:color w:val="auto"/>
          <w:sz w:val="24"/>
          <w:highlight w:val="none"/>
        </w:rPr>
      </w:pPr>
      <w:r>
        <w:rPr>
          <w:rFonts w:hint="eastAsia"/>
          <w:color w:val="auto"/>
          <w:sz w:val="24"/>
          <w:highlight w:val="none"/>
        </w:rPr>
        <w:t xml:space="preserve">                                             </w:t>
      </w:r>
    </w:p>
    <w:p w14:paraId="0F19BEFF">
      <w:pPr>
        <w:snapToGrid w:val="0"/>
        <w:spacing w:before="120" w:beforeLines="50" w:after="50"/>
        <w:ind w:firstLine="6720" w:firstLineChars="3200"/>
        <w:rPr>
          <w:bCs/>
          <w:color w:val="auto"/>
          <w:sz w:val="32"/>
          <w:szCs w:val="20"/>
          <w:highlight w:val="none"/>
        </w:rPr>
      </w:pPr>
      <w:r>
        <w:rPr>
          <w:rFonts w:hint="eastAsia"/>
          <w:bCs/>
          <w:color w:val="auto"/>
          <w:highlight w:val="none"/>
        </w:rPr>
        <w:t>全流程电子文件</w:t>
      </w:r>
    </w:p>
    <w:p w14:paraId="55DCBE68">
      <w:pPr>
        <w:snapToGrid w:val="0"/>
        <w:spacing w:before="120" w:beforeLines="50" w:after="50"/>
        <w:rPr>
          <w:color w:val="auto"/>
          <w:sz w:val="24"/>
          <w:szCs w:val="20"/>
          <w:highlight w:val="none"/>
        </w:rPr>
      </w:pPr>
    </w:p>
    <w:p w14:paraId="54E2301E">
      <w:pPr>
        <w:snapToGrid w:val="0"/>
        <w:spacing w:before="120" w:beforeLines="50" w:after="50"/>
        <w:rPr>
          <w:color w:val="auto"/>
          <w:sz w:val="24"/>
          <w:szCs w:val="20"/>
          <w:highlight w:val="none"/>
        </w:rPr>
      </w:pPr>
    </w:p>
    <w:p w14:paraId="004CAE50">
      <w:pPr>
        <w:snapToGrid w:val="0"/>
        <w:spacing w:before="120" w:beforeLines="50" w:after="50"/>
        <w:rPr>
          <w:color w:val="auto"/>
          <w:sz w:val="24"/>
          <w:szCs w:val="20"/>
          <w:highlight w:val="none"/>
        </w:rPr>
      </w:pPr>
    </w:p>
    <w:p w14:paraId="5DE6941E">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商  务  技  术  文  件</w:t>
      </w:r>
    </w:p>
    <w:p w14:paraId="48DCB940">
      <w:pPr>
        <w:snapToGrid w:val="0"/>
        <w:spacing w:before="120" w:beforeLines="50" w:after="50"/>
        <w:rPr>
          <w:bCs/>
          <w:color w:val="auto"/>
          <w:sz w:val="24"/>
          <w:szCs w:val="20"/>
          <w:highlight w:val="none"/>
        </w:rPr>
      </w:pPr>
    </w:p>
    <w:p w14:paraId="0394B96A">
      <w:pPr>
        <w:snapToGrid w:val="0"/>
        <w:spacing w:before="120" w:beforeLines="50" w:after="50"/>
        <w:rPr>
          <w:bCs/>
          <w:color w:val="auto"/>
          <w:sz w:val="24"/>
          <w:szCs w:val="20"/>
          <w:highlight w:val="none"/>
        </w:rPr>
      </w:pPr>
    </w:p>
    <w:p w14:paraId="7FEA9600">
      <w:pPr>
        <w:snapToGrid w:val="0"/>
        <w:spacing w:before="120" w:beforeLines="50" w:after="50"/>
        <w:rPr>
          <w:bCs/>
          <w:color w:val="auto"/>
          <w:sz w:val="24"/>
          <w:szCs w:val="20"/>
          <w:highlight w:val="none"/>
        </w:rPr>
      </w:pPr>
    </w:p>
    <w:p w14:paraId="39023350">
      <w:pPr>
        <w:snapToGrid w:val="0"/>
        <w:spacing w:before="120" w:beforeLines="50" w:after="50"/>
        <w:rPr>
          <w:bCs/>
          <w:color w:val="auto"/>
          <w:sz w:val="24"/>
          <w:szCs w:val="20"/>
          <w:highlight w:val="none"/>
        </w:rPr>
      </w:pPr>
    </w:p>
    <w:p w14:paraId="500A7DB1">
      <w:pPr>
        <w:snapToGrid w:val="0"/>
        <w:spacing w:before="120" w:beforeLines="50" w:after="50"/>
        <w:rPr>
          <w:bCs/>
          <w:color w:val="auto"/>
          <w:sz w:val="24"/>
          <w:szCs w:val="20"/>
          <w:highlight w:val="none"/>
        </w:rPr>
      </w:pPr>
    </w:p>
    <w:p w14:paraId="628D1D29">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14:paraId="0D8D92CE">
      <w:pPr>
        <w:snapToGrid w:val="0"/>
        <w:spacing w:before="120" w:beforeLines="50" w:after="50"/>
        <w:ind w:firstLine="720" w:firstLineChars="225"/>
        <w:rPr>
          <w:rFonts w:cs="仿宋_GB2312"/>
          <w:bCs/>
          <w:color w:val="auto"/>
          <w:sz w:val="32"/>
          <w:szCs w:val="32"/>
          <w:highlight w:val="none"/>
        </w:rPr>
      </w:pPr>
    </w:p>
    <w:p w14:paraId="1FBC84AC">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项目编号：</w:t>
      </w:r>
    </w:p>
    <w:p w14:paraId="22C64D09">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14:paraId="17EEA7C9">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7E78B263">
      <w:pPr>
        <w:snapToGrid w:val="0"/>
        <w:spacing w:before="120" w:beforeLines="50" w:after="50"/>
        <w:ind w:firstLine="720" w:firstLineChars="225"/>
        <w:rPr>
          <w:rFonts w:cs="仿宋_GB2312"/>
          <w:bCs/>
          <w:color w:val="auto"/>
          <w:sz w:val="32"/>
          <w:szCs w:val="32"/>
          <w:highlight w:val="none"/>
        </w:rPr>
      </w:pPr>
    </w:p>
    <w:p w14:paraId="1C77100E">
      <w:pPr>
        <w:pStyle w:val="7"/>
        <w:snapToGrid w:val="0"/>
        <w:spacing w:before="50" w:after="50"/>
        <w:ind w:firstLine="640" w:firstLineChars="200"/>
        <w:rPr>
          <w:rFonts w:cs="仿宋_GB2312"/>
          <w:bCs/>
          <w:color w:val="auto"/>
          <w:sz w:val="32"/>
          <w:szCs w:val="32"/>
          <w:highlight w:val="none"/>
        </w:rPr>
      </w:pPr>
      <w:r>
        <w:rPr>
          <w:rFonts w:hint="eastAsia" w:cs="仿宋_GB2312"/>
          <w:bCs/>
          <w:color w:val="auto"/>
          <w:sz w:val="32"/>
          <w:szCs w:val="32"/>
          <w:highlight w:val="none"/>
        </w:rPr>
        <w:t>供应商名称：</w:t>
      </w:r>
    </w:p>
    <w:p w14:paraId="3226D236">
      <w:pPr>
        <w:pStyle w:val="7"/>
        <w:snapToGrid w:val="0"/>
        <w:spacing w:before="50" w:after="50"/>
        <w:ind w:firstLine="720" w:firstLineChars="225"/>
        <w:rPr>
          <w:rFonts w:cs="仿宋_GB2312"/>
          <w:bCs/>
          <w:color w:val="auto"/>
          <w:sz w:val="32"/>
          <w:szCs w:val="32"/>
          <w:highlight w:val="none"/>
        </w:rPr>
      </w:pPr>
    </w:p>
    <w:p w14:paraId="4646D801">
      <w:pPr>
        <w:pStyle w:val="7"/>
        <w:snapToGrid w:val="0"/>
        <w:spacing w:before="50" w:after="50"/>
        <w:ind w:firstLine="720" w:firstLineChars="225"/>
        <w:rPr>
          <w:rFonts w:cs="仿宋_GB2312"/>
          <w:bCs/>
          <w:color w:val="auto"/>
          <w:sz w:val="32"/>
          <w:szCs w:val="32"/>
          <w:highlight w:val="none"/>
        </w:rPr>
      </w:pPr>
    </w:p>
    <w:p w14:paraId="269291E6">
      <w:pPr>
        <w:pStyle w:val="7"/>
        <w:snapToGrid w:val="0"/>
        <w:spacing w:before="50" w:after="50"/>
        <w:ind w:firstLine="1280" w:firstLineChars="400"/>
        <w:rPr>
          <w:rFonts w:cs="仿宋_GB2312"/>
          <w:bCs/>
          <w:color w:val="auto"/>
          <w:sz w:val="32"/>
          <w:szCs w:val="32"/>
          <w:highlight w:val="none"/>
        </w:rPr>
      </w:pPr>
    </w:p>
    <w:p w14:paraId="7BDBB22B">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14:paraId="365831A8">
      <w:pPr>
        <w:snapToGrid w:val="0"/>
        <w:spacing w:before="120" w:beforeLines="50" w:after="50" w:line="360" w:lineRule="auto"/>
        <w:ind w:left="142" w:firstLine="643" w:firstLineChars="200"/>
        <w:jc w:val="left"/>
        <w:rPr>
          <w:b/>
          <w:bCs/>
          <w:color w:val="auto"/>
          <w:sz w:val="32"/>
          <w:szCs w:val="32"/>
          <w:highlight w:val="none"/>
        </w:rPr>
        <w:sectPr>
          <w:pgSz w:w="11911" w:h="16838"/>
          <w:pgMar w:top="1134" w:right="1134" w:bottom="1134" w:left="1134" w:header="720" w:footer="720" w:gutter="0"/>
          <w:cols w:space="720" w:num="1"/>
        </w:sectPr>
      </w:pPr>
    </w:p>
    <w:p w14:paraId="7B67ACF8">
      <w:pPr>
        <w:spacing w:line="360" w:lineRule="auto"/>
        <w:ind w:right="420"/>
        <w:rPr>
          <w:rFonts w:ascii="宋体" w:hAnsi="宋体" w:cs="宋体"/>
          <w:color w:val="auto"/>
          <w:sz w:val="24"/>
          <w:szCs w:val="20"/>
          <w:highlight w:val="none"/>
        </w:rPr>
      </w:pPr>
      <w:r>
        <w:rPr>
          <w:rFonts w:hint="eastAsia" w:ascii="宋体" w:hAnsi="宋体" w:cs="宋体"/>
          <w:b/>
          <w:bCs/>
          <w:color w:val="auto"/>
          <w:sz w:val="28"/>
          <w:szCs w:val="28"/>
          <w:highlight w:val="none"/>
        </w:rPr>
        <w:t>2.商务技术文件目录</w:t>
      </w:r>
    </w:p>
    <w:p w14:paraId="36506A89">
      <w:pPr>
        <w:spacing w:line="400" w:lineRule="exact"/>
        <w:rPr>
          <w:rFonts w:ascii="仿宋_GB2312" w:hAnsi="仿宋_GB2312" w:eastAsia="仿宋_GB2312" w:cs="仿宋_GB2312"/>
          <w:color w:val="auto"/>
          <w:sz w:val="32"/>
          <w:szCs w:val="32"/>
          <w:highlight w:val="none"/>
        </w:rPr>
      </w:pPr>
      <w:r>
        <w:rPr>
          <w:rFonts w:hint="eastAsia" w:ascii="宋体" w:hAnsi="宋体" w:cs="宋体"/>
          <w:color w:val="auto"/>
          <w:kern w:val="0"/>
          <w:sz w:val="24"/>
          <w:highlight w:val="none"/>
        </w:rPr>
        <w:t xml:space="preserve">  根据竞争性磋商文件规定及供应商提供的材料自行编写目录（部分格式后附）。</w:t>
      </w:r>
    </w:p>
    <w:p w14:paraId="6120F534">
      <w:pPr>
        <w:spacing w:line="520" w:lineRule="exact"/>
        <w:jc w:val="left"/>
        <w:rPr>
          <w:rFonts w:ascii="宋体" w:hAnsi="宋体" w:cs="宋体"/>
          <w:color w:val="auto"/>
          <w:sz w:val="28"/>
          <w:szCs w:val="28"/>
          <w:highlight w:val="none"/>
        </w:rPr>
      </w:pPr>
      <w:r>
        <w:rPr>
          <w:rFonts w:hint="eastAsia" w:ascii="仿宋" w:hAnsi="仿宋" w:eastAsia="仿宋" w:cs="仿宋"/>
          <w:color w:val="auto"/>
          <w:sz w:val="44"/>
          <w:szCs w:val="44"/>
          <w:highlight w:val="none"/>
        </w:rPr>
        <w:br w:type="page"/>
      </w:r>
      <w:r>
        <w:rPr>
          <w:rFonts w:hint="eastAsia" w:ascii="宋体" w:hAnsi="宋体" w:cs="宋体"/>
          <w:b/>
          <w:color w:val="auto"/>
          <w:sz w:val="28"/>
          <w:szCs w:val="28"/>
          <w:highlight w:val="none"/>
        </w:rPr>
        <w:t>3.无串通竞标行为的承诺函的格式：</w:t>
      </w:r>
    </w:p>
    <w:p w14:paraId="2FCAB938">
      <w:pPr>
        <w:spacing w:line="520" w:lineRule="exact"/>
        <w:jc w:val="center"/>
        <w:rPr>
          <w:rFonts w:ascii="仿宋" w:hAnsi="仿宋" w:eastAsia="仿宋" w:cs="仿宋"/>
          <w:color w:val="auto"/>
          <w:sz w:val="44"/>
          <w:szCs w:val="44"/>
          <w:highlight w:val="none"/>
        </w:rPr>
      </w:pPr>
    </w:p>
    <w:p w14:paraId="5316931A">
      <w:pPr>
        <w:spacing w:line="52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无串通竞标行为的承诺函</w:t>
      </w:r>
    </w:p>
    <w:p w14:paraId="70E2797F">
      <w:pPr>
        <w:spacing w:line="520" w:lineRule="exact"/>
        <w:ind w:firstLine="640" w:firstLineChars="200"/>
        <w:rPr>
          <w:rFonts w:ascii="仿宋_GB2312" w:hAnsi="仿宋_GB2312" w:eastAsia="仿宋_GB2312" w:cs="仿宋_GB2312"/>
          <w:color w:val="auto"/>
          <w:sz w:val="32"/>
          <w:szCs w:val="32"/>
          <w:highlight w:val="none"/>
        </w:rPr>
      </w:pPr>
    </w:p>
    <w:p w14:paraId="6ED1C5AB">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一、我方承诺无下列相互串通竞标的情形：</w:t>
      </w:r>
    </w:p>
    <w:p w14:paraId="42470577">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 xml:space="preserve">1.不同供应商的响应文件由同一单位或者个人编制；或不同供应商报名的IP地址一致的； </w:t>
      </w:r>
    </w:p>
    <w:p w14:paraId="49636E9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2.不同供应商委托同一单位或者个人办理竞标事宜；</w:t>
      </w:r>
    </w:p>
    <w:p w14:paraId="0D633B44">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3.不同供应商的响应文件载明的项目管理员为同一个人；</w:t>
      </w:r>
    </w:p>
    <w:p w14:paraId="24A27481">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4.不</w:t>
      </w:r>
      <w:r>
        <w:rPr>
          <w:rFonts w:hint="eastAsia" w:ascii="宋体" w:hAnsi="宋体" w:cs="宋体"/>
          <w:color w:val="auto"/>
          <w:spacing w:val="-6"/>
          <w:sz w:val="24"/>
          <w:highlight w:val="none"/>
        </w:rPr>
        <w:t>同供应商的响应文件异常一致或者响应报价呈规律性差异；</w:t>
      </w:r>
    </w:p>
    <w:p w14:paraId="2E09E7D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5.不同供应商的响应文件相互混装；</w:t>
      </w:r>
    </w:p>
    <w:p w14:paraId="4FF0F18E">
      <w:pPr>
        <w:pStyle w:val="15"/>
        <w:ind w:firstLine="480" w:firstLineChars="200"/>
        <w:rPr>
          <w:rFonts w:ascii="宋体" w:hAnsi="宋体" w:cs="宋体"/>
          <w:color w:val="auto"/>
          <w:highlight w:val="none"/>
        </w:rPr>
      </w:pPr>
      <w:r>
        <w:rPr>
          <w:rFonts w:hint="eastAsia" w:ascii="宋体" w:hAnsi="宋体" w:cs="宋体"/>
          <w:color w:val="auto"/>
          <w:sz w:val="24"/>
          <w:highlight w:val="none"/>
        </w:rPr>
        <w:t>6.不同供应商的磋商保证金从同一单位或者个人账户转出。</w:t>
      </w:r>
    </w:p>
    <w:p w14:paraId="3AD475F4">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二、我方承诺无下列恶意串通的情形：</w:t>
      </w:r>
    </w:p>
    <w:p w14:paraId="6FF72FE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1.供应商直接或者间接从采购人或者采购代理机构处获得其他供应商的相关信息并修改其响应文件；</w:t>
      </w:r>
    </w:p>
    <w:p w14:paraId="194A5032">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2.供应商按照采购人或者采购代理机构的授意撤换、修改响应文件；</w:t>
      </w:r>
    </w:p>
    <w:p w14:paraId="1035A5C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3.供</w:t>
      </w:r>
      <w:r>
        <w:rPr>
          <w:rFonts w:hint="eastAsia" w:ascii="宋体" w:hAnsi="宋体" w:cs="宋体"/>
          <w:color w:val="auto"/>
          <w:spacing w:val="-6"/>
          <w:sz w:val="24"/>
          <w:highlight w:val="none"/>
        </w:rPr>
        <w:t>应商之间协商报价、技术方案等响应文件的实质性内容；</w:t>
      </w:r>
    </w:p>
    <w:p w14:paraId="7C71DC1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4.属于同一集团、协会、商会等组织成员的供应商按照该组织要求协同参加政府采购活动；</w:t>
      </w:r>
    </w:p>
    <w:p w14:paraId="23BCED26">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5.供应商之间事先约定一致抬高或者压低响应报价，或者在竞争性磋商项目中事先约定轮流以高价位或者低价位成交，或者事先约定由某一特定供应商成交，然后再参加竞标；</w:t>
      </w:r>
    </w:p>
    <w:p w14:paraId="55A7C63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6.供应商之间商定部分供应商放弃参加政府采购活动或者放弃成交；</w:t>
      </w:r>
    </w:p>
    <w:p w14:paraId="5F69D125">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7.供应商与采购人或者采购代理机构之间、供应商相互之间，为</w:t>
      </w:r>
      <w:r>
        <w:rPr>
          <w:rFonts w:hint="eastAsia" w:ascii="宋体" w:hAnsi="宋体" w:cs="宋体"/>
          <w:color w:val="auto"/>
          <w:spacing w:val="-6"/>
          <w:sz w:val="24"/>
          <w:highlight w:val="none"/>
        </w:rPr>
        <w:t>谋求特定供应商成交或者排斥其他供应商的其他串通行为。</w:t>
      </w:r>
    </w:p>
    <w:p w14:paraId="54D4E246">
      <w:pPr>
        <w:spacing w:line="360" w:lineRule="auto"/>
        <w:ind w:firstLine="480" w:firstLineChars="200"/>
        <w:contextualSpacing/>
        <w:rPr>
          <w:rFonts w:ascii="宋体" w:hAnsi="宋体" w:cs="宋体"/>
          <w:color w:val="auto"/>
          <w:sz w:val="24"/>
          <w:highlight w:val="none"/>
        </w:rPr>
      </w:pPr>
    </w:p>
    <w:p w14:paraId="54C78C60">
      <w:pPr>
        <w:spacing w:line="360" w:lineRule="auto"/>
        <w:ind w:firstLine="482" w:firstLineChars="200"/>
        <w:contextualSpacing/>
        <w:rPr>
          <w:rFonts w:ascii="宋体" w:hAnsi="宋体" w:cs="宋体"/>
          <w:b/>
          <w:bCs/>
          <w:color w:val="auto"/>
          <w:sz w:val="24"/>
          <w:highlight w:val="none"/>
        </w:rPr>
      </w:pPr>
      <w:r>
        <w:rPr>
          <w:rFonts w:hint="eastAsia" w:ascii="宋体" w:hAnsi="宋体" w:cs="宋体"/>
          <w:b/>
          <w:bCs/>
          <w:color w:val="auto"/>
          <w:sz w:val="24"/>
          <w:highlight w:val="none"/>
        </w:rPr>
        <w:t>以上情形一经核查属实，接受政府采购监管部门对我方认定存在围标串标行为，我方愿意承担一切后果，并不再寻求任何旨在减轻或者免除法律责任的辩解。</w:t>
      </w:r>
    </w:p>
    <w:p w14:paraId="3AADA17D">
      <w:pPr>
        <w:pStyle w:val="23"/>
        <w:rPr>
          <w:rFonts w:ascii="宋体" w:hAnsi="宋体" w:cs="宋体"/>
          <w:b/>
          <w:bCs/>
          <w:color w:val="auto"/>
          <w:sz w:val="24"/>
          <w:highlight w:val="none"/>
        </w:rPr>
      </w:pPr>
    </w:p>
    <w:p w14:paraId="729D6BAB">
      <w:pPr>
        <w:pStyle w:val="23"/>
        <w:rPr>
          <w:rFonts w:ascii="宋体" w:hAnsi="宋体" w:cs="宋体"/>
          <w:b/>
          <w:bCs/>
          <w:color w:val="auto"/>
          <w:sz w:val="24"/>
          <w:highlight w:val="none"/>
        </w:rPr>
      </w:pPr>
    </w:p>
    <w:p w14:paraId="20AC913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02A397DA">
      <w:pPr>
        <w:spacing w:line="480" w:lineRule="auto"/>
        <w:ind w:firstLine="5040" w:firstLineChars="2100"/>
        <w:jc w:val="left"/>
        <w:rPr>
          <w:rFonts w:ascii="宋体" w:hAnsi="宋体" w:cs="宋体"/>
          <w:b/>
          <w:bCs/>
          <w:color w:val="auto"/>
          <w:sz w:val="28"/>
          <w:szCs w:val="28"/>
          <w:highlight w:val="none"/>
        </w:rPr>
      </w:pPr>
      <w:r>
        <w:rPr>
          <w:rFonts w:hint="eastAsia" w:ascii="宋体" w:hAnsi="宋体" w:cs="宋体"/>
          <w:color w:val="auto"/>
          <w:kern w:val="0"/>
          <w:sz w:val="24"/>
          <w:highlight w:val="none"/>
          <w:lang w:val="zh-CN"/>
        </w:rPr>
        <w:t xml:space="preserve">日期：  年  月   日   </w:t>
      </w:r>
      <w:r>
        <w:rPr>
          <w:b/>
          <w:bCs/>
          <w:color w:val="auto"/>
          <w:sz w:val="32"/>
          <w:szCs w:val="32"/>
          <w:highlight w:val="none"/>
        </w:rPr>
        <w:br w:type="page"/>
      </w:r>
      <w:r>
        <w:rPr>
          <w:rFonts w:hint="eastAsia" w:ascii="宋体" w:hAnsi="宋体" w:cs="宋体"/>
          <w:b/>
          <w:bCs/>
          <w:color w:val="auto"/>
          <w:sz w:val="28"/>
          <w:szCs w:val="28"/>
          <w:highlight w:val="none"/>
        </w:rPr>
        <w:t>4.法定代表人身份证明的格式：</w:t>
      </w:r>
    </w:p>
    <w:p w14:paraId="3FCF4400">
      <w:pPr>
        <w:spacing w:line="520" w:lineRule="exact"/>
        <w:jc w:val="center"/>
        <w:rPr>
          <w:rFonts w:ascii="仿宋_GB2312" w:hAnsi="仿宋_GB2312" w:eastAsia="仿宋_GB2312" w:cs="仿宋_GB2312"/>
          <w:color w:val="auto"/>
          <w:sz w:val="32"/>
          <w:szCs w:val="32"/>
          <w:highlight w:val="none"/>
        </w:rPr>
      </w:pPr>
      <w:r>
        <w:rPr>
          <w:rFonts w:hint="eastAsia" w:ascii="宋体" w:hAnsi="宋体" w:cs="宋体"/>
          <w:bCs/>
          <w:color w:val="auto"/>
          <w:sz w:val="32"/>
          <w:szCs w:val="32"/>
          <w:highlight w:val="none"/>
        </w:rPr>
        <w:t>法定代表人身份证明</w:t>
      </w:r>
    </w:p>
    <w:p w14:paraId="156C3530">
      <w:pPr>
        <w:spacing w:line="360" w:lineRule="auto"/>
        <w:ind w:left="540"/>
        <w:contextualSpacing/>
        <w:rPr>
          <w:rFonts w:ascii="仿宋_GB2312" w:hAnsi="仿宋_GB2312" w:eastAsia="仿宋_GB2312" w:cs="仿宋_GB2312"/>
          <w:color w:val="auto"/>
          <w:sz w:val="32"/>
          <w:szCs w:val="32"/>
          <w:highlight w:val="none"/>
        </w:rPr>
      </w:pPr>
    </w:p>
    <w:p w14:paraId="5461D89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供应商名称：</w:t>
      </w:r>
      <w:r>
        <w:rPr>
          <w:rFonts w:hint="eastAsia" w:ascii="宋体" w:hAnsi="宋体" w:cs="宋体"/>
          <w:color w:val="auto"/>
          <w:sz w:val="24"/>
          <w:highlight w:val="none"/>
          <w:u w:val="single"/>
        </w:rPr>
        <w:t xml:space="preserve">                                                      </w:t>
      </w:r>
    </w:p>
    <w:p w14:paraId="6172F15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地    址：</w:t>
      </w:r>
      <w:r>
        <w:rPr>
          <w:rFonts w:hint="eastAsia" w:ascii="宋体" w:hAnsi="宋体" w:cs="宋体"/>
          <w:color w:val="auto"/>
          <w:sz w:val="24"/>
          <w:highlight w:val="none"/>
          <w:u w:val="single"/>
        </w:rPr>
        <w:t xml:space="preserve">                                                        </w:t>
      </w:r>
    </w:p>
    <w:p w14:paraId="50E1A450">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姓    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性     别：</w:t>
      </w:r>
      <w:r>
        <w:rPr>
          <w:rFonts w:hint="eastAsia" w:ascii="宋体" w:hAnsi="宋体" w:cs="宋体"/>
          <w:color w:val="auto"/>
          <w:sz w:val="24"/>
          <w:highlight w:val="none"/>
          <w:u w:val="single"/>
        </w:rPr>
        <w:t xml:space="preserve">                </w:t>
      </w:r>
    </w:p>
    <w:p w14:paraId="50ADED82">
      <w:pPr>
        <w:spacing w:line="360" w:lineRule="auto"/>
        <w:ind w:left="540"/>
        <w:contextualSpacing/>
        <w:rPr>
          <w:rFonts w:ascii="宋体" w:hAnsi="宋体" w:cs="宋体"/>
          <w:color w:val="auto"/>
          <w:sz w:val="24"/>
          <w:highlight w:val="none"/>
          <w:u w:val="single"/>
        </w:rPr>
      </w:pPr>
      <w:r>
        <w:rPr>
          <w:rFonts w:hint="eastAsia" w:ascii="宋体" w:hAnsi="宋体" w:cs="宋体"/>
          <w:color w:val="auto"/>
          <w:sz w:val="24"/>
          <w:highlight w:val="none"/>
        </w:rPr>
        <w:t>年    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职     务：</w:t>
      </w:r>
      <w:r>
        <w:rPr>
          <w:rFonts w:hint="eastAsia" w:ascii="宋体" w:hAnsi="宋体" w:cs="宋体"/>
          <w:color w:val="auto"/>
          <w:sz w:val="24"/>
          <w:highlight w:val="none"/>
          <w:u w:val="single"/>
        </w:rPr>
        <w:t xml:space="preserve">                </w:t>
      </w:r>
    </w:p>
    <w:p w14:paraId="5C685127">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身份证号码：</w:t>
      </w:r>
      <w:r>
        <w:rPr>
          <w:rFonts w:hint="eastAsia" w:ascii="宋体" w:hAnsi="宋体" w:cs="宋体"/>
          <w:color w:val="auto"/>
          <w:sz w:val="24"/>
          <w:highlight w:val="none"/>
          <w:u w:val="single"/>
        </w:rPr>
        <w:t xml:space="preserve">                                        </w:t>
      </w:r>
    </w:p>
    <w:p w14:paraId="5E5E3A2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系</w:t>
      </w:r>
      <w:r>
        <w:rPr>
          <w:rFonts w:hint="eastAsia" w:ascii="宋体" w:hAnsi="宋体" w:cs="宋体"/>
          <w:color w:val="auto"/>
          <w:sz w:val="24"/>
          <w:highlight w:val="none"/>
          <w:u w:val="single"/>
        </w:rPr>
        <w:t>（供应商名称）</w:t>
      </w:r>
      <w:r>
        <w:rPr>
          <w:rFonts w:hint="eastAsia" w:ascii="宋体" w:hAnsi="宋体" w:cs="宋体"/>
          <w:color w:val="auto"/>
          <w:sz w:val="24"/>
          <w:highlight w:val="none"/>
        </w:rPr>
        <w:t>的法定代表人。</w:t>
      </w:r>
    </w:p>
    <w:p w14:paraId="19DB0CC3">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特此证明。</w:t>
      </w:r>
    </w:p>
    <w:p w14:paraId="4402B82A">
      <w:pPr>
        <w:spacing w:line="360" w:lineRule="auto"/>
        <w:ind w:left="540"/>
        <w:contextualSpacing/>
        <w:rPr>
          <w:rFonts w:ascii="宋体" w:hAnsi="宋体" w:cs="宋体"/>
          <w:color w:val="auto"/>
          <w:sz w:val="24"/>
          <w:highlight w:val="none"/>
        </w:rPr>
      </w:pPr>
    </w:p>
    <w:p w14:paraId="1C4C5446">
      <w:pPr>
        <w:spacing w:line="360" w:lineRule="auto"/>
        <w:ind w:left="540"/>
        <w:contextualSpacing/>
        <w:rPr>
          <w:rFonts w:ascii="宋体" w:hAnsi="宋体" w:cs="宋体"/>
          <w:color w:val="auto"/>
          <w:sz w:val="24"/>
          <w:highlight w:val="none"/>
        </w:rPr>
      </w:pPr>
    </w:p>
    <w:p w14:paraId="3FC249C2">
      <w:pPr>
        <w:spacing w:line="360" w:lineRule="auto"/>
        <w:ind w:left="540"/>
        <w:contextualSpacing/>
        <w:rPr>
          <w:rFonts w:ascii="宋体" w:hAnsi="宋体" w:cs="宋体"/>
          <w:color w:val="auto"/>
          <w:sz w:val="24"/>
          <w:highlight w:val="none"/>
        </w:rPr>
      </w:pPr>
    </w:p>
    <w:p w14:paraId="5B4AEE3A">
      <w:pPr>
        <w:spacing w:line="360" w:lineRule="auto"/>
        <w:ind w:left="540"/>
        <w:contextualSpacing/>
        <w:rPr>
          <w:rFonts w:ascii="宋体" w:hAnsi="宋体" w:cs="宋体"/>
          <w:color w:val="auto"/>
          <w:sz w:val="24"/>
          <w:highlight w:val="none"/>
        </w:rPr>
      </w:pPr>
      <w:r>
        <w:rPr>
          <w:rFonts w:hint="eastAsia" w:ascii="宋体" w:hAnsi="宋体" w:cs="宋体"/>
          <w:color w:val="auto"/>
          <w:sz w:val="24"/>
          <w:highlight w:val="none"/>
        </w:rPr>
        <w:t>附件：法定代表人有效身份证正反面复印件</w:t>
      </w:r>
    </w:p>
    <w:p w14:paraId="6CE81D34">
      <w:pPr>
        <w:spacing w:line="360" w:lineRule="auto"/>
        <w:ind w:left="540"/>
        <w:contextualSpacing/>
        <w:rPr>
          <w:rFonts w:ascii="宋体" w:hAnsi="宋体" w:cs="宋体"/>
          <w:color w:val="auto"/>
          <w:sz w:val="24"/>
          <w:highlight w:val="none"/>
        </w:rPr>
      </w:pPr>
    </w:p>
    <w:p w14:paraId="156683AA">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6E7C6215">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11F0A54F">
      <w:pPr>
        <w:spacing w:line="360" w:lineRule="auto"/>
        <w:contextualSpacing/>
        <w:jc w:val="left"/>
        <w:rPr>
          <w:rFonts w:ascii="宋体" w:hAnsi="宋体" w:cs="宋体"/>
          <w:color w:val="auto"/>
          <w:sz w:val="24"/>
          <w:highlight w:val="none"/>
        </w:rPr>
      </w:pPr>
    </w:p>
    <w:p w14:paraId="37B2CDFC">
      <w:pPr>
        <w:spacing w:line="360" w:lineRule="auto"/>
        <w:contextualSpacing/>
        <w:jc w:val="left"/>
        <w:rPr>
          <w:rFonts w:ascii="宋体" w:hAnsi="宋体" w:cs="宋体"/>
          <w:color w:val="auto"/>
          <w:sz w:val="24"/>
          <w:highlight w:val="none"/>
        </w:rPr>
      </w:pPr>
    </w:p>
    <w:p w14:paraId="7631E54D">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注：</w:t>
      </w:r>
    </w:p>
    <w:p w14:paraId="49561144">
      <w:pPr>
        <w:spacing w:line="360" w:lineRule="auto"/>
        <w:ind w:firstLine="420" w:firstLineChars="200"/>
        <w:contextualSpacing/>
        <w:jc w:val="left"/>
        <w:rPr>
          <w:rFonts w:ascii="宋体" w:hAnsi="宋体" w:cs="宋体"/>
          <w:color w:val="auto"/>
          <w:szCs w:val="21"/>
          <w:highlight w:val="none"/>
        </w:rPr>
      </w:pPr>
      <w:r>
        <w:rPr>
          <w:rFonts w:hint="eastAsia" w:ascii="宋体" w:hAnsi="宋体" w:cs="宋体"/>
          <w:color w:val="auto"/>
          <w:szCs w:val="21"/>
          <w:highlight w:val="none"/>
        </w:rPr>
        <w:t>1.自然人竞标的无需提供，联合体竞标的只需牵头人出具。</w:t>
      </w:r>
    </w:p>
    <w:p w14:paraId="59BA0723">
      <w:pPr>
        <w:spacing w:line="360" w:lineRule="auto"/>
        <w:ind w:firstLine="420" w:firstLineChars="200"/>
        <w:contextualSpacing/>
        <w:jc w:val="left"/>
        <w:rPr>
          <w:rFonts w:ascii="宋体" w:hAnsi="宋体" w:cs="宋体"/>
          <w:color w:val="auto"/>
          <w:szCs w:val="21"/>
          <w:highlight w:val="none"/>
        </w:rPr>
        <w:sectPr>
          <w:pgSz w:w="11911" w:h="16838"/>
          <w:pgMar w:top="1134" w:right="1134" w:bottom="1134" w:left="1134" w:header="720" w:footer="720" w:gutter="0"/>
          <w:cols w:space="720" w:num="1"/>
        </w:sect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F5AA2B7">
      <w:pPr>
        <w:spacing w:line="360" w:lineRule="auto"/>
        <w:ind w:firstLine="482" w:firstLineChars="200"/>
        <w:contextualSpacing/>
        <w:jc w:val="left"/>
        <w:rPr>
          <w:rFonts w:ascii="仿宋_GB2312" w:hAnsi="仿宋_GB2312" w:eastAsia="仿宋_GB2312" w:cs="仿宋_GB2312"/>
          <w:b/>
          <w:color w:val="auto"/>
          <w:sz w:val="32"/>
          <w:szCs w:val="32"/>
          <w:highlight w:val="none"/>
        </w:rPr>
      </w:pPr>
      <w:r>
        <w:rPr>
          <w:rFonts w:hint="eastAsia" w:ascii="Calibri"/>
          <w:b/>
          <w:color w:val="auto"/>
          <w:sz w:val="24"/>
          <w:highlight w:val="none"/>
        </w:rPr>
        <w:t>附件：</w:t>
      </w:r>
    </w:p>
    <w:tbl>
      <w:tblPr>
        <w:tblStyle w:val="31"/>
        <w:tblW w:w="84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61"/>
      </w:tblGrid>
      <w:tr w14:paraId="3B18C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2" w:hRule="atLeast"/>
          <w:jc w:val="center"/>
        </w:trPr>
        <w:tc>
          <w:tcPr>
            <w:tcW w:w="8461" w:type="dxa"/>
          </w:tcPr>
          <w:p w14:paraId="6E14690F">
            <w:pPr>
              <w:spacing w:line="360" w:lineRule="auto"/>
              <w:rPr>
                <w:rFonts w:hAnsi="Calibri"/>
                <w:b/>
                <w:color w:val="auto"/>
                <w:sz w:val="24"/>
                <w:highlight w:val="none"/>
              </w:rPr>
            </w:pPr>
          </w:p>
          <w:p w14:paraId="3398F7C6">
            <w:pPr>
              <w:spacing w:line="360" w:lineRule="auto"/>
              <w:rPr>
                <w:rFonts w:hAnsi="Calibri"/>
                <w:b/>
                <w:color w:val="auto"/>
                <w:sz w:val="24"/>
                <w:highlight w:val="none"/>
              </w:rPr>
            </w:pPr>
            <w:r>
              <w:rPr>
                <w:rFonts w:hint="eastAsia" w:hAnsi="Calibri"/>
                <w:b/>
                <w:color w:val="auto"/>
                <w:sz w:val="24"/>
                <w:highlight w:val="none"/>
              </w:rPr>
              <w:t>法定代表人身份证复印件粘贴处（正、反面）</w:t>
            </w:r>
          </w:p>
        </w:tc>
      </w:tr>
    </w:tbl>
    <w:p w14:paraId="6E8716C6">
      <w:pPr>
        <w:adjustRightInd w:val="0"/>
        <w:snapToGrid w:val="0"/>
        <w:spacing w:line="300" w:lineRule="auto"/>
        <w:jc w:val="left"/>
        <w:rPr>
          <w:b/>
          <w:color w:val="auto"/>
          <w:szCs w:val="21"/>
          <w:highlight w:val="none"/>
        </w:rPr>
      </w:pPr>
    </w:p>
    <w:p w14:paraId="12825FBC">
      <w:pPr>
        <w:spacing w:line="520" w:lineRule="exact"/>
        <w:ind w:firstLine="880"/>
        <w:jc w:val="left"/>
        <w:rPr>
          <w:rFonts w:ascii="宋体" w:hAnsi="宋体" w:cs="宋体"/>
          <w:color w:val="auto"/>
          <w:szCs w:val="21"/>
          <w:highlight w:val="none"/>
        </w:rPr>
      </w:pPr>
    </w:p>
    <w:p w14:paraId="5A444E10">
      <w:pPr>
        <w:spacing w:line="520" w:lineRule="exact"/>
        <w:jc w:val="left"/>
        <w:rPr>
          <w:rFonts w:ascii="仿宋" w:hAnsi="仿宋" w:eastAsia="仿宋" w:cs="仿宋"/>
          <w:bCs/>
          <w:color w:val="auto"/>
          <w:sz w:val="44"/>
          <w:szCs w:val="44"/>
          <w:highlight w:val="none"/>
        </w:rPr>
      </w:pPr>
      <w:r>
        <w:rPr>
          <w:rFonts w:hint="eastAsia" w:ascii="仿宋" w:hAnsi="仿宋" w:eastAsia="仿宋" w:cs="仿宋"/>
          <w:color w:val="auto"/>
          <w:sz w:val="44"/>
          <w:szCs w:val="44"/>
          <w:highlight w:val="none"/>
        </w:rPr>
        <w:br w:type="page"/>
      </w:r>
      <w:r>
        <w:rPr>
          <w:rFonts w:hint="eastAsia" w:ascii="宋体" w:hAnsi="宋体" w:cs="宋体"/>
          <w:b/>
          <w:bCs/>
          <w:color w:val="auto"/>
          <w:sz w:val="28"/>
          <w:szCs w:val="28"/>
          <w:highlight w:val="none"/>
        </w:rPr>
        <w:t>5.法定代表人授权委托书的格式：</w:t>
      </w:r>
    </w:p>
    <w:p w14:paraId="08BDC486">
      <w:pPr>
        <w:spacing w:line="500" w:lineRule="exact"/>
        <w:jc w:val="center"/>
        <w:rPr>
          <w:rFonts w:ascii="仿宋" w:hAnsi="仿宋" w:eastAsia="仿宋" w:cs="仿宋"/>
          <w:color w:val="auto"/>
          <w:sz w:val="44"/>
          <w:szCs w:val="44"/>
          <w:highlight w:val="none"/>
        </w:rPr>
      </w:pPr>
    </w:p>
    <w:p w14:paraId="6C85C95C">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授权委托书（非联合体竞标格式）</w:t>
      </w:r>
    </w:p>
    <w:p w14:paraId="49BC696E">
      <w:pPr>
        <w:spacing w:line="520" w:lineRule="exact"/>
        <w:jc w:val="center"/>
        <w:rPr>
          <w:rFonts w:ascii="宋体" w:hAnsi="宋体" w:cs="宋体"/>
          <w:color w:val="auto"/>
          <w:sz w:val="32"/>
          <w:szCs w:val="32"/>
          <w:highlight w:val="none"/>
        </w:rPr>
      </w:pPr>
      <w:r>
        <w:rPr>
          <w:rFonts w:hint="eastAsia" w:ascii="宋体" w:hAnsi="宋体" w:cs="宋体"/>
          <w:color w:val="auto"/>
          <w:sz w:val="32"/>
          <w:szCs w:val="32"/>
          <w:highlight w:val="none"/>
        </w:rPr>
        <w:t>（如有委托时）</w:t>
      </w:r>
    </w:p>
    <w:p w14:paraId="37F34405">
      <w:pPr>
        <w:spacing w:line="520" w:lineRule="exact"/>
        <w:rPr>
          <w:rFonts w:ascii="仿宋_GB2312" w:hAnsi="仿宋_GB2312" w:eastAsia="仿宋_GB2312" w:cs="仿宋_GB2312"/>
          <w:color w:val="auto"/>
          <w:sz w:val="32"/>
          <w:szCs w:val="32"/>
          <w:highlight w:val="none"/>
        </w:rPr>
      </w:pPr>
    </w:p>
    <w:p w14:paraId="1C511D64">
      <w:pPr>
        <w:spacing w:line="360" w:lineRule="auto"/>
        <w:rPr>
          <w:rFonts w:ascii="宋体" w:hAnsi="宋体" w:cs="宋体"/>
          <w:color w:val="auto"/>
          <w:sz w:val="24"/>
          <w:highlight w:val="none"/>
        </w:rPr>
      </w:pPr>
      <w:r>
        <w:rPr>
          <w:rFonts w:hint="eastAsia" w:ascii="宋体" w:hAnsi="宋体" w:cs="宋体"/>
          <w:color w:val="auto"/>
          <w:sz w:val="24"/>
          <w:highlight w:val="none"/>
        </w:rPr>
        <w:t>致：</w:t>
      </w:r>
      <w:r>
        <w:rPr>
          <w:rFonts w:hint="eastAsia" w:ascii="宋体" w:hAnsi="宋体" w:cs="宋体"/>
          <w:color w:val="auto"/>
          <w:sz w:val="24"/>
          <w:highlight w:val="none"/>
          <w:u w:val="single"/>
        </w:rPr>
        <w:t>（采购人名称）</w:t>
      </w:r>
      <w:r>
        <w:rPr>
          <w:rFonts w:hint="eastAsia" w:ascii="宋体" w:hAnsi="宋体" w:cs="宋体"/>
          <w:color w:val="auto"/>
          <w:sz w:val="24"/>
          <w:highlight w:val="none"/>
        </w:rPr>
        <w:t>：</w:t>
      </w:r>
    </w:p>
    <w:p w14:paraId="622A2D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系</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（供应商名称）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的（</w:t>
      </w:r>
      <w:r>
        <w:rPr>
          <w:rFonts w:hint="eastAsia" w:ascii="宋体" w:hAnsi="宋体" w:cs="宋体"/>
          <w:color w:val="auto"/>
          <w:sz w:val="24"/>
          <w:highlight w:val="none"/>
          <w:u w:val="single"/>
        </w:rPr>
        <w:t>□法定代表人/□负责人/□自然人本人</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以我方的名义参加</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项目的竞标活动，并代表我方全权办理针对上述项目的所有采购程序和环节的具体事务和签署相关文件。</w:t>
      </w:r>
    </w:p>
    <w:p w14:paraId="78FF334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我方对委托代理人的签字事项负全部责任。</w:t>
      </w:r>
    </w:p>
    <w:p w14:paraId="0A9604E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93E15E5">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7C43217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附：委托代理人有效身份证正反面复印件</w:t>
      </w:r>
    </w:p>
    <w:p w14:paraId="5715B1CF">
      <w:pPr>
        <w:spacing w:line="360" w:lineRule="auto"/>
        <w:rPr>
          <w:rFonts w:ascii="宋体" w:hAnsi="宋体" w:cs="宋体"/>
          <w:color w:val="auto"/>
          <w:sz w:val="24"/>
          <w:highlight w:val="none"/>
        </w:rPr>
      </w:pPr>
    </w:p>
    <w:p w14:paraId="384BFC9D">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委托代理人（签字）：         法定代表人（签字）：                    </w:t>
      </w:r>
    </w:p>
    <w:p w14:paraId="77D9E97B">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委托代理人身份证号码：                              </w:t>
      </w:r>
    </w:p>
    <w:p w14:paraId="5AB7436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1743601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rPr>
        <w:t>供应商名称（盖公章）：</w:t>
      </w:r>
    </w:p>
    <w:p w14:paraId="479F62EF">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743F2FCC">
      <w:pPr>
        <w:spacing w:line="360" w:lineRule="auto"/>
        <w:rPr>
          <w:rFonts w:ascii="宋体" w:hAnsi="宋体" w:cs="宋体"/>
          <w:color w:val="auto"/>
          <w:sz w:val="24"/>
          <w:highlight w:val="none"/>
        </w:rPr>
      </w:pPr>
    </w:p>
    <w:p w14:paraId="1AE1B69A">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2DCE3514">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法定代表人和委托代理人必须在授权委托书上签字，</w:t>
      </w:r>
      <w:r>
        <w:rPr>
          <w:rFonts w:hint="eastAsia" w:ascii="宋体" w:hAnsi="宋体" w:cs="宋体"/>
          <w:b/>
          <w:color w:val="auto"/>
          <w:szCs w:val="21"/>
          <w:highlight w:val="none"/>
        </w:rPr>
        <w:t>否则其响应文件按无效响应处理。</w:t>
      </w:r>
    </w:p>
    <w:p w14:paraId="65C5CAD7">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207A5400">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 法人、其他组织竞标时“我方”是指“我单位”，自然人竞标时“我方”是指“本人”。</w:t>
      </w:r>
    </w:p>
    <w:p w14:paraId="58720FF6">
      <w:pPr>
        <w:spacing w:line="500" w:lineRule="exact"/>
        <w:jc w:val="center"/>
        <w:rPr>
          <w:rFonts w:ascii="宋体" w:hAnsi="宋体" w:cs="宋体"/>
          <w:b/>
          <w:bCs/>
          <w:color w:val="auto"/>
          <w:sz w:val="32"/>
          <w:szCs w:val="32"/>
          <w:highlight w:val="none"/>
        </w:rPr>
      </w:pPr>
      <w:r>
        <w:rPr>
          <w:rFonts w:ascii="仿宋_GB2312" w:hAnsi="仿宋_GB2312" w:eastAsia="仿宋_GB2312" w:cs="仿宋_GB2312"/>
          <w:color w:val="auto"/>
          <w:szCs w:val="21"/>
          <w:highlight w:val="none"/>
        </w:rPr>
        <w:br w:type="page"/>
      </w:r>
      <w:r>
        <w:rPr>
          <w:rFonts w:hint="eastAsia" w:ascii="宋体" w:hAnsi="宋体" w:cs="宋体"/>
          <w:b/>
          <w:bCs/>
          <w:color w:val="auto"/>
          <w:sz w:val="32"/>
          <w:szCs w:val="32"/>
          <w:highlight w:val="none"/>
        </w:rPr>
        <w:t>授权委托书（联合体竞标格式）</w:t>
      </w:r>
    </w:p>
    <w:p w14:paraId="138EDD88">
      <w:pPr>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（如有委托时）</w:t>
      </w:r>
    </w:p>
    <w:p w14:paraId="55F991E4">
      <w:pPr>
        <w:spacing w:line="500" w:lineRule="exact"/>
        <w:jc w:val="center"/>
        <w:rPr>
          <w:rFonts w:ascii="仿宋" w:hAnsi="仿宋" w:eastAsia="仿宋" w:cs="仿宋"/>
          <w:color w:val="auto"/>
          <w:sz w:val="44"/>
          <w:szCs w:val="44"/>
          <w:highlight w:val="none"/>
        </w:rPr>
      </w:pPr>
    </w:p>
    <w:p w14:paraId="1B9A8C20">
      <w:pPr>
        <w:spacing w:line="500" w:lineRule="exact"/>
        <w:jc w:val="center"/>
        <w:rPr>
          <w:rFonts w:ascii="仿宋_GB2312" w:hAnsi="仿宋_GB2312" w:eastAsia="仿宋_GB2312" w:cs="仿宋_GB2312"/>
          <w:color w:val="auto"/>
          <w:sz w:val="32"/>
          <w:szCs w:val="32"/>
          <w:highlight w:val="none"/>
        </w:rPr>
      </w:pPr>
    </w:p>
    <w:p w14:paraId="30094663">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本授权委托书声明：根据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（联合体其他成员名称）签订的《联合体竞标协议书》的内容，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（牵头人名称）的法定代表人</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（姓名）</w:t>
      </w:r>
      <w:r>
        <w:rPr>
          <w:rFonts w:hint="eastAsia" w:ascii="宋体" w:hAnsi="宋体" w:cs="宋体"/>
          <w:color w:val="auto"/>
          <w:sz w:val="24"/>
          <w:highlight w:val="none"/>
        </w:rPr>
        <w:t>现授权</w:t>
      </w:r>
      <w:r>
        <w:rPr>
          <w:rFonts w:hint="eastAsia" w:ascii="宋体" w:hAnsi="宋体" w:cs="宋体"/>
          <w:color w:val="auto"/>
          <w:sz w:val="24"/>
          <w:highlight w:val="none"/>
          <w:u w:val="single"/>
        </w:rPr>
        <w:t xml:space="preserve">     </w:t>
      </w:r>
      <w:r>
        <w:rPr>
          <w:rFonts w:hint="eastAsia" w:ascii="宋体" w:hAnsi="宋体" w:cs="宋体"/>
          <w:i/>
          <w:iCs/>
          <w:color w:val="auto"/>
          <w:sz w:val="24"/>
          <w:highlight w:val="none"/>
          <w:u w:val="single"/>
        </w:rPr>
        <w:t xml:space="preserve"> （姓名）</w:t>
      </w:r>
      <w:r>
        <w:rPr>
          <w:rFonts w:hint="eastAsia" w:ascii="宋体" w:hAnsi="宋体" w:cs="宋体"/>
          <w:color w:val="auto"/>
          <w:sz w:val="24"/>
          <w:highlight w:val="none"/>
        </w:rPr>
        <w:t>为联合委托代理人，并代表我方全权办理针对上述项目的所有采购程序和环节的具体事务和签署相关文件。</w:t>
      </w:r>
    </w:p>
    <w:p w14:paraId="424DFFF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我方对委托代理人的签字事项负全部责任。</w:t>
      </w:r>
    </w:p>
    <w:p w14:paraId="5AE462A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本授权书自签署之日起生效，在撤销授权的书面通知以前，本授权书一直有效。委托代理人在授权书有效期内签署的所有文件不因授权的撤销而失效。</w:t>
      </w:r>
    </w:p>
    <w:p w14:paraId="1B1AC0D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委托代理人无转委托权，特此委托。</w:t>
      </w:r>
    </w:p>
    <w:p w14:paraId="35BF01D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2DCECE05">
      <w:pPr>
        <w:spacing w:line="360" w:lineRule="auto"/>
        <w:ind w:firstLine="1560" w:firstLineChars="650"/>
        <w:rPr>
          <w:rFonts w:ascii="宋体" w:hAnsi="宋体" w:cs="宋体"/>
          <w:color w:val="auto"/>
          <w:sz w:val="24"/>
          <w:highlight w:val="none"/>
        </w:rPr>
      </w:pPr>
      <w:r>
        <w:rPr>
          <w:rFonts w:hint="eastAsia" w:ascii="宋体" w:hAnsi="宋体" w:cs="宋体"/>
          <w:color w:val="auto"/>
          <w:sz w:val="24"/>
          <w:highlight w:val="none"/>
        </w:rPr>
        <w:t>牵头人法定代表人（签字）：</w:t>
      </w:r>
    </w:p>
    <w:p w14:paraId="5A08BD42">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牵头人名称（盖公章）：</w:t>
      </w:r>
    </w:p>
    <w:p w14:paraId="18E94E52">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04F91E4E">
      <w:pPr>
        <w:spacing w:line="360" w:lineRule="auto"/>
        <w:rPr>
          <w:rFonts w:ascii="宋体" w:hAnsi="宋体" w:cs="宋体"/>
          <w:color w:val="auto"/>
          <w:sz w:val="24"/>
          <w:highlight w:val="none"/>
        </w:rPr>
      </w:pPr>
    </w:p>
    <w:p w14:paraId="367B7208">
      <w:pPr>
        <w:spacing w:line="360" w:lineRule="auto"/>
        <w:ind w:firstLine="3120" w:firstLineChars="1300"/>
        <w:rPr>
          <w:rFonts w:ascii="宋体" w:hAnsi="宋体" w:cs="宋体"/>
          <w:color w:val="auto"/>
          <w:sz w:val="24"/>
          <w:highlight w:val="none"/>
        </w:rPr>
      </w:pPr>
      <w:r>
        <w:rPr>
          <w:rFonts w:hint="eastAsia" w:ascii="宋体" w:hAnsi="宋体" w:cs="宋体"/>
          <w:color w:val="auto"/>
          <w:sz w:val="24"/>
          <w:highlight w:val="none"/>
        </w:rPr>
        <w:t>委托代理人（签字）：</w:t>
      </w:r>
    </w:p>
    <w:p w14:paraId="2B09580E">
      <w:pPr>
        <w:spacing w:line="360" w:lineRule="auto"/>
        <w:ind w:firstLine="3840" w:firstLineChars="1600"/>
        <w:rPr>
          <w:rFonts w:ascii="宋体" w:hAnsi="宋体" w:cs="宋体"/>
          <w:color w:val="auto"/>
          <w:sz w:val="24"/>
          <w:highlight w:val="none"/>
        </w:rPr>
      </w:pPr>
      <w:r>
        <w:rPr>
          <w:rFonts w:hint="eastAsia" w:ascii="宋体" w:hAnsi="宋体" w:cs="宋体"/>
          <w:color w:val="auto"/>
          <w:sz w:val="24"/>
          <w:highlight w:val="none"/>
        </w:rPr>
        <w:t>日期：    年   月   日</w:t>
      </w:r>
    </w:p>
    <w:p w14:paraId="7829CB52">
      <w:pPr>
        <w:spacing w:line="360" w:lineRule="auto"/>
        <w:rPr>
          <w:rFonts w:ascii="宋体" w:hAnsi="宋体" w:cs="宋体"/>
          <w:color w:val="auto"/>
          <w:sz w:val="24"/>
          <w:highlight w:val="none"/>
        </w:rPr>
      </w:pPr>
    </w:p>
    <w:p w14:paraId="44BF1ABC">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注：</w:t>
      </w:r>
    </w:p>
    <w:p w14:paraId="7F4C49CD">
      <w:pPr>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1. 法定代表人和委托代理人必须在授权委托书上签字，</w:t>
      </w:r>
      <w:r>
        <w:rPr>
          <w:rFonts w:hint="eastAsia" w:ascii="宋体" w:hAnsi="宋体" w:cs="宋体"/>
          <w:b/>
          <w:color w:val="auto"/>
          <w:szCs w:val="21"/>
          <w:highlight w:val="none"/>
        </w:rPr>
        <w:t>否则其响应文件按无效响应处理。</w:t>
      </w:r>
    </w:p>
    <w:p w14:paraId="32903439">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2.本授权委托书应由联合体牵头人的法定代表人按上述规定签署。</w:t>
      </w:r>
    </w:p>
    <w:p w14:paraId="12FC1EFF">
      <w:pPr>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3.供应商为其他组织或者自然人时，本磋商文件规定的法定代表人指负责人或者自然人。本磋商文件所称负责人是指参加竞标的其他组织营业执照上的负责人，本磋商文件所称自然人指参与竞标的自然人本人。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4C3D32A7">
      <w:pPr>
        <w:spacing w:line="360" w:lineRule="auto"/>
        <w:ind w:firstLine="420" w:firstLineChars="200"/>
        <w:jc w:val="left"/>
        <w:rPr>
          <w:rFonts w:ascii="宋体" w:hAnsi="宋体" w:cs="宋体"/>
          <w:color w:val="auto"/>
          <w:sz w:val="24"/>
          <w:highlight w:val="none"/>
        </w:rPr>
      </w:pPr>
      <w:r>
        <w:rPr>
          <w:rFonts w:hint="eastAsia" w:ascii="宋体" w:hAnsi="宋体" w:cs="宋体"/>
          <w:color w:val="auto"/>
          <w:szCs w:val="21"/>
          <w:highlight w:val="none"/>
        </w:rPr>
        <w:t>4.法人、其他组织竞标时“我方”是指“我单位”，自然人竞标时“我方”是指“本人”。</w:t>
      </w:r>
    </w:p>
    <w:p w14:paraId="4E506EB0">
      <w:pPr>
        <w:spacing w:line="360" w:lineRule="auto"/>
        <w:ind w:firstLine="420" w:firstLineChars="200"/>
        <w:jc w:val="left"/>
        <w:rPr>
          <w:rFonts w:ascii="仿宋_GB2312" w:hAnsi="仿宋_GB2312" w:eastAsia="仿宋_GB2312" w:cs="仿宋_GB2312"/>
          <w:color w:val="auto"/>
          <w:szCs w:val="21"/>
          <w:highlight w:val="none"/>
        </w:rPr>
      </w:pPr>
    </w:p>
    <w:p w14:paraId="75B12BE5">
      <w:pPr>
        <w:widowControl/>
        <w:shd w:val="clear" w:color="auto" w:fill="FFFFFF"/>
        <w:spacing w:line="480" w:lineRule="atLeast"/>
        <w:rPr>
          <w:rFonts w:ascii="宋体" w:hAnsi="宋体" w:cs="宋体"/>
          <w:color w:val="auto"/>
          <w:sz w:val="24"/>
          <w:highlight w:val="none"/>
        </w:rPr>
      </w:pPr>
      <w:r>
        <w:rPr>
          <w:rFonts w:hint="eastAsia" w:ascii="仿宋_GB2312" w:hAnsi="仿宋_GB2312" w:eastAsia="仿宋_GB2312" w:cs="仿宋_GB2312"/>
          <w:color w:val="auto"/>
          <w:sz w:val="32"/>
          <w:szCs w:val="32"/>
          <w:highlight w:val="none"/>
        </w:rPr>
        <w:br w:type="page"/>
      </w:r>
      <w:r>
        <w:rPr>
          <w:rFonts w:hint="eastAsia" w:hAnsi="宋体" w:cs="宋体"/>
          <w:b/>
          <w:color w:val="auto"/>
          <w:sz w:val="28"/>
          <w:szCs w:val="28"/>
          <w:highlight w:val="none"/>
        </w:rPr>
        <w:t xml:space="preserve">5、供应商认为有必要提供的其他文件 </w:t>
      </w:r>
    </w:p>
    <w:p w14:paraId="72C0B3CF">
      <w:pPr>
        <w:shd w:val="clear" w:color="auto" w:fill="FFFFFF"/>
        <w:spacing w:line="520" w:lineRule="exact"/>
        <w:jc w:val="center"/>
        <w:rPr>
          <w:color w:val="auto"/>
          <w:sz w:val="24"/>
          <w:highlight w:val="none"/>
        </w:rPr>
      </w:pPr>
    </w:p>
    <w:p w14:paraId="47F1397D">
      <w:pPr>
        <w:spacing w:line="520" w:lineRule="exact"/>
        <w:jc w:val="center"/>
        <w:rPr>
          <w:color w:val="auto"/>
          <w:sz w:val="24"/>
          <w:highlight w:val="none"/>
        </w:rPr>
      </w:pPr>
    </w:p>
    <w:p w14:paraId="628E261C">
      <w:pPr>
        <w:spacing w:line="520" w:lineRule="exact"/>
        <w:jc w:val="left"/>
        <w:rPr>
          <w:rFonts w:ascii="仿宋_GB2312" w:hAnsi="仿宋_GB2312" w:eastAsia="仿宋_GB2312" w:cs="仿宋_GB2312"/>
          <w:color w:val="auto"/>
          <w:sz w:val="32"/>
          <w:szCs w:val="32"/>
          <w:highlight w:val="none"/>
        </w:rPr>
      </w:pPr>
    </w:p>
    <w:p w14:paraId="05864E2F">
      <w:pPr>
        <w:spacing w:line="520" w:lineRule="exact"/>
        <w:jc w:val="left"/>
        <w:rPr>
          <w:rFonts w:ascii="仿宋" w:hAnsi="仿宋" w:eastAsia="仿宋" w:cs="仿宋_GB2312"/>
          <w:b/>
          <w:color w:val="auto"/>
          <w:sz w:val="30"/>
          <w:szCs w:val="30"/>
          <w:highlight w:val="none"/>
        </w:rPr>
      </w:pPr>
      <w:r>
        <w:rPr>
          <w:rFonts w:hint="eastAsia" w:ascii="仿宋_GB2312" w:hAnsi="仿宋_GB2312" w:eastAsia="仿宋_GB2312" w:cs="仿宋_GB2312"/>
          <w:color w:val="auto"/>
          <w:sz w:val="32"/>
          <w:szCs w:val="32"/>
          <w:highlight w:val="none"/>
        </w:rPr>
        <w:br w:type="page"/>
      </w:r>
      <w:r>
        <w:rPr>
          <w:rFonts w:hint="eastAsia" w:ascii="宋体" w:hAnsi="宋体" w:cs="宋体"/>
          <w:b/>
          <w:color w:val="auto"/>
          <w:sz w:val="28"/>
          <w:szCs w:val="28"/>
          <w:highlight w:val="none"/>
        </w:rPr>
        <w:t>6.商务条款偏离表的格式：</w:t>
      </w:r>
    </w:p>
    <w:p w14:paraId="11D56290">
      <w:pPr>
        <w:pStyle w:val="23"/>
        <w:rPr>
          <w:color w:val="auto"/>
          <w:highlight w:val="none"/>
        </w:rPr>
      </w:pPr>
    </w:p>
    <w:p w14:paraId="1D052559">
      <w:pPr>
        <w:spacing w:line="500" w:lineRule="exact"/>
        <w:jc w:val="center"/>
        <w:rPr>
          <w:rFonts w:ascii="宋体" w:hAnsi="宋体" w:cs="宋体"/>
          <w:bCs/>
          <w:color w:val="auto"/>
          <w:sz w:val="44"/>
          <w:szCs w:val="44"/>
          <w:highlight w:val="none"/>
        </w:rPr>
      </w:pPr>
      <w:r>
        <w:rPr>
          <w:rFonts w:hint="eastAsia" w:ascii="宋体" w:hAnsi="宋体" w:cs="宋体"/>
          <w:bCs/>
          <w:color w:val="auto"/>
          <w:sz w:val="44"/>
          <w:szCs w:val="44"/>
          <w:highlight w:val="none"/>
        </w:rPr>
        <w:t>商务条款偏离表</w:t>
      </w:r>
    </w:p>
    <w:p w14:paraId="770F4FC7">
      <w:pPr>
        <w:spacing w:line="520" w:lineRule="exact"/>
        <w:rPr>
          <w:rFonts w:ascii="宋体" w:hAnsi="宋体" w:cs="宋体"/>
          <w:color w:val="auto"/>
          <w:sz w:val="32"/>
          <w:szCs w:val="32"/>
          <w:highlight w:val="none"/>
        </w:rPr>
      </w:pPr>
    </w:p>
    <w:p w14:paraId="70D29963">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092B98C0">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76150F0D">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pPr w:leftFromText="180" w:rightFromText="180" w:vertAnchor="text" w:horzAnchor="margin" w:tblpXSpec="center" w:tblpY="94"/>
        <w:tblW w:w="94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1"/>
        <w:gridCol w:w="3926"/>
        <w:gridCol w:w="3589"/>
        <w:gridCol w:w="1274"/>
      </w:tblGrid>
      <w:tr w14:paraId="165D9E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691" w:type="dxa"/>
            <w:tcBorders>
              <w:top w:val="single" w:color="auto" w:sz="4" w:space="0"/>
              <w:left w:val="single" w:color="auto" w:sz="4" w:space="0"/>
              <w:bottom w:val="single" w:color="auto" w:sz="4" w:space="0"/>
              <w:right w:val="single" w:color="auto" w:sz="4" w:space="0"/>
            </w:tcBorders>
            <w:vAlign w:val="center"/>
          </w:tcPr>
          <w:p w14:paraId="3E7C319D">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项号</w:t>
            </w:r>
          </w:p>
        </w:tc>
        <w:tc>
          <w:tcPr>
            <w:tcW w:w="3926" w:type="dxa"/>
            <w:tcBorders>
              <w:top w:val="single" w:color="auto" w:sz="4" w:space="0"/>
              <w:left w:val="single" w:color="auto" w:sz="4" w:space="0"/>
              <w:bottom w:val="single" w:color="auto" w:sz="4" w:space="0"/>
              <w:right w:val="single" w:color="auto" w:sz="4" w:space="0"/>
            </w:tcBorders>
            <w:vAlign w:val="center"/>
          </w:tcPr>
          <w:p w14:paraId="2FE76831">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竞争性磋商文件的商务条款</w:t>
            </w:r>
          </w:p>
        </w:tc>
        <w:tc>
          <w:tcPr>
            <w:tcW w:w="3589" w:type="dxa"/>
            <w:tcBorders>
              <w:top w:val="single" w:color="auto" w:sz="4" w:space="0"/>
              <w:left w:val="single" w:color="auto" w:sz="4" w:space="0"/>
              <w:bottom w:val="single" w:color="auto" w:sz="4" w:space="0"/>
              <w:right w:val="single" w:color="auto" w:sz="4" w:space="0"/>
            </w:tcBorders>
            <w:vAlign w:val="center"/>
          </w:tcPr>
          <w:p w14:paraId="72FBFD6B">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响应文件响应的商务条款</w:t>
            </w:r>
          </w:p>
        </w:tc>
        <w:tc>
          <w:tcPr>
            <w:tcW w:w="1274" w:type="dxa"/>
            <w:tcBorders>
              <w:top w:val="single" w:color="auto" w:sz="4" w:space="0"/>
              <w:left w:val="single" w:color="auto" w:sz="4" w:space="0"/>
              <w:bottom w:val="single" w:color="auto" w:sz="4" w:space="0"/>
              <w:right w:val="single" w:color="auto" w:sz="4" w:space="0"/>
            </w:tcBorders>
            <w:vAlign w:val="center"/>
          </w:tcPr>
          <w:p w14:paraId="20EA626E">
            <w:pPr>
              <w:spacing w:line="340" w:lineRule="exact"/>
              <w:jc w:val="center"/>
              <w:rPr>
                <w:rFonts w:ascii="宋体" w:hAnsi="宋体" w:cs="宋体"/>
                <w:color w:val="auto"/>
                <w:szCs w:val="21"/>
                <w:highlight w:val="none"/>
              </w:rPr>
            </w:pPr>
            <w:r>
              <w:rPr>
                <w:rFonts w:hint="eastAsia" w:ascii="宋体" w:hAnsi="宋体" w:cs="宋体"/>
                <w:color w:val="auto"/>
                <w:szCs w:val="21"/>
                <w:highlight w:val="none"/>
              </w:rPr>
              <w:t>偏离说明</w:t>
            </w:r>
          </w:p>
        </w:tc>
      </w:tr>
      <w:tr w14:paraId="219AE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1877FBE0">
            <w:pPr>
              <w:spacing w:line="340" w:lineRule="exact"/>
              <w:rPr>
                <w:rFonts w:ascii="宋体" w:hAnsi="宋体" w:cs="宋体"/>
                <w:color w:val="auto"/>
                <w:szCs w:val="21"/>
                <w:highlight w:val="none"/>
              </w:rPr>
            </w:pPr>
            <w:r>
              <w:rPr>
                <w:rFonts w:hint="eastAsia" w:ascii="宋体" w:hAnsi="宋体" w:cs="宋体"/>
                <w:color w:val="auto"/>
                <w:szCs w:val="21"/>
                <w:highlight w:val="none"/>
              </w:rPr>
              <w:t>一</w:t>
            </w:r>
          </w:p>
        </w:tc>
        <w:tc>
          <w:tcPr>
            <w:tcW w:w="3926" w:type="dxa"/>
            <w:tcBorders>
              <w:top w:val="single" w:color="auto" w:sz="4" w:space="0"/>
              <w:left w:val="single" w:color="auto" w:sz="4" w:space="0"/>
              <w:bottom w:val="single" w:color="auto" w:sz="4" w:space="0"/>
              <w:right w:val="single" w:color="auto" w:sz="4" w:space="0"/>
            </w:tcBorders>
          </w:tcPr>
          <w:p w14:paraId="5956B2A9">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69C220A7">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5279F033">
            <w:pPr>
              <w:spacing w:line="300" w:lineRule="exact"/>
              <w:rPr>
                <w:rFonts w:ascii="宋体" w:hAnsi="宋体" w:cs="宋体"/>
                <w:color w:val="auto"/>
                <w:szCs w:val="21"/>
                <w:highlight w:val="none"/>
              </w:rPr>
            </w:pPr>
          </w:p>
        </w:tc>
      </w:tr>
      <w:tr w14:paraId="2173DE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0" w:hRule="atLeast"/>
        </w:trPr>
        <w:tc>
          <w:tcPr>
            <w:tcW w:w="691" w:type="dxa"/>
            <w:tcBorders>
              <w:top w:val="single" w:color="auto" w:sz="4" w:space="0"/>
              <w:left w:val="single" w:color="auto" w:sz="4" w:space="0"/>
              <w:bottom w:val="single" w:color="auto" w:sz="4" w:space="0"/>
              <w:right w:val="single" w:color="auto" w:sz="4" w:space="0"/>
            </w:tcBorders>
          </w:tcPr>
          <w:p w14:paraId="07CF0D56">
            <w:pPr>
              <w:spacing w:line="340" w:lineRule="exact"/>
              <w:rPr>
                <w:rFonts w:ascii="宋体" w:hAnsi="宋体" w:cs="宋体"/>
                <w:color w:val="auto"/>
                <w:szCs w:val="21"/>
                <w:highlight w:val="none"/>
              </w:rPr>
            </w:pPr>
            <w:r>
              <w:rPr>
                <w:rFonts w:hint="eastAsia" w:ascii="宋体" w:hAnsi="宋体" w:cs="宋体"/>
                <w:color w:val="auto"/>
                <w:szCs w:val="21"/>
                <w:highlight w:val="none"/>
              </w:rPr>
              <w:t>二</w:t>
            </w:r>
          </w:p>
        </w:tc>
        <w:tc>
          <w:tcPr>
            <w:tcW w:w="3926" w:type="dxa"/>
            <w:tcBorders>
              <w:top w:val="single" w:color="auto" w:sz="4" w:space="0"/>
              <w:left w:val="single" w:color="auto" w:sz="4" w:space="0"/>
              <w:bottom w:val="single" w:color="auto" w:sz="4" w:space="0"/>
              <w:right w:val="single" w:color="auto" w:sz="4" w:space="0"/>
            </w:tcBorders>
          </w:tcPr>
          <w:p w14:paraId="2532665A">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6EA15B82">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3C61DB76">
            <w:pPr>
              <w:spacing w:line="300" w:lineRule="exact"/>
              <w:rPr>
                <w:rFonts w:ascii="宋体" w:hAnsi="宋体" w:cs="宋体"/>
                <w:color w:val="auto"/>
                <w:szCs w:val="21"/>
                <w:highlight w:val="none"/>
              </w:rPr>
            </w:pPr>
          </w:p>
        </w:tc>
      </w:tr>
      <w:tr w14:paraId="339705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9" w:hRule="atLeast"/>
        </w:trPr>
        <w:tc>
          <w:tcPr>
            <w:tcW w:w="691" w:type="dxa"/>
            <w:tcBorders>
              <w:top w:val="single" w:color="auto" w:sz="4" w:space="0"/>
              <w:left w:val="single" w:color="auto" w:sz="4" w:space="0"/>
              <w:bottom w:val="single" w:color="auto" w:sz="4" w:space="0"/>
              <w:right w:val="single" w:color="auto" w:sz="4" w:space="0"/>
            </w:tcBorders>
          </w:tcPr>
          <w:p w14:paraId="4934C20B">
            <w:pPr>
              <w:spacing w:line="340" w:lineRule="exact"/>
              <w:rPr>
                <w:rFonts w:ascii="宋体" w:hAnsi="宋体" w:cs="宋体"/>
                <w:color w:val="auto"/>
                <w:szCs w:val="21"/>
                <w:highlight w:val="none"/>
              </w:rPr>
            </w:pPr>
            <w:r>
              <w:rPr>
                <w:rFonts w:hint="eastAsia" w:ascii="宋体" w:hAnsi="宋体" w:cs="宋体"/>
                <w:color w:val="auto"/>
                <w:szCs w:val="21"/>
                <w:highlight w:val="none"/>
              </w:rPr>
              <w:t>...</w:t>
            </w:r>
          </w:p>
        </w:tc>
        <w:tc>
          <w:tcPr>
            <w:tcW w:w="3926" w:type="dxa"/>
            <w:tcBorders>
              <w:top w:val="single" w:color="auto" w:sz="4" w:space="0"/>
              <w:left w:val="single" w:color="auto" w:sz="4" w:space="0"/>
              <w:bottom w:val="single" w:color="auto" w:sz="4" w:space="0"/>
              <w:right w:val="single" w:color="auto" w:sz="4" w:space="0"/>
            </w:tcBorders>
          </w:tcPr>
          <w:p w14:paraId="7E0AAE5C">
            <w:pPr>
              <w:spacing w:line="340" w:lineRule="exact"/>
              <w:rPr>
                <w:rFonts w:ascii="宋体" w:hAnsi="宋体" w:cs="宋体"/>
                <w:color w:val="auto"/>
                <w:szCs w:val="21"/>
                <w:highlight w:val="none"/>
              </w:rPr>
            </w:pPr>
          </w:p>
        </w:tc>
        <w:tc>
          <w:tcPr>
            <w:tcW w:w="3589" w:type="dxa"/>
            <w:tcBorders>
              <w:top w:val="single" w:color="auto" w:sz="4" w:space="0"/>
              <w:left w:val="single" w:color="auto" w:sz="4" w:space="0"/>
              <w:bottom w:val="single" w:color="auto" w:sz="4" w:space="0"/>
              <w:right w:val="single" w:color="auto" w:sz="4" w:space="0"/>
            </w:tcBorders>
          </w:tcPr>
          <w:p w14:paraId="2D6B06FD">
            <w:pPr>
              <w:spacing w:line="340" w:lineRule="exact"/>
              <w:rPr>
                <w:rFonts w:ascii="宋体" w:hAnsi="宋体" w:cs="宋体"/>
                <w:color w:val="auto"/>
                <w:szCs w:val="21"/>
                <w:highlight w:val="none"/>
              </w:rPr>
            </w:pPr>
          </w:p>
        </w:tc>
        <w:tc>
          <w:tcPr>
            <w:tcW w:w="1274" w:type="dxa"/>
            <w:tcBorders>
              <w:top w:val="single" w:color="auto" w:sz="4" w:space="0"/>
              <w:left w:val="single" w:color="auto" w:sz="4" w:space="0"/>
              <w:bottom w:val="single" w:color="auto" w:sz="4" w:space="0"/>
              <w:right w:val="single" w:color="auto" w:sz="4" w:space="0"/>
            </w:tcBorders>
          </w:tcPr>
          <w:p w14:paraId="2B15A5F1">
            <w:pPr>
              <w:spacing w:line="300" w:lineRule="exact"/>
              <w:rPr>
                <w:rFonts w:ascii="宋体" w:hAnsi="宋体" w:cs="宋体"/>
                <w:color w:val="auto"/>
                <w:szCs w:val="21"/>
                <w:highlight w:val="none"/>
              </w:rPr>
            </w:pPr>
          </w:p>
        </w:tc>
      </w:tr>
    </w:tbl>
    <w:p w14:paraId="02957445">
      <w:pPr>
        <w:pStyle w:val="16"/>
        <w:spacing w:line="400" w:lineRule="exact"/>
        <w:ind w:firstLine="0" w:firstLineChars="0"/>
        <w:contextualSpacing/>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注：</w:t>
      </w:r>
    </w:p>
    <w:p w14:paraId="68FCEAE2">
      <w:pPr>
        <w:spacing w:line="40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▲1.必须对磋商文件“第二章 采购需求”中的商务条款的全部条款，详细填写响应的具体内容，并作出偏离说明。“偏离说明”一栏应当选择“正偏离”或“负偏离”或“无偏离”进行填写。</w:t>
      </w:r>
    </w:p>
    <w:p w14:paraId="16F1D74A">
      <w:pPr>
        <w:spacing w:line="400" w:lineRule="exact"/>
        <w:ind w:firstLine="480" w:firstLineChars="200"/>
        <w:rPr>
          <w:rFonts w:ascii="宋体" w:hAnsi="宋体" w:cs="宋体"/>
          <w:color w:val="auto"/>
          <w:kern w:val="0"/>
          <w:sz w:val="24"/>
          <w:highlight w:val="none"/>
        </w:rPr>
      </w:pPr>
      <w:r>
        <w:rPr>
          <w:rFonts w:hint="eastAsia" w:ascii="宋体" w:hAnsi="宋体" w:eastAsia="宋体" w:cs="宋体"/>
          <w:color w:val="auto"/>
          <w:sz w:val="24"/>
          <w:szCs w:val="24"/>
          <w:highlight w:val="none"/>
        </w:rPr>
        <w:t>2.表格内容均需按要求填写并加盖供应商公章，不得留空，</w:t>
      </w:r>
      <w:r>
        <w:rPr>
          <w:rFonts w:hint="eastAsia" w:ascii="宋体" w:hAnsi="宋体" w:eastAsia="宋体" w:cs="宋体"/>
          <w:b/>
          <w:bCs/>
          <w:color w:val="auto"/>
          <w:sz w:val="24"/>
          <w:szCs w:val="24"/>
          <w:highlight w:val="none"/>
        </w:rPr>
        <w:t>否则按响应无效处理</w:t>
      </w:r>
      <w:r>
        <w:rPr>
          <w:rFonts w:hint="eastAsia" w:ascii="宋体" w:hAnsi="宋体" w:eastAsia="宋体" w:cs="宋体"/>
          <w:color w:val="auto"/>
          <w:sz w:val="24"/>
          <w:szCs w:val="24"/>
          <w:highlight w:val="none"/>
        </w:rPr>
        <w:t>。</w:t>
      </w:r>
    </w:p>
    <w:p w14:paraId="47F7AD1E">
      <w:pPr>
        <w:spacing w:line="400" w:lineRule="exact"/>
        <w:ind w:firstLine="480" w:firstLineChars="200"/>
        <w:contextualSpacing/>
        <w:rPr>
          <w:rFonts w:ascii="宋体" w:hAnsi="宋体" w:cs="宋体"/>
          <w:color w:val="auto"/>
          <w:kern w:val="0"/>
          <w:sz w:val="24"/>
          <w:highlight w:val="none"/>
        </w:rPr>
      </w:pPr>
    </w:p>
    <w:p w14:paraId="56C13A78">
      <w:pPr>
        <w:spacing w:line="360" w:lineRule="auto"/>
        <w:ind w:firstLine="3840" w:firstLineChars="1600"/>
        <w:rPr>
          <w:rFonts w:ascii="宋体" w:hAnsi="宋体" w:cs="宋体"/>
          <w:color w:val="auto"/>
          <w:sz w:val="24"/>
          <w:highlight w:val="none"/>
        </w:rPr>
      </w:pPr>
      <w:r>
        <w:rPr>
          <w:rFonts w:hint="eastAsia" w:ascii="宋体" w:hAnsi="宋体" w:cs="宋体"/>
          <w:color w:val="auto"/>
          <w:kern w:val="0"/>
          <w:sz w:val="24"/>
          <w:highlight w:val="none"/>
        </w:rPr>
        <w:t>供应商名称（盖公章）：</w:t>
      </w:r>
    </w:p>
    <w:p w14:paraId="6C04E22A">
      <w:pPr>
        <w:spacing w:line="360" w:lineRule="auto"/>
        <w:contextualSpacing/>
        <w:jc w:val="center"/>
        <w:rPr>
          <w:rFonts w:ascii="宋体" w:hAnsi="宋体" w:cs="宋体"/>
          <w:b/>
          <w:color w:val="auto"/>
          <w:sz w:val="24"/>
          <w:highlight w:val="none"/>
        </w:rPr>
      </w:pPr>
      <w:r>
        <w:rPr>
          <w:rFonts w:hint="eastAsia" w:ascii="宋体" w:hAnsi="宋体" w:cs="宋体"/>
          <w:color w:val="auto"/>
          <w:kern w:val="0"/>
          <w:sz w:val="24"/>
          <w:highlight w:val="none"/>
          <w:lang w:val="zh-CN"/>
        </w:rPr>
        <w:t xml:space="preserve">                                                   日期：  年  月   日</w:t>
      </w:r>
    </w:p>
    <w:p w14:paraId="2E9BCCDF">
      <w:pPr>
        <w:rPr>
          <w:rFonts w:hint="eastAsia" w:ascii="宋体" w:hAnsi="宋体" w:cs="宋体"/>
          <w:b/>
          <w:color w:val="auto"/>
          <w:sz w:val="28"/>
          <w:szCs w:val="28"/>
          <w:highlight w:val="none"/>
        </w:rPr>
      </w:pPr>
      <w:r>
        <w:rPr>
          <w:rFonts w:hint="eastAsia" w:ascii="宋体" w:hAnsi="宋体" w:cs="宋体"/>
          <w:b/>
          <w:color w:val="auto"/>
          <w:sz w:val="28"/>
          <w:szCs w:val="28"/>
          <w:highlight w:val="none"/>
        </w:rPr>
        <w:br w:type="page"/>
      </w:r>
    </w:p>
    <w:p w14:paraId="5814B758">
      <w:pPr>
        <w:pStyle w:val="26"/>
        <w:snapToGrid w:val="0"/>
        <w:ind w:left="562" w:hanging="562"/>
        <w:rPr>
          <w:rFonts w:ascii="宋体" w:hAnsi="宋体" w:cs="宋体"/>
          <w:i/>
          <w:iCs/>
          <w:color w:val="auto"/>
          <w:sz w:val="24"/>
          <w:highlight w:val="none"/>
        </w:rPr>
      </w:pPr>
      <w:r>
        <w:rPr>
          <w:rFonts w:hint="eastAsia" w:ascii="宋体" w:hAnsi="宋体" w:cs="宋体"/>
          <w:b/>
          <w:color w:val="auto"/>
          <w:sz w:val="28"/>
          <w:szCs w:val="28"/>
          <w:highlight w:val="none"/>
        </w:rPr>
        <w:t>7.供应商类似的业绩证明文件</w:t>
      </w:r>
      <w:r>
        <w:rPr>
          <w:rFonts w:hint="eastAsia" w:ascii="宋体" w:hAnsi="宋体" w:cs="宋体"/>
          <w:b/>
          <w:bCs/>
          <w:color w:val="auto"/>
          <w:sz w:val="30"/>
          <w:szCs w:val="30"/>
          <w:highlight w:val="none"/>
        </w:rPr>
        <w:t>（如有要求）：</w:t>
      </w:r>
    </w:p>
    <w:p w14:paraId="223F0CFB">
      <w:pPr>
        <w:spacing w:line="360" w:lineRule="auto"/>
        <w:ind w:firstLine="2880" w:firstLineChars="900"/>
        <w:contextualSpacing/>
        <w:rPr>
          <w:rFonts w:ascii="宋体" w:hAnsi="宋体" w:cs="宋体"/>
          <w:color w:val="auto"/>
          <w:sz w:val="32"/>
          <w:szCs w:val="32"/>
          <w:highlight w:val="none"/>
        </w:rPr>
      </w:pPr>
    </w:p>
    <w:p w14:paraId="5D113F00">
      <w:pPr>
        <w:spacing w:line="360" w:lineRule="auto"/>
        <w:ind w:firstLine="2880" w:firstLineChars="900"/>
        <w:contextualSpacing/>
        <w:rPr>
          <w:rFonts w:ascii="宋体" w:hAnsi="宋体" w:cs="宋体"/>
          <w:color w:val="auto"/>
          <w:sz w:val="32"/>
          <w:szCs w:val="32"/>
          <w:highlight w:val="none"/>
        </w:rPr>
      </w:pPr>
      <w:r>
        <w:rPr>
          <w:rFonts w:hint="eastAsia" w:ascii="宋体" w:hAnsi="宋体" w:cs="宋体"/>
          <w:color w:val="auto"/>
          <w:sz w:val="32"/>
          <w:szCs w:val="32"/>
          <w:highlight w:val="none"/>
        </w:rPr>
        <w:t>类似项目的业绩一览表</w:t>
      </w:r>
    </w:p>
    <w:p w14:paraId="20A094A9">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pPr w:leftFromText="180" w:rightFromText="180" w:vertAnchor="page" w:horzAnchor="page" w:tblpX="1008" w:tblpY="3639"/>
        <w:tblW w:w="1031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063"/>
        <w:gridCol w:w="2164"/>
        <w:gridCol w:w="1134"/>
        <w:gridCol w:w="1134"/>
        <w:gridCol w:w="1701"/>
        <w:gridCol w:w="1276"/>
        <w:gridCol w:w="1842"/>
      </w:tblGrid>
      <w:tr w14:paraId="587212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7" w:hRule="atLeast"/>
        </w:trPr>
        <w:tc>
          <w:tcPr>
            <w:tcW w:w="1063" w:type="dxa"/>
            <w:vMerge w:val="restart"/>
            <w:tcBorders>
              <w:top w:val="single" w:color="auto" w:sz="4" w:space="0"/>
              <w:left w:val="single" w:color="auto" w:sz="4" w:space="0"/>
              <w:bottom w:val="single" w:color="auto" w:sz="4" w:space="0"/>
              <w:right w:val="single" w:color="auto" w:sz="4" w:space="0"/>
            </w:tcBorders>
            <w:vAlign w:val="center"/>
          </w:tcPr>
          <w:p w14:paraId="71A950D7">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采购人名称</w:t>
            </w:r>
          </w:p>
        </w:tc>
        <w:tc>
          <w:tcPr>
            <w:tcW w:w="2164" w:type="dxa"/>
            <w:vMerge w:val="restart"/>
            <w:tcBorders>
              <w:top w:val="single" w:color="auto" w:sz="4" w:space="0"/>
              <w:left w:val="single" w:color="auto" w:sz="4" w:space="0"/>
              <w:bottom w:val="single" w:color="auto" w:sz="4" w:space="0"/>
              <w:right w:val="single" w:color="auto" w:sz="4" w:space="0"/>
            </w:tcBorders>
            <w:vAlign w:val="center"/>
          </w:tcPr>
          <w:p w14:paraId="4E7D1C95">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项目名称</w:t>
            </w:r>
          </w:p>
        </w:tc>
        <w:tc>
          <w:tcPr>
            <w:tcW w:w="1134" w:type="dxa"/>
            <w:vMerge w:val="restart"/>
            <w:tcBorders>
              <w:top w:val="single" w:color="auto" w:sz="4" w:space="0"/>
              <w:left w:val="single" w:color="auto" w:sz="4" w:space="0"/>
              <w:bottom w:val="single" w:color="auto" w:sz="4" w:space="0"/>
              <w:right w:val="single" w:color="auto" w:sz="4" w:space="0"/>
            </w:tcBorders>
            <w:vAlign w:val="center"/>
          </w:tcPr>
          <w:p w14:paraId="7717AD26">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w:t>
            </w:r>
          </w:p>
          <w:p w14:paraId="67588CA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金额</w:t>
            </w:r>
          </w:p>
          <w:p w14:paraId="1DC40E1A">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（万元）</w:t>
            </w:r>
          </w:p>
        </w:tc>
        <w:tc>
          <w:tcPr>
            <w:tcW w:w="4111" w:type="dxa"/>
            <w:gridSpan w:val="3"/>
            <w:tcBorders>
              <w:top w:val="single" w:color="auto" w:sz="4" w:space="0"/>
              <w:left w:val="single" w:color="auto" w:sz="4" w:space="0"/>
              <w:bottom w:val="single" w:color="auto" w:sz="4" w:space="0"/>
              <w:right w:val="single" w:color="auto" w:sz="4" w:space="0"/>
            </w:tcBorders>
            <w:vAlign w:val="center"/>
          </w:tcPr>
          <w:p w14:paraId="7F4AF9D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附件在响应文件中页码</w:t>
            </w:r>
          </w:p>
        </w:tc>
        <w:tc>
          <w:tcPr>
            <w:tcW w:w="1842" w:type="dxa"/>
            <w:vMerge w:val="restart"/>
            <w:tcBorders>
              <w:top w:val="single" w:color="auto" w:sz="4" w:space="0"/>
              <w:left w:val="single" w:color="auto" w:sz="4" w:space="0"/>
              <w:bottom w:val="single" w:color="auto" w:sz="4" w:space="0"/>
              <w:right w:val="single" w:color="auto" w:sz="4" w:space="0"/>
            </w:tcBorders>
            <w:vAlign w:val="center"/>
          </w:tcPr>
          <w:p w14:paraId="25A48F04">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采购人联系人及联系电话</w:t>
            </w:r>
          </w:p>
        </w:tc>
      </w:tr>
      <w:tr w14:paraId="064897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6" w:hRule="atLeast"/>
        </w:trPr>
        <w:tc>
          <w:tcPr>
            <w:tcW w:w="1063" w:type="dxa"/>
            <w:vMerge w:val="continue"/>
            <w:tcBorders>
              <w:top w:val="single" w:color="auto" w:sz="4" w:space="0"/>
              <w:left w:val="single" w:color="auto" w:sz="4" w:space="0"/>
              <w:bottom w:val="single" w:color="auto" w:sz="4" w:space="0"/>
              <w:right w:val="single" w:color="auto" w:sz="4" w:space="0"/>
            </w:tcBorders>
            <w:vAlign w:val="center"/>
          </w:tcPr>
          <w:p w14:paraId="0226F7F6">
            <w:pPr>
              <w:jc w:val="left"/>
              <w:rPr>
                <w:rFonts w:ascii="宋体" w:hAnsi="宋体" w:cs="宋体"/>
                <w:color w:val="auto"/>
                <w:sz w:val="24"/>
                <w:highlight w:val="none"/>
              </w:rPr>
            </w:pPr>
          </w:p>
        </w:tc>
        <w:tc>
          <w:tcPr>
            <w:tcW w:w="2164" w:type="dxa"/>
            <w:vMerge w:val="continue"/>
            <w:tcBorders>
              <w:top w:val="single" w:color="auto" w:sz="4" w:space="0"/>
              <w:left w:val="single" w:color="auto" w:sz="4" w:space="0"/>
              <w:bottom w:val="single" w:color="auto" w:sz="4" w:space="0"/>
              <w:right w:val="single" w:color="auto" w:sz="4" w:space="0"/>
            </w:tcBorders>
            <w:vAlign w:val="center"/>
          </w:tcPr>
          <w:p w14:paraId="4980EAF6">
            <w:pPr>
              <w:jc w:val="left"/>
              <w:rPr>
                <w:rFonts w:ascii="宋体" w:hAnsi="宋体" w:cs="宋体"/>
                <w:color w:val="auto"/>
                <w:sz w:val="24"/>
                <w:highlight w:val="none"/>
              </w:rPr>
            </w:pPr>
          </w:p>
        </w:tc>
        <w:tc>
          <w:tcPr>
            <w:tcW w:w="1134" w:type="dxa"/>
            <w:vMerge w:val="continue"/>
            <w:tcBorders>
              <w:top w:val="single" w:color="auto" w:sz="4" w:space="0"/>
              <w:left w:val="single" w:color="auto" w:sz="4" w:space="0"/>
              <w:bottom w:val="single" w:color="auto" w:sz="4" w:space="0"/>
              <w:right w:val="single" w:color="auto" w:sz="4" w:space="0"/>
            </w:tcBorders>
            <w:vAlign w:val="center"/>
          </w:tcPr>
          <w:p w14:paraId="26258A6E">
            <w:pPr>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vAlign w:val="center"/>
          </w:tcPr>
          <w:p w14:paraId="0DE37E88">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合同或</w:t>
            </w:r>
            <w:r>
              <w:rPr>
                <w:rFonts w:hint="eastAsia" w:ascii="宋体" w:hAnsi="宋体" w:cs="宋体"/>
                <w:color w:val="auto"/>
                <w:highlight w:val="none"/>
              </w:rPr>
              <w:t>中标（成交）通知书</w:t>
            </w:r>
          </w:p>
        </w:tc>
        <w:tc>
          <w:tcPr>
            <w:tcW w:w="1701" w:type="dxa"/>
            <w:tcBorders>
              <w:top w:val="single" w:color="auto" w:sz="4" w:space="0"/>
              <w:left w:val="single" w:color="auto" w:sz="4" w:space="0"/>
              <w:bottom w:val="single" w:color="auto" w:sz="4" w:space="0"/>
              <w:right w:val="single" w:color="auto" w:sz="4" w:space="0"/>
            </w:tcBorders>
            <w:vAlign w:val="center"/>
          </w:tcPr>
          <w:p w14:paraId="597FA21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验收报告</w:t>
            </w:r>
          </w:p>
        </w:tc>
        <w:tc>
          <w:tcPr>
            <w:tcW w:w="1276" w:type="dxa"/>
            <w:tcBorders>
              <w:top w:val="single" w:color="auto" w:sz="4" w:space="0"/>
              <w:left w:val="single" w:color="auto" w:sz="4" w:space="0"/>
              <w:bottom w:val="single" w:color="auto" w:sz="4" w:space="0"/>
              <w:right w:val="single" w:color="auto" w:sz="4" w:space="0"/>
            </w:tcBorders>
            <w:vAlign w:val="center"/>
          </w:tcPr>
          <w:p w14:paraId="5045CECD">
            <w:pPr>
              <w:snapToGrid w:val="0"/>
              <w:spacing w:line="240" w:lineRule="exact"/>
              <w:jc w:val="center"/>
              <w:rPr>
                <w:rFonts w:ascii="宋体" w:hAnsi="宋体" w:cs="宋体"/>
                <w:color w:val="auto"/>
                <w:sz w:val="24"/>
                <w:highlight w:val="none"/>
              </w:rPr>
            </w:pPr>
            <w:r>
              <w:rPr>
                <w:rFonts w:hint="eastAsia" w:ascii="宋体" w:hAnsi="宋体" w:cs="宋体"/>
                <w:color w:val="auto"/>
                <w:sz w:val="24"/>
                <w:highlight w:val="none"/>
              </w:rPr>
              <w:t>用户评价</w:t>
            </w:r>
          </w:p>
        </w:tc>
        <w:tc>
          <w:tcPr>
            <w:tcW w:w="1842" w:type="dxa"/>
            <w:vMerge w:val="continue"/>
            <w:tcBorders>
              <w:top w:val="single" w:color="auto" w:sz="4" w:space="0"/>
              <w:left w:val="single" w:color="auto" w:sz="4" w:space="0"/>
              <w:bottom w:val="single" w:color="auto" w:sz="4" w:space="0"/>
              <w:right w:val="single" w:color="auto" w:sz="4" w:space="0"/>
            </w:tcBorders>
            <w:vAlign w:val="center"/>
          </w:tcPr>
          <w:p w14:paraId="792FF0DD">
            <w:pPr>
              <w:jc w:val="left"/>
              <w:rPr>
                <w:rFonts w:ascii="宋体" w:hAnsi="宋体" w:cs="宋体"/>
                <w:color w:val="auto"/>
                <w:sz w:val="24"/>
                <w:highlight w:val="none"/>
              </w:rPr>
            </w:pPr>
          </w:p>
        </w:tc>
      </w:tr>
      <w:tr w14:paraId="21477B4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9" w:hRule="atLeast"/>
        </w:trPr>
        <w:tc>
          <w:tcPr>
            <w:tcW w:w="1063" w:type="dxa"/>
            <w:tcBorders>
              <w:top w:val="single" w:color="auto" w:sz="4" w:space="0"/>
              <w:left w:val="single" w:color="auto" w:sz="4" w:space="0"/>
              <w:bottom w:val="single" w:color="auto" w:sz="4" w:space="0"/>
              <w:right w:val="single" w:color="auto" w:sz="4" w:space="0"/>
            </w:tcBorders>
          </w:tcPr>
          <w:p w14:paraId="2AD1EFD6">
            <w:pPr>
              <w:snapToGrid w:val="0"/>
              <w:spacing w:line="24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7CFD7E4A">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784A484">
            <w:pPr>
              <w:snapToGrid w:val="0"/>
              <w:spacing w:line="24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60745B5">
            <w:pPr>
              <w:snapToGrid w:val="0"/>
              <w:spacing w:line="24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501EC91D">
            <w:pPr>
              <w:snapToGrid w:val="0"/>
              <w:spacing w:line="24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67F9E81">
            <w:pPr>
              <w:snapToGrid w:val="0"/>
              <w:spacing w:line="24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6BE2DFC1">
            <w:pPr>
              <w:snapToGrid w:val="0"/>
              <w:spacing w:line="240" w:lineRule="exact"/>
              <w:jc w:val="left"/>
              <w:rPr>
                <w:rFonts w:ascii="宋体" w:hAnsi="宋体" w:cs="宋体"/>
                <w:color w:val="auto"/>
                <w:sz w:val="24"/>
                <w:highlight w:val="none"/>
              </w:rPr>
            </w:pPr>
          </w:p>
        </w:tc>
      </w:tr>
      <w:tr w14:paraId="5932FFA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23BF6614">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7959A1F9">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26B7205">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087F4C80">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2BB6736A">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F251AD8">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11EA6A09">
            <w:pPr>
              <w:snapToGrid w:val="0"/>
              <w:spacing w:before="50" w:after="120" w:afterLines="50" w:line="400" w:lineRule="exact"/>
              <w:jc w:val="left"/>
              <w:rPr>
                <w:rFonts w:ascii="宋体" w:hAnsi="宋体" w:cs="宋体"/>
                <w:color w:val="auto"/>
                <w:sz w:val="24"/>
                <w:highlight w:val="none"/>
              </w:rPr>
            </w:pPr>
          </w:p>
        </w:tc>
      </w:tr>
      <w:tr w14:paraId="74F8D9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0" w:hRule="atLeast"/>
        </w:trPr>
        <w:tc>
          <w:tcPr>
            <w:tcW w:w="1063" w:type="dxa"/>
            <w:tcBorders>
              <w:top w:val="single" w:color="auto" w:sz="4" w:space="0"/>
              <w:left w:val="single" w:color="auto" w:sz="4" w:space="0"/>
              <w:bottom w:val="single" w:color="auto" w:sz="4" w:space="0"/>
              <w:right w:val="single" w:color="auto" w:sz="4" w:space="0"/>
            </w:tcBorders>
          </w:tcPr>
          <w:p w14:paraId="2D608B14">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4A540C2E">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E115976">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5E529423">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71BA8E47">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51DFE4E3">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37D6D361">
            <w:pPr>
              <w:snapToGrid w:val="0"/>
              <w:spacing w:before="50" w:after="120" w:afterLines="50" w:line="400" w:lineRule="exact"/>
              <w:jc w:val="left"/>
              <w:rPr>
                <w:rFonts w:ascii="宋体" w:hAnsi="宋体" w:cs="宋体"/>
                <w:color w:val="auto"/>
                <w:sz w:val="24"/>
                <w:highlight w:val="none"/>
              </w:rPr>
            </w:pPr>
          </w:p>
        </w:tc>
      </w:tr>
      <w:tr w14:paraId="398438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117C2942">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3F981F45">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185F529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51E23F5">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1251410E">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93B32AF">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5D84416F">
            <w:pPr>
              <w:snapToGrid w:val="0"/>
              <w:spacing w:before="50" w:after="120" w:afterLines="50" w:line="400" w:lineRule="exact"/>
              <w:jc w:val="left"/>
              <w:rPr>
                <w:rFonts w:ascii="宋体" w:hAnsi="宋体" w:cs="宋体"/>
                <w:color w:val="auto"/>
                <w:sz w:val="24"/>
                <w:highlight w:val="none"/>
              </w:rPr>
            </w:pPr>
          </w:p>
        </w:tc>
      </w:tr>
      <w:tr w14:paraId="0006C5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063" w:type="dxa"/>
            <w:tcBorders>
              <w:top w:val="single" w:color="auto" w:sz="4" w:space="0"/>
              <w:left w:val="single" w:color="auto" w:sz="4" w:space="0"/>
              <w:bottom w:val="single" w:color="auto" w:sz="4" w:space="0"/>
              <w:right w:val="single" w:color="auto" w:sz="4" w:space="0"/>
            </w:tcBorders>
          </w:tcPr>
          <w:p w14:paraId="5B80A6FA">
            <w:pPr>
              <w:snapToGrid w:val="0"/>
              <w:spacing w:before="50" w:after="120" w:afterLines="50" w:line="400" w:lineRule="exact"/>
              <w:jc w:val="left"/>
              <w:rPr>
                <w:rFonts w:ascii="宋体" w:hAnsi="宋体" w:cs="宋体"/>
                <w:color w:val="auto"/>
                <w:sz w:val="24"/>
                <w:highlight w:val="none"/>
              </w:rPr>
            </w:pPr>
          </w:p>
        </w:tc>
        <w:tc>
          <w:tcPr>
            <w:tcW w:w="2164" w:type="dxa"/>
            <w:tcBorders>
              <w:top w:val="single" w:color="auto" w:sz="4" w:space="0"/>
              <w:left w:val="single" w:color="auto" w:sz="4" w:space="0"/>
              <w:bottom w:val="single" w:color="auto" w:sz="4" w:space="0"/>
              <w:right w:val="single" w:color="auto" w:sz="4" w:space="0"/>
            </w:tcBorders>
          </w:tcPr>
          <w:p w14:paraId="3C90AA02">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39FDD3C7">
            <w:pPr>
              <w:snapToGrid w:val="0"/>
              <w:spacing w:before="50" w:after="120" w:afterLines="50" w:line="400" w:lineRule="exact"/>
              <w:jc w:val="left"/>
              <w:rPr>
                <w:rFonts w:ascii="宋体" w:hAnsi="宋体" w:cs="宋体"/>
                <w:color w:val="auto"/>
                <w:sz w:val="24"/>
                <w:highlight w:val="none"/>
              </w:rPr>
            </w:pPr>
          </w:p>
        </w:tc>
        <w:tc>
          <w:tcPr>
            <w:tcW w:w="1134" w:type="dxa"/>
            <w:tcBorders>
              <w:top w:val="single" w:color="auto" w:sz="4" w:space="0"/>
              <w:left w:val="single" w:color="auto" w:sz="4" w:space="0"/>
              <w:bottom w:val="single" w:color="auto" w:sz="4" w:space="0"/>
              <w:right w:val="single" w:color="auto" w:sz="4" w:space="0"/>
            </w:tcBorders>
          </w:tcPr>
          <w:p w14:paraId="285DA461">
            <w:pPr>
              <w:snapToGrid w:val="0"/>
              <w:spacing w:before="50" w:after="120" w:afterLines="50" w:line="400" w:lineRule="exact"/>
              <w:jc w:val="left"/>
              <w:rPr>
                <w:rFonts w:ascii="宋体" w:hAnsi="宋体" w:cs="宋体"/>
                <w:color w:val="auto"/>
                <w:sz w:val="24"/>
                <w:highlight w:val="none"/>
              </w:rPr>
            </w:pPr>
          </w:p>
        </w:tc>
        <w:tc>
          <w:tcPr>
            <w:tcW w:w="1701" w:type="dxa"/>
            <w:tcBorders>
              <w:top w:val="single" w:color="auto" w:sz="4" w:space="0"/>
              <w:left w:val="single" w:color="auto" w:sz="4" w:space="0"/>
              <w:bottom w:val="single" w:color="auto" w:sz="4" w:space="0"/>
              <w:right w:val="single" w:color="auto" w:sz="4" w:space="0"/>
            </w:tcBorders>
          </w:tcPr>
          <w:p w14:paraId="540AF60B">
            <w:pPr>
              <w:snapToGrid w:val="0"/>
              <w:spacing w:before="50" w:after="120" w:afterLines="50" w:line="400" w:lineRule="exact"/>
              <w:jc w:val="left"/>
              <w:rPr>
                <w:rFonts w:ascii="宋体" w:hAnsi="宋体" w:cs="宋体"/>
                <w:color w:val="auto"/>
                <w:sz w:val="24"/>
                <w:highlight w:val="none"/>
              </w:rPr>
            </w:pPr>
          </w:p>
        </w:tc>
        <w:tc>
          <w:tcPr>
            <w:tcW w:w="1276" w:type="dxa"/>
            <w:tcBorders>
              <w:top w:val="single" w:color="auto" w:sz="4" w:space="0"/>
              <w:left w:val="single" w:color="auto" w:sz="4" w:space="0"/>
              <w:bottom w:val="single" w:color="auto" w:sz="4" w:space="0"/>
              <w:right w:val="single" w:color="auto" w:sz="4" w:space="0"/>
            </w:tcBorders>
          </w:tcPr>
          <w:p w14:paraId="48521F83">
            <w:pPr>
              <w:snapToGrid w:val="0"/>
              <w:spacing w:before="50" w:after="120" w:afterLines="50" w:line="400" w:lineRule="exact"/>
              <w:jc w:val="left"/>
              <w:rPr>
                <w:rFonts w:ascii="宋体" w:hAnsi="宋体" w:cs="宋体"/>
                <w:color w:val="auto"/>
                <w:sz w:val="24"/>
                <w:highlight w:val="none"/>
              </w:rPr>
            </w:pPr>
          </w:p>
        </w:tc>
        <w:tc>
          <w:tcPr>
            <w:tcW w:w="1842" w:type="dxa"/>
            <w:tcBorders>
              <w:top w:val="single" w:color="auto" w:sz="4" w:space="0"/>
              <w:left w:val="single" w:color="auto" w:sz="4" w:space="0"/>
              <w:bottom w:val="single" w:color="auto" w:sz="4" w:space="0"/>
              <w:right w:val="single" w:color="auto" w:sz="4" w:space="0"/>
            </w:tcBorders>
          </w:tcPr>
          <w:p w14:paraId="25BA9319">
            <w:pPr>
              <w:snapToGrid w:val="0"/>
              <w:spacing w:before="50" w:after="120" w:afterLines="50" w:line="400" w:lineRule="exact"/>
              <w:jc w:val="left"/>
              <w:rPr>
                <w:rFonts w:ascii="宋体" w:hAnsi="宋体" w:cs="宋体"/>
                <w:color w:val="auto"/>
                <w:sz w:val="24"/>
                <w:highlight w:val="none"/>
              </w:rPr>
            </w:pPr>
          </w:p>
        </w:tc>
      </w:tr>
    </w:tbl>
    <w:p w14:paraId="636D11B1">
      <w:pPr>
        <w:snapToGrid w:val="0"/>
        <w:spacing w:line="360" w:lineRule="auto"/>
        <w:ind w:firstLine="4935" w:firstLineChars="2350"/>
        <w:rPr>
          <w:rFonts w:ascii="宋体" w:hAnsi="宋体" w:cs="宋体"/>
          <w:color w:val="auto"/>
          <w:szCs w:val="21"/>
          <w:highlight w:val="none"/>
        </w:rPr>
      </w:pPr>
    </w:p>
    <w:p w14:paraId="63658CF3">
      <w:pPr>
        <w:snapToGrid w:val="0"/>
        <w:spacing w:line="360" w:lineRule="auto"/>
        <w:rPr>
          <w:rFonts w:ascii="宋体" w:hAnsi="宋体" w:cs="宋体"/>
          <w:color w:val="auto"/>
          <w:szCs w:val="21"/>
          <w:highlight w:val="none"/>
        </w:rPr>
      </w:pPr>
      <w:r>
        <w:rPr>
          <w:rFonts w:hint="eastAsia" w:ascii="宋体" w:hAnsi="宋体" w:cs="宋体"/>
          <w:color w:val="auto"/>
          <w:sz w:val="24"/>
          <w:szCs w:val="20"/>
          <w:highlight w:val="none"/>
        </w:rPr>
        <w:t>注：在填写时，如本表格不适合供应商的实际情况，可参照本表格式自行制表填写，并附上相关证明材料</w:t>
      </w:r>
      <w:r>
        <w:rPr>
          <w:rFonts w:hint="eastAsia"/>
          <w:color w:val="auto"/>
          <w:highlight w:val="none"/>
        </w:rPr>
        <w:t>。</w:t>
      </w:r>
    </w:p>
    <w:p w14:paraId="445972DC">
      <w:pPr>
        <w:snapToGrid w:val="0"/>
        <w:spacing w:line="360" w:lineRule="auto"/>
        <w:rPr>
          <w:rFonts w:ascii="宋体" w:hAnsi="宋体" w:cs="宋体"/>
          <w:color w:val="auto"/>
          <w:szCs w:val="21"/>
          <w:highlight w:val="none"/>
        </w:rPr>
      </w:pPr>
    </w:p>
    <w:p w14:paraId="565FB057">
      <w:pPr>
        <w:snapToGrid w:val="0"/>
        <w:spacing w:line="360" w:lineRule="auto"/>
        <w:rPr>
          <w:rFonts w:ascii="宋体" w:hAnsi="宋体" w:cs="宋体"/>
          <w:color w:val="auto"/>
          <w:szCs w:val="21"/>
          <w:highlight w:val="none"/>
        </w:rPr>
      </w:pPr>
    </w:p>
    <w:p w14:paraId="70BC1CCC">
      <w:pPr>
        <w:snapToGrid w:val="0"/>
        <w:spacing w:line="360" w:lineRule="auto"/>
        <w:rPr>
          <w:rFonts w:ascii="宋体" w:hAnsi="宋体" w:cs="宋体"/>
          <w:color w:val="auto"/>
          <w:kern w:val="0"/>
          <w:sz w:val="24"/>
          <w:highlight w:val="none"/>
        </w:rPr>
      </w:pPr>
      <w:r>
        <w:rPr>
          <w:rFonts w:hint="eastAsia" w:ascii="宋体" w:hAnsi="宋体" w:cs="宋体"/>
          <w:color w:val="auto"/>
          <w:szCs w:val="21"/>
          <w:highlight w:val="none"/>
        </w:rPr>
        <w:t xml:space="preserve">                                                                 </w:t>
      </w:r>
      <w:r>
        <w:rPr>
          <w:rFonts w:hint="eastAsia" w:ascii="宋体" w:hAnsi="宋体" w:cs="宋体"/>
          <w:color w:val="auto"/>
          <w:kern w:val="0"/>
          <w:sz w:val="24"/>
          <w:highlight w:val="none"/>
          <w:lang w:val="zh-CN"/>
        </w:rPr>
        <w:t>供应商名称(盖公章)：</w:t>
      </w:r>
    </w:p>
    <w:p w14:paraId="3FBEE651">
      <w:pPr>
        <w:spacing w:line="500" w:lineRule="exact"/>
        <w:jc w:val="center"/>
        <w:rPr>
          <w:rFonts w:ascii="宋体" w:hAnsi="宋体" w:cs="宋体"/>
          <w:color w:val="auto"/>
          <w:sz w:val="32"/>
          <w:szCs w:val="32"/>
          <w:highlight w:val="none"/>
        </w:rPr>
        <w:sectPr>
          <w:pgSz w:w="11911" w:h="16838"/>
          <w:pgMar w:top="1134" w:right="1134" w:bottom="1134" w:left="1134" w:header="720" w:footer="720" w:gutter="0"/>
          <w:cols w:space="720" w:num="1"/>
        </w:sectPr>
      </w:pPr>
      <w:r>
        <w:rPr>
          <w:rFonts w:hint="eastAsia" w:ascii="宋体" w:hAnsi="宋体" w:cs="宋体"/>
          <w:color w:val="auto"/>
          <w:kern w:val="0"/>
          <w:sz w:val="24"/>
          <w:highlight w:val="none"/>
          <w:lang w:val="zh-CN"/>
        </w:rPr>
        <w:t xml:space="preserve">                                                     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274B1555">
      <w:pPr>
        <w:snapToGrid w:val="0"/>
        <w:spacing w:line="360" w:lineRule="auto"/>
        <w:rPr>
          <w:rFonts w:ascii="宋体" w:hAnsi="宋体" w:cs="宋体"/>
          <w:color w:val="auto"/>
          <w:sz w:val="28"/>
          <w:szCs w:val="28"/>
          <w:highlight w:val="none"/>
        </w:rPr>
      </w:pPr>
      <w:r>
        <w:rPr>
          <w:rFonts w:hint="eastAsia" w:ascii="宋体" w:hAnsi="宋体" w:cs="宋体"/>
          <w:b/>
          <w:color w:val="auto"/>
          <w:sz w:val="28"/>
          <w:szCs w:val="28"/>
          <w:highlight w:val="none"/>
        </w:rPr>
        <w:t>8.</w:t>
      </w:r>
      <w:r>
        <w:rPr>
          <w:rFonts w:hint="eastAsia" w:ascii="宋体" w:hAnsi="宋体" w:cs="宋体"/>
          <w:b/>
          <w:color w:val="auto"/>
          <w:sz w:val="28"/>
          <w:szCs w:val="28"/>
          <w:highlight w:val="none"/>
          <w:lang w:eastAsia="zh-CN"/>
        </w:rPr>
        <w:t>技术要求偏离表</w:t>
      </w:r>
      <w:r>
        <w:rPr>
          <w:rFonts w:hint="eastAsia" w:ascii="宋体" w:hAnsi="宋体" w:cs="宋体"/>
          <w:b/>
          <w:color w:val="auto"/>
          <w:sz w:val="28"/>
          <w:szCs w:val="28"/>
          <w:highlight w:val="none"/>
        </w:rPr>
        <w:t>的格式：</w:t>
      </w:r>
    </w:p>
    <w:p w14:paraId="1D307237">
      <w:pPr>
        <w:spacing w:line="500" w:lineRule="exact"/>
        <w:jc w:val="center"/>
        <w:rPr>
          <w:rFonts w:hint="eastAsia" w:ascii="宋体" w:hAnsi="宋体" w:eastAsia="宋体" w:cs="宋体"/>
          <w:bCs/>
          <w:color w:val="auto"/>
          <w:sz w:val="44"/>
          <w:szCs w:val="44"/>
          <w:highlight w:val="none"/>
          <w:lang w:eastAsia="zh-CN"/>
        </w:rPr>
      </w:pPr>
      <w:r>
        <w:rPr>
          <w:rFonts w:hint="eastAsia" w:ascii="宋体" w:hAnsi="宋体" w:cs="宋体"/>
          <w:bCs/>
          <w:color w:val="auto"/>
          <w:sz w:val="44"/>
          <w:szCs w:val="44"/>
          <w:highlight w:val="none"/>
          <w:lang w:eastAsia="zh-CN"/>
        </w:rPr>
        <w:t>技术要求偏离表</w:t>
      </w:r>
    </w:p>
    <w:p w14:paraId="61CED408">
      <w:pPr>
        <w:spacing w:line="360" w:lineRule="auto"/>
        <w:contextualSpacing/>
        <w:jc w:val="left"/>
        <w:rPr>
          <w:rFonts w:ascii="宋体" w:hAnsi="宋体" w:cs="宋体"/>
          <w:color w:val="auto"/>
          <w:sz w:val="24"/>
          <w:highlight w:val="none"/>
        </w:rPr>
      </w:pPr>
    </w:p>
    <w:p w14:paraId="497AFF74">
      <w:pPr>
        <w:spacing w:line="360" w:lineRule="auto"/>
        <w:ind w:firstLine="720" w:firstLineChars="300"/>
        <w:contextualSpacing/>
        <w:rPr>
          <w:rFonts w:ascii="宋体" w:hAnsi="宋体" w:cs="宋体"/>
          <w:color w:val="auto"/>
          <w:sz w:val="24"/>
          <w:highlight w:val="none"/>
          <w:u w:val="singl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78B60E73">
      <w:pPr>
        <w:spacing w:line="360" w:lineRule="auto"/>
        <w:ind w:firstLine="720" w:firstLineChars="300"/>
        <w:contextualSpacing/>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6A40DF35">
      <w:pPr>
        <w:spacing w:line="360" w:lineRule="auto"/>
        <w:ind w:firstLine="720" w:firstLineChars="300"/>
        <w:contextualSpacing/>
        <w:rPr>
          <w:rFonts w:ascii="宋体" w:hAnsi="宋体" w:cs="宋体"/>
          <w:color w:val="auto"/>
          <w:sz w:val="24"/>
          <w:highlight w:val="none"/>
          <w:u w:val="singl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tbl>
      <w:tblPr>
        <w:tblStyle w:val="31"/>
        <w:tblW w:w="91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4"/>
        <w:gridCol w:w="1175"/>
        <w:gridCol w:w="3197"/>
        <w:gridCol w:w="2944"/>
        <w:gridCol w:w="1095"/>
      </w:tblGrid>
      <w:tr w14:paraId="1E8A6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72"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0D857E1A">
            <w:pPr>
              <w:rPr>
                <w:rFonts w:ascii="宋体" w:hAnsi="宋体" w:cs="宋体"/>
                <w:color w:val="auto"/>
                <w:szCs w:val="21"/>
                <w:highlight w:val="none"/>
              </w:rPr>
            </w:pPr>
            <w:r>
              <w:rPr>
                <w:rFonts w:hint="eastAsia" w:ascii="宋体" w:hAnsi="宋体" w:cs="宋体"/>
                <w:color w:val="auto"/>
                <w:szCs w:val="21"/>
                <w:highlight w:val="none"/>
              </w:rPr>
              <w:t>项号</w:t>
            </w:r>
          </w:p>
        </w:tc>
        <w:tc>
          <w:tcPr>
            <w:tcW w:w="1175" w:type="dxa"/>
            <w:tcBorders>
              <w:top w:val="single" w:color="auto" w:sz="4" w:space="0"/>
              <w:left w:val="single" w:color="auto" w:sz="4" w:space="0"/>
              <w:bottom w:val="single" w:color="auto" w:sz="4" w:space="0"/>
              <w:right w:val="single" w:color="auto" w:sz="4" w:space="0"/>
            </w:tcBorders>
            <w:vAlign w:val="center"/>
          </w:tcPr>
          <w:p w14:paraId="247ED8F3">
            <w:pPr>
              <w:jc w:val="center"/>
              <w:rPr>
                <w:rFonts w:ascii="宋体" w:hAnsi="宋体" w:cs="宋体"/>
                <w:color w:val="auto"/>
                <w:szCs w:val="21"/>
                <w:highlight w:val="none"/>
              </w:rPr>
            </w:pPr>
            <w:r>
              <w:rPr>
                <w:rFonts w:hint="eastAsia" w:ascii="宋体" w:hAnsi="宋体" w:cs="宋体"/>
                <w:color w:val="auto"/>
                <w:szCs w:val="21"/>
                <w:highlight w:val="none"/>
              </w:rPr>
              <w:t>标的名称</w:t>
            </w:r>
          </w:p>
        </w:tc>
        <w:tc>
          <w:tcPr>
            <w:tcW w:w="3197" w:type="dxa"/>
            <w:tcBorders>
              <w:top w:val="single" w:color="auto" w:sz="4" w:space="0"/>
              <w:left w:val="single" w:color="auto" w:sz="4" w:space="0"/>
              <w:bottom w:val="single" w:color="auto" w:sz="4" w:space="0"/>
              <w:right w:val="single" w:color="auto" w:sz="4" w:space="0"/>
            </w:tcBorders>
            <w:vAlign w:val="center"/>
          </w:tcPr>
          <w:p w14:paraId="07C1CFC1">
            <w:pPr>
              <w:jc w:val="center"/>
              <w:rPr>
                <w:rFonts w:ascii="宋体" w:hAnsi="宋体" w:cs="宋体"/>
                <w:color w:val="auto"/>
                <w:szCs w:val="21"/>
                <w:highlight w:val="none"/>
              </w:rPr>
            </w:pPr>
            <w:r>
              <w:rPr>
                <w:rFonts w:hint="eastAsia" w:ascii="宋体" w:hAnsi="宋体" w:cs="宋体"/>
                <w:color w:val="auto"/>
                <w:szCs w:val="21"/>
                <w:highlight w:val="none"/>
              </w:rPr>
              <w:t>竞争性磋商文件</w:t>
            </w:r>
            <w:r>
              <w:rPr>
                <w:rFonts w:hint="eastAsia" w:ascii="宋体" w:hAnsi="宋体"/>
                <w:color w:val="auto"/>
                <w:szCs w:val="21"/>
                <w:highlight w:val="none"/>
              </w:rPr>
              <w:t>采购需求中的技术要求</w:t>
            </w:r>
          </w:p>
        </w:tc>
        <w:tc>
          <w:tcPr>
            <w:tcW w:w="2944" w:type="dxa"/>
            <w:tcBorders>
              <w:top w:val="single" w:color="auto" w:sz="4" w:space="0"/>
              <w:left w:val="single" w:color="auto" w:sz="4" w:space="0"/>
              <w:bottom w:val="single" w:color="auto" w:sz="4" w:space="0"/>
              <w:right w:val="single" w:color="auto" w:sz="4" w:space="0"/>
            </w:tcBorders>
            <w:vAlign w:val="center"/>
          </w:tcPr>
          <w:p w14:paraId="28DEBA28">
            <w:pPr>
              <w:jc w:val="center"/>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响应文件响应的</w:t>
            </w:r>
            <w:r>
              <w:rPr>
                <w:rFonts w:hint="eastAsia" w:ascii="宋体" w:hAnsi="宋体"/>
                <w:color w:val="auto"/>
                <w:szCs w:val="21"/>
                <w:highlight w:val="none"/>
                <w:lang w:val="en-US" w:eastAsia="zh-CN"/>
              </w:rPr>
              <w:t>内容</w:t>
            </w:r>
          </w:p>
        </w:tc>
        <w:tc>
          <w:tcPr>
            <w:tcW w:w="1095" w:type="dxa"/>
            <w:tcBorders>
              <w:top w:val="single" w:color="auto" w:sz="4" w:space="0"/>
              <w:left w:val="single" w:color="auto" w:sz="4" w:space="0"/>
              <w:bottom w:val="single" w:color="auto" w:sz="4" w:space="0"/>
              <w:right w:val="single" w:color="auto" w:sz="4" w:space="0"/>
            </w:tcBorders>
            <w:vAlign w:val="center"/>
          </w:tcPr>
          <w:p w14:paraId="235B7481">
            <w:pPr>
              <w:rPr>
                <w:rFonts w:ascii="宋体" w:hAnsi="宋体" w:cs="宋体"/>
                <w:color w:val="auto"/>
                <w:szCs w:val="21"/>
                <w:highlight w:val="none"/>
              </w:rPr>
            </w:pPr>
            <w:r>
              <w:rPr>
                <w:rFonts w:hint="eastAsia" w:ascii="宋体" w:hAnsi="宋体" w:cs="宋体"/>
                <w:color w:val="auto"/>
                <w:szCs w:val="21"/>
                <w:highlight w:val="none"/>
              </w:rPr>
              <w:t>偏离说明</w:t>
            </w:r>
          </w:p>
        </w:tc>
      </w:tr>
      <w:tr w14:paraId="6E5A5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28801BC1">
            <w:pPr>
              <w:jc w:val="center"/>
              <w:rPr>
                <w:rFonts w:ascii="宋体" w:hAnsi="宋体" w:cs="宋体"/>
                <w:color w:val="auto"/>
                <w:szCs w:val="21"/>
                <w:highlight w:val="none"/>
              </w:rPr>
            </w:pPr>
            <w:r>
              <w:rPr>
                <w:rFonts w:hint="eastAsia" w:ascii="宋体" w:hAnsi="宋体" w:cs="宋体"/>
                <w:color w:val="auto"/>
                <w:szCs w:val="21"/>
                <w:highlight w:val="none"/>
              </w:rPr>
              <w:t>1</w:t>
            </w:r>
          </w:p>
        </w:tc>
        <w:tc>
          <w:tcPr>
            <w:tcW w:w="1175" w:type="dxa"/>
            <w:tcBorders>
              <w:top w:val="single" w:color="auto" w:sz="4" w:space="0"/>
              <w:left w:val="single" w:color="auto" w:sz="4" w:space="0"/>
              <w:bottom w:val="single" w:color="auto" w:sz="4" w:space="0"/>
              <w:right w:val="single" w:color="auto" w:sz="4" w:space="0"/>
            </w:tcBorders>
            <w:vAlign w:val="center"/>
          </w:tcPr>
          <w:p w14:paraId="6B734948">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14:paraId="5AE932F5">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71CB527F">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1B14483D">
            <w:pPr>
              <w:rPr>
                <w:rFonts w:ascii="宋体" w:hAnsi="宋体" w:cs="宋体"/>
                <w:color w:val="auto"/>
                <w:szCs w:val="21"/>
                <w:highlight w:val="none"/>
              </w:rPr>
            </w:pPr>
          </w:p>
        </w:tc>
      </w:tr>
      <w:tr w14:paraId="5D1A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18E869B">
            <w:pPr>
              <w:jc w:val="center"/>
              <w:rPr>
                <w:rFonts w:ascii="宋体" w:hAnsi="宋体" w:cs="宋体"/>
                <w:color w:val="auto"/>
                <w:szCs w:val="21"/>
                <w:highlight w:val="none"/>
              </w:rPr>
            </w:pPr>
            <w:r>
              <w:rPr>
                <w:rFonts w:hint="eastAsia" w:ascii="宋体" w:hAnsi="宋体" w:cs="宋体"/>
                <w:color w:val="auto"/>
                <w:szCs w:val="21"/>
                <w:highlight w:val="none"/>
              </w:rPr>
              <w:t>2</w:t>
            </w:r>
          </w:p>
        </w:tc>
        <w:tc>
          <w:tcPr>
            <w:tcW w:w="1175" w:type="dxa"/>
            <w:tcBorders>
              <w:top w:val="single" w:color="auto" w:sz="4" w:space="0"/>
              <w:left w:val="single" w:color="auto" w:sz="4" w:space="0"/>
              <w:bottom w:val="single" w:color="auto" w:sz="4" w:space="0"/>
              <w:right w:val="single" w:color="auto" w:sz="4" w:space="0"/>
            </w:tcBorders>
            <w:vAlign w:val="center"/>
          </w:tcPr>
          <w:p w14:paraId="35F21930">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14:paraId="518B7221">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714EB599">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26539390">
            <w:pPr>
              <w:rPr>
                <w:rFonts w:ascii="宋体" w:hAnsi="宋体" w:cs="宋体"/>
                <w:color w:val="auto"/>
                <w:szCs w:val="21"/>
                <w:highlight w:val="none"/>
              </w:rPr>
            </w:pPr>
          </w:p>
        </w:tc>
      </w:tr>
      <w:tr w14:paraId="6BBBB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754" w:type="dxa"/>
            <w:tcBorders>
              <w:top w:val="single" w:color="auto" w:sz="4" w:space="0"/>
              <w:left w:val="single" w:color="auto" w:sz="4" w:space="0"/>
              <w:bottom w:val="single" w:color="auto" w:sz="4" w:space="0"/>
              <w:right w:val="single" w:color="auto" w:sz="4" w:space="0"/>
            </w:tcBorders>
            <w:vAlign w:val="center"/>
          </w:tcPr>
          <w:p w14:paraId="4D27CA61">
            <w:pPr>
              <w:jc w:val="center"/>
              <w:rPr>
                <w:rFonts w:ascii="宋体" w:hAnsi="宋体" w:cs="宋体"/>
                <w:color w:val="auto"/>
                <w:szCs w:val="21"/>
                <w:highlight w:val="none"/>
              </w:rPr>
            </w:pPr>
          </w:p>
        </w:tc>
        <w:tc>
          <w:tcPr>
            <w:tcW w:w="1175" w:type="dxa"/>
            <w:tcBorders>
              <w:top w:val="single" w:color="auto" w:sz="4" w:space="0"/>
              <w:left w:val="single" w:color="auto" w:sz="4" w:space="0"/>
              <w:bottom w:val="single" w:color="auto" w:sz="4" w:space="0"/>
              <w:right w:val="single" w:color="auto" w:sz="4" w:space="0"/>
            </w:tcBorders>
            <w:vAlign w:val="center"/>
          </w:tcPr>
          <w:p w14:paraId="631E639F">
            <w:pPr>
              <w:rPr>
                <w:rFonts w:ascii="宋体" w:hAnsi="宋体" w:cs="宋体"/>
                <w:color w:val="auto"/>
                <w:szCs w:val="21"/>
                <w:highlight w:val="none"/>
              </w:rPr>
            </w:pPr>
          </w:p>
        </w:tc>
        <w:tc>
          <w:tcPr>
            <w:tcW w:w="3197" w:type="dxa"/>
            <w:tcBorders>
              <w:top w:val="single" w:color="auto" w:sz="4" w:space="0"/>
              <w:left w:val="single" w:color="auto" w:sz="4" w:space="0"/>
              <w:bottom w:val="single" w:color="auto" w:sz="4" w:space="0"/>
              <w:right w:val="single" w:color="auto" w:sz="4" w:space="0"/>
            </w:tcBorders>
            <w:vAlign w:val="center"/>
          </w:tcPr>
          <w:p w14:paraId="2DBD1F21">
            <w:pPr>
              <w:rPr>
                <w:rFonts w:ascii="宋体" w:hAnsi="宋体" w:cs="宋体"/>
                <w:color w:val="auto"/>
                <w:szCs w:val="21"/>
                <w:highlight w:val="none"/>
              </w:rPr>
            </w:pPr>
          </w:p>
        </w:tc>
        <w:tc>
          <w:tcPr>
            <w:tcW w:w="2944" w:type="dxa"/>
            <w:tcBorders>
              <w:top w:val="single" w:color="auto" w:sz="4" w:space="0"/>
              <w:left w:val="single" w:color="auto" w:sz="4" w:space="0"/>
              <w:bottom w:val="single" w:color="auto" w:sz="4" w:space="0"/>
              <w:right w:val="single" w:color="auto" w:sz="4" w:space="0"/>
            </w:tcBorders>
            <w:vAlign w:val="center"/>
          </w:tcPr>
          <w:p w14:paraId="3C179191">
            <w:pPr>
              <w:rPr>
                <w:rFonts w:ascii="宋体" w:hAnsi="宋体" w:cs="宋体"/>
                <w:color w:val="auto"/>
                <w:szCs w:val="21"/>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650AD00E">
            <w:pPr>
              <w:rPr>
                <w:rFonts w:ascii="宋体" w:hAnsi="宋体" w:cs="宋体"/>
                <w:color w:val="auto"/>
                <w:szCs w:val="21"/>
                <w:highlight w:val="none"/>
              </w:rPr>
            </w:pPr>
          </w:p>
        </w:tc>
      </w:tr>
    </w:tbl>
    <w:p w14:paraId="1641D2C1">
      <w:pPr>
        <w:pStyle w:val="16"/>
        <w:ind w:firstLine="845"/>
        <w:rPr>
          <w:rFonts w:ascii="宋体" w:hAnsi="宋体" w:cs="宋体"/>
          <w:color w:val="auto"/>
          <w:sz w:val="24"/>
          <w:highlight w:val="none"/>
          <w:u w:val="single"/>
        </w:rPr>
      </w:pPr>
    </w:p>
    <w:p w14:paraId="136CA452">
      <w:pPr>
        <w:pStyle w:val="14"/>
        <w:spacing w:after="0" w:line="360" w:lineRule="auto"/>
        <w:contextualSpacing/>
        <w:rPr>
          <w:rFonts w:ascii="宋体" w:hAnsi="宋体" w:cs="宋体"/>
          <w:color w:val="auto"/>
          <w:kern w:val="0"/>
          <w:sz w:val="24"/>
          <w:szCs w:val="24"/>
          <w:highlight w:val="none"/>
        </w:rPr>
      </w:pPr>
    </w:p>
    <w:p w14:paraId="7DE1CA75">
      <w:pPr>
        <w:pStyle w:val="14"/>
        <w:spacing w:after="0" w:line="48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注：</w:t>
      </w:r>
    </w:p>
    <w:p w14:paraId="0DF33DE9">
      <w:pPr>
        <w:pStyle w:val="14"/>
        <w:spacing w:after="0" w:line="480" w:lineRule="auto"/>
        <w:ind w:firstLine="420" w:firstLineChars="200"/>
        <w:contextualSpacing/>
        <w:rPr>
          <w:rFonts w:ascii="宋体" w:hAnsi="宋体" w:cs="宋体"/>
          <w:color w:val="auto"/>
          <w:kern w:val="0"/>
          <w:sz w:val="21"/>
          <w:szCs w:val="21"/>
          <w:highlight w:val="none"/>
        </w:rPr>
      </w:pPr>
      <w:r>
        <w:rPr>
          <w:rFonts w:hint="eastAsia" w:ascii="宋体" w:hAnsi="宋体" w:cs="宋体"/>
          <w:color w:val="auto"/>
          <w:kern w:val="0"/>
          <w:sz w:val="21"/>
          <w:szCs w:val="21"/>
          <w:highlight w:val="none"/>
        </w:rPr>
        <w:t xml:space="preserve">1.说明：应对照磋商文件“第二章  </w:t>
      </w:r>
      <w:r>
        <w:rPr>
          <w:rFonts w:hint="eastAsia" w:ascii="Cambria" w:hAnsi="Cambria"/>
          <w:bCs/>
          <w:color w:val="auto"/>
          <w:sz w:val="21"/>
          <w:szCs w:val="21"/>
          <w:highlight w:val="none"/>
        </w:rPr>
        <w:t>采购需求</w:t>
      </w:r>
      <w:r>
        <w:rPr>
          <w:rFonts w:hint="eastAsia" w:ascii="宋体" w:hAnsi="宋体" w:cs="宋体"/>
          <w:color w:val="auto"/>
          <w:kern w:val="0"/>
          <w:sz w:val="21"/>
          <w:szCs w:val="21"/>
          <w:highlight w:val="none"/>
        </w:rPr>
        <w:t>”中“需求一览表”的技术要求条款逐条作出明确响应，并作出偏离说明。</w:t>
      </w:r>
    </w:p>
    <w:p w14:paraId="6A3040D4">
      <w:pPr>
        <w:pStyle w:val="16"/>
        <w:spacing w:line="480" w:lineRule="auto"/>
        <w:ind w:firstLine="420" w:firstLineChars="200"/>
        <w:contextualSpacing/>
        <w:rPr>
          <w:rFonts w:ascii="宋体" w:hAnsi="宋体" w:eastAsia="宋体" w:cs="宋体"/>
          <w:color w:val="auto"/>
          <w:sz w:val="21"/>
          <w:szCs w:val="21"/>
          <w:highlight w:val="none"/>
        </w:rPr>
      </w:pPr>
      <w:r>
        <w:rPr>
          <w:rFonts w:hint="eastAsia" w:ascii="宋体" w:hAnsi="宋体" w:eastAsia="宋体" w:cs="宋体"/>
          <w:color w:val="auto"/>
          <w:sz w:val="21"/>
          <w:szCs w:val="21"/>
          <w:highlight w:val="none"/>
        </w:rPr>
        <w:t>2.供应商应根据自身的承诺，对照磋商文件要求，在“偏离说明”中注明“正偏离”或者“负偏离”或者“无偏离”。既不属于“正偏离”也不属于“负偏离”即为“无偏离”。 当响应文件的技术要求内容低于竞争性磋商文件要求时，供应商应当如实写明“负偏离”。</w:t>
      </w:r>
    </w:p>
    <w:p w14:paraId="54100AB0">
      <w:pPr>
        <w:spacing w:line="48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3.表格内容均需按要求填写并盖公章，不得留空，</w:t>
      </w:r>
      <w:r>
        <w:rPr>
          <w:rFonts w:hint="eastAsia" w:ascii="宋体" w:hAnsi="宋体" w:cs="宋体"/>
          <w:b/>
          <w:bCs/>
          <w:color w:val="auto"/>
          <w:kern w:val="0"/>
          <w:szCs w:val="21"/>
          <w:highlight w:val="none"/>
        </w:rPr>
        <w:t>否则按竞标无效处理。</w:t>
      </w:r>
    </w:p>
    <w:p w14:paraId="3E217753">
      <w:pPr>
        <w:pStyle w:val="16"/>
        <w:spacing w:line="480" w:lineRule="auto"/>
        <w:ind w:firstLine="420" w:firstLineChars="200"/>
        <w:contextualSpacing/>
        <w:rPr>
          <w:rFonts w:ascii="宋体" w:hAnsi="宋体" w:eastAsia="宋体" w:cs="宋体"/>
          <w:color w:val="auto"/>
          <w:sz w:val="21"/>
          <w:szCs w:val="21"/>
          <w:highlight w:val="none"/>
        </w:rPr>
      </w:pPr>
    </w:p>
    <w:p w14:paraId="1D5DCE24">
      <w:pPr>
        <w:snapToGrid w:val="0"/>
        <w:spacing w:line="360" w:lineRule="auto"/>
        <w:rPr>
          <w:rFonts w:ascii="宋体" w:hAnsi="宋体" w:cs="宋体"/>
          <w:b/>
          <w:color w:val="auto"/>
          <w:sz w:val="30"/>
          <w:szCs w:val="30"/>
          <w:highlight w:val="none"/>
        </w:rPr>
      </w:pPr>
    </w:p>
    <w:p w14:paraId="78551F9F">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2BE9CED0">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75FAD22F">
      <w:pPr>
        <w:snapToGrid w:val="0"/>
        <w:spacing w:line="360" w:lineRule="auto"/>
        <w:rPr>
          <w:rFonts w:ascii="宋体" w:hAnsi="宋体" w:cs="宋体"/>
          <w:b/>
          <w:color w:val="auto"/>
          <w:sz w:val="28"/>
          <w:szCs w:val="28"/>
          <w:highlight w:val="none"/>
        </w:rPr>
      </w:pPr>
    </w:p>
    <w:p w14:paraId="7706756A">
      <w:pPr>
        <w:snapToGrid w:val="0"/>
        <w:spacing w:line="360" w:lineRule="auto"/>
        <w:rPr>
          <w:rFonts w:ascii="宋体" w:hAnsi="宋体" w:cs="宋体"/>
          <w:b/>
          <w:color w:val="auto"/>
          <w:sz w:val="28"/>
          <w:szCs w:val="28"/>
          <w:highlight w:val="none"/>
        </w:rPr>
      </w:pPr>
    </w:p>
    <w:p w14:paraId="71A99FBF">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9.服务方案</w:t>
      </w:r>
    </w:p>
    <w:p w14:paraId="3A4D129E">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725BBD36">
      <w:pPr>
        <w:pStyle w:val="2"/>
        <w:rPr>
          <w:rFonts w:ascii="宋体" w:hAnsi="宋体" w:cs="宋体"/>
          <w:color w:val="auto"/>
          <w:kern w:val="0"/>
          <w:sz w:val="24"/>
          <w:highlight w:val="none"/>
          <w:lang w:val="zh-CN"/>
        </w:rPr>
      </w:pPr>
    </w:p>
    <w:p w14:paraId="07704199">
      <w:pPr>
        <w:rPr>
          <w:rFonts w:ascii="宋体" w:hAnsi="宋体" w:cs="宋体"/>
          <w:color w:val="auto"/>
          <w:kern w:val="0"/>
          <w:sz w:val="24"/>
          <w:highlight w:val="none"/>
          <w:lang w:val="zh-CN"/>
        </w:rPr>
      </w:pPr>
    </w:p>
    <w:p w14:paraId="1032FA71">
      <w:pPr>
        <w:pStyle w:val="2"/>
        <w:rPr>
          <w:rFonts w:ascii="宋体" w:hAnsi="宋体" w:cs="宋体"/>
          <w:color w:val="auto"/>
          <w:kern w:val="0"/>
          <w:sz w:val="24"/>
          <w:highlight w:val="none"/>
          <w:lang w:val="zh-CN"/>
        </w:rPr>
      </w:pPr>
    </w:p>
    <w:p w14:paraId="0CCE3563">
      <w:pPr>
        <w:rPr>
          <w:color w:val="auto"/>
          <w:highlight w:val="none"/>
          <w:lang w:val="zh-CN"/>
        </w:rPr>
      </w:pPr>
    </w:p>
    <w:p w14:paraId="2407A1F1">
      <w:pPr>
        <w:rPr>
          <w:color w:val="auto"/>
          <w:highlight w:val="none"/>
          <w:lang w:val="zh-CN"/>
        </w:rPr>
      </w:pPr>
    </w:p>
    <w:p w14:paraId="1EA00447">
      <w:pPr>
        <w:pStyle w:val="2"/>
        <w:jc w:val="center"/>
        <w:rPr>
          <w:rFonts w:ascii="宋体" w:hAnsi="宋体" w:cs="宋体"/>
          <w:color w:val="auto"/>
          <w:kern w:val="0"/>
          <w:sz w:val="24"/>
          <w:highlight w:val="none"/>
        </w:rPr>
      </w:pPr>
      <w:r>
        <w:rPr>
          <w:rFonts w:hint="eastAsia" w:ascii="宋体" w:hAnsi="宋体" w:cs="宋体"/>
          <w:color w:val="auto"/>
          <w:kern w:val="0"/>
          <w:sz w:val="24"/>
          <w:highlight w:val="none"/>
        </w:rPr>
        <w:t>（格式自拟）</w:t>
      </w:r>
    </w:p>
    <w:p w14:paraId="5AAB7124">
      <w:pPr>
        <w:rPr>
          <w:rFonts w:ascii="宋体" w:hAnsi="宋体" w:cs="宋体"/>
          <w:color w:val="auto"/>
          <w:kern w:val="0"/>
          <w:sz w:val="24"/>
          <w:highlight w:val="none"/>
          <w:lang w:val="zh-CN"/>
        </w:rPr>
      </w:pPr>
    </w:p>
    <w:p w14:paraId="1D16EC15">
      <w:pPr>
        <w:pStyle w:val="2"/>
        <w:rPr>
          <w:rFonts w:ascii="宋体" w:hAnsi="宋体" w:cs="宋体"/>
          <w:color w:val="auto"/>
          <w:kern w:val="0"/>
          <w:sz w:val="24"/>
          <w:highlight w:val="none"/>
          <w:lang w:val="zh-CN"/>
        </w:rPr>
      </w:pPr>
    </w:p>
    <w:p w14:paraId="3975B6BE">
      <w:pPr>
        <w:rPr>
          <w:rFonts w:ascii="宋体" w:hAnsi="宋体" w:cs="宋体"/>
          <w:color w:val="auto"/>
          <w:kern w:val="0"/>
          <w:sz w:val="24"/>
          <w:highlight w:val="none"/>
          <w:lang w:val="zh-CN"/>
        </w:rPr>
      </w:pPr>
    </w:p>
    <w:p w14:paraId="5A4803C1">
      <w:pPr>
        <w:pStyle w:val="2"/>
        <w:rPr>
          <w:color w:val="auto"/>
          <w:highlight w:val="none"/>
          <w:lang w:val="zh-CN"/>
        </w:rPr>
      </w:pPr>
    </w:p>
    <w:p w14:paraId="359DF34F">
      <w:pPr>
        <w:rPr>
          <w:color w:val="auto"/>
          <w:highlight w:val="none"/>
          <w:lang w:val="zh-CN"/>
        </w:rPr>
      </w:pPr>
    </w:p>
    <w:p w14:paraId="55C7C13B">
      <w:pPr>
        <w:pStyle w:val="2"/>
        <w:ind w:firstLine="3840" w:firstLineChars="16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供应商名称（盖公章）：</w:t>
      </w:r>
    </w:p>
    <w:p w14:paraId="201D28CF">
      <w:pPr>
        <w:pStyle w:val="2"/>
        <w:ind w:firstLine="6000" w:firstLineChars="25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日期：  年  月   日</w:t>
      </w:r>
    </w:p>
    <w:p w14:paraId="10DD1269">
      <w:pPr>
        <w:rPr>
          <w:rFonts w:ascii="宋体" w:hAnsi="宋体" w:cs="宋体"/>
          <w:color w:val="auto"/>
          <w:kern w:val="0"/>
          <w:sz w:val="24"/>
          <w:highlight w:val="none"/>
          <w:lang w:val="zh-CN"/>
        </w:rPr>
      </w:pPr>
    </w:p>
    <w:p w14:paraId="1B8AC7B1">
      <w:pPr>
        <w:snapToGrid w:val="0"/>
        <w:spacing w:line="360" w:lineRule="auto"/>
        <w:rPr>
          <w:rFonts w:ascii="宋体" w:hAnsi="宋体" w:cs="宋体"/>
          <w:b/>
          <w:color w:val="auto"/>
          <w:sz w:val="28"/>
          <w:szCs w:val="28"/>
          <w:highlight w:val="none"/>
        </w:rPr>
      </w:pPr>
    </w:p>
    <w:p w14:paraId="26174D5F">
      <w:pPr>
        <w:snapToGrid w:val="0"/>
        <w:spacing w:line="360" w:lineRule="auto"/>
        <w:rPr>
          <w:rFonts w:ascii="宋体" w:hAnsi="宋体" w:cs="宋体"/>
          <w:b/>
          <w:color w:val="auto"/>
          <w:sz w:val="28"/>
          <w:szCs w:val="28"/>
          <w:highlight w:val="none"/>
        </w:rPr>
      </w:pPr>
    </w:p>
    <w:p w14:paraId="0A3B0FA6">
      <w:pPr>
        <w:snapToGrid w:val="0"/>
        <w:spacing w:line="360" w:lineRule="auto"/>
        <w:rPr>
          <w:rFonts w:ascii="宋体" w:hAnsi="宋体" w:cs="宋体"/>
          <w:b/>
          <w:color w:val="auto"/>
          <w:sz w:val="28"/>
          <w:szCs w:val="28"/>
          <w:highlight w:val="none"/>
        </w:rPr>
      </w:pPr>
    </w:p>
    <w:p w14:paraId="1F0F5056">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10.项目质量保障措施</w:t>
      </w:r>
    </w:p>
    <w:p w14:paraId="06E6E8E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57F8A679">
      <w:pPr>
        <w:pStyle w:val="2"/>
        <w:rPr>
          <w:rFonts w:ascii="宋体" w:hAnsi="宋体" w:cs="宋体"/>
          <w:color w:val="auto"/>
          <w:kern w:val="0"/>
          <w:sz w:val="24"/>
          <w:highlight w:val="none"/>
          <w:lang w:val="zh-CN"/>
        </w:rPr>
      </w:pPr>
    </w:p>
    <w:p w14:paraId="6E92D047">
      <w:pPr>
        <w:rPr>
          <w:rFonts w:ascii="宋体" w:hAnsi="宋体" w:cs="宋体"/>
          <w:color w:val="auto"/>
          <w:kern w:val="0"/>
          <w:sz w:val="24"/>
          <w:highlight w:val="none"/>
          <w:lang w:val="zh-CN"/>
        </w:rPr>
      </w:pPr>
    </w:p>
    <w:p w14:paraId="419EA379">
      <w:pPr>
        <w:pStyle w:val="2"/>
        <w:rPr>
          <w:rFonts w:ascii="宋体" w:hAnsi="宋体" w:cs="宋体"/>
          <w:color w:val="auto"/>
          <w:kern w:val="0"/>
          <w:sz w:val="24"/>
          <w:highlight w:val="none"/>
          <w:lang w:val="zh-CN"/>
        </w:rPr>
      </w:pPr>
    </w:p>
    <w:p w14:paraId="28749B5D">
      <w:pPr>
        <w:rPr>
          <w:color w:val="auto"/>
          <w:highlight w:val="none"/>
          <w:lang w:val="zh-CN"/>
        </w:rPr>
      </w:pPr>
    </w:p>
    <w:p w14:paraId="5FCA5AB0">
      <w:pPr>
        <w:rPr>
          <w:color w:val="auto"/>
          <w:highlight w:val="none"/>
          <w:lang w:val="zh-CN"/>
        </w:rPr>
      </w:pPr>
    </w:p>
    <w:p w14:paraId="0EB5A94D">
      <w:pPr>
        <w:pStyle w:val="2"/>
        <w:jc w:val="center"/>
        <w:rPr>
          <w:rFonts w:ascii="宋体" w:hAnsi="宋体" w:cs="宋体"/>
          <w:color w:val="auto"/>
          <w:kern w:val="0"/>
          <w:sz w:val="24"/>
          <w:highlight w:val="none"/>
        </w:rPr>
      </w:pPr>
      <w:r>
        <w:rPr>
          <w:rFonts w:hint="eastAsia" w:ascii="宋体" w:hAnsi="宋体" w:cs="宋体"/>
          <w:color w:val="auto"/>
          <w:kern w:val="0"/>
          <w:sz w:val="24"/>
          <w:highlight w:val="none"/>
        </w:rPr>
        <w:t>（格式自拟）</w:t>
      </w:r>
    </w:p>
    <w:p w14:paraId="2A02892A">
      <w:pPr>
        <w:rPr>
          <w:rFonts w:ascii="宋体" w:hAnsi="宋体" w:cs="宋体"/>
          <w:color w:val="auto"/>
          <w:kern w:val="0"/>
          <w:sz w:val="24"/>
          <w:highlight w:val="none"/>
          <w:lang w:val="zh-CN"/>
        </w:rPr>
      </w:pPr>
    </w:p>
    <w:p w14:paraId="40918369">
      <w:pPr>
        <w:pStyle w:val="2"/>
        <w:rPr>
          <w:rFonts w:ascii="宋体" w:hAnsi="宋体" w:cs="宋体"/>
          <w:color w:val="auto"/>
          <w:kern w:val="0"/>
          <w:sz w:val="24"/>
          <w:highlight w:val="none"/>
          <w:lang w:val="zh-CN"/>
        </w:rPr>
      </w:pPr>
    </w:p>
    <w:p w14:paraId="40C44791">
      <w:pPr>
        <w:rPr>
          <w:rFonts w:ascii="宋体" w:hAnsi="宋体" w:cs="宋体"/>
          <w:color w:val="auto"/>
          <w:kern w:val="0"/>
          <w:sz w:val="24"/>
          <w:highlight w:val="none"/>
          <w:lang w:val="zh-CN"/>
        </w:rPr>
      </w:pPr>
    </w:p>
    <w:p w14:paraId="12A8DBFB">
      <w:pPr>
        <w:pStyle w:val="2"/>
        <w:rPr>
          <w:color w:val="auto"/>
          <w:highlight w:val="none"/>
          <w:lang w:val="zh-CN"/>
        </w:rPr>
      </w:pPr>
    </w:p>
    <w:p w14:paraId="20FDFD11">
      <w:pPr>
        <w:rPr>
          <w:color w:val="auto"/>
          <w:highlight w:val="none"/>
          <w:lang w:val="zh-CN"/>
        </w:rPr>
      </w:pPr>
    </w:p>
    <w:p w14:paraId="71C58B0D">
      <w:pPr>
        <w:pStyle w:val="2"/>
        <w:ind w:firstLine="3840" w:firstLineChars="16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供应商名称（盖公章）：</w:t>
      </w:r>
    </w:p>
    <w:p w14:paraId="32599EAF">
      <w:pPr>
        <w:pStyle w:val="2"/>
        <w:ind w:firstLine="6000" w:firstLineChars="2500"/>
        <w:rPr>
          <w:rFonts w:ascii="宋体" w:hAnsi="宋体" w:cs="宋体"/>
          <w:b w:val="0"/>
          <w:bCs w:val="0"/>
          <w:color w:val="auto"/>
          <w:kern w:val="0"/>
          <w:sz w:val="24"/>
          <w:highlight w:val="none"/>
          <w:lang w:val="zh-CN"/>
        </w:rPr>
      </w:pPr>
      <w:r>
        <w:rPr>
          <w:rFonts w:hint="eastAsia" w:ascii="宋体" w:hAnsi="宋体" w:cs="宋体"/>
          <w:b w:val="0"/>
          <w:bCs w:val="0"/>
          <w:color w:val="auto"/>
          <w:kern w:val="0"/>
          <w:sz w:val="24"/>
          <w:highlight w:val="none"/>
          <w:lang w:val="zh-CN"/>
        </w:rPr>
        <w:t>日期：  年  月   日</w:t>
      </w:r>
    </w:p>
    <w:p w14:paraId="13C93A00">
      <w:pPr>
        <w:pStyle w:val="2"/>
        <w:rPr>
          <w:rFonts w:ascii="宋体" w:hAnsi="宋体" w:cs="宋体"/>
          <w:color w:val="auto"/>
          <w:sz w:val="28"/>
          <w:szCs w:val="28"/>
          <w:highlight w:val="none"/>
        </w:rPr>
      </w:pPr>
    </w:p>
    <w:p w14:paraId="10626A9D">
      <w:pPr>
        <w:snapToGrid w:val="0"/>
        <w:spacing w:line="360" w:lineRule="auto"/>
        <w:rPr>
          <w:rFonts w:ascii="宋体" w:hAnsi="宋体" w:cs="宋体"/>
          <w:b/>
          <w:color w:val="auto"/>
          <w:sz w:val="28"/>
          <w:szCs w:val="28"/>
          <w:highlight w:val="none"/>
        </w:rPr>
      </w:pPr>
    </w:p>
    <w:p w14:paraId="395A1535">
      <w:pPr>
        <w:snapToGrid w:val="0"/>
        <w:spacing w:line="360" w:lineRule="auto"/>
        <w:rPr>
          <w:rFonts w:ascii="宋体" w:hAnsi="宋体" w:cs="宋体"/>
          <w:b/>
          <w:color w:val="auto"/>
          <w:sz w:val="28"/>
          <w:szCs w:val="28"/>
          <w:highlight w:val="none"/>
        </w:rPr>
      </w:pPr>
      <w:r>
        <w:rPr>
          <w:rFonts w:hint="eastAsia" w:ascii="宋体" w:hAnsi="宋体" w:cs="宋体"/>
          <w:b/>
          <w:color w:val="auto"/>
          <w:sz w:val="28"/>
          <w:szCs w:val="28"/>
          <w:highlight w:val="none"/>
        </w:rPr>
        <w:t>11.项目实施人员一览表（如有要求）</w:t>
      </w:r>
    </w:p>
    <w:p w14:paraId="65E1E5BA">
      <w:pPr>
        <w:spacing w:line="360" w:lineRule="auto"/>
        <w:jc w:val="center"/>
        <w:rPr>
          <w:rFonts w:ascii="宋体" w:hAnsi="宋体" w:cs="宋体"/>
          <w:color w:val="auto"/>
          <w:sz w:val="24"/>
          <w:highlight w:val="none"/>
        </w:rPr>
      </w:pPr>
      <w:r>
        <w:rPr>
          <w:rFonts w:hint="eastAsia" w:ascii="宋体" w:hAnsi="宋体" w:cs="宋体"/>
          <w:color w:val="auto"/>
          <w:sz w:val="24"/>
          <w:highlight w:val="none"/>
        </w:rPr>
        <w:t>（由供应商根据采购需求及采购文件要求编制）</w:t>
      </w:r>
    </w:p>
    <w:p w14:paraId="29D939F7">
      <w:pPr>
        <w:pStyle w:val="23"/>
        <w:rPr>
          <w:color w:val="auto"/>
          <w:highlight w:val="none"/>
        </w:rPr>
      </w:pPr>
    </w:p>
    <w:p w14:paraId="451BC740">
      <w:pPr>
        <w:spacing w:line="360" w:lineRule="auto"/>
        <w:rPr>
          <w:rFonts w:ascii="宋体" w:hAnsi="宋体" w:cs="宋体"/>
          <w:color w:val="auto"/>
          <w:kern w:val="0"/>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p>
    <w:p w14:paraId="2FB004A6">
      <w:pPr>
        <w:keepNext/>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附表A:本项目的项目负责人情况表</w:t>
      </w:r>
    </w:p>
    <w:tbl>
      <w:tblPr>
        <w:tblStyle w:val="31"/>
        <w:tblW w:w="8755" w:type="dxa"/>
        <w:tblInd w:w="-116" w:type="dxa"/>
        <w:tblLayout w:type="fixed"/>
        <w:tblCellMar>
          <w:top w:w="0" w:type="dxa"/>
          <w:left w:w="108" w:type="dxa"/>
          <w:bottom w:w="0" w:type="dxa"/>
          <w:right w:w="108" w:type="dxa"/>
        </w:tblCellMar>
      </w:tblPr>
      <w:tblGrid>
        <w:gridCol w:w="2061"/>
        <w:gridCol w:w="1287"/>
        <w:gridCol w:w="1260"/>
        <w:gridCol w:w="4147"/>
      </w:tblGrid>
      <w:tr w14:paraId="02E33CB4">
        <w:tblPrEx>
          <w:tblCellMar>
            <w:top w:w="0" w:type="dxa"/>
            <w:left w:w="108" w:type="dxa"/>
            <w:bottom w:w="0" w:type="dxa"/>
            <w:right w:w="108" w:type="dxa"/>
          </w:tblCellMar>
        </w:tblPrEx>
        <w:trPr>
          <w:trHeight w:val="604"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BA7852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D8B17A8">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54BF86C">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4147" w:type="dxa"/>
            <w:tcBorders>
              <w:top w:val="single" w:color="auto" w:sz="6" w:space="0"/>
              <w:left w:val="single" w:color="auto" w:sz="6" w:space="0"/>
              <w:bottom w:val="single" w:color="auto" w:sz="6" w:space="0"/>
              <w:right w:val="single" w:color="auto" w:sz="6" w:space="0"/>
            </w:tcBorders>
            <w:vAlign w:val="center"/>
          </w:tcPr>
          <w:p w14:paraId="39AA919E">
            <w:pPr>
              <w:autoSpaceDE w:val="0"/>
              <w:autoSpaceDN w:val="0"/>
              <w:spacing w:line="360" w:lineRule="auto"/>
              <w:rPr>
                <w:rFonts w:ascii="宋体" w:hAnsi="宋体" w:cs="宋体"/>
                <w:color w:val="auto"/>
                <w:sz w:val="24"/>
                <w:highlight w:val="none"/>
              </w:rPr>
            </w:pPr>
            <w:r>
              <w:rPr>
                <w:rFonts w:hint="eastAsia" w:ascii="宋体" w:hAnsi="宋体" w:cs="宋体"/>
                <w:color w:val="auto"/>
                <w:sz w:val="24"/>
                <w:highlight w:val="none"/>
              </w:rPr>
              <w:t>响应截止时间前三年业绩及承担的主要工作情况，曾担任项目负责人的项目应列明细。</w:t>
            </w:r>
          </w:p>
        </w:tc>
      </w:tr>
      <w:tr w14:paraId="26C5BB20">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11EDCDF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性别</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E4FA0FC">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22EC03C7">
            <w:pPr>
              <w:autoSpaceDE w:val="0"/>
              <w:autoSpaceDN w:val="0"/>
              <w:spacing w:line="360" w:lineRule="auto"/>
              <w:jc w:val="center"/>
              <w:rPr>
                <w:rFonts w:ascii="宋体" w:hAnsi="宋体" w:cs="宋体"/>
                <w:color w:val="auto"/>
                <w:sz w:val="24"/>
                <w:highlight w:val="none"/>
              </w:rPr>
            </w:pPr>
          </w:p>
        </w:tc>
        <w:tc>
          <w:tcPr>
            <w:tcW w:w="4147" w:type="dxa"/>
            <w:vMerge w:val="restart"/>
            <w:tcBorders>
              <w:top w:val="single" w:color="auto" w:sz="6" w:space="0"/>
              <w:left w:val="single" w:color="auto" w:sz="6" w:space="0"/>
              <w:bottom w:val="single" w:color="auto" w:sz="6" w:space="0"/>
              <w:right w:val="single" w:color="auto" w:sz="6" w:space="0"/>
            </w:tcBorders>
            <w:vAlign w:val="center"/>
          </w:tcPr>
          <w:p w14:paraId="606B9B24">
            <w:pPr>
              <w:autoSpaceDE w:val="0"/>
              <w:autoSpaceDN w:val="0"/>
              <w:spacing w:line="360" w:lineRule="auto"/>
              <w:jc w:val="center"/>
              <w:rPr>
                <w:rFonts w:ascii="宋体" w:hAnsi="宋体" w:cs="宋体"/>
                <w:color w:val="auto"/>
                <w:sz w:val="24"/>
                <w:highlight w:val="none"/>
              </w:rPr>
            </w:pPr>
          </w:p>
        </w:tc>
      </w:tr>
      <w:tr w14:paraId="7EBB66A3">
        <w:tblPrEx>
          <w:tblCellMar>
            <w:top w:w="0" w:type="dxa"/>
            <w:left w:w="108" w:type="dxa"/>
            <w:bottom w:w="0" w:type="dxa"/>
            <w:right w:w="108" w:type="dxa"/>
          </w:tblCellMar>
        </w:tblPrEx>
        <w:trPr>
          <w:cantSplit/>
          <w:trHeight w:val="337"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46C6FC71">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年龄</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6C277395">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1605D1C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371434F5">
            <w:pPr>
              <w:autoSpaceDE w:val="0"/>
              <w:autoSpaceDN w:val="0"/>
              <w:spacing w:line="360" w:lineRule="auto"/>
              <w:jc w:val="center"/>
              <w:rPr>
                <w:rFonts w:ascii="宋体" w:hAnsi="宋体" w:cs="宋体"/>
                <w:color w:val="auto"/>
                <w:sz w:val="24"/>
                <w:highlight w:val="none"/>
              </w:rPr>
            </w:pPr>
          </w:p>
        </w:tc>
      </w:tr>
      <w:tr w14:paraId="244CCD9B">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4F496EC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tc>
        <w:tc>
          <w:tcPr>
            <w:tcW w:w="1287" w:type="dxa"/>
            <w:tcBorders>
              <w:top w:val="single" w:color="auto" w:sz="6" w:space="0"/>
              <w:left w:val="single" w:color="auto" w:sz="6" w:space="0"/>
              <w:bottom w:val="single" w:color="auto" w:sz="6" w:space="0"/>
              <w:right w:val="single" w:color="auto" w:sz="4" w:space="0"/>
            </w:tcBorders>
            <w:vAlign w:val="center"/>
          </w:tcPr>
          <w:p w14:paraId="207CC631">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4B9A1C0">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5458D192">
            <w:pPr>
              <w:autoSpaceDE w:val="0"/>
              <w:autoSpaceDN w:val="0"/>
              <w:spacing w:line="360" w:lineRule="auto"/>
              <w:jc w:val="center"/>
              <w:rPr>
                <w:rFonts w:ascii="宋体" w:hAnsi="宋体" w:cs="宋体"/>
                <w:color w:val="auto"/>
                <w:sz w:val="24"/>
                <w:highlight w:val="none"/>
              </w:rPr>
            </w:pPr>
          </w:p>
        </w:tc>
      </w:tr>
      <w:tr w14:paraId="72211413">
        <w:tblPrEx>
          <w:tblCellMar>
            <w:top w:w="0" w:type="dxa"/>
            <w:left w:w="108" w:type="dxa"/>
            <w:bottom w:w="0" w:type="dxa"/>
            <w:right w:w="108" w:type="dxa"/>
          </w:tblCellMar>
        </w:tblPrEx>
        <w:trPr>
          <w:cantSplit/>
          <w:trHeight w:val="345" w:hRule="atLeast"/>
        </w:trPr>
        <w:tc>
          <w:tcPr>
            <w:tcW w:w="2061" w:type="dxa"/>
            <w:tcBorders>
              <w:top w:val="single" w:color="auto" w:sz="6" w:space="0"/>
              <w:left w:val="single" w:color="auto" w:sz="6" w:space="0"/>
              <w:bottom w:val="single" w:color="auto" w:sz="6" w:space="0"/>
              <w:right w:val="single" w:color="auto" w:sz="6" w:space="0"/>
            </w:tcBorders>
            <w:vAlign w:val="center"/>
          </w:tcPr>
          <w:p w14:paraId="270F3DB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毕业时间</w:t>
            </w:r>
          </w:p>
        </w:tc>
        <w:tc>
          <w:tcPr>
            <w:tcW w:w="1287" w:type="dxa"/>
            <w:tcBorders>
              <w:top w:val="single" w:color="auto" w:sz="6" w:space="0"/>
              <w:left w:val="single" w:color="auto" w:sz="6" w:space="0"/>
              <w:bottom w:val="single" w:color="auto" w:sz="6" w:space="0"/>
              <w:right w:val="single" w:color="auto" w:sz="4" w:space="0"/>
            </w:tcBorders>
            <w:vAlign w:val="center"/>
          </w:tcPr>
          <w:p w14:paraId="685F624B">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462F623A">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A8502BD">
            <w:pPr>
              <w:autoSpaceDE w:val="0"/>
              <w:autoSpaceDN w:val="0"/>
              <w:spacing w:line="360" w:lineRule="auto"/>
              <w:jc w:val="center"/>
              <w:rPr>
                <w:rFonts w:ascii="宋体" w:hAnsi="宋体" w:cs="宋体"/>
                <w:color w:val="auto"/>
                <w:sz w:val="24"/>
                <w:highlight w:val="none"/>
              </w:rPr>
            </w:pPr>
          </w:p>
        </w:tc>
      </w:tr>
      <w:tr w14:paraId="5854BDF4">
        <w:tblPrEx>
          <w:tblCellMar>
            <w:top w:w="0" w:type="dxa"/>
            <w:left w:w="108" w:type="dxa"/>
            <w:bottom w:w="0" w:type="dxa"/>
            <w:right w:w="108" w:type="dxa"/>
          </w:tblCellMar>
        </w:tblPrEx>
        <w:trPr>
          <w:cantSplit/>
          <w:trHeight w:val="422" w:hRule="atLeast"/>
        </w:trPr>
        <w:tc>
          <w:tcPr>
            <w:tcW w:w="2061" w:type="dxa"/>
            <w:tcBorders>
              <w:top w:val="single" w:color="auto" w:sz="6" w:space="0"/>
              <w:left w:val="single" w:color="auto" w:sz="6" w:space="0"/>
              <w:bottom w:val="single" w:color="auto" w:sz="6" w:space="0"/>
              <w:right w:val="single" w:color="auto" w:sz="6" w:space="0"/>
            </w:tcBorders>
            <w:vAlign w:val="center"/>
          </w:tcPr>
          <w:p w14:paraId="55279E37">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所学专业</w:t>
            </w:r>
          </w:p>
        </w:tc>
        <w:tc>
          <w:tcPr>
            <w:tcW w:w="1287" w:type="dxa"/>
            <w:tcBorders>
              <w:top w:val="single" w:color="auto" w:sz="6" w:space="0"/>
              <w:left w:val="single" w:color="auto" w:sz="6" w:space="0"/>
              <w:bottom w:val="single" w:color="auto" w:sz="6" w:space="0"/>
              <w:right w:val="single" w:color="auto" w:sz="4" w:space="0"/>
            </w:tcBorders>
            <w:vAlign w:val="center"/>
          </w:tcPr>
          <w:p w14:paraId="57223FC6">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7DA25A00">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AAF78D0">
            <w:pPr>
              <w:autoSpaceDE w:val="0"/>
              <w:autoSpaceDN w:val="0"/>
              <w:spacing w:line="360" w:lineRule="auto"/>
              <w:jc w:val="center"/>
              <w:rPr>
                <w:rFonts w:ascii="宋体" w:hAnsi="宋体" w:cs="宋体"/>
                <w:color w:val="auto"/>
                <w:sz w:val="24"/>
                <w:highlight w:val="none"/>
              </w:rPr>
            </w:pPr>
          </w:p>
        </w:tc>
      </w:tr>
      <w:tr w14:paraId="3807D7D1">
        <w:tblPrEx>
          <w:tblCellMar>
            <w:top w:w="0" w:type="dxa"/>
            <w:left w:w="108" w:type="dxa"/>
            <w:bottom w:w="0" w:type="dxa"/>
            <w:right w:w="108" w:type="dxa"/>
          </w:tblCellMar>
        </w:tblPrEx>
        <w:trPr>
          <w:cantSplit/>
          <w:trHeight w:val="416" w:hRule="atLeast"/>
        </w:trPr>
        <w:tc>
          <w:tcPr>
            <w:tcW w:w="2061" w:type="dxa"/>
            <w:tcBorders>
              <w:top w:val="single" w:color="auto" w:sz="6" w:space="0"/>
              <w:left w:val="single" w:color="auto" w:sz="6" w:space="0"/>
              <w:bottom w:val="single" w:color="auto" w:sz="6" w:space="0"/>
              <w:right w:val="single" w:color="auto" w:sz="6" w:space="0"/>
            </w:tcBorders>
            <w:vAlign w:val="center"/>
          </w:tcPr>
          <w:p w14:paraId="78FBF0E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学历</w:t>
            </w:r>
          </w:p>
        </w:tc>
        <w:tc>
          <w:tcPr>
            <w:tcW w:w="1287" w:type="dxa"/>
            <w:tcBorders>
              <w:top w:val="single" w:color="auto" w:sz="6" w:space="0"/>
              <w:left w:val="single" w:color="auto" w:sz="6" w:space="0"/>
              <w:bottom w:val="single" w:color="auto" w:sz="6" w:space="0"/>
              <w:right w:val="single" w:color="auto" w:sz="4" w:space="0"/>
            </w:tcBorders>
            <w:vAlign w:val="center"/>
          </w:tcPr>
          <w:p w14:paraId="3C54F06E">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3BACEBE4">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663D89EB">
            <w:pPr>
              <w:autoSpaceDE w:val="0"/>
              <w:autoSpaceDN w:val="0"/>
              <w:spacing w:line="360" w:lineRule="auto"/>
              <w:jc w:val="center"/>
              <w:rPr>
                <w:rFonts w:ascii="宋体" w:hAnsi="宋体" w:cs="宋体"/>
                <w:color w:val="auto"/>
                <w:sz w:val="24"/>
                <w:highlight w:val="none"/>
              </w:rPr>
            </w:pPr>
          </w:p>
        </w:tc>
      </w:tr>
      <w:tr w14:paraId="357467E2">
        <w:tblPrEx>
          <w:tblCellMar>
            <w:top w:w="0" w:type="dxa"/>
            <w:left w:w="108" w:type="dxa"/>
            <w:bottom w:w="0" w:type="dxa"/>
            <w:right w:w="108" w:type="dxa"/>
          </w:tblCellMar>
        </w:tblPrEx>
        <w:trPr>
          <w:cantSplit/>
          <w:trHeight w:val="356" w:hRule="atLeast"/>
        </w:trPr>
        <w:tc>
          <w:tcPr>
            <w:tcW w:w="2061" w:type="dxa"/>
            <w:tcBorders>
              <w:top w:val="single" w:color="auto" w:sz="6" w:space="0"/>
              <w:left w:val="single" w:color="auto" w:sz="6" w:space="0"/>
              <w:bottom w:val="single" w:color="auto" w:sz="6" w:space="0"/>
              <w:right w:val="single" w:color="auto" w:sz="6" w:space="0"/>
            </w:tcBorders>
            <w:vAlign w:val="center"/>
          </w:tcPr>
          <w:p w14:paraId="105EF3EF">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资质证书编号</w:t>
            </w:r>
          </w:p>
        </w:tc>
        <w:tc>
          <w:tcPr>
            <w:tcW w:w="1287" w:type="dxa"/>
            <w:tcBorders>
              <w:top w:val="single" w:color="auto" w:sz="6" w:space="0"/>
              <w:left w:val="single" w:color="auto" w:sz="6" w:space="0"/>
              <w:bottom w:val="single" w:color="auto" w:sz="6" w:space="0"/>
              <w:right w:val="single" w:color="auto" w:sz="4" w:space="0"/>
            </w:tcBorders>
            <w:vAlign w:val="center"/>
          </w:tcPr>
          <w:p w14:paraId="05AC3ADA">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8A648F2">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4797D32A">
            <w:pPr>
              <w:autoSpaceDE w:val="0"/>
              <w:autoSpaceDN w:val="0"/>
              <w:spacing w:line="360" w:lineRule="auto"/>
              <w:jc w:val="center"/>
              <w:rPr>
                <w:rFonts w:ascii="宋体" w:hAnsi="宋体" w:cs="宋体"/>
                <w:color w:val="auto"/>
                <w:sz w:val="24"/>
                <w:highlight w:val="none"/>
              </w:rPr>
            </w:pPr>
          </w:p>
        </w:tc>
      </w:tr>
      <w:tr w14:paraId="2EA72AF9">
        <w:tblPrEx>
          <w:tblCellMar>
            <w:top w:w="0" w:type="dxa"/>
            <w:left w:w="108" w:type="dxa"/>
            <w:bottom w:w="0" w:type="dxa"/>
            <w:right w:w="108" w:type="dxa"/>
          </w:tblCellMar>
        </w:tblPrEx>
        <w:trPr>
          <w:cantSplit/>
          <w:trHeight w:val="177" w:hRule="atLeast"/>
        </w:trPr>
        <w:tc>
          <w:tcPr>
            <w:tcW w:w="2061" w:type="dxa"/>
            <w:tcBorders>
              <w:top w:val="single" w:color="auto" w:sz="6" w:space="0"/>
              <w:left w:val="single" w:color="auto" w:sz="6" w:space="0"/>
              <w:bottom w:val="single" w:color="auto" w:sz="6" w:space="0"/>
              <w:right w:val="single" w:color="auto" w:sz="6" w:space="0"/>
            </w:tcBorders>
            <w:vAlign w:val="center"/>
          </w:tcPr>
          <w:p w14:paraId="48F28F58">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其他资质情况</w:t>
            </w:r>
          </w:p>
        </w:tc>
        <w:tc>
          <w:tcPr>
            <w:tcW w:w="1287" w:type="dxa"/>
            <w:tcBorders>
              <w:top w:val="single" w:color="auto" w:sz="6" w:space="0"/>
              <w:left w:val="single" w:color="auto" w:sz="6" w:space="0"/>
              <w:bottom w:val="single" w:color="auto" w:sz="6" w:space="0"/>
              <w:right w:val="single" w:color="auto" w:sz="4" w:space="0"/>
            </w:tcBorders>
            <w:vAlign w:val="center"/>
          </w:tcPr>
          <w:p w14:paraId="221E9BF9">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vAlign w:val="center"/>
          </w:tcPr>
          <w:p w14:paraId="13DB1C3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9CCC615">
            <w:pPr>
              <w:autoSpaceDE w:val="0"/>
              <w:autoSpaceDN w:val="0"/>
              <w:spacing w:line="360" w:lineRule="auto"/>
              <w:jc w:val="center"/>
              <w:rPr>
                <w:rFonts w:ascii="宋体" w:hAnsi="宋体" w:cs="宋体"/>
                <w:color w:val="auto"/>
                <w:sz w:val="24"/>
                <w:highlight w:val="none"/>
              </w:rPr>
            </w:pPr>
          </w:p>
        </w:tc>
      </w:tr>
      <w:tr w14:paraId="43433E43">
        <w:tblPrEx>
          <w:tblCellMar>
            <w:top w:w="0" w:type="dxa"/>
            <w:left w:w="108" w:type="dxa"/>
            <w:bottom w:w="0" w:type="dxa"/>
            <w:right w:w="108" w:type="dxa"/>
          </w:tblCellMar>
        </w:tblPrEx>
        <w:trPr>
          <w:cantSplit/>
          <w:trHeight w:val="169" w:hRule="atLeast"/>
        </w:trPr>
        <w:tc>
          <w:tcPr>
            <w:tcW w:w="2061" w:type="dxa"/>
            <w:tcBorders>
              <w:top w:val="single" w:color="auto" w:sz="6" w:space="0"/>
              <w:left w:val="single" w:color="auto" w:sz="6" w:space="0"/>
              <w:bottom w:val="single" w:color="auto" w:sz="6" w:space="0"/>
              <w:right w:val="single" w:color="auto" w:sz="6" w:space="0"/>
            </w:tcBorders>
            <w:shd w:val="clear" w:color="auto" w:fill="auto"/>
            <w:vAlign w:val="center"/>
          </w:tcPr>
          <w:p w14:paraId="34291839">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联系电话</w:t>
            </w:r>
          </w:p>
        </w:tc>
        <w:tc>
          <w:tcPr>
            <w:tcW w:w="1287" w:type="dxa"/>
            <w:tcBorders>
              <w:top w:val="single" w:color="auto" w:sz="6" w:space="0"/>
              <w:left w:val="single" w:color="auto" w:sz="6" w:space="0"/>
              <w:bottom w:val="single" w:color="auto" w:sz="6" w:space="0"/>
              <w:right w:val="single" w:color="auto" w:sz="4" w:space="0"/>
            </w:tcBorders>
            <w:shd w:val="clear" w:color="auto" w:fill="auto"/>
            <w:vAlign w:val="center"/>
          </w:tcPr>
          <w:p w14:paraId="2EBB40F5">
            <w:pPr>
              <w:autoSpaceDE w:val="0"/>
              <w:autoSpaceDN w:val="0"/>
              <w:spacing w:line="360" w:lineRule="auto"/>
              <w:jc w:val="center"/>
              <w:rPr>
                <w:rFonts w:ascii="宋体" w:hAnsi="宋体" w:cs="宋体"/>
                <w:color w:val="auto"/>
                <w:sz w:val="24"/>
                <w:highlight w:val="none"/>
              </w:rPr>
            </w:pPr>
          </w:p>
        </w:tc>
        <w:tc>
          <w:tcPr>
            <w:tcW w:w="1260" w:type="dxa"/>
            <w:tcBorders>
              <w:top w:val="single" w:color="auto" w:sz="6" w:space="0"/>
              <w:left w:val="single" w:color="auto" w:sz="4" w:space="0"/>
              <w:bottom w:val="single" w:color="auto" w:sz="6" w:space="0"/>
              <w:right w:val="single" w:color="auto" w:sz="6" w:space="0"/>
            </w:tcBorders>
            <w:shd w:val="clear" w:color="auto" w:fill="auto"/>
            <w:vAlign w:val="center"/>
          </w:tcPr>
          <w:p w14:paraId="4BA7B931">
            <w:pPr>
              <w:autoSpaceDE w:val="0"/>
              <w:autoSpaceDN w:val="0"/>
              <w:spacing w:line="360" w:lineRule="auto"/>
              <w:jc w:val="center"/>
              <w:rPr>
                <w:rFonts w:ascii="宋体" w:hAnsi="宋体" w:cs="宋体"/>
                <w:color w:val="auto"/>
                <w:sz w:val="24"/>
                <w:highlight w:val="none"/>
              </w:rPr>
            </w:pPr>
          </w:p>
        </w:tc>
        <w:tc>
          <w:tcPr>
            <w:tcW w:w="4147" w:type="dxa"/>
            <w:vMerge w:val="continue"/>
            <w:tcBorders>
              <w:top w:val="single" w:color="auto" w:sz="6" w:space="0"/>
              <w:left w:val="single" w:color="auto" w:sz="6" w:space="0"/>
              <w:bottom w:val="single" w:color="auto" w:sz="6" w:space="0"/>
              <w:right w:val="single" w:color="auto" w:sz="6" w:space="0"/>
            </w:tcBorders>
            <w:vAlign w:val="center"/>
          </w:tcPr>
          <w:p w14:paraId="7369EBD2">
            <w:pPr>
              <w:autoSpaceDE w:val="0"/>
              <w:autoSpaceDN w:val="0"/>
              <w:spacing w:line="360" w:lineRule="auto"/>
              <w:jc w:val="center"/>
              <w:rPr>
                <w:rFonts w:ascii="宋体" w:hAnsi="宋体" w:cs="宋体"/>
                <w:color w:val="auto"/>
                <w:sz w:val="24"/>
                <w:highlight w:val="none"/>
              </w:rPr>
            </w:pPr>
          </w:p>
        </w:tc>
      </w:tr>
    </w:tbl>
    <w:p w14:paraId="60D0069C">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注：供应商可参照上述的格式自行编制，并注明所在响应技术文件页码。</w:t>
      </w:r>
    </w:p>
    <w:p w14:paraId="34A22855">
      <w:pPr>
        <w:autoSpaceDE w:val="0"/>
        <w:autoSpaceDN w:val="0"/>
        <w:spacing w:line="360" w:lineRule="auto"/>
        <w:rPr>
          <w:rFonts w:ascii="宋体" w:hAnsi="宋体" w:cs="宋体"/>
          <w:b/>
          <w:color w:val="auto"/>
          <w:sz w:val="24"/>
          <w:highlight w:val="none"/>
        </w:rPr>
      </w:pPr>
    </w:p>
    <w:p w14:paraId="6FBB5C29">
      <w:pPr>
        <w:autoSpaceDE w:val="0"/>
        <w:autoSpaceDN w:val="0"/>
        <w:spacing w:line="360" w:lineRule="auto"/>
        <w:rPr>
          <w:rFonts w:ascii="宋体" w:hAnsi="宋体" w:cs="宋体"/>
          <w:b/>
          <w:color w:val="auto"/>
          <w:sz w:val="24"/>
          <w:highlight w:val="none"/>
        </w:rPr>
      </w:pPr>
      <w:r>
        <w:rPr>
          <w:rFonts w:hint="eastAsia" w:ascii="宋体" w:hAnsi="宋体" w:cs="宋体"/>
          <w:b/>
          <w:color w:val="auto"/>
          <w:sz w:val="24"/>
          <w:highlight w:val="none"/>
        </w:rPr>
        <w:t>附表B:本项目的项目小组人员情况表</w:t>
      </w:r>
    </w:p>
    <w:tbl>
      <w:tblPr>
        <w:tblStyle w:val="31"/>
        <w:tblW w:w="9030" w:type="dxa"/>
        <w:tblInd w:w="-8" w:type="dxa"/>
        <w:tblLayout w:type="fixed"/>
        <w:tblCellMar>
          <w:top w:w="0" w:type="dxa"/>
          <w:left w:w="108" w:type="dxa"/>
          <w:bottom w:w="0" w:type="dxa"/>
          <w:right w:w="108" w:type="dxa"/>
        </w:tblCellMar>
      </w:tblPr>
      <w:tblGrid>
        <w:gridCol w:w="420"/>
        <w:gridCol w:w="787"/>
        <w:gridCol w:w="412"/>
        <w:gridCol w:w="586"/>
        <w:gridCol w:w="1035"/>
        <w:gridCol w:w="1080"/>
        <w:gridCol w:w="1080"/>
        <w:gridCol w:w="1260"/>
        <w:gridCol w:w="900"/>
        <w:gridCol w:w="1470"/>
      </w:tblGrid>
      <w:tr w14:paraId="6F12CD58">
        <w:tblPrEx>
          <w:tblCellMar>
            <w:top w:w="0" w:type="dxa"/>
            <w:left w:w="108" w:type="dxa"/>
            <w:bottom w:w="0" w:type="dxa"/>
            <w:right w:w="108" w:type="dxa"/>
          </w:tblCellMar>
        </w:tblPrEx>
        <w:tc>
          <w:tcPr>
            <w:tcW w:w="420" w:type="dxa"/>
            <w:tcBorders>
              <w:top w:val="single" w:color="auto" w:sz="6" w:space="0"/>
              <w:left w:val="single" w:color="auto" w:sz="6" w:space="0"/>
              <w:bottom w:val="single" w:color="auto" w:sz="6" w:space="0"/>
              <w:right w:val="single" w:color="auto" w:sz="6" w:space="0"/>
            </w:tcBorders>
            <w:vAlign w:val="center"/>
          </w:tcPr>
          <w:p w14:paraId="7861E57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序号</w:t>
            </w:r>
          </w:p>
        </w:tc>
        <w:tc>
          <w:tcPr>
            <w:tcW w:w="787" w:type="dxa"/>
            <w:tcBorders>
              <w:top w:val="single" w:color="auto" w:sz="6" w:space="0"/>
              <w:left w:val="single" w:color="auto" w:sz="6" w:space="0"/>
              <w:bottom w:val="single" w:color="auto" w:sz="6" w:space="0"/>
              <w:right w:val="single" w:color="auto" w:sz="6" w:space="0"/>
            </w:tcBorders>
            <w:vAlign w:val="center"/>
          </w:tcPr>
          <w:p w14:paraId="61E2C88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姓名</w:t>
            </w:r>
          </w:p>
        </w:tc>
        <w:tc>
          <w:tcPr>
            <w:tcW w:w="412" w:type="dxa"/>
            <w:tcBorders>
              <w:top w:val="single" w:color="auto" w:sz="6" w:space="0"/>
              <w:left w:val="single" w:color="auto" w:sz="6" w:space="0"/>
              <w:bottom w:val="single" w:color="auto" w:sz="6" w:space="0"/>
              <w:right w:val="single" w:color="auto" w:sz="6" w:space="0"/>
            </w:tcBorders>
            <w:vAlign w:val="center"/>
          </w:tcPr>
          <w:p w14:paraId="01DC2ED8">
            <w:pPr>
              <w:autoSpaceDE w:val="0"/>
              <w:autoSpaceDN w:val="0"/>
              <w:spacing w:line="360" w:lineRule="auto"/>
              <w:jc w:val="center"/>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vAlign w:val="center"/>
          </w:tcPr>
          <w:p w14:paraId="2DDD77ED">
            <w:pPr>
              <w:autoSpaceDE w:val="0"/>
              <w:autoSpaceDN w:val="0"/>
              <w:spacing w:line="360" w:lineRule="auto"/>
              <w:jc w:val="center"/>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vAlign w:val="center"/>
          </w:tcPr>
          <w:p w14:paraId="2E6F8E24">
            <w:pPr>
              <w:autoSpaceDE w:val="0"/>
              <w:autoSpaceDN w:val="0"/>
              <w:spacing w:line="360" w:lineRule="auto"/>
              <w:jc w:val="center"/>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vAlign w:val="center"/>
          </w:tcPr>
          <w:p w14:paraId="30325D4D">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专业</w:t>
            </w:r>
          </w:p>
          <w:p w14:paraId="5871838B">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080" w:type="dxa"/>
            <w:tcBorders>
              <w:top w:val="single" w:color="auto" w:sz="6" w:space="0"/>
              <w:left w:val="single" w:color="auto" w:sz="6" w:space="0"/>
              <w:bottom w:val="single" w:color="auto" w:sz="6" w:space="0"/>
              <w:right w:val="single" w:color="auto" w:sz="6" w:space="0"/>
            </w:tcBorders>
            <w:vAlign w:val="center"/>
          </w:tcPr>
          <w:p w14:paraId="064B7CE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职称</w:t>
            </w:r>
          </w:p>
          <w:p w14:paraId="3DCCB16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(页码)</w:t>
            </w:r>
          </w:p>
        </w:tc>
        <w:tc>
          <w:tcPr>
            <w:tcW w:w="1260" w:type="dxa"/>
            <w:tcBorders>
              <w:top w:val="single" w:color="auto" w:sz="6" w:space="0"/>
              <w:left w:val="single" w:color="auto" w:sz="6" w:space="0"/>
              <w:bottom w:val="single" w:color="auto" w:sz="6" w:space="0"/>
              <w:right w:val="single" w:color="auto" w:sz="6" w:space="0"/>
            </w:tcBorders>
            <w:vAlign w:val="center"/>
          </w:tcPr>
          <w:p w14:paraId="3E151F73">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本项目中的职责</w:t>
            </w:r>
          </w:p>
        </w:tc>
        <w:tc>
          <w:tcPr>
            <w:tcW w:w="900" w:type="dxa"/>
            <w:tcBorders>
              <w:top w:val="single" w:color="auto" w:sz="6" w:space="0"/>
              <w:left w:val="single" w:color="auto" w:sz="6" w:space="0"/>
              <w:bottom w:val="single" w:color="auto" w:sz="6" w:space="0"/>
              <w:right w:val="single" w:color="auto" w:sz="6" w:space="0"/>
            </w:tcBorders>
            <w:vAlign w:val="center"/>
          </w:tcPr>
          <w:p w14:paraId="4B6AE112">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项目经历</w:t>
            </w:r>
          </w:p>
        </w:tc>
        <w:tc>
          <w:tcPr>
            <w:tcW w:w="1470" w:type="dxa"/>
            <w:tcBorders>
              <w:top w:val="single" w:color="auto" w:sz="6" w:space="0"/>
              <w:left w:val="single" w:color="auto" w:sz="6" w:space="0"/>
              <w:bottom w:val="single" w:color="auto" w:sz="6" w:space="0"/>
              <w:right w:val="single" w:color="auto" w:sz="6" w:space="0"/>
            </w:tcBorders>
            <w:vAlign w:val="center"/>
          </w:tcPr>
          <w:p w14:paraId="3AA0EC36">
            <w:pPr>
              <w:autoSpaceDE w:val="0"/>
              <w:autoSpaceDN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参与本项目的到位情况</w:t>
            </w:r>
          </w:p>
        </w:tc>
      </w:tr>
      <w:tr w14:paraId="4DEB2997">
        <w:tblPrEx>
          <w:tblCellMar>
            <w:top w:w="0" w:type="dxa"/>
            <w:left w:w="108" w:type="dxa"/>
            <w:bottom w:w="0" w:type="dxa"/>
            <w:right w:w="108" w:type="dxa"/>
          </w:tblCellMar>
        </w:tblPrEx>
        <w:trPr>
          <w:trHeight w:val="479" w:hRule="atLeast"/>
        </w:trPr>
        <w:tc>
          <w:tcPr>
            <w:tcW w:w="420" w:type="dxa"/>
            <w:tcBorders>
              <w:top w:val="single" w:color="auto" w:sz="6" w:space="0"/>
              <w:left w:val="single" w:color="auto" w:sz="6" w:space="0"/>
              <w:bottom w:val="single" w:color="auto" w:sz="6" w:space="0"/>
              <w:right w:val="single" w:color="auto" w:sz="6" w:space="0"/>
            </w:tcBorders>
          </w:tcPr>
          <w:p w14:paraId="71033B6A">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61947FB">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6A67B8F6">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04FAA857">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6AB4E47E">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7E51490">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5684EBA2">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2B1CF38A">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32ED5816">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24B36DF7">
            <w:pPr>
              <w:autoSpaceDE w:val="0"/>
              <w:autoSpaceDN w:val="0"/>
              <w:spacing w:line="360" w:lineRule="auto"/>
              <w:rPr>
                <w:rFonts w:ascii="宋体" w:hAnsi="宋体" w:cs="宋体"/>
                <w:color w:val="auto"/>
                <w:sz w:val="24"/>
                <w:highlight w:val="none"/>
              </w:rPr>
            </w:pPr>
          </w:p>
        </w:tc>
      </w:tr>
      <w:tr w14:paraId="10925BF2">
        <w:tblPrEx>
          <w:tblCellMar>
            <w:top w:w="0" w:type="dxa"/>
            <w:left w:w="108" w:type="dxa"/>
            <w:bottom w:w="0" w:type="dxa"/>
            <w:right w:w="108" w:type="dxa"/>
          </w:tblCellMar>
        </w:tblPrEx>
        <w:trPr>
          <w:trHeight w:val="473" w:hRule="atLeast"/>
        </w:trPr>
        <w:tc>
          <w:tcPr>
            <w:tcW w:w="420" w:type="dxa"/>
            <w:tcBorders>
              <w:top w:val="single" w:color="auto" w:sz="6" w:space="0"/>
              <w:left w:val="single" w:color="auto" w:sz="6" w:space="0"/>
              <w:bottom w:val="single" w:color="auto" w:sz="6" w:space="0"/>
              <w:right w:val="single" w:color="auto" w:sz="6" w:space="0"/>
            </w:tcBorders>
          </w:tcPr>
          <w:p w14:paraId="4E531CB1">
            <w:pPr>
              <w:autoSpaceDE w:val="0"/>
              <w:autoSpaceDN w:val="0"/>
              <w:spacing w:line="360" w:lineRule="auto"/>
              <w:jc w:val="center"/>
              <w:rPr>
                <w:rFonts w:ascii="宋体" w:hAnsi="宋体" w:cs="宋体"/>
                <w:color w:val="auto"/>
                <w:sz w:val="24"/>
                <w:highlight w:val="none"/>
              </w:rPr>
            </w:pPr>
          </w:p>
        </w:tc>
        <w:tc>
          <w:tcPr>
            <w:tcW w:w="787" w:type="dxa"/>
            <w:tcBorders>
              <w:top w:val="single" w:color="auto" w:sz="6" w:space="0"/>
              <w:left w:val="single" w:color="auto" w:sz="6" w:space="0"/>
              <w:bottom w:val="single" w:color="auto" w:sz="6" w:space="0"/>
              <w:right w:val="single" w:color="auto" w:sz="6" w:space="0"/>
            </w:tcBorders>
          </w:tcPr>
          <w:p w14:paraId="55853928">
            <w:pPr>
              <w:autoSpaceDE w:val="0"/>
              <w:autoSpaceDN w:val="0"/>
              <w:spacing w:line="360" w:lineRule="auto"/>
              <w:rPr>
                <w:rFonts w:ascii="宋体" w:hAnsi="宋体" w:cs="宋体"/>
                <w:color w:val="auto"/>
                <w:sz w:val="24"/>
                <w:highlight w:val="none"/>
              </w:rPr>
            </w:pPr>
          </w:p>
        </w:tc>
        <w:tc>
          <w:tcPr>
            <w:tcW w:w="412" w:type="dxa"/>
            <w:tcBorders>
              <w:top w:val="single" w:color="auto" w:sz="6" w:space="0"/>
              <w:left w:val="single" w:color="auto" w:sz="6" w:space="0"/>
              <w:bottom w:val="single" w:color="auto" w:sz="6" w:space="0"/>
              <w:right w:val="single" w:color="auto" w:sz="6" w:space="0"/>
            </w:tcBorders>
          </w:tcPr>
          <w:p w14:paraId="0C53438F">
            <w:pPr>
              <w:autoSpaceDE w:val="0"/>
              <w:autoSpaceDN w:val="0"/>
              <w:spacing w:line="360" w:lineRule="auto"/>
              <w:rPr>
                <w:rFonts w:ascii="宋体" w:hAnsi="宋体" w:cs="宋体"/>
                <w:color w:val="auto"/>
                <w:sz w:val="24"/>
                <w:highlight w:val="none"/>
              </w:rPr>
            </w:pPr>
          </w:p>
        </w:tc>
        <w:tc>
          <w:tcPr>
            <w:tcW w:w="586" w:type="dxa"/>
            <w:tcBorders>
              <w:top w:val="single" w:color="auto" w:sz="6" w:space="0"/>
              <w:left w:val="single" w:color="auto" w:sz="6" w:space="0"/>
              <w:bottom w:val="single" w:color="auto" w:sz="6" w:space="0"/>
              <w:right w:val="single" w:color="auto" w:sz="6" w:space="0"/>
            </w:tcBorders>
          </w:tcPr>
          <w:p w14:paraId="39926E64">
            <w:pPr>
              <w:autoSpaceDE w:val="0"/>
              <w:autoSpaceDN w:val="0"/>
              <w:spacing w:line="360" w:lineRule="auto"/>
              <w:rPr>
                <w:rFonts w:ascii="宋体" w:hAnsi="宋体" w:cs="宋体"/>
                <w:color w:val="auto"/>
                <w:sz w:val="24"/>
                <w:highlight w:val="none"/>
              </w:rPr>
            </w:pPr>
          </w:p>
        </w:tc>
        <w:tc>
          <w:tcPr>
            <w:tcW w:w="1035" w:type="dxa"/>
            <w:tcBorders>
              <w:top w:val="single" w:color="auto" w:sz="6" w:space="0"/>
              <w:left w:val="single" w:color="auto" w:sz="6" w:space="0"/>
              <w:bottom w:val="single" w:color="auto" w:sz="6" w:space="0"/>
              <w:right w:val="single" w:color="auto" w:sz="6" w:space="0"/>
            </w:tcBorders>
          </w:tcPr>
          <w:p w14:paraId="44978532">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61C0D248">
            <w:pPr>
              <w:autoSpaceDE w:val="0"/>
              <w:autoSpaceDN w:val="0"/>
              <w:spacing w:line="360" w:lineRule="auto"/>
              <w:rPr>
                <w:rFonts w:ascii="宋体" w:hAnsi="宋体" w:cs="宋体"/>
                <w:color w:val="auto"/>
                <w:sz w:val="24"/>
                <w:highlight w:val="none"/>
              </w:rPr>
            </w:pPr>
          </w:p>
        </w:tc>
        <w:tc>
          <w:tcPr>
            <w:tcW w:w="1080" w:type="dxa"/>
            <w:tcBorders>
              <w:top w:val="single" w:color="auto" w:sz="6" w:space="0"/>
              <w:left w:val="single" w:color="auto" w:sz="6" w:space="0"/>
              <w:bottom w:val="single" w:color="auto" w:sz="6" w:space="0"/>
              <w:right w:val="single" w:color="auto" w:sz="6" w:space="0"/>
            </w:tcBorders>
          </w:tcPr>
          <w:p w14:paraId="195BDEE0">
            <w:pPr>
              <w:autoSpaceDE w:val="0"/>
              <w:autoSpaceDN w:val="0"/>
              <w:spacing w:line="360" w:lineRule="auto"/>
              <w:rPr>
                <w:rFonts w:ascii="宋体" w:hAnsi="宋体" w:cs="宋体"/>
                <w:color w:val="auto"/>
                <w:sz w:val="24"/>
                <w:highlight w:val="none"/>
              </w:rPr>
            </w:pPr>
          </w:p>
        </w:tc>
        <w:tc>
          <w:tcPr>
            <w:tcW w:w="1260" w:type="dxa"/>
            <w:tcBorders>
              <w:top w:val="single" w:color="auto" w:sz="6" w:space="0"/>
              <w:left w:val="single" w:color="auto" w:sz="6" w:space="0"/>
              <w:bottom w:val="single" w:color="auto" w:sz="6" w:space="0"/>
              <w:right w:val="single" w:color="auto" w:sz="6" w:space="0"/>
            </w:tcBorders>
          </w:tcPr>
          <w:p w14:paraId="4F85C9A4">
            <w:pPr>
              <w:autoSpaceDE w:val="0"/>
              <w:autoSpaceDN w:val="0"/>
              <w:spacing w:line="360" w:lineRule="auto"/>
              <w:rPr>
                <w:rFonts w:ascii="宋体" w:hAnsi="宋体" w:cs="宋体"/>
                <w:color w:val="auto"/>
                <w:sz w:val="24"/>
                <w:highlight w:val="none"/>
              </w:rPr>
            </w:pPr>
          </w:p>
        </w:tc>
        <w:tc>
          <w:tcPr>
            <w:tcW w:w="900" w:type="dxa"/>
            <w:tcBorders>
              <w:top w:val="single" w:color="auto" w:sz="6" w:space="0"/>
              <w:left w:val="single" w:color="auto" w:sz="6" w:space="0"/>
              <w:bottom w:val="single" w:color="auto" w:sz="6" w:space="0"/>
              <w:right w:val="single" w:color="auto" w:sz="6" w:space="0"/>
            </w:tcBorders>
          </w:tcPr>
          <w:p w14:paraId="5F43F4CB">
            <w:pPr>
              <w:autoSpaceDE w:val="0"/>
              <w:autoSpaceDN w:val="0"/>
              <w:spacing w:line="360" w:lineRule="auto"/>
              <w:rPr>
                <w:rFonts w:ascii="宋体" w:hAnsi="宋体" w:cs="宋体"/>
                <w:color w:val="auto"/>
                <w:sz w:val="24"/>
                <w:highlight w:val="none"/>
              </w:rPr>
            </w:pPr>
          </w:p>
        </w:tc>
        <w:tc>
          <w:tcPr>
            <w:tcW w:w="1470" w:type="dxa"/>
            <w:tcBorders>
              <w:top w:val="single" w:color="auto" w:sz="6" w:space="0"/>
              <w:left w:val="single" w:color="auto" w:sz="6" w:space="0"/>
              <w:bottom w:val="single" w:color="auto" w:sz="6" w:space="0"/>
              <w:right w:val="single" w:color="auto" w:sz="6" w:space="0"/>
            </w:tcBorders>
          </w:tcPr>
          <w:p w14:paraId="79AB0EDB">
            <w:pPr>
              <w:autoSpaceDE w:val="0"/>
              <w:autoSpaceDN w:val="0"/>
              <w:spacing w:line="360" w:lineRule="auto"/>
              <w:rPr>
                <w:rFonts w:ascii="宋体" w:hAnsi="宋体" w:cs="宋体"/>
                <w:color w:val="auto"/>
                <w:sz w:val="24"/>
                <w:highlight w:val="none"/>
              </w:rPr>
            </w:pPr>
          </w:p>
        </w:tc>
      </w:tr>
    </w:tbl>
    <w:p w14:paraId="1AD9A1F2">
      <w:pPr>
        <w:spacing w:line="360" w:lineRule="auto"/>
        <w:rPr>
          <w:rFonts w:ascii="宋体" w:hAnsi="宋体" w:cs="宋体"/>
          <w:b/>
          <w:bCs/>
          <w:color w:val="auto"/>
          <w:sz w:val="24"/>
          <w:highlight w:val="none"/>
        </w:rPr>
      </w:pPr>
      <w:r>
        <w:rPr>
          <w:rFonts w:hint="eastAsia" w:ascii="宋体" w:hAnsi="宋体" w:cs="宋体"/>
          <w:b/>
          <w:color w:val="auto"/>
          <w:sz w:val="24"/>
          <w:highlight w:val="none"/>
        </w:rPr>
        <w:t>注：供应商可参照上述的格式自行编制，并注明所在响应技术文件页码。</w:t>
      </w:r>
    </w:p>
    <w:p w14:paraId="658DD2C0">
      <w:pPr>
        <w:snapToGrid w:val="0"/>
        <w:spacing w:line="360" w:lineRule="auto"/>
        <w:ind w:firstLine="602" w:firstLineChars="200"/>
        <w:rPr>
          <w:rFonts w:ascii="宋体" w:hAnsi="宋体" w:cs="宋体"/>
          <w:b/>
          <w:color w:val="auto"/>
          <w:sz w:val="30"/>
          <w:szCs w:val="30"/>
          <w:highlight w:val="none"/>
        </w:rPr>
      </w:pPr>
    </w:p>
    <w:p w14:paraId="68C7280A">
      <w:pPr>
        <w:autoSpaceDE w:val="0"/>
        <w:autoSpaceDN w:val="0"/>
        <w:spacing w:line="360" w:lineRule="auto"/>
        <w:ind w:firstLine="6505" w:firstLineChars="2700"/>
        <w:rPr>
          <w:rFonts w:ascii="宋体" w:hAnsi="宋体" w:cs="宋体"/>
          <w:b/>
          <w:bCs/>
          <w:color w:val="auto"/>
          <w:sz w:val="24"/>
          <w:highlight w:val="none"/>
        </w:rPr>
      </w:pPr>
    </w:p>
    <w:p w14:paraId="72A475BC">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7F307DEE">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15287167">
      <w:pPr>
        <w:autoSpaceDE w:val="0"/>
        <w:autoSpaceDN w:val="0"/>
        <w:spacing w:line="360" w:lineRule="auto"/>
        <w:ind w:firstLine="6480" w:firstLineChars="2700"/>
        <w:rPr>
          <w:rFonts w:ascii="仿宋_GB2312" w:hAnsi="仿宋" w:eastAsia="仿宋_GB2312" w:cs="仿宋_GB2312"/>
          <w:color w:val="auto"/>
          <w:kern w:val="0"/>
          <w:sz w:val="24"/>
          <w:highlight w:val="none"/>
          <w:lang w:val="zh-CN"/>
        </w:rPr>
      </w:pPr>
    </w:p>
    <w:p w14:paraId="2C515398">
      <w:pPr>
        <w:autoSpaceDE w:val="0"/>
        <w:autoSpaceDN w:val="0"/>
        <w:spacing w:line="360" w:lineRule="auto"/>
        <w:ind w:firstLine="8132" w:firstLineChars="2700"/>
        <w:rPr>
          <w:rFonts w:ascii="仿宋_GB2312" w:hAnsi="仿宋" w:eastAsia="仿宋_GB2312" w:cs="仿宋_GB2312"/>
          <w:b/>
          <w:bCs/>
          <w:color w:val="auto"/>
          <w:sz w:val="24"/>
          <w:highlight w:val="none"/>
        </w:rPr>
      </w:pPr>
      <w:r>
        <w:rPr>
          <w:rFonts w:hint="eastAsia" w:ascii="仿宋" w:hAnsi="仿宋" w:eastAsia="仿宋" w:cs="仿宋_GB2312"/>
          <w:b/>
          <w:color w:val="auto"/>
          <w:sz w:val="30"/>
          <w:szCs w:val="30"/>
          <w:highlight w:val="none"/>
        </w:rPr>
        <w:br w:type="page"/>
      </w:r>
    </w:p>
    <w:p w14:paraId="6C4445A2">
      <w:pPr>
        <w:pStyle w:val="3"/>
        <w:jc w:val="center"/>
        <w:rPr>
          <w:rFonts w:ascii="宋体" w:hAnsi="宋体"/>
          <w:color w:val="auto"/>
          <w:highlight w:val="none"/>
        </w:rPr>
      </w:pPr>
      <w:bookmarkStart w:id="147" w:name="_Toc80886945"/>
      <w:bookmarkStart w:id="148" w:name="_Toc31035"/>
      <w:bookmarkStart w:id="149" w:name="_Toc80205941"/>
      <w:bookmarkStart w:id="150" w:name="_Toc12611"/>
      <w:r>
        <w:rPr>
          <w:rFonts w:hint="eastAsia" w:ascii="宋体" w:hAnsi="宋体"/>
          <w:color w:val="auto"/>
          <w:highlight w:val="none"/>
        </w:rPr>
        <w:t>第三节 报价文件格式</w:t>
      </w:r>
      <w:bookmarkEnd w:id="147"/>
      <w:bookmarkEnd w:id="148"/>
      <w:bookmarkEnd w:id="149"/>
      <w:bookmarkEnd w:id="150"/>
    </w:p>
    <w:p w14:paraId="0A2444A1">
      <w:pPr>
        <w:pStyle w:val="23"/>
        <w:rPr>
          <w:color w:val="auto"/>
          <w:highlight w:val="none"/>
          <w:lang w:val="zh-CN"/>
        </w:rPr>
      </w:pPr>
      <w:r>
        <w:rPr>
          <w:rFonts w:hint="eastAsia"/>
          <w:color w:val="auto"/>
          <w:sz w:val="24"/>
          <w:highlight w:val="none"/>
        </w:rPr>
        <w:t xml:space="preserve">  </w:t>
      </w:r>
      <w:r>
        <w:rPr>
          <w:rFonts w:hint="eastAsia" w:ascii="宋体" w:hAnsi="宋体" w:cs="宋体"/>
          <w:b/>
          <w:bCs/>
          <w:color w:val="auto"/>
          <w:sz w:val="28"/>
          <w:szCs w:val="28"/>
          <w:highlight w:val="none"/>
        </w:rPr>
        <w:t>1.报价文件封面的格式</w:t>
      </w:r>
      <w:r>
        <w:rPr>
          <w:rFonts w:hint="eastAsia" w:ascii="宋体" w:hAnsi="宋体" w:cs="宋体"/>
          <w:b/>
          <w:color w:val="auto"/>
          <w:sz w:val="28"/>
          <w:szCs w:val="28"/>
          <w:highlight w:val="none"/>
        </w:rPr>
        <w:t>（参照此格式自拟）</w:t>
      </w:r>
      <w:r>
        <w:rPr>
          <w:rFonts w:hint="eastAsia" w:ascii="宋体" w:hAnsi="宋体" w:cs="宋体"/>
          <w:b/>
          <w:bCs/>
          <w:color w:val="auto"/>
          <w:sz w:val="28"/>
          <w:szCs w:val="28"/>
          <w:highlight w:val="none"/>
        </w:rPr>
        <w:t>：</w:t>
      </w:r>
    </w:p>
    <w:p w14:paraId="1A3176B7">
      <w:pPr>
        <w:snapToGrid w:val="0"/>
        <w:spacing w:before="120" w:beforeLines="50" w:after="50"/>
        <w:rPr>
          <w:color w:val="auto"/>
          <w:sz w:val="24"/>
          <w:highlight w:val="none"/>
        </w:rPr>
      </w:pPr>
      <w:r>
        <w:rPr>
          <w:rFonts w:hint="eastAsia"/>
          <w:color w:val="auto"/>
          <w:sz w:val="24"/>
          <w:highlight w:val="none"/>
        </w:rPr>
        <w:t xml:space="preserve">                                             </w:t>
      </w:r>
    </w:p>
    <w:p w14:paraId="41B46E78">
      <w:pPr>
        <w:snapToGrid w:val="0"/>
        <w:spacing w:before="120" w:beforeLines="50" w:after="50"/>
        <w:ind w:firstLine="6720" w:firstLineChars="3200"/>
        <w:rPr>
          <w:bCs/>
          <w:color w:val="auto"/>
          <w:sz w:val="32"/>
          <w:szCs w:val="20"/>
          <w:highlight w:val="none"/>
        </w:rPr>
      </w:pPr>
      <w:r>
        <w:rPr>
          <w:rFonts w:hint="eastAsia"/>
          <w:bCs/>
          <w:color w:val="auto"/>
          <w:highlight w:val="none"/>
        </w:rPr>
        <w:t>全流程电子文件</w:t>
      </w:r>
    </w:p>
    <w:p w14:paraId="54EAE466">
      <w:pPr>
        <w:snapToGrid w:val="0"/>
        <w:spacing w:before="120" w:beforeLines="50" w:after="50"/>
        <w:rPr>
          <w:color w:val="auto"/>
          <w:sz w:val="24"/>
          <w:szCs w:val="20"/>
          <w:highlight w:val="none"/>
        </w:rPr>
      </w:pPr>
    </w:p>
    <w:p w14:paraId="23E1206C">
      <w:pPr>
        <w:snapToGrid w:val="0"/>
        <w:spacing w:before="120" w:beforeLines="50" w:after="50"/>
        <w:rPr>
          <w:color w:val="auto"/>
          <w:sz w:val="24"/>
          <w:szCs w:val="20"/>
          <w:highlight w:val="none"/>
        </w:rPr>
      </w:pPr>
    </w:p>
    <w:p w14:paraId="33AD7D12">
      <w:pPr>
        <w:snapToGrid w:val="0"/>
        <w:spacing w:before="120" w:beforeLines="50" w:after="50"/>
        <w:rPr>
          <w:color w:val="auto"/>
          <w:sz w:val="24"/>
          <w:szCs w:val="20"/>
          <w:highlight w:val="none"/>
        </w:rPr>
      </w:pPr>
    </w:p>
    <w:p w14:paraId="23E9CA46">
      <w:pPr>
        <w:snapToGrid w:val="0"/>
        <w:spacing w:before="120" w:beforeLines="50" w:after="50"/>
        <w:jc w:val="center"/>
        <w:rPr>
          <w:rFonts w:ascii="仿宋" w:hAnsi="仿宋" w:eastAsia="仿宋" w:cs="仿宋"/>
          <w:bCs/>
          <w:color w:val="auto"/>
          <w:sz w:val="44"/>
          <w:szCs w:val="44"/>
          <w:highlight w:val="none"/>
        </w:rPr>
      </w:pPr>
      <w:r>
        <w:rPr>
          <w:rFonts w:hint="eastAsia" w:ascii="仿宋" w:hAnsi="仿宋" w:eastAsia="仿宋" w:cs="仿宋"/>
          <w:bCs/>
          <w:color w:val="auto"/>
          <w:sz w:val="44"/>
          <w:szCs w:val="44"/>
          <w:highlight w:val="none"/>
        </w:rPr>
        <w:t xml:space="preserve">报 </w:t>
      </w:r>
      <w:r>
        <w:rPr>
          <w:rFonts w:ascii="仿宋" w:hAnsi="仿宋" w:eastAsia="仿宋" w:cs="仿宋"/>
          <w:bCs/>
          <w:color w:val="auto"/>
          <w:sz w:val="44"/>
          <w:szCs w:val="44"/>
          <w:highlight w:val="none"/>
        </w:rPr>
        <w:t xml:space="preserve"> </w:t>
      </w:r>
      <w:r>
        <w:rPr>
          <w:rFonts w:hint="eastAsia" w:ascii="仿宋" w:hAnsi="仿宋" w:eastAsia="仿宋" w:cs="仿宋"/>
          <w:bCs/>
          <w:color w:val="auto"/>
          <w:sz w:val="44"/>
          <w:szCs w:val="44"/>
          <w:highlight w:val="none"/>
        </w:rPr>
        <w:t>价  文  件</w:t>
      </w:r>
    </w:p>
    <w:p w14:paraId="5D28369F">
      <w:pPr>
        <w:snapToGrid w:val="0"/>
        <w:spacing w:before="120" w:beforeLines="50" w:after="50"/>
        <w:rPr>
          <w:bCs/>
          <w:color w:val="auto"/>
          <w:sz w:val="24"/>
          <w:szCs w:val="20"/>
          <w:highlight w:val="none"/>
        </w:rPr>
      </w:pPr>
    </w:p>
    <w:p w14:paraId="41C840B0">
      <w:pPr>
        <w:snapToGrid w:val="0"/>
        <w:spacing w:before="120" w:beforeLines="50" w:after="50"/>
        <w:rPr>
          <w:bCs/>
          <w:color w:val="auto"/>
          <w:sz w:val="24"/>
          <w:szCs w:val="20"/>
          <w:highlight w:val="none"/>
        </w:rPr>
      </w:pPr>
    </w:p>
    <w:p w14:paraId="1B590795">
      <w:pPr>
        <w:snapToGrid w:val="0"/>
        <w:spacing w:before="120" w:beforeLines="50" w:after="50"/>
        <w:rPr>
          <w:bCs/>
          <w:color w:val="auto"/>
          <w:sz w:val="24"/>
          <w:szCs w:val="20"/>
          <w:highlight w:val="none"/>
        </w:rPr>
      </w:pPr>
    </w:p>
    <w:p w14:paraId="48D782E2">
      <w:pPr>
        <w:snapToGrid w:val="0"/>
        <w:spacing w:before="120" w:beforeLines="50" w:after="50"/>
        <w:rPr>
          <w:bCs/>
          <w:color w:val="auto"/>
          <w:sz w:val="24"/>
          <w:szCs w:val="20"/>
          <w:highlight w:val="none"/>
        </w:rPr>
      </w:pPr>
    </w:p>
    <w:p w14:paraId="1536E330">
      <w:pPr>
        <w:snapToGrid w:val="0"/>
        <w:spacing w:before="120" w:beforeLines="50" w:after="50"/>
        <w:rPr>
          <w:bCs/>
          <w:color w:val="auto"/>
          <w:sz w:val="24"/>
          <w:szCs w:val="20"/>
          <w:highlight w:val="none"/>
        </w:rPr>
      </w:pPr>
    </w:p>
    <w:p w14:paraId="35D6AD7B">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项目名称：</w:t>
      </w:r>
    </w:p>
    <w:p w14:paraId="338C4E78">
      <w:pPr>
        <w:snapToGrid w:val="0"/>
        <w:spacing w:before="120" w:beforeLines="50" w:after="50"/>
        <w:ind w:firstLine="720" w:firstLineChars="225"/>
        <w:rPr>
          <w:rFonts w:cs="仿宋_GB2312"/>
          <w:bCs/>
          <w:color w:val="auto"/>
          <w:sz w:val="32"/>
          <w:szCs w:val="32"/>
          <w:highlight w:val="none"/>
        </w:rPr>
      </w:pPr>
    </w:p>
    <w:p w14:paraId="07943BCB">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项目编号：</w:t>
      </w:r>
    </w:p>
    <w:p w14:paraId="4EB99D11">
      <w:pPr>
        <w:snapToGrid w:val="0"/>
        <w:spacing w:before="120" w:beforeLines="50" w:after="50"/>
        <w:ind w:firstLine="720" w:firstLineChars="225"/>
        <w:rPr>
          <w:rFonts w:cs="仿宋_GB2312"/>
          <w:bCs/>
          <w:color w:val="auto"/>
          <w:sz w:val="32"/>
          <w:szCs w:val="32"/>
          <w:highlight w:val="none"/>
        </w:rPr>
      </w:pPr>
      <w:r>
        <w:rPr>
          <w:rFonts w:hint="eastAsia" w:cs="仿宋_GB2312"/>
          <w:bCs/>
          <w:color w:val="auto"/>
          <w:sz w:val="32"/>
          <w:szCs w:val="32"/>
          <w:highlight w:val="none"/>
        </w:rPr>
        <w:t xml:space="preserve"> </w:t>
      </w:r>
    </w:p>
    <w:p w14:paraId="09731976">
      <w:pPr>
        <w:snapToGrid w:val="0"/>
        <w:spacing w:before="120" w:beforeLines="50" w:after="50"/>
        <w:ind w:firstLine="640" w:firstLineChars="200"/>
        <w:rPr>
          <w:rFonts w:cs="仿宋_GB2312"/>
          <w:bCs/>
          <w:color w:val="auto"/>
          <w:sz w:val="32"/>
          <w:szCs w:val="32"/>
          <w:highlight w:val="none"/>
        </w:rPr>
      </w:pPr>
      <w:r>
        <w:rPr>
          <w:rFonts w:hint="eastAsia" w:cs="仿宋_GB2312"/>
          <w:bCs/>
          <w:color w:val="auto"/>
          <w:sz w:val="32"/>
          <w:szCs w:val="32"/>
          <w:highlight w:val="none"/>
        </w:rPr>
        <w:t>所竞分标（如有则填写，无分标时填写“无”或者留空）：</w:t>
      </w:r>
    </w:p>
    <w:p w14:paraId="1CB9D71F">
      <w:pPr>
        <w:snapToGrid w:val="0"/>
        <w:spacing w:before="120" w:beforeLines="50" w:after="50"/>
        <w:ind w:firstLine="720" w:firstLineChars="225"/>
        <w:rPr>
          <w:rFonts w:cs="仿宋_GB2312"/>
          <w:bCs/>
          <w:color w:val="auto"/>
          <w:sz w:val="32"/>
          <w:szCs w:val="32"/>
          <w:highlight w:val="none"/>
        </w:rPr>
      </w:pPr>
    </w:p>
    <w:p w14:paraId="2D2B4BFD">
      <w:pPr>
        <w:pStyle w:val="7"/>
        <w:snapToGrid w:val="0"/>
        <w:spacing w:before="50" w:after="50"/>
        <w:ind w:firstLine="640" w:firstLineChars="200"/>
        <w:rPr>
          <w:rFonts w:cs="仿宋_GB2312"/>
          <w:bCs/>
          <w:color w:val="auto"/>
          <w:sz w:val="32"/>
          <w:szCs w:val="32"/>
          <w:highlight w:val="none"/>
        </w:rPr>
      </w:pPr>
      <w:r>
        <w:rPr>
          <w:rFonts w:hint="eastAsia" w:cs="仿宋_GB2312"/>
          <w:bCs/>
          <w:color w:val="auto"/>
          <w:sz w:val="32"/>
          <w:szCs w:val="32"/>
          <w:highlight w:val="none"/>
        </w:rPr>
        <w:t>供应商名称：</w:t>
      </w:r>
    </w:p>
    <w:p w14:paraId="2F836A8F">
      <w:pPr>
        <w:pStyle w:val="7"/>
        <w:snapToGrid w:val="0"/>
        <w:spacing w:before="50" w:after="50"/>
        <w:ind w:firstLine="720" w:firstLineChars="225"/>
        <w:rPr>
          <w:rFonts w:cs="仿宋_GB2312"/>
          <w:bCs/>
          <w:color w:val="auto"/>
          <w:sz w:val="32"/>
          <w:szCs w:val="32"/>
          <w:highlight w:val="none"/>
        </w:rPr>
      </w:pPr>
    </w:p>
    <w:p w14:paraId="10F9A71E">
      <w:pPr>
        <w:pStyle w:val="7"/>
        <w:snapToGrid w:val="0"/>
        <w:spacing w:before="50" w:after="50"/>
        <w:ind w:firstLine="720" w:firstLineChars="225"/>
        <w:rPr>
          <w:rFonts w:cs="仿宋_GB2312"/>
          <w:bCs/>
          <w:color w:val="auto"/>
          <w:sz w:val="32"/>
          <w:szCs w:val="32"/>
          <w:highlight w:val="none"/>
        </w:rPr>
      </w:pPr>
    </w:p>
    <w:p w14:paraId="2A939477">
      <w:pPr>
        <w:pStyle w:val="7"/>
        <w:snapToGrid w:val="0"/>
        <w:spacing w:before="50" w:after="50"/>
        <w:ind w:firstLine="1280" w:firstLineChars="400"/>
        <w:rPr>
          <w:rFonts w:cs="仿宋_GB2312"/>
          <w:bCs/>
          <w:color w:val="auto"/>
          <w:sz w:val="32"/>
          <w:szCs w:val="32"/>
          <w:highlight w:val="none"/>
        </w:rPr>
      </w:pPr>
    </w:p>
    <w:p w14:paraId="35856296">
      <w:pPr>
        <w:snapToGrid w:val="0"/>
        <w:spacing w:before="120" w:beforeLines="50" w:after="50"/>
        <w:jc w:val="center"/>
        <w:rPr>
          <w:rFonts w:cs="仿宋_GB2312"/>
          <w:color w:val="auto"/>
          <w:sz w:val="32"/>
          <w:szCs w:val="32"/>
          <w:highlight w:val="none"/>
        </w:rPr>
      </w:pPr>
      <w:r>
        <w:rPr>
          <w:rFonts w:hint="eastAsia" w:cs="仿宋_GB2312"/>
          <w:color w:val="auto"/>
          <w:sz w:val="32"/>
          <w:szCs w:val="32"/>
          <w:highlight w:val="none"/>
        </w:rPr>
        <w:t>年    月    日</w:t>
      </w:r>
    </w:p>
    <w:p w14:paraId="7A08D299">
      <w:pPr>
        <w:snapToGrid w:val="0"/>
        <w:spacing w:before="120" w:beforeLines="50" w:after="50" w:line="360" w:lineRule="auto"/>
        <w:jc w:val="left"/>
        <w:rPr>
          <w:rFonts w:ascii="宋体" w:hAnsi="宋体" w:cs="宋体"/>
          <w:color w:val="auto"/>
          <w:sz w:val="28"/>
          <w:szCs w:val="28"/>
          <w:highlight w:val="none"/>
        </w:rPr>
      </w:pPr>
      <w:r>
        <w:rPr>
          <w:color w:val="auto"/>
          <w:sz w:val="24"/>
          <w:highlight w:val="none"/>
        </w:rPr>
        <w:br w:type="page"/>
      </w:r>
      <w:r>
        <w:rPr>
          <w:rFonts w:hint="eastAsia" w:ascii="宋体" w:hAnsi="宋体" w:cs="宋体"/>
          <w:b/>
          <w:color w:val="auto"/>
          <w:sz w:val="28"/>
          <w:szCs w:val="28"/>
          <w:highlight w:val="none"/>
        </w:rPr>
        <w:t>2.</w:t>
      </w:r>
      <w:r>
        <w:rPr>
          <w:rFonts w:hint="eastAsia" w:ascii="宋体" w:hAnsi="宋体" w:cs="宋体"/>
          <w:b/>
          <w:bCs/>
          <w:color w:val="auto"/>
          <w:sz w:val="28"/>
          <w:szCs w:val="28"/>
          <w:highlight w:val="none"/>
        </w:rPr>
        <w:t>报价文件目录</w:t>
      </w:r>
    </w:p>
    <w:p w14:paraId="4B0B05D0">
      <w:pPr>
        <w:snapToGrid w:val="0"/>
        <w:spacing w:before="50" w:after="120" w:afterLines="50" w:line="360" w:lineRule="auto"/>
        <w:jc w:val="left"/>
        <w:rPr>
          <w:rFonts w:ascii="宋体" w:hAnsi="宋体" w:cs="宋体"/>
          <w:b/>
          <w:color w:val="auto"/>
          <w:sz w:val="28"/>
          <w:szCs w:val="28"/>
          <w:highlight w:val="none"/>
        </w:rPr>
      </w:pPr>
      <w:r>
        <w:rPr>
          <w:rFonts w:hint="eastAsia" w:ascii="宋体" w:hAnsi="宋体" w:cs="宋体"/>
          <w:color w:val="auto"/>
          <w:sz w:val="28"/>
          <w:szCs w:val="28"/>
          <w:highlight w:val="none"/>
        </w:rPr>
        <w:t>根据竞争性磋商文件规定及供应商提供的材料自行编写目录</w:t>
      </w:r>
      <w:r>
        <w:rPr>
          <w:rFonts w:hint="eastAsia" w:ascii="宋体" w:hAnsi="宋体" w:cs="宋体"/>
          <w:color w:val="auto"/>
          <w:kern w:val="0"/>
          <w:sz w:val="28"/>
          <w:szCs w:val="28"/>
          <w:highlight w:val="none"/>
        </w:rPr>
        <w:t>（部分格式后附）</w:t>
      </w:r>
      <w:r>
        <w:rPr>
          <w:rFonts w:hint="eastAsia" w:ascii="宋体" w:hAnsi="宋体" w:cs="宋体"/>
          <w:color w:val="auto"/>
          <w:sz w:val="28"/>
          <w:szCs w:val="28"/>
          <w:highlight w:val="none"/>
        </w:rPr>
        <w:t>。</w:t>
      </w:r>
    </w:p>
    <w:p w14:paraId="5492DBF1">
      <w:pPr>
        <w:spacing w:line="360" w:lineRule="auto"/>
        <w:rPr>
          <w:rFonts w:ascii="仿宋_GB2312" w:hAnsi="仿宋" w:eastAsia="仿宋_GB2312" w:cs="仿宋_GB2312"/>
          <w:color w:val="auto"/>
          <w:sz w:val="24"/>
          <w:highlight w:val="none"/>
        </w:rPr>
      </w:pPr>
    </w:p>
    <w:p w14:paraId="7A3C450C">
      <w:pPr>
        <w:snapToGrid w:val="0"/>
        <w:spacing w:before="120" w:beforeLines="50" w:after="50" w:line="360" w:lineRule="auto"/>
        <w:ind w:left="142" w:firstLine="640" w:firstLineChars="200"/>
        <w:jc w:val="left"/>
        <w:rPr>
          <w:rFonts w:ascii="仿宋_GB2312" w:hAnsi="仿宋_GB2312" w:eastAsia="仿宋_GB2312" w:cs="仿宋_GB2312"/>
          <w:color w:val="auto"/>
          <w:sz w:val="32"/>
          <w:szCs w:val="32"/>
          <w:highlight w:val="none"/>
        </w:rPr>
      </w:pPr>
    </w:p>
    <w:p w14:paraId="2F28DEF9">
      <w:pPr>
        <w:snapToGrid w:val="0"/>
        <w:spacing w:before="120" w:beforeLines="50" w:after="50" w:line="360" w:lineRule="auto"/>
        <w:jc w:val="left"/>
        <w:rPr>
          <w:rFonts w:ascii="Calibri" w:cs="仿宋_GB2312"/>
          <w:color w:val="auto"/>
          <w:sz w:val="24"/>
          <w:highlight w:val="none"/>
        </w:rPr>
      </w:pPr>
      <w:r>
        <w:rPr>
          <w:rFonts w:ascii="Calibri" w:cs="仿宋_GB2312"/>
          <w:color w:val="auto"/>
          <w:sz w:val="24"/>
          <w:highlight w:val="none"/>
        </w:rPr>
        <w:br w:type="page"/>
      </w:r>
      <w:r>
        <w:rPr>
          <w:rFonts w:hint="eastAsia" w:ascii="宋体" w:hAnsi="宋体" w:cs="宋体"/>
          <w:b/>
          <w:color w:val="auto"/>
          <w:sz w:val="28"/>
          <w:szCs w:val="28"/>
          <w:highlight w:val="none"/>
        </w:rPr>
        <w:t>3.</w:t>
      </w:r>
      <w:r>
        <w:rPr>
          <w:rFonts w:hint="eastAsia" w:ascii="宋体" w:hAnsi="宋体" w:cs="宋体"/>
          <w:b/>
          <w:color w:val="auto"/>
          <w:sz w:val="28"/>
          <w:szCs w:val="28"/>
          <w:highlight w:val="none"/>
          <w:lang w:val="zh-CN"/>
        </w:rPr>
        <w:t>响应函的格式：</w:t>
      </w:r>
    </w:p>
    <w:p w14:paraId="30302D2B">
      <w:pPr>
        <w:spacing w:line="500" w:lineRule="exact"/>
        <w:jc w:val="center"/>
        <w:rPr>
          <w:b/>
          <w:bCs/>
          <w:color w:val="auto"/>
          <w:kern w:val="0"/>
          <w:sz w:val="30"/>
          <w:szCs w:val="30"/>
          <w:highlight w:val="none"/>
        </w:rPr>
      </w:pPr>
      <w:r>
        <w:rPr>
          <w:rFonts w:hint="eastAsia"/>
          <w:b/>
          <w:bCs/>
          <w:color w:val="auto"/>
          <w:kern w:val="0"/>
          <w:sz w:val="30"/>
          <w:szCs w:val="30"/>
          <w:highlight w:val="none"/>
        </w:rPr>
        <w:t>响应函</w:t>
      </w:r>
    </w:p>
    <w:p w14:paraId="6A7BE5A2">
      <w:pPr>
        <w:spacing w:line="460" w:lineRule="exact"/>
        <w:rPr>
          <w:color w:val="auto"/>
          <w:kern w:val="0"/>
          <w:sz w:val="24"/>
          <w:highlight w:val="none"/>
        </w:rPr>
      </w:pPr>
    </w:p>
    <w:p w14:paraId="5F0C9308">
      <w:pPr>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（采购代理机构名称）</w:t>
      </w:r>
    </w:p>
    <w:p w14:paraId="27694908">
      <w:pPr>
        <w:spacing w:line="460" w:lineRule="exact"/>
        <w:ind w:firstLine="480" w:firstLineChars="200"/>
        <w:rPr>
          <w:rFonts w:ascii="宋体" w:hAnsi="宋体" w:cs="宋体"/>
          <w:color w:val="auto"/>
          <w:kern w:val="0"/>
          <w:sz w:val="24"/>
          <w:highlight w:val="none"/>
        </w:rPr>
      </w:pPr>
    </w:p>
    <w:p w14:paraId="18FA1067">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我方已仔细阅读了贵方组织的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项目（项目编号：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）的竞争性磋商文件的全部内容，现正式递交下述文件参加贵方组织的本次政府采购活动： </w:t>
      </w:r>
    </w:p>
    <w:p w14:paraId="049D64AF">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一、首次报价文件电子版（包含按“第三章 供应商须知”提交的全部文件）；</w:t>
      </w:r>
    </w:p>
    <w:p w14:paraId="5FD5CC13">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二、商务技术文件电子版（包含按“第三章 供应商须知”提交的全部文件）；</w:t>
      </w:r>
    </w:p>
    <w:p w14:paraId="2E42824B">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三、</w:t>
      </w:r>
      <w:r>
        <w:rPr>
          <w:rFonts w:hint="eastAsia" w:ascii="宋体" w:hAnsi="宋体" w:cs="宋体"/>
          <w:color w:val="auto"/>
          <w:kern w:val="0"/>
          <w:sz w:val="24"/>
          <w:highlight w:val="none"/>
          <w:lang w:eastAsia="zh-CN"/>
        </w:rPr>
        <w:t>资格文件</w:t>
      </w:r>
      <w:r>
        <w:rPr>
          <w:rFonts w:hint="eastAsia" w:ascii="宋体" w:hAnsi="宋体" w:cs="宋体"/>
          <w:color w:val="auto"/>
          <w:kern w:val="0"/>
          <w:sz w:val="24"/>
          <w:highlight w:val="none"/>
        </w:rPr>
        <w:t>电子版（包含按“第三章供应商须知”提交的全部文件）。</w:t>
      </w:r>
    </w:p>
    <w:p w14:paraId="529E013E">
      <w:pPr>
        <w:spacing w:line="4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据此函，我方兹宣布：</w:t>
      </w:r>
    </w:p>
    <w:p w14:paraId="3DFC384E">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1、我方愿意以磋商总报价</w:t>
      </w:r>
      <w:r>
        <w:rPr>
          <w:rFonts w:hint="eastAsia" w:hAnsi="宋体" w:cs="宋体"/>
          <w:color w:val="auto"/>
          <w:sz w:val="24"/>
          <w:highlight w:val="none"/>
        </w:rPr>
        <w:t>，在承诺的</w:t>
      </w:r>
      <w:r>
        <w:rPr>
          <w:rFonts w:hint="eastAsia" w:ascii="宋体" w:hAnsi="宋体" w:cs="宋体"/>
          <w:color w:val="auto"/>
          <w:kern w:val="0"/>
          <w:sz w:val="24"/>
          <w:highlight w:val="none"/>
        </w:rPr>
        <w:t>服务期限</w:t>
      </w:r>
      <w:r>
        <w:rPr>
          <w:rFonts w:hint="eastAsia" w:hAnsi="宋体" w:cs="宋体"/>
          <w:color w:val="auto"/>
          <w:sz w:val="24"/>
          <w:highlight w:val="none"/>
        </w:rPr>
        <w:t>内</w:t>
      </w:r>
      <w:r>
        <w:rPr>
          <w:rFonts w:hint="eastAsia" w:ascii="宋体" w:hAnsi="宋体" w:cs="宋体"/>
          <w:color w:val="auto"/>
          <w:kern w:val="0"/>
          <w:sz w:val="24"/>
          <w:highlight w:val="none"/>
        </w:rPr>
        <w:t>提供本项目竞争性磋商文件第二章“采购需求”中相应的采购内容</w:t>
      </w:r>
      <w:r>
        <w:rPr>
          <w:rFonts w:hint="eastAsia" w:hAnsi="宋体" w:cs="宋体"/>
          <w:color w:val="auto"/>
          <w:sz w:val="24"/>
          <w:highlight w:val="none"/>
        </w:rPr>
        <w:t>，具体详见最后报价表</w:t>
      </w:r>
      <w:r>
        <w:rPr>
          <w:rFonts w:hint="eastAsia" w:ascii="宋体" w:hAnsi="宋体" w:cs="宋体"/>
          <w:color w:val="auto"/>
          <w:kern w:val="0"/>
          <w:sz w:val="24"/>
          <w:highlight w:val="none"/>
        </w:rPr>
        <w:t>。</w:t>
      </w:r>
    </w:p>
    <w:p w14:paraId="59528AA8">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2、我方同意自本项目竞争性磋商文件采购公告规定的提交响应文件截止时间起遵循本响应函，并承诺在“第三章 供应商须知”规定的竞标有效期内不修改、撤销响应文件。</w:t>
      </w:r>
    </w:p>
    <w:p w14:paraId="533CC88E">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3、我方在此声明，所</w:t>
      </w:r>
      <w:r>
        <w:rPr>
          <w:rFonts w:hint="eastAsia" w:ascii="宋体" w:hAnsi="宋体" w:cs="宋体"/>
          <w:color w:val="auto"/>
          <w:kern w:val="0"/>
          <w:sz w:val="24"/>
          <w:highlight w:val="none"/>
          <w:lang w:val="en-US" w:eastAsia="zh-CN"/>
        </w:rPr>
        <w:t>提交</w:t>
      </w:r>
      <w:r>
        <w:rPr>
          <w:rFonts w:hint="eastAsia" w:ascii="宋体" w:hAnsi="宋体" w:cs="宋体"/>
          <w:color w:val="auto"/>
          <w:kern w:val="0"/>
          <w:sz w:val="24"/>
          <w:highlight w:val="none"/>
        </w:rPr>
        <w:t>的响应文件及有关资料内容完整、真实和准确。</w:t>
      </w:r>
    </w:p>
    <w:p w14:paraId="76415D9E">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4、如本项目采购内容涉及须符合国家强制规定的，我方承诺我方本次竞标均符合国家有关强制规定。</w:t>
      </w:r>
    </w:p>
    <w:p w14:paraId="0FB23028">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5、如我方成交，我方承诺在收到成交通知书后，在成交通知书规定的期限内，根据竞争性磋商文件、我方的响应文件及有关澄清承诺书的要求按第六章“合同文本”与采购人订立书面合同，并按照合同约定承担完成合同的责任和义务。</w:t>
      </w:r>
    </w:p>
    <w:p w14:paraId="230391B5">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6、我方已详细审核竞争性磋商文件，我方知道必须放弃提出含糊不清或误解问题的权利。</w:t>
      </w:r>
    </w:p>
    <w:p w14:paraId="182BEB4F">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7、我方承诺满足竞争性磋商文件第六章“合同文本”的条款，承担完成合同的责任和义务。</w:t>
      </w:r>
    </w:p>
    <w:p w14:paraId="4148ACC1">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8、我方同意应贵方要求提供与本竞标有关的任何数据或资料。若贵方需要，我方愿意提供我方作出的一切承诺的证明材料。</w:t>
      </w:r>
    </w:p>
    <w:p w14:paraId="3D66E822">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9、我方完全理解贵方不一定接受响应报价最低的供应商为成交供应商的行为。</w:t>
      </w:r>
    </w:p>
    <w:p w14:paraId="56D8D58D">
      <w:pPr>
        <w:spacing w:line="460" w:lineRule="exact"/>
        <w:ind w:firstLine="482"/>
        <w:rPr>
          <w:rFonts w:ascii="宋体" w:hAnsi="宋体" w:cs="宋体"/>
          <w:color w:val="auto"/>
          <w:kern w:val="0"/>
          <w:sz w:val="24"/>
          <w:highlight w:val="none"/>
        </w:rPr>
      </w:pPr>
      <w:r>
        <w:rPr>
          <w:rFonts w:hint="eastAsia" w:ascii="宋体" w:hAnsi="宋体" w:cs="宋体"/>
          <w:color w:val="auto"/>
          <w:kern w:val="0"/>
          <w:sz w:val="24"/>
          <w:highlight w:val="none"/>
        </w:rPr>
        <w:t>10、我方将严格遵守《中华人民共和国政府采购法》第七十七条的规定，即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56DAFCA4">
      <w:pPr>
        <w:numPr>
          <w:ilvl w:val="0"/>
          <w:numId w:val="4"/>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提供虚假材料谋取中标、成交的；</w:t>
      </w:r>
    </w:p>
    <w:p w14:paraId="4DD43C74">
      <w:pPr>
        <w:numPr>
          <w:ilvl w:val="0"/>
          <w:numId w:val="4"/>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采取不正当手段诋毁、排挤其他供应商的；</w:t>
      </w:r>
    </w:p>
    <w:p w14:paraId="409E1AF3">
      <w:pPr>
        <w:numPr>
          <w:ilvl w:val="0"/>
          <w:numId w:val="4"/>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与采购人、其他供应商或者采购代理机构恶意串通的；</w:t>
      </w:r>
    </w:p>
    <w:p w14:paraId="4971DFE9">
      <w:pPr>
        <w:numPr>
          <w:ilvl w:val="0"/>
          <w:numId w:val="4"/>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向采购人、采购代理机构行贿或者提供其他不正当利益的；</w:t>
      </w:r>
    </w:p>
    <w:p w14:paraId="5131DC63">
      <w:pPr>
        <w:numPr>
          <w:ilvl w:val="0"/>
          <w:numId w:val="4"/>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在采购过程中与采购人进行协商磋商的；</w:t>
      </w:r>
    </w:p>
    <w:p w14:paraId="0EFD68AD">
      <w:pPr>
        <w:numPr>
          <w:ilvl w:val="0"/>
          <w:numId w:val="4"/>
        </w:numPr>
        <w:tabs>
          <w:tab w:val="left" w:pos="945"/>
        </w:tabs>
        <w:spacing w:line="460" w:lineRule="exact"/>
        <w:rPr>
          <w:rFonts w:ascii="宋体" w:hAnsi="宋体" w:cs="宋体"/>
          <w:color w:val="auto"/>
          <w:kern w:val="0"/>
          <w:sz w:val="24"/>
          <w:highlight w:val="none"/>
        </w:rPr>
      </w:pPr>
      <w:r>
        <w:rPr>
          <w:rFonts w:hint="eastAsia" w:ascii="宋体" w:hAnsi="宋体" w:cs="宋体"/>
          <w:color w:val="auto"/>
          <w:kern w:val="0"/>
          <w:sz w:val="24"/>
          <w:highlight w:val="none"/>
        </w:rPr>
        <w:t>拒绝有关部门监督检查或提供虚假情况的。</w:t>
      </w:r>
    </w:p>
    <w:p w14:paraId="615B7BE7">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rPr>
        <w:t>11、以上事项如有虚假或者隐瞒，我方愿意承担一切后果，并不再寻求任何旨在减轻或者免除法律责任的辩解。</w:t>
      </w:r>
    </w:p>
    <w:p w14:paraId="14C6CF89">
      <w:pPr>
        <w:spacing w:line="460" w:lineRule="exact"/>
        <w:ind w:firstLine="420"/>
        <w:rPr>
          <w:rFonts w:ascii="宋体" w:hAnsi="宋体" w:cs="宋体"/>
          <w:b/>
          <w:bCs/>
          <w:color w:val="auto"/>
          <w:kern w:val="0"/>
          <w:sz w:val="24"/>
          <w:highlight w:val="none"/>
        </w:rPr>
      </w:pPr>
      <w:r>
        <w:rPr>
          <w:rFonts w:hint="eastAsia" w:ascii="宋体" w:hAnsi="宋体" w:cs="宋体"/>
          <w:b/>
          <w:bCs/>
          <w:color w:val="auto"/>
          <w:kern w:val="0"/>
          <w:sz w:val="24"/>
          <w:highlight w:val="none"/>
        </w:rPr>
        <w:t xml:space="preserve">12、与本磋商有关的一切正式往来信函请寄： </w:t>
      </w:r>
    </w:p>
    <w:p w14:paraId="38F97E8D">
      <w:pPr>
        <w:spacing w:line="460" w:lineRule="exact"/>
        <w:ind w:firstLine="420"/>
        <w:rPr>
          <w:rFonts w:ascii="宋体" w:hAnsi="宋体" w:cs="宋体"/>
          <w:color w:val="auto"/>
          <w:kern w:val="0"/>
          <w:sz w:val="24"/>
          <w:highlight w:val="none"/>
        </w:rPr>
      </w:pPr>
      <w:r>
        <w:rPr>
          <w:rFonts w:hint="eastAsia" w:ascii="宋体" w:hAnsi="宋体" w:cs="宋体"/>
          <w:color w:val="auto"/>
          <w:kern w:val="0"/>
          <w:sz w:val="24"/>
          <w:highlight w:val="none"/>
        </w:rPr>
        <w:t>地址：</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 xml:space="preserve"> </w:t>
      </w:r>
    </w:p>
    <w:p w14:paraId="43D9DE92">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电话：</w:t>
      </w:r>
      <w:r>
        <w:rPr>
          <w:rFonts w:hint="eastAsia" w:ascii="宋体" w:hAnsi="宋体" w:cs="宋体"/>
          <w:color w:val="auto"/>
          <w:kern w:val="0"/>
          <w:sz w:val="24"/>
          <w:highlight w:val="none"/>
          <w:u w:val="single"/>
        </w:rPr>
        <w:t xml:space="preserve">                                      　　　　　　　　　</w:t>
      </w:r>
    </w:p>
    <w:p w14:paraId="32CE825B">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传真：</w:t>
      </w:r>
      <w:r>
        <w:rPr>
          <w:rFonts w:hint="eastAsia" w:ascii="宋体" w:hAnsi="宋体" w:cs="宋体"/>
          <w:color w:val="auto"/>
          <w:kern w:val="0"/>
          <w:sz w:val="24"/>
          <w:highlight w:val="none"/>
          <w:u w:val="single"/>
        </w:rPr>
        <w:t>　　　　　　　　　　　　　　　　　　　　　　　　　　　　</w:t>
      </w:r>
    </w:p>
    <w:p w14:paraId="32A0E003">
      <w:pPr>
        <w:spacing w:line="460" w:lineRule="exact"/>
        <w:ind w:firstLine="420"/>
        <w:rPr>
          <w:rFonts w:ascii="宋体" w:hAnsi="宋体" w:cs="宋体"/>
          <w:color w:val="auto"/>
          <w:sz w:val="24"/>
          <w:highlight w:val="none"/>
        </w:rPr>
      </w:pPr>
      <w:r>
        <w:rPr>
          <w:rFonts w:hint="eastAsia" w:ascii="宋体" w:hAnsi="宋体" w:cs="宋体"/>
          <w:color w:val="auto"/>
          <w:kern w:val="0"/>
          <w:sz w:val="24"/>
          <w:highlight w:val="none"/>
        </w:rPr>
        <w:t>电子邮箱：</w:t>
      </w:r>
      <w:r>
        <w:rPr>
          <w:rFonts w:hint="eastAsia" w:ascii="宋体" w:hAnsi="宋体" w:cs="宋体"/>
          <w:color w:val="auto"/>
          <w:kern w:val="0"/>
          <w:sz w:val="24"/>
          <w:highlight w:val="none"/>
          <w:u w:val="single"/>
        </w:rPr>
        <w:t>　　　　　　　　　　　　　　　　　　　　　　　　　　</w:t>
      </w:r>
    </w:p>
    <w:p w14:paraId="67506F0A">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邮政编码：</w:t>
      </w:r>
      <w:r>
        <w:rPr>
          <w:rFonts w:hint="eastAsia" w:ascii="宋体" w:hAnsi="宋体" w:cs="宋体"/>
          <w:color w:val="auto"/>
          <w:kern w:val="0"/>
          <w:sz w:val="24"/>
          <w:highlight w:val="none"/>
          <w:u w:val="single"/>
        </w:rPr>
        <w:t xml:space="preserve">                                                    </w:t>
      </w:r>
    </w:p>
    <w:p w14:paraId="764A257A">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开户名称：</w:t>
      </w:r>
      <w:r>
        <w:rPr>
          <w:rFonts w:hint="eastAsia" w:ascii="宋体" w:hAnsi="宋体" w:cs="宋体"/>
          <w:color w:val="auto"/>
          <w:kern w:val="0"/>
          <w:sz w:val="24"/>
          <w:highlight w:val="none"/>
          <w:u w:val="single"/>
        </w:rPr>
        <w:t xml:space="preserve">                                                    </w:t>
      </w:r>
    </w:p>
    <w:p w14:paraId="545EFB9A">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开户银行：</w:t>
      </w:r>
      <w:r>
        <w:rPr>
          <w:rFonts w:hint="eastAsia" w:ascii="宋体" w:hAnsi="宋体" w:cs="宋体"/>
          <w:color w:val="auto"/>
          <w:kern w:val="0"/>
          <w:sz w:val="24"/>
          <w:highlight w:val="none"/>
          <w:u w:val="single"/>
        </w:rPr>
        <w:t xml:space="preserve">                                                    </w:t>
      </w:r>
    </w:p>
    <w:p w14:paraId="4824927F">
      <w:pPr>
        <w:spacing w:line="460" w:lineRule="exact"/>
        <w:ind w:firstLine="420"/>
        <w:rPr>
          <w:rFonts w:ascii="宋体" w:hAnsi="宋体" w:cs="宋体"/>
          <w:color w:val="auto"/>
          <w:kern w:val="0"/>
          <w:sz w:val="24"/>
          <w:highlight w:val="none"/>
          <w:u w:val="single"/>
        </w:rPr>
      </w:pPr>
      <w:r>
        <w:rPr>
          <w:rFonts w:hint="eastAsia" w:ascii="宋体" w:hAnsi="宋体" w:cs="宋体"/>
          <w:color w:val="auto"/>
          <w:kern w:val="0"/>
          <w:sz w:val="24"/>
          <w:highlight w:val="none"/>
        </w:rPr>
        <w:t>银行账号：</w:t>
      </w:r>
      <w:r>
        <w:rPr>
          <w:rFonts w:hint="eastAsia" w:ascii="宋体" w:hAnsi="宋体" w:cs="宋体"/>
          <w:color w:val="auto"/>
          <w:kern w:val="0"/>
          <w:sz w:val="24"/>
          <w:highlight w:val="none"/>
          <w:u w:val="single"/>
        </w:rPr>
        <w:t xml:space="preserve">                                                    </w:t>
      </w:r>
    </w:p>
    <w:p w14:paraId="4F5F66F9">
      <w:pPr>
        <w:pStyle w:val="18"/>
        <w:tabs>
          <w:tab w:val="left" w:pos="939"/>
        </w:tabs>
        <w:spacing w:line="460" w:lineRule="exact"/>
        <w:ind w:left="141" w:leftChars="67" w:firstLine="360" w:firstLineChars="150"/>
        <w:rPr>
          <w:rFonts w:ascii="宋体" w:hAnsi="宋体" w:cs="宋体"/>
          <w:color w:val="auto"/>
          <w:sz w:val="24"/>
          <w:highlight w:val="none"/>
        </w:rPr>
      </w:pPr>
      <w:r>
        <w:rPr>
          <w:rFonts w:hint="eastAsia" w:ascii="宋体" w:hAnsi="宋体" w:cs="宋体"/>
          <w:color w:val="auto"/>
          <w:sz w:val="24"/>
          <w:highlight w:val="none"/>
        </w:rPr>
        <w:t>特此承诺。</w:t>
      </w:r>
    </w:p>
    <w:p w14:paraId="0DDE9871">
      <w:pPr>
        <w:spacing w:line="360" w:lineRule="auto"/>
        <w:contextualSpacing/>
        <w:jc w:val="left"/>
        <w:rPr>
          <w:rFonts w:ascii="宋体" w:hAnsi="宋体" w:cs="宋体"/>
          <w:color w:val="auto"/>
          <w:szCs w:val="21"/>
          <w:highlight w:val="none"/>
        </w:rPr>
      </w:pPr>
    </w:p>
    <w:p w14:paraId="16F91684">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53441E51">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0149C89D">
      <w:pPr>
        <w:spacing w:line="500" w:lineRule="exact"/>
        <w:rPr>
          <w:rFonts w:ascii="宋体" w:hAnsi="宋体" w:cs="宋体"/>
          <w:b/>
          <w:color w:val="auto"/>
          <w:sz w:val="28"/>
          <w:szCs w:val="28"/>
          <w:highlight w:val="none"/>
        </w:rPr>
      </w:pPr>
    </w:p>
    <w:p w14:paraId="250A304A">
      <w:pPr>
        <w:spacing w:line="500" w:lineRule="exact"/>
        <w:rPr>
          <w:rFonts w:ascii="仿宋" w:hAnsi="仿宋" w:eastAsia="仿宋" w:cs="仿宋_GB2312"/>
          <w:b/>
          <w:color w:val="auto"/>
          <w:sz w:val="30"/>
          <w:szCs w:val="30"/>
          <w:highlight w:val="none"/>
          <w:lang w:val="zh-CN"/>
        </w:rPr>
      </w:pPr>
      <w:r>
        <w:rPr>
          <w:rFonts w:hint="eastAsia" w:ascii="宋体" w:hAnsi="宋体" w:cs="宋体"/>
          <w:b/>
          <w:color w:val="auto"/>
          <w:sz w:val="28"/>
          <w:szCs w:val="28"/>
          <w:highlight w:val="none"/>
        </w:rPr>
        <w:br w:type="page"/>
      </w:r>
      <w:r>
        <w:rPr>
          <w:rFonts w:hint="eastAsia" w:ascii="宋体" w:hAnsi="宋体" w:cs="宋体"/>
          <w:b/>
          <w:color w:val="auto"/>
          <w:sz w:val="28"/>
          <w:szCs w:val="28"/>
          <w:highlight w:val="none"/>
        </w:rPr>
        <w:t>4.</w:t>
      </w:r>
      <w:r>
        <w:rPr>
          <w:rFonts w:hint="eastAsia" w:ascii="宋体" w:hAnsi="宋体" w:cs="宋体"/>
          <w:b/>
          <w:color w:val="auto"/>
          <w:sz w:val="28"/>
          <w:szCs w:val="28"/>
          <w:highlight w:val="none"/>
          <w:lang w:val="zh-CN"/>
        </w:rPr>
        <w:t>响应报价表的格式：</w:t>
      </w:r>
      <w:r>
        <w:rPr>
          <w:rFonts w:hint="eastAsia" w:ascii="仿宋" w:hAnsi="仿宋" w:eastAsia="仿宋" w:cs="仿宋_GB2312"/>
          <w:b/>
          <w:color w:val="auto"/>
          <w:sz w:val="30"/>
          <w:szCs w:val="30"/>
          <w:highlight w:val="none"/>
          <w:lang w:val="zh-CN"/>
        </w:rPr>
        <w:t xml:space="preserve"> </w:t>
      </w:r>
    </w:p>
    <w:p w14:paraId="65858364">
      <w:pPr>
        <w:spacing w:line="520" w:lineRule="exact"/>
        <w:jc w:val="center"/>
        <w:rPr>
          <w:b/>
          <w:bCs/>
          <w:color w:val="auto"/>
          <w:sz w:val="32"/>
          <w:szCs w:val="32"/>
          <w:highlight w:val="none"/>
        </w:rPr>
      </w:pPr>
      <w:r>
        <w:rPr>
          <w:rFonts w:hint="eastAsia"/>
          <w:b/>
          <w:bCs/>
          <w:color w:val="auto"/>
          <w:sz w:val="32"/>
          <w:szCs w:val="32"/>
          <w:highlight w:val="none"/>
        </w:rPr>
        <w:t>响应报价表</w:t>
      </w:r>
    </w:p>
    <w:p w14:paraId="08E1AAD9">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F7FD565">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0E60EA66">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14:paraId="7A817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CFB2D59">
            <w:pPr>
              <w:rPr>
                <w:rFonts w:ascii="宋体" w:hAnsi="宋体" w:cs="宋体"/>
                <w:color w:val="auto"/>
                <w:sz w:val="24"/>
                <w:highlight w:val="none"/>
              </w:rPr>
            </w:pPr>
            <w:r>
              <w:rPr>
                <w:rFonts w:hint="eastAsia" w:ascii="宋体" w:hAnsi="宋体" w:cs="宋体"/>
                <w:color w:val="auto"/>
                <w:sz w:val="24"/>
                <w:highlight w:val="none"/>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2C2818FE">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14:paraId="229B6E6B">
            <w:pPr>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14:paraId="57BC4EC4">
            <w:pPr>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14:paraId="63307AD0">
            <w:pPr>
              <w:jc w:val="center"/>
              <w:rPr>
                <w:rFonts w:ascii="宋体" w:hAnsi="宋体" w:cs="宋体"/>
                <w:color w:val="auto"/>
                <w:sz w:val="24"/>
                <w:highlight w:val="none"/>
              </w:rPr>
            </w:pPr>
            <w:r>
              <w:rPr>
                <w:rFonts w:hint="eastAsia" w:ascii="宋体" w:hAnsi="宋体" w:eastAsia="宋体" w:cs="宋体"/>
                <w:color w:val="auto"/>
                <w:sz w:val="24"/>
                <w:highlight w:val="none"/>
              </w:rPr>
              <w:t>总报价(</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w:t>
            </w:r>
          </w:p>
        </w:tc>
        <w:tc>
          <w:tcPr>
            <w:tcW w:w="1101" w:type="dxa"/>
            <w:tcBorders>
              <w:top w:val="single" w:color="auto" w:sz="4" w:space="0"/>
              <w:left w:val="single" w:color="auto" w:sz="4" w:space="0"/>
              <w:bottom w:val="single" w:color="auto" w:sz="4" w:space="0"/>
              <w:right w:val="single" w:color="auto" w:sz="4" w:space="0"/>
            </w:tcBorders>
            <w:vAlign w:val="center"/>
          </w:tcPr>
          <w:p w14:paraId="795A6EF7">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42CE2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52CA66BA">
            <w:pPr>
              <w:jc w:val="center"/>
              <w:rPr>
                <w:rFonts w:ascii="宋体" w:hAnsi="宋体" w:cs="宋体"/>
                <w:color w:val="auto"/>
                <w:sz w:val="24"/>
                <w:highlight w:val="none"/>
              </w:rPr>
            </w:pPr>
            <w:r>
              <w:rPr>
                <w:rFonts w:hint="eastAsia" w:ascii="宋体" w:hAnsi="宋体" w:cs="宋体"/>
                <w:color w:val="auto"/>
                <w:sz w:val="24"/>
                <w:highlight w:val="none"/>
              </w:rPr>
              <w:t>1</w:t>
            </w:r>
          </w:p>
        </w:tc>
        <w:tc>
          <w:tcPr>
            <w:tcW w:w="2065" w:type="dxa"/>
            <w:tcBorders>
              <w:top w:val="single" w:color="auto" w:sz="4" w:space="0"/>
              <w:left w:val="single" w:color="auto" w:sz="4" w:space="0"/>
              <w:bottom w:val="single" w:color="auto" w:sz="4" w:space="0"/>
              <w:right w:val="single" w:color="auto" w:sz="4" w:space="0"/>
            </w:tcBorders>
            <w:vAlign w:val="center"/>
          </w:tcPr>
          <w:p w14:paraId="5CBB2D86">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2026年度广西职业资格电子化考试技术服务</w:t>
            </w:r>
          </w:p>
        </w:tc>
        <w:tc>
          <w:tcPr>
            <w:tcW w:w="2299" w:type="dxa"/>
            <w:tcBorders>
              <w:top w:val="single" w:color="auto" w:sz="4" w:space="0"/>
              <w:left w:val="single" w:color="auto" w:sz="4" w:space="0"/>
              <w:bottom w:val="single" w:color="auto" w:sz="4" w:space="0"/>
              <w:right w:val="single" w:color="auto" w:sz="4" w:space="0"/>
            </w:tcBorders>
            <w:vAlign w:val="center"/>
          </w:tcPr>
          <w:p w14:paraId="16FD27A6">
            <w:pPr>
              <w:jc w:val="center"/>
              <w:rPr>
                <w:rFonts w:ascii="宋体" w:hAnsi="宋体" w:cs="宋体"/>
                <w:color w:val="auto"/>
                <w:sz w:val="24"/>
                <w:highlight w:val="none"/>
              </w:rPr>
            </w:pPr>
            <w:r>
              <w:rPr>
                <w:rFonts w:hint="eastAsia" w:ascii="宋体" w:hAnsi="宋体" w:cs="宋体"/>
                <w:color w:val="auto"/>
                <w:sz w:val="24"/>
                <w:highlight w:val="none"/>
              </w:rPr>
              <w:t>按</w:t>
            </w:r>
            <w:r>
              <w:rPr>
                <w:rFonts w:hint="eastAsia" w:ascii="宋体" w:hAnsi="宋体" w:cs="宋体"/>
                <w:color w:val="auto"/>
                <w:sz w:val="24"/>
                <w:highlight w:val="none"/>
                <w:lang w:eastAsia="zh-CN"/>
              </w:rPr>
              <w:t>技术要求偏离表</w:t>
            </w:r>
            <w:r>
              <w:rPr>
                <w:rFonts w:hint="eastAsia" w:ascii="宋体" w:hAnsi="宋体" w:cs="宋体"/>
                <w:color w:val="auto"/>
                <w:sz w:val="24"/>
                <w:highlight w:val="none"/>
              </w:rPr>
              <w:t>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14:paraId="28A60D33">
            <w:pPr>
              <w:jc w:val="center"/>
              <w:rPr>
                <w:rFonts w:ascii="宋体" w:hAnsi="宋体" w:cs="宋体"/>
                <w:color w:val="auto"/>
                <w:sz w:val="24"/>
                <w:highlight w:val="none"/>
              </w:rPr>
            </w:pPr>
            <w:r>
              <w:rPr>
                <w:rFonts w:hint="eastAsia" w:ascii="宋体" w:hAnsi="宋体" w:cs="宋体"/>
                <w:color w:val="auto"/>
                <w:sz w:val="24"/>
                <w:highlight w:val="none"/>
              </w:rPr>
              <w:t>1项</w:t>
            </w:r>
          </w:p>
        </w:tc>
        <w:tc>
          <w:tcPr>
            <w:tcW w:w="2057" w:type="dxa"/>
            <w:tcBorders>
              <w:top w:val="single" w:color="auto" w:sz="4" w:space="0"/>
              <w:left w:val="single" w:color="auto" w:sz="4" w:space="0"/>
              <w:bottom w:val="single" w:color="auto" w:sz="4" w:space="0"/>
              <w:right w:val="single" w:color="auto" w:sz="4" w:space="0"/>
            </w:tcBorders>
            <w:vAlign w:val="center"/>
          </w:tcPr>
          <w:p w14:paraId="4E592883">
            <w:pPr>
              <w:ind w:firstLine="240" w:firstLineChars="100"/>
              <w:rPr>
                <w:rFonts w:ascii="宋体" w:hAnsi="宋体" w:cs="宋体"/>
                <w:color w:val="auto"/>
                <w:sz w:val="24"/>
                <w:highlight w:val="none"/>
              </w:rPr>
            </w:pPr>
            <w:r>
              <w:rPr>
                <w:rFonts w:hint="eastAsia" w:ascii="宋体" w:hAnsi="宋体" w:cs="宋体"/>
                <w:color w:val="auto"/>
                <w:sz w:val="24"/>
                <w:szCs w:val="32"/>
                <w:highlight w:val="none"/>
                <w:u w:val="single"/>
              </w:rPr>
              <w:t xml:space="preserve">¥           </w:t>
            </w:r>
          </w:p>
        </w:tc>
        <w:tc>
          <w:tcPr>
            <w:tcW w:w="1101" w:type="dxa"/>
            <w:tcBorders>
              <w:top w:val="single" w:color="auto" w:sz="4" w:space="0"/>
              <w:left w:val="single" w:color="auto" w:sz="4" w:space="0"/>
              <w:bottom w:val="single" w:color="auto" w:sz="4" w:space="0"/>
              <w:right w:val="single" w:color="auto" w:sz="4" w:space="0"/>
            </w:tcBorders>
            <w:vAlign w:val="center"/>
          </w:tcPr>
          <w:p w14:paraId="1C814E79">
            <w:pPr>
              <w:rPr>
                <w:rFonts w:ascii="宋体" w:hAnsi="宋体" w:cs="宋体"/>
                <w:color w:val="auto"/>
                <w:sz w:val="24"/>
                <w:highlight w:val="none"/>
              </w:rPr>
            </w:pPr>
          </w:p>
        </w:tc>
      </w:tr>
      <w:tr w14:paraId="33962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7C179B56">
            <w:pPr>
              <w:rPr>
                <w:rFonts w:ascii="宋体" w:hAnsi="宋体" w:cs="宋体"/>
                <w:color w:val="auto"/>
                <w:sz w:val="24"/>
                <w:highlight w:val="none"/>
              </w:rPr>
            </w:pPr>
            <w:r>
              <w:rPr>
                <w:rFonts w:hint="eastAsia" w:ascii="宋体" w:hAnsi="宋体" w:cs="宋体"/>
                <w:color w:val="auto"/>
                <w:sz w:val="24"/>
                <w:highlight w:val="none"/>
              </w:rPr>
              <w:t>服务期限:</w:t>
            </w:r>
          </w:p>
        </w:tc>
      </w:tr>
    </w:tbl>
    <w:p w14:paraId="61F8AC15">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注： </w:t>
      </w:r>
    </w:p>
    <w:p w14:paraId="7FC8B84F">
      <w:pPr>
        <w:snapToGrid w:val="0"/>
        <w:spacing w:before="50" w:after="50"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1、供应商需按本表格式填写，不得自行更改，也不得留空（</w:t>
      </w:r>
      <w:r>
        <w:rPr>
          <w:rFonts w:hint="eastAsia" w:ascii="宋体" w:hAnsi="宋体" w:cs="宋体"/>
          <w:color w:val="auto"/>
          <w:sz w:val="24"/>
          <w:highlight w:val="none"/>
        </w:rPr>
        <w:t>备注除外</w:t>
      </w:r>
      <w:r>
        <w:rPr>
          <w:rFonts w:hint="eastAsia" w:ascii="宋体" w:hAnsi="宋体" w:cs="宋体"/>
          <w:color w:val="auto"/>
          <w:kern w:val="0"/>
          <w:sz w:val="24"/>
          <w:highlight w:val="none"/>
          <w:lang w:val="zh-CN"/>
        </w:rPr>
        <w:t>）, 如有多分标，按分标分别提供响应报价表，</w:t>
      </w:r>
      <w:r>
        <w:rPr>
          <w:rFonts w:hint="eastAsia" w:ascii="宋体" w:hAnsi="宋体" w:cs="宋体"/>
          <w:b/>
          <w:color w:val="auto"/>
          <w:kern w:val="0"/>
          <w:sz w:val="24"/>
          <w:highlight w:val="none"/>
          <w:lang w:val="zh-CN"/>
        </w:rPr>
        <w:t>否则其响应按无效响应处理。</w:t>
      </w:r>
    </w:p>
    <w:p w14:paraId="0FEA84A3">
      <w:pPr>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2、如为联合体响应的，“供应商名称”处必须列明联合体各方名称，并标注联合体牵头人名称，且盖章处须加盖联合体各方公章，</w:t>
      </w:r>
      <w:r>
        <w:rPr>
          <w:rFonts w:hint="eastAsia" w:ascii="宋体" w:hAnsi="宋体" w:cs="宋体"/>
          <w:b/>
          <w:color w:val="auto"/>
          <w:kern w:val="0"/>
          <w:sz w:val="24"/>
          <w:highlight w:val="none"/>
          <w:lang w:val="zh-CN"/>
        </w:rPr>
        <w:t>否则其响应按无效响应处理。</w:t>
      </w:r>
    </w:p>
    <w:p w14:paraId="3695C07B">
      <w:pPr>
        <w:snapToGrid w:val="0"/>
        <w:spacing w:before="50" w:after="50" w:line="360" w:lineRule="auto"/>
        <w:ind w:firstLine="480" w:firstLineChars="200"/>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3、</w:t>
      </w:r>
      <w:r>
        <w:rPr>
          <w:rFonts w:hint="eastAsia" w:ascii="宋体" w:hAnsi="宋体" w:cs="宋体"/>
          <w:color w:val="auto"/>
          <w:kern w:val="0"/>
          <w:sz w:val="24"/>
          <w:highlight w:val="none"/>
        </w:rPr>
        <w:t>请</w:t>
      </w:r>
      <w:r>
        <w:rPr>
          <w:rFonts w:hint="eastAsia" w:ascii="宋体" w:hAnsi="宋体" w:cs="宋体"/>
          <w:color w:val="auto"/>
          <w:sz w:val="24"/>
          <w:highlight w:val="none"/>
        </w:rPr>
        <w:t>根据所竞</w:t>
      </w:r>
      <w:r>
        <w:rPr>
          <w:rFonts w:hint="eastAsia" w:hAnsi="宋体" w:cs="宋体"/>
          <w:color w:val="auto"/>
          <w:sz w:val="24"/>
          <w:highlight w:val="none"/>
        </w:rPr>
        <w:t>服务内容</w:t>
      </w:r>
      <w:r>
        <w:rPr>
          <w:rFonts w:hint="eastAsia" w:ascii="宋体" w:hAnsi="宋体" w:cs="宋体"/>
          <w:color w:val="auto"/>
          <w:sz w:val="24"/>
          <w:highlight w:val="none"/>
        </w:rPr>
        <w:t>，逐条对应本项目竞争性磋商文件“第二章 采购需求”中“技术要求”的</w:t>
      </w:r>
      <w:r>
        <w:rPr>
          <w:rFonts w:hint="eastAsia" w:hAnsi="宋体" w:cs="宋体"/>
          <w:color w:val="auto"/>
          <w:sz w:val="24"/>
          <w:highlight w:val="none"/>
        </w:rPr>
        <w:t>内容</w:t>
      </w:r>
      <w:r>
        <w:rPr>
          <w:rFonts w:hint="eastAsia" w:ascii="宋体" w:hAnsi="宋体" w:cs="宋体"/>
          <w:color w:val="auto"/>
          <w:sz w:val="24"/>
          <w:highlight w:val="none"/>
        </w:rPr>
        <w:t>详细填写相应的具体内容。</w:t>
      </w:r>
    </w:p>
    <w:p w14:paraId="383C1399">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4、特别提示：采购代理机构将对项目名称和项目编号，成交供应商名称、地址和成交金额，主要成交标的的名称、服务范围、服务要求、服务时间、服务标准等予以公示。</w:t>
      </w:r>
    </w:p>
    <w:p w14:paraId="127DCCEB">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5、符合采购文件中列明的可享受中小企业扶持政策的供应商，请填写中小企业声明函。</w:t>
      </w:r>
    </w:p>
    <w:p w14:paraId="76FFCDFC">
      <w:pPr>
        <w:snapToGrid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rPr>
        <w:t>6、</w:t>
      </w:r>
      <w:r>
        <w:rPr>
          <w:rFonts w:hint="eastAsia" w:ascii="宋体" w:hAnsi="宋体" w:cs="宋体"/>
          <w:color w:val="auto"/>
          <w:kern w:val="0"/>
          <w:sz w:val="24"/>
          <w:highlight w:val="none"/>
          <w:lang w:val="zh-CN"/>
        </w:rPr>
        <w:t>供应商提供的中小企业声明函内容不实的，属于提供虚假材料谋取中标、成交，依照《中华人民共和国政府采购法》等国家有关规定追究相应责任。</w:t>
      </w:r>
    </w:p>
    <w:p w14:paraId="417DB4FA">
      <w:pPr>
        <w:autoSpaceDE w:val="0"/>
        <w:autoSpaceDN w:val="0"/>
        <w:spacing w:line="360" w:lineRule="auto"/>
        <w:ind w:firstLine="4560" w:firstLineChars="1900"/>
        <w:rPr>
          <w:rFonts w:ascii="宋体" w:hAnsi="宋体" w:cs="宋体"/>
          <w:color w:val="auto"/>
          <w:kern w:val="0"/>
          <w:sz w:val="24"/>
          <w:highlight w:val="none"/>
        </w:rPr>
      </w:pPr>
    </w:p>
    <w:p w14:paraId="5B3EA017">
      <w:pPr>
        <w:autoSpaceDE w:val="0"/>
        <w:autoSpaceDN w:val="0"/>
        <w:spacing w:line="360" w:lineRule="auto"/>
        <w:ind w:firstLine="4560" w:firstLineChars="19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2CFD1E85">
      <w:pPr>
        <w:spacing w:line="500" w:lineRule="exact"/>
        <w:ind w:firstLine="6360" w:firstLineChars="2650"/>
        <w:rPr>
          <w:rFonts w:ascii="宋体" w:hAnsi="宋体" w:cs="宋体"/>
          <w:color w:val="auto"/>
          <w:kern w:val="0"/>
          <w:sz w:val="24"/>
          <w:szCs w:val="21"/>
          <w:highlight w:val="none"/>
          <w:lang w:val="zh-CN"/>
        </w:rPr>
      </w:pPr>
      <w:r>
        <w:rPr>
          <w:rFonts w:hint="eastAsia" w:ascii="宋体" w:hAnsi="宋体" w:cs="宋体"/>
          <w:color w:val="auto"/>
          <w:kern w:val="0"/>
          <w:sz w:val="24"/>
          <w:szCs w:val="21"/>
          <w:highlight w:val="none"/>
          <w:lang w:val="zh-CN"/>
        </w:rPr>
        <w:t>日期：  年  月   日</w:t>
      </w:r>
    </w:p>
    <w:p w14:paraId="01E1CA7D">
      <w:pPr>
        <w:spacing w:line="500" w:lineRule="exact"/>
        <w:rPr>
          <w:rFonts w:ascii="仿宋" w:hAnsi="仿宋" w:eastAsia="仿宋" w:cs="仿宋_GB2312"/>
          <w:b/>
          <w:color w:val="auto"/>
          <w:sz w:val="30"/>
          <w:szCs w:val="30"/>
          <w:highlight w:val="none"/>
          <w:lang w:val="zh-CN"/>
        </w:rPr>
      </w:pPr>
      <w:r>
        <w:rPr>
          <w:rFonts w:hint="eastAsia" w:ascii="宋体" w:hAnsi="宋体" w:cs="宋体"/>
          <w:color w:val="auto"/>
          <w:kern w:val="0"/>
          <w:sz w:val="24"/>
          <w:szCs w:val="21"/>
          <w:highlight w:val="none"/>
          <w:lang w:val="zh-CN"/>
        </w:rPr>
        <w:br w:type="page"/>
      </w:r>
      <w:r>
        <w:rPr>
          <w:rFonts w:hint="eastAsia" w:ascii="宋体" w:hAnsi="宋体" w:cs="宋体"/>
          <w:b/>
          <w:color w:val="auto"/>
          <w:sz w:val="28"/>
          <w:szCs w:val="28"/>
          <w:highlight w:val="none"/>
        </w:rPr>
        <w:t>5.</w:t>
      </w:r>
      <w:r>
        <w:rPr>
          <w:rFonts w:hint="eastAsia" w:ascii="宋体" w:hAnsi="宋体" w:cs="宋体"/>
          <w:b/>
          <w:color w:val="auto"/>
          <w:sz w:val="28"/>
          <w:szCs w:val="28"/>
          <w:highlight w:val="none"/>
          <w:lang w:val="zh-CN"/>
        </w:rPr>
        <w:t>最后报价表的格式：</w:t>
      </w:r>
      <w:r>
        <w:rPr>
          <w:rFonts w:hint="eastAsia" w:ascii="仿宋" w:hAnsi="仿宋" w:eastAsia="仿宋" w:cs="仿宋_GB2312"/>
          <w:b/>
          <w:color w:val="auto"/>
          <w:sz w:val="30"/>
          <w:szCs w:val="30"/>
          <w:highlight w:val="none"/>
          <w:lang w:val="zh-CN"/>
        </w:rPr>
        <w:t xml:space="preserve"> </w:t>
      </w:r>
    </w:p>
    <w:p w14:paraId="224AE0E4">
      <w:pPr>
        <w:spacing w:line="520" w:lineRule="exact"/>
        <w:ind w:firstLine="420" w:firstLineChars="200"/>
        <w:rPr>
          <w:rFonts w:ascii="Calibri" w:hAnsi="Calibri"/>
          <w:color w:val="auto"/>
          <w:highlight w:val="none"/>
        </w:rPr>
      </w:pPr>
    </w:p>
    <w:p w14:paraId="2F9A2E76">
      <w:pPr>
        <w:spacing w:line="520" w:lineRule="exact"/>
        <w:jc w:val="center"/>
        <w:rPr>
          <w:b/>
          <w:bCs/>
          <w:color w:val="auto"/>
          <w:sz w:val="32"/>
          <w:szCs w:val="32"/>
          <w:highlight w:val="none"/>
        </w:rPr>
      </w:pPr>
      <w:r>
        <w:rPr>
          <w:rFonts w:hint="eastAsia"/>
          <w:b/>
          <w:bCs/>
          <w:color w:val="auto"/>
          <w:sz w:val="32"/>
          <w:szCs w:val="32"/>
          <w:highlight w:val="none"/>
        </w:rPr>
        <w:t>最后报价表</w:t>
      </w:r>
    </w:p>
    <w:p w14:paraId="20E3C336">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2D2CFC0D">
      <w:pPr>
        <w:snapToGrid w:val="0"/>
        <w:spacing w:before="50" w:after="50" w:line="360" w:lineRule="auto"/>
        <w:rPr>
          <w:rFonts w:ascii="宋体" w:hAnsi="宋体" w:cs="宋体"/>
          <w:color w:val="auto"/>
          <w:sz w:val="24"/>
          <w:highlight w:val="none"/>
        </w:rPr>
      </w:pPr>
      <w:r>
        <w:rPr>
          <w:rFonts w:hint="eastAsia" w:ascii="宋体" w:hAnsi="宋体" w:cs="宋体"/>
          <w:color w:val="auto"/>
          <w:sz w:val="24"/>
          <w:highlight w:val="none"/>
        </w:rPr>
        <w:t>项目编号：</w:t>
      </w:r>
      <w:r>
        <w:rPr>
          <w:rFonts w:hint="eastAsia" w:ascii="宋体" w:hAnsi="宋体" w:cs="宋体"/>
          <w:color w:val="auto"/>
          <w:sz w:val="24"/>
          <w:highlight w:val="none"/>
          <w:u w:val="single"/>
        </w:rPr>
        <w:t xml:space="preserve">           </w:t>
      </w:r>
    </w:p>
    <w:p w14:paraId="0BB4DD22">
      <w:pPr>
        <w:spacing w:line="360" w:lineRule="auto"/>
        <w:contextualSpacing/>
        <w:rPr>
          <w:rFonts w:ascii="宋体" w:hAnsi="宋体" w:cs="宋体"/>
          <w:color w:val="auto"/>
          <w:sz w:val="24"/>
          <w:highlight w:val="none"/>
        </w:rPr>
      </w:pPr>
      <w:r>
        <w:rPr>
          <w:rFonts w:hint="eastAsia" w:ascii="宋体" w:hAnsi="宋体" w:cs="宋体"/>
          <w:color w:val="auto"/>
          <w:sz w:val="24"/>
          <w:highlight w:val="none"/>
        </w:rPr>
        <w:t>所竞分标（如有则填写，无分标时填写“无”或者留空）：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31"/>
        <w:tblW w:w="97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2065"/>
        <w:gridCol w:w="2299"/>
        <w:gridCol w:w="1492"/>
        <w:gridCol w:w="2057"/>
        <w:gridCol w:w="1101"/>
      </w:tblGrid>
      <w:tr w14:paraId="45F2A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3"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242085DA">
            <w:pPr>
              <w:rPr>
                <w:rFonts w:ascii="宋体" w:hAnsi="宋体" w:cs="宋体"/>
                <w:color w:val="auto"/>
                <w:sz w:val="24"/>
                <w:highlight w:val="none"/>
              </w:rPr>
            </w:pPr>
            <w:r>
              <w:rPr>
                <w:rFonts w:hint="eastAsia" w:ascii="宋体" w:hAnsi="宋体" w:cs="宋体"/>
                <w:color w:val="auto"/>
                <w:sz w:val="24"/>
                <w:highlight w:val="none"/>
              </w:rPr>
              <w:t>序号</w:t>
            </w:r>
          </w:p>
        </w:tc>
        <w:tc>
          <w:tcPr>
            <w:tcW w:w="2065" w:type="dxa"/>
            <w:tcBorders>
              <w:top w:val="single" w:color="auto" w:sz="4" w:space="0"/>
              <w:left w:val="single" w:color="auto" w:sz="4" w:space="0"/>
              <w:bottom w:val="single" w:color="auto" w:sz="4" w:space="0"/>
              <w:right w:val="single" w:color="auto" w:sz="4" w:space="0"/>
            </w:tcBorders>
            <w:vAlign w:val="center"/>
          </w:tcPr>
          <w:p w14:paraId="4BAC0075">
            <w:pPr>
              <w:jc w:val="center"/>
              <w:rPr>
                <w:rFonts w:ascii="宋体" w:hAnsi="宋体" w:cs="宋体"/>
                <w:color w:val="auto"/>
                <w:sz w:val="24"/>
                <w:highlight w:val="none"/>
              </w:rPr>
            </w:pPr>
            <w:r>
              <w:rPr>
                <w:rFonts w:hint="eastAsia" w:ascii="宋体" w:hAnsi="宋体" w:cs="宋体"/>
                <w:color w:val="auto"/>
                <w:sz w:val="24"/>
                <w:highlight w:val="none"/>
              </w:rPr>
              <w:t>标的名称</w:t>
            </w:r>
          </w:p>
        </w:tc>
        <w:tc>
          <w:tcPr>
            <w:tcW w:w="2299" w:type="dxa"/>
            <w:tcBorders>
              <w:top w:val="single" w:color="auto" w:sz="4" w:space="0"/>
              <w:left w:val="single" w:color="auto" w:sz="4" w:space="0"/>
              <w:bottom w:val="single" w:color="auto" w:sz="4" w:space="0"/>
              <w:right w:val="single" w:color="auto" w:sz="4" w:space="0"/>
            </w:tcBorders>
            <w:vAlign w:val="center"/>
          </w:tcPr>
          <w:p w14:paraId="6AADDF61">
            <w:pPr>
              <w:jc w:val="center"/>
              <w:rPr>
                <w:rFonts w:ascii="宋体" w:hAnsi="宋体" w:cs="宋体"/>
                <w:color w:val="auto"/>
                <w:sz w:val="24"/>
                <w:highlight w:val="none"/>
              </w:rPr>
            </w:pPr>
            <w:r>
              <w:rPr>
                <w:rFonts w:hint="eastAsia" w:ascii="宋体" w:hAnsi="宋体" w:cs="宋体"/>
                <w:color w:val="auto"/>
                <w:sz w:val="24"/>
                <w:highlight w:val="none"/>
              </w:rPr>
              <w:t>服务内容</w:t>
            </w:r>
          </w:p>
        </w:tc>
        <w:tc>
          <w:tcPr>
            <w:tcW w:w="1492" w:type="dxa"/>
            <w:tcBorders>
              <w:top w:val="single" w:color="auto" w:sz="4" w:space="0"/>
              <w:left w:val="single" w:color="auto" w:sz="4" w:space="0"/>
              <w:bottom w:val="single" w:color="auto" w:sz="4" w:space="0"/>
              <w:right w:val="single" w:color="auto" w:sz="4" w:space="0"/>
            </w:tcBorders>
            <w:vAlign w:val="center"/>
          </w:tcPr>
          <w:p w14:paraId="2CA11376">
            <w:pPr>
              <w:jc w:val="center"/>
              <w:rPr>
                <w:rFonts w:ascii="宋体" w:hAnsi="宋体" w:cs="宋体"/>
                <w:color w:val="auto"/>
                <w:sz w:val="24"/>
                <w:highlight w:val="none"/>
              </w:rPr>
            </w:pPr>
            <w:r>
              <w:rPr>
                <w:rFonts w:hint="eastAsia" w:ascii="宋体" w:hAnsi="宋体" w:cs="宋体"/>
                <w:color w:val="auto"/>
                <w:sz w:val="24"/>
                <w:highlight w:val="none"/>
              </w:rPr>
              <w:t>数量及单位</w:t>
            </w:r>
          </w:p>
        </w:tc>
        <w:tc>
          <w:tcPr>
            <w:tcW w:w="2057" w:type="dxa"/>
            <w:tcBorders>
              <w:top w:val="single" w:color="auto" w:sz="4" w:space="0"/>
              <w:left w:val="single" w:color="auto" w:sz="4" w:space="0"/>
              <w:bottom w:val="single" w:color="auto" w:sz="4" w:space="0"/>
              <w:right w:val="single" w:color="auto" w:sz="4" w:space="0"/>
            </w:tcBorders>
            <w:vAlign w:val="center"/>
          </w:tcPr>
          <w:p w14:paraId="66CCC8BB">
            <w:pPr>
              <w:jc w:val="center"/>
              <w:rPr>
                <w:rFonts w:ascii="宋体" w:hAnsi="宋体" w:cs="宋体"/>
                <w:color w:val="auto"/>
                <w:sz w:val="24"/>
                <w:highlight w:val="none"/>
              </w:rPr>
            </w:pPr>
            <w:r>
              <w:rPr>
                <w:rFonts w:hint="eastAsia" w:ascii="宋体" w:hAnsi="宋体" w:eastAsia="宋体" w:cs="宋体"/>
                <w:color w:val="auto"/>
                <w:sz w:val="24"/>
                <w:highlight w:val="none"/>
              </w:rPr>
              <w:t>总报价(</w:t>
            </w:r>
            <w:r>
              <w:rPr>
                <w:rFonts w:hint="eastAsia" w:ascii="宋体" w:hAnsi="宋体" w:eastAsia="宋体" w:cs="宋体"/>
                <w:color w:val="auto"/>
                <w:sz w:val="24"/>
                <w:highlight w:val="none"/>
                <w:lang w:val="en-US" w:eastAsia="zh-CN"/>
              </w:rPr>
              <w:t>元</w:t>
            </w:r>
            <w:r>
              <w:rPr>
                <w:rFonts w:hint="eastAsia" w:ascii="宋体" w:hAnsi="宋体" w:eastAsia="宋体" w:cs="宋体"/>
                <w:color w:val="auto"/>
                <w:sz w:val="24"/>
                <w:highlight w:val="none"/>
              </w:rPr>
              <w:t>)</w:t>
            </w:r>
          </w:p>
        </w:tc>
        <w:tc>
          <w:tcPr>
            <w:tcW w:w="1101" w:type="dxa"/>
            <w:tcBorders>
              <w:top w:val="single" w:color="auto" w:sz="4" w:space="0"/>
              <w:left w:val="single" w:color="auto" w:sz="4" w:space="0"/>
              <w:bottom w:val="single" w:color="auto" w:sz="4" w:space="0"/>
              <w:right w:val="single" w:color="auto" w:sz="4" w:space="0"/>
            </w:tcBorders>
            <w:vAlign w:val="center"/>
          </w:tcPr>
          <w:p w14:paraId="467B4D24">
            <w:pPr>
              <w:jc w:val="center"/>
              <w:rPr>
                <w:rFonts w:ascii="宋体" w:hAnsi="宋体" w:cs="宋体"/>
                <w:color w:val="auto"/>
                <w:sz w:val="24"/>
                <w:highlight w:val="none"/>
              </w:rPr>
            </w:pPr>
            <w:r>
              <w:rPr>
                <w:rFonts w:hint="eastAsia" w:ascii="宋体" w:hAnsi="宋体" w:cs="宋体"/>
                <w:color w:val="auto"/>
                <w:sz w:val="24"/>
                <w:highlight w:val="none"/>
              </w:rPr>
              <w:t>备注</w:t>
            </w:r>
          </w:p>
        </w:tc>
      </w:tr>
      <w:tr w14:paraId="5544F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9" w:hRule="atLeast"/>
          <w:jc w:val="center"/>
        </w:trPr>
        <w:tc>
          <w:tcPr>
            <w:tcW w:w="719" w:type="dxa"/>
            <w:tcBorders>
              <w:top w:val="single" w:color="auto" w:sz="4" w:space="0"/>
              <w:left w:val="single" w:color="auto" w:sz="4" w:space="0"/>
              <w:bottom w:val="single" w:color="auto" w:sz="4" w:space="0"/>
              <w:right w:val="single" w:color="auto" w:sz="4" w:space="0"/>
            </w:tcBorders>
            <w:vAlign w:val="center"/>
          </w:tcPr>
          <w:p w14:paraId="08C5A8FD">
            <w:pPr>
              <w:jc w:val="center"/>
              <w:rPr>
                <w:rFonts w:ascii="宋体" w:hAnsi="宋体" w:cs="宋体"/>
                <w:color w:val="auto"/>
                <w:sz w:val="24"/>
                <w:highlight w:val="none"/>
              </w:rPr>
            </w:pPr>
            <w:r>
              <w:rPr>
                <w:rFonts w:hint="eastAsia" w:ascii="宋体" w:hAnsi="宋体" w:cs="宋体"/>
                <w:color w:val="auto"/>
                <w:sz w:val="24"/>
                <w:highlight w:val="none"/>
              </w:rPr>
              <w:t>1</w:t>
            </w:r>
          </w:p>
        </w:tc>
        <w:tc>
          <w:tcPr>
            <w:tcW w:w="2065" w:type="dxa"/>
            <w:tcBorders>
              <w:top w:val="single" w:color="auto" w:sz="4" w:space="0"/>
              <w:left w:val="single" w:color="auto" w:sz="4" w:space="0"/>
              <w:bottom w:val="single" w:color="auto" w:sz="4" w:space="0"/>
              <w:right w:val="single" w:color="auto" w:sz="4" w:space="0"/>
            </w:tcBorders>
            <w:vAlign w:val="center"/>
          </w:tcPr>
          <w:p w14:paraId="03116694">
            <w:pPr>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2026年度广西职业资格电子化考试技术服务</w:t>
            </w:r>
          </w:p>
        </w:tc>
        <w:tc>
          <w:tcPr>
            <w:tcW w:w="2299" w:type="dxa"/>
            <w:tcBorders>
              <w:top w:val="single" w:color="auto" w:sz="4" w:space="0"/>
              <w:left w:val="single" w:color="auto" w:sz="4" w:space="0"/>
              <w:bottom w:val="single" w:color="auto" w:sz="4" w:space="0"/>
              <w:right w:val="single" w:color="auto" w:sz="4" w:space="0"/>
            </w:tcBorders>
            <w:vAlign w:val="center"/>
          </w:tcPr>
          <w:p w14:paraId="5256D690">
            <w:pPr>
              <w:jc w:val="center"/>
              <w:rPr>
                <w:rFonts w:ascii="宋体" w:hAnsi="宋体" w:cs="宋体"/>
                <w:color w:val="auto"/>
                <w:sz w:val="24"/>
                <w:highlight w:val="none"/>
              </w:rPr>
            </w:pPr>
            <w:r>
              <w:rPr>
                <w:rFonts w:hint="eastAsia" w:ascii="宋体" w:hAnsi="宋体" w:cs="宋体"/>
                <w:color w:val="auto"/>
                <w:sz w:val="24"/>
                <w:highlight w:val="none"/>
              </w:rPr>
              <w:t>按</w:t>
            </w:r>
            <w:r>
              <w:rPr>
                <w:rFonts w:hint="eastAsia" w:ascii="宋体" w:hAnsi="宋体" w:cs="宋体"/>
                <w:color w:val="auto"/>
                <w:sz w:val="24"/>
                <w:highlight w:val="none"/>
                <w:lang w:eastAsia="zh-CN"/>
              </w:rPr>
              <w:t>技术要求偏离表</w:t>
            </w:r>
            <w:r>
              <w:rPr>
                <w:rFonts w:hint="eastAsia" w:ascii="宋体" w:hAnsi="宋体" w:cs="宋体"/>
                <w:color w:val="auto"/>
                <w:sz w:val="24"/>
                <w:highlight w:val="none"/>
              </w:rPr>
              <w:t>中响应文件响应的技术要求提供服务</w:t>
            </w:r>
          </w:p>
        </w:tc>
        <w:tc>
          <w:tcPr>
            <w:tcW w:w="1492" w:type="dxa"/>
            <w:tcBorders>
              <w:top w:val="single" w:color="auto" w:sz="4" w:space="0"/>
              <w:left w:val="single" w:color="auto" w:sz="4" w:space="0"/>
              <w:bottom w:val="single" w:color="auto" w:sz="4" w:space="0"/>
              <w:right w:val="single" w:color="auto" w:sz="4" w:space="0"/>
            </w:tcBorders>
            <w:vAlign w:val="center"/>
          </w:tcPr>
          <w:p w14:paraId="1E703DF7">
            <w:pPr>
              <w:jc w:val="center"/>
              <w:rPr>
                <w:rFonts w:ascii="宋体" w:hAnsi="宋体" w:cs="宋体"/>
                <w:color w:val="auto"/>
                <w:sz w:val="24"/>
                <w:highlight w:val="none"/>
              </w:rPr>
            </w:pPr>
            <w:r>
              <w:rPr>
                <w:rFonts w:hint="eastAsia" w:ascii="宋体" w:hAnsi="宋体" w:cs="宋体"/>
                <w:color w:val="auto"/>
                <w:sz w:val="24"/>
                <w:highlight w:val="none"/>
              </w:rPr>
              <w:t>1项</w:t>
            </w:r>
          </w:p>
        </w:tc>
        <w:tc>
          <w:tcPr>
            <w:tcW w:w="2057" w:type="dxa"/>
            <w:tcBorders>
              <w:top w:val="single" w:color="auto" w:sz="4" w:space="0"/>
              <w:left w:val="single" w:color="auto" w:sz="4" w:space="0"/>
              <w:bottom w:val="single" w:color="auto" w:sz="4" w:space="0"/>
              <w:right w:val="single" w:color="auto" w:sz="4" w:space="0"/>
            </w:tcBorders>
            <w:vAlign w:val="center"/>
          </w:tcPr>
          <w:p w14:paraId="6556CB94">
            <w:pPr>
              <w:ind w:firstLine="240" w:firstLineChars="100"/>
              <w:rPr>
                <w:rFonts w:ascii="宋体" w:hAnsi="宋体" w:cs="宋体"/>
                <w:color w:val="auto"/>
                <w:sz w:val="24"/>
                <w:highlight w:val="none"/>
              </w:rPr>
            </w:pPr>
            <w:r>
              <w:rPr>
                <w:rFonts w:hint="eastAsia" w:ascii="宋体" w:hAnsi="宋体" w:cs="宋体"/>
                <w:color w:val="auto"/>
                <w:sz w:val="24"/>
                <w:szCs w:val="32"/>
                <w:highlight w:val="none"/>
                <w:u w:val="single"/>
              </w:rPr>
              <w:t xml:space="preserve">¥           </w:t>
            </w:r>
          </w:p>
        </w:tc>
        <w:tc>
          <w:tcPr>
            <w:tcW w:w="1101" w:type="dxa"/>
            <w:tcBorders>
              <w:top w:val="single" w:color="auto" w:sz="4" w:space="0"/>
              <w:left w:val="single" w:color="auto" w:sz="4" w:space="0"/>
              <w:bottom w:val="single" w:color="auto" w:sz="4" w:space="0"/>
              <w:right w:val="single" w:color="auto" w:sz="4" w:space="0"/>
            </w:tcBorders>
            <w:vAlign w:val="center"/>
          </w:tcPr>
          <w:p w14:paraId="17BD59EB">
            <w:pPr>
              <w:rPr>
                <w:rFonts w:ascii="宋体" w:hAnsi="宋体" w:cs="宋体"/>
                <w:color w:val="auto"/>
                <w:sz w:val="24"/>
                <w:highlight w:val="none"/>
              </w:rPr>
            </w:pPr>
          </w:p>
        </w:tc>
      </w:tr>
      <w:tr w14:paraId="4F8A6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9733" w:type="dxa"/>
            <w:gridSpan w:val="6"/>
            <w:tcBorders>
              <w:top w:val="single" w:color="auto" w:sz="4" w:space="0"/>
              <w:left w:val="single" w:color="auto" w:sz="4" w:space="0"/>
              <w:bottom w:val="single" w:color="auto" w:sz="4" w:space="0"/>
              <w:right w:val="single" w:color="auto" w:sz="4" w:space="0"/>
            </w:tcBorders>
            <w:vAlign w:val="center"/>
          </w:tcPr>
          <w:p w14:paraId="782FD3F0">
            <w:pPr>
              <w:rPr>
                <w:rFonts w:ascii="宋体" w:hAnsi="宋体" w:cs="宋体"/>
                <w:color w:val="auto"/>
                <w:sz w:val="24"/>
                <w:highlight w:val="none"/>
              </w:rPr>
            </w:pPr>
            <w:r>
              <w:rPr>
                <w:rFonts w:hint="eastAsia" w:ascii="宋体" w:hAnsi="宋体" w:cs="宋体"/>
                <w:color w:val="auto"/>
                <w:sz w:val="24"/>
                <w:highlight w:val="none"/>
              </w:rPr>
              <w:t>服务期限:</w:t>
            </w:r>
          </w:p>
        </w:tc>
      </w:tr>
    </w:tbl>
    <w:p w14:paraId="3AD65FC7">
      <w:pPr>
        <w:rPr>
          <w:color w:val="auto"/>
          <w:highlight w:val="none"/>
        </w:rPr>
      </w:pPr>
    </w:p>
    <w:p w14:paraId="5C77E9BC">
      <w:pPr>
        <w:spacing w:line="360" w:lineRule="auto"/>
        <w:contextualSpacing/>
        <w:rPr>
          <w:rFonts w:ascii="宋体" w:hAnsi="宋体" w:cs="宋体"/>
          <w:color w:val="auto"/>
          <w:sz w:val="24"/>
          <w:highlight w:val="none"/>
          <w:u w:val="single"/>
        </w:rPr>
      </w:pPr>
      <w:r>
        <w:rPr>
          <w:rFonts w:hint="eastAsia" w:ascii="宋体" w:hAnsi="宋体" w:cs="宋体"/>
          <w:color w:val="auto"/>
          <w:sz w:val="24"/>
          <w:highlight w:val="none"/>
        </w:rPr>
        <w:t xml:space="preserve">                </w:t>
      </w:r>
    </w:p>
    <w:p w14:paraId="2BDE60DD">
      <w:pPr>
        <w:autoSpaceDE w:val="0"/>
        <w:autoSpaceDN w:val="0"/>
        <w:spacing w:line="360" w:lineRule="auto"/>
        <w:ind w:firstLine="4560" w:firstLineChars="1900"/>
        <w:rPr>
          <w:rFonts w:ascii="宋体" w:hAnsi="宋体" w:cs="宋体"/>
          <w:color w:val="auto"/>
          <w:kern w:val="0"/>
          <w:sz w:val="24"/>
          <w:highlight w:val="none"/>
        </w:rPr>
      </w:pPr>
    </w:p>
    <w:p w14:paraId="6BC363C8">
      <w:pPr>
        <w:autoSpaceDE w:val="0"/>
        <w:autoSpaceDN w:val="0"/>
        <w:spacing w:line="360" w:lineRule="auto"/>
        <w:ind w:firstLine="4560" w:firstLineChars="19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2FEAA005">
      <w:pPr>
        <w:spacing w:line="500" w:lineRule="exact"/>
        <w:ind w:firstLine="6360" w:firstLineChars="2650"/>
        <w:rPr>
          <w:rFonts w:ascii="宋体" w:hAnsi="宋体" w:cs="宋体"/>
          <w:color w:val="auto"/>
          <w:sz w:val="24"/>
          <w:highlight w:val="none"/>
          <w:lang w:val="zh-CN"/>
        </w:rPr>
        <w:sectPr>
          <w:pgSz w:w="11911" w:h="16838"/>
          <w:pgMar w:top="1134" w:right="1134" w:bottom="1134" w:left="1134" w:header="720" w:footer="720" w:gutter="0"/>
          <w:cols w:space="720" w:num="1"/>
        </w:sectPr>
      </w:pPr>
      <w:r>
        <w:rPr>
          <w:rFonts w:hint="eastAsia" w:ascii="宋体" w:hAnsi="宋体" w:cs="宋体"/>
          <w:color w:val="auto"/>
          <w:kern w:val="0"/>
          <w:sz w:val="24"/>
          <w:szCs w:val="21"/>
          <w:highlight w:val="none"/>
          <w:lang w:val="zh-CN"/>
        </w:rPr>
        <w:t>日期：</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年</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月</w:t>
      </w:r>
      <w:r>
        <w:rPr>
          <w:rFonts w:hint="eastAsia" w:ascii="宋体" w:hAnsi="宋体" w:cs="宋体"/>
          <w:color w:val="auto"/>
          <w:kern w:val="0"/>
          <w:sz w:val="24"/>
          <w:szCs w:val="21"/>
          <w:highlight w:val="none"/>
        </w:rPr>
        <w:t xml:space="preserve">    </w:t>
      </w:r>
      <w:r>
        <w:rPr>
          <w:rFonts w:hint="eastAsia" w:ascii="宋体" w:hAnsi="宋体" w:cs="宋体"/>
          <w:color w:val="auto"/>
          <w:kern w:val="0"/>
          <w:sz w:val="24"/>
          <w:szCs w:val="21"/>
          <w:highlight w:val="none"/>
          <w:lang w:val="zh-CN"/>
        </w:rPr>
        <w:t>日</w:t>
      </w:r>
    </w:p>
    <w:p w14:paraId="39E9BEFF">
      <w:pPr>
        <w:pStyle w:val="3"/>
        <w:jc w:val="center"/>
        <w:rPr>
          <w:rFonts w:ascii="宋体" w:hAnsi="宋体"/>
          <w:b w:val="0"/>
          <w:color w:val="auto"/>
          <w:highlight w:val="none"/>
        </w:rPr>
      </w:pPr>
      <w:bookmarkStart w:id="151" w:name="_Toc18482"/>
      <w:bookmarkStart w:id="152" w:name="_Toc13936"/>
      <w:bookmarkStart w:id="153" w:name="_Toc80886946"/>
      <w:bookmarkStart w:id="154" w:name="_Toc80205942"/>
      <w:r>
        <w:rPr>
          <w:rFonts w:hint="eastAsia" w:ascii="宋体" w:hAnsi="宋体"/>
          <w:color w:val="auto"/>
          <w:highlight w:val="none"/>
        </w:rPr>
        <w:t>第四节 其他文书、文件格式</w:t>
      </w:r>
      <w:bookmarkEnd w:id="151"/>
      <w:bookmarkEnd w:id="152"/>
      <w:bookmarkEnd w:id="153"/>
      <w:bookmarkEnd w:id="154"/>
    </w:p>
    <w:p w14:paraId="5810732C">
      <w:pPr>
        <w:spacing w:line="500" w:lineRule="exact"/>
        <w:rPr>
          <w:rFonts w:ascii="宋体" w:hAnsi="宋体" w:cs="宋体"/>
          <w:b/>
          <w:color w:val="auto"/>
          <w:sz w:val="30"/>
          <w:szCs w:val="30"/>
          <w:highlight w:val="none"/>
          <w:lang w:val="zh-CN"/>
        </w:rPr>
      </w:pPr>
      <w:r>
        <w:rPr>
          <w:rFonts w:hint="eastAsia" w:ascii="宋体" w:hAnsi="宋体" w:cs="宋体"/>
          <w:b/>
          <w:color w:val="auto"/>
          <w:sz w:val="30"/>
          <w:szCs w:val="30"/>
          <w:highlight w:val="none"/>
        </w:rPr>
        <w:t>1.</w:t>
      </w:r>
      <w:r>
        <w:rPr>
          <w:rFonts w:hint="eastAsia" w:ascii="宋体" w:hAnsi="宋体" w:cs="宋体"/>
          <w:b/>
          <w:color w:val="auto"/>
          <w:sz w:val="30"/>
          <w:szCs w:val="30"/>
          <w:highlight w:val="none"/>
          <w:lang w:val="zh-CN"/>
        </w:rPr>
        <w:t>中小企业声明函的格式：</w:t>
      </w:r>
    </w:p>
    <w:p w14:paraId="6E90BCE9">
      <w:pPr>
        <w:pStyle w:val="23"/>
        <w:rPr>
          <w:rFonts w:ascii="宋体" w:hAnsi="宋体" w:cs="宋体"/>
          <w:color w:val="auto"/>
          <w:highlight w:val="none"/>
        </w:rPr>
      </w:pPr>
    </w:p>
    <w:p w14:paraId="2961F9AF">
      <w:pPr>
        <w:spacing w:line="300" w:lineRule="auto"/>
        <w:ind w:firstLine="3520" w:firstLineChars="800"/>
        <w:rPr>
          <w:rFonts w:ascii="宋体" w:hAnsi="宋体" w:cs="宋体"/>
          <w:color w:val="auto"/>
          <w:sz w:val="44"/>
          <w:szCs w:val="44"/>
          <w:highlight w:val="none"/>
        </w:rPr>
      </w:pPr>
      <w:r>
        <w:rPr>
          <w:rFonts w:hint="eastAsia" w:ascii="宋体" w:hAnsi="宋体" w:cs="宋体"/>
          <w:color w:val="auto"/>
          <w:sz w:val="44"/>
          <w:szCs w:val="44"/>
          <w:highlight w:val="none"/>
        </w:rPr>
        <w:t>中小企业声明函</w:t>
      </w:r>
    </w:p>
    <w:p w14:paraId="7504A387">
      <w:pPr>
        <w:pStyle w:val="15"/>
        <w:spacing w:after="0" w:line="360" w:lineRule="auto"/>
        <w:ind w:left="-426" w:right="142" w:firstLine="640"/>
        <w:contextualSpacing/>
        <w:rPr>
          <w:rFonts w:ascii="宋体" w:hAnsi="宋体" w:cs="宋体"/>
          <w:color w:val="auto"/>
          <w:sz w:val="24"/>
          <w:highlight w:val="none"/>
        </w:rPr>
      </w:pPr>
    </w:p>
    <w:p w14:paraId="3FDD70A4">
      <w:pPr>
        <w:pStyle w:val="15"/>
        <w:spacing w:after="0" w:line="360" w:lineRule="auto"/>
        <w:ind w:left="-426" w:right="142" w:firstLine="640"/>
        <w:contextualSpacing/>
        <w:rPr>
          <w:rFonts w:ascii="宋体" w:hAnsi="宋体" w:cs="宋体"/>
          <w:color w:val="auto"/>
          <w:sz w:val="24"/>
          <w:highlight w:val="none"/>
        </w:rPr>
      </w:pPr>
      <w:r>
        <w:rPr>
          <w:rFonts w:hint="eastAsia" w:ascii="宋体" w:hAnsi="宋体" w:cs="宋体"/>
          <w:color w:val="auto"/>
          <w:sz w:val="24"/>
          <w:highlight w:val="none"/>
        </w:rPr>
        <w:t>本公司（联合体）郑重声明，根据《政府采购促进中小企业发展管理办法》（财库﹝2020﹞46号）的规定，本公司（联合体）参加</w:t>
      </w:r>
      <w:r>
        <w:rPr>
          <w:rFonts w:hint="eastAsia" w:ascii="宋体" w:hAnsi="宋体" w:cs="宋体"/>
          <w:i/>
          <w:iCs/>
          <w:color w:val="auto"/>
          <w:sz w:val="24"/>
          <w:highlight w:val="none"/>
          <w:u w:val="single"/>
        </w:rPr>
        <w:t>（单位名称）</w:t>
      </w:r>
      <w:r>
        <w:rPr>
          <w:rFonts w:hint="eastAsia" w:ascii="宋体" w:hAnsi="宋体" w:cs="宋体"/>
          <w:color w:val="auto"/>
          <w:sz w:val="24"/>
          <w:highlight w:val="none"/>
        </w:rPr>
        <w:t>的</w:t>
      </w:r>
      <w:r>
        <w:rPr>
          <w:rFonts w:hint="eastAsia" w:ascii="宋体" w:hAnsi="宋体" w:cs="宋体"/>
          <w:i/>
          <w:iCs/>
          <w:color w:val="auto"/>
          <w:sz w:val="24"/>
          <w:highlight w:val="none"/>
          <w:u w:val="single"/>
        </w:rPr>
        <w:t>（项目名称）</w:t>
      </w:r>
      <w:r>
        <w:rPr>
          <w:rFonts w:hint="eastAsia" w:ascii="宋体" w:hAnsi="宋体" w:cs="宋体"/>
          <w:color w:val="auto"/>
          <w:sz w:val="24"/>
          <w:highlight w:val="none"/>
        </w:rPr>
        <w:t>采购活动，</w:t>
      </w:r>
      <w:r>
        <w:rPr>
          <w:rFonts w:hint="eastAsia" w:ascii="宋体" w:hAnsi="宋体" w:cs="宋体"/>
          <w:color w:val="auto"/>
          <w:kern w:val="0"/>
          <w:sz w:val="24"/>
          <w:highlight w:val="none"/>
        </w:rPr>
        <w:t>服务全部由符合政策要求的中小企业承接</w:t>
      </w:r>
      <w:r>
        <w:rPr>
          <w:rFonts w:hint="eastAsia" w:ascii="宋体" w:hAnsi="宋体" w:cs="宋体"/>
          <w:color w:val="auto"/>
          <w:sz w:val="24"/>
          <w:highlight w:val="none"/>
        </w:rPr>
        <w:t>。相关企业（含联合体中的</w:t>
      </w:r>
      <w:r>
        <w:rPr>
          <w:rFonts w:hint="eastAsia" w:ascii="宋体" w:hAnsi="宋体" w:cs="宋体"/>
          <w:color w:val="auto"/>
          <w:kern w:val="0"/>
          <w:sz w:val="24"/>
          <w:highlight w:val="none"/>
        </w:rPr>
        <w:t>中小</w:t>
      </w:r>
      <w:r>
        <w:rPr>
          <w:rFonts w:hint="eastAsia" w:ascii="宋体" w:hAnsi="宋体" w:cs="宋体"/>
          <w:color w:val="auto"/>
          <w:sz w:val="24"/>
          <w:highlight w:val="none"/>
        </w:rPr>
        <w:t>企业、签订分包意向协议的中小企业）的具体情况如下：</w:t>
      </w:r>
    </w:p>
    <w:p w14:paraId="12E3CB48">
      <w:pPr>
        <w:tabs>
          <w:tab w:val="left" w:pos="1384"/>
          <w:tab w:val="left" w:pos="4562"/>
          <w:tab w:val="left" w:pos="6803"/>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标的名称</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hint="eastAsia" w:ascii="宋体" w:hAnsi="宋体" w:cs="宋体"/>
          <w:color w:val="auto"/>
          <w:kern w:val="0"/>
          <w:sz w:val="24"/>
          <w:highlight w:val="none"/>
        </w:rPr>
        <w:t>承建（承接）企业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u w:val="single"/>
        </w:rPr>
        <w:t>）</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278B7F2F">
      <w:pPr>
        <w:tabs>
          <w:tab w:val="left" w:pos="1065"/>
          <w:tab w:val="left" w:pos="6477"/>
        </w:tabs>
        <w:spacing w:line="360" w:lineRule="auto"/>
        <w:ind w:left="-426" w:right="-58" w:firstLine="655"/>
        <w:contextualSpacing/>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标的名称</w:t>
      </w:r>
      <w:r>
        <w:rPr>
          <w:rFonts w:hint="eastAsia" w:ascii="宋体" w:hAnsi="宋体" w:cs="宋体"/>
          <w:color w:val="auto"/>
          <w:sz w:val="24"/>
          <w:highlight w:val="none"/>
          <w:u w:val="single"/>
        </w:rPr>
        <w:t>）</w:t>
      </w:r>
      <w:r>
        <w:rPr>
          <w:rFonts w:hint="eastAsia" w:ascii="宋体" w:hAnsi="宋体" w:cs="宋体"/>
          <w:color w:val="auto"/>
          <w:sz w:val="24"/>
          <w:highlight w:val="none"/>
        </w:rPr>
        <w:t>，属于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采购文件中明确的所属行业</w:t>
      </w:r>
      <w:r>
        <w:rPr>
          <w:rFonts w:hint="eastAsia" w:ascii="宋体" w:hAnsi="宋体" w:cs="宋体"/>
          <w:color w:val="auto"/>
          <w:sz w:val="24"/>
          <w:highlight w:val="none"/>
          <w:u w:val="single"/>
        </w:rPr>
        <w:t>）</w:t>
      </w:r>
      <w:r>
        <w:rPr>
          <w:rFonts w:hint="eastAsia" w:ascii="宋体" w:hAnsi="宋体" w:cs="宋体"/>
          <w:color w:val="auto"/>
          <w:sz w:val="24"/>
          <w:highlight w:val="none"/>
        </w:rPr>
        <w:t>；</w:t>
      </w:r>
      <w:r>
        <w:rPr>
          <w:rFonts w:hint="eastAsia" w:ascii="宋体" w:hAnsi="宋体" w:cs="宋体"/>
          <w:color w:val="auto"/>
          <w:kern w:val="0"/>
          <w:sz w:val="24"/>
          <w:highlight w:val="none"/>
        </w:rPr>
        <w:t>承建（承接）企业</w:t>
      </w:r>
      <w:r>
        <w:rPr>
          <w:rFonts w:hint="eastAsia" w:ascii="宋体" w:hAnsi="宋体" w:cs="宋体"/>
          <w:color w:val="auto"/>
          <w:sz w:val="24"/>
          <w:highlight w:val="none"/>
        </w:rPr>
        <w:t>为</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企业名称</w:t>
      </w:r>
      <w:r>
        <w:rPr>
          <w:rFonts w:hint="eastAsia" w:ascii="宋体" w:hAnsi="宋体" w:cs="宋体"/>
          <w:color w:val="auto"/>
          <w:sz w:val="24"/>
          <w:highlight w:val="none"/>
          <w:u w:val="single"/>
        </w:rPr>
        <w:t>）</w:t>
      </w:r>
      <w:r>
        <w:rPr>
          <w:rFonts w:hint="eastAsia" w:ascii="宋体" w:hAnsi="宋体" w:cs="宋体"/>
          <w:color w:val="auto"/>
          <w:sz w:val="24"/>
          <w:highlight w:val="none"/>
        </w:rPr>
        <w:t>，从业人员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w:t>
      </w:r>
      <w:r>
        <w:rPr>
          <w:rFonts w:hint="eastAsia" w:ascii="宋体" w:hAnsi="宋体" w:cs="宋体"/>
          <w:i/>
          <w:iCs/>
          <w:color w:val="auto"/>
          <w:sz w:val="24"/>
          <w:highlight w:val="none"/>
          <w:u w:val="single"/>
        </w:rPr>
        <w:t>中型企业、小型企业、微型企业</w:t>
      </w:r>
      <w:r>
        <w:rPr>
          <w:rFonts w:hint="eastAsia" w:ascii="宋体" w:hAnsi="宋体" w:cs="宋体"/>
          <w:color w:val="auto"/>
          <w:sz w:val="24"/>
          <w:highlight w:val="none"/>
          <w:u w:val="single"/>
        </w:rPr>
        <w:t>）</w:t>
      </w:r>
      <w:r>
        <w:rPr>
          <w:rFonts w:hint="eastAsia" w:ascii="宋体" w:hAnsi="宋体" w:cs="宋体"/>
          <w:color w:val="auto"/>
          <w:sz w:val="24"/>
          <w:highlight w:val="none"/>
        </w:rPr>
        <w:t>；</w:t>
      </w:r>
    </w:p>
    <w:p w14:paraId="7ADD99FD">
      <w:pPr>
        <w:pStyle w:val="15"/>
        <w:spacing w:after="0" w:line="360" w:lineRule="auto"/>
        <w:ind w:left="142" w:right="142"/>
        <w:contextualSpacing/>
        <w:rPr>
          <w:rFonts w:ascii="宋体" w:hAnsi="宋体" w:cs="宋体"/>
          <w:color w:val="auto"/>
          <w:sz w:val="24"/>
          <w:highlight w:val="none"/>
        </w:rPr>
      </w:pPr>
      <w:r>
        <w:rPr>
          <w:rFonts w:hint="eastAsia" w:ascii="宋体" w:hAnsi="宋体" w:cs="宋体"/>
          <w:color w:val="auto"/>
          <w:sz w:val="24"/>
          <w:highlight w:val="none"/>
        </w:rPr>
        <w:t xml:space="preserve">…… </w:t>
      </w:r>
    </w:p>
    <w:p w14:paraId="55B95735">
      <w:pPr>
        <w:pStyle w:val="15"/>
        <w:spacing w:after="0" w:line="360" w:lineRule="auto"/>
        <w:ind w:left="-405" w:leftChars="-193" w:right="142" w:firstLine="453" w:firstLineChars="189"/>
        <w:contextualSpacing/>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12809996">
      <w:pPr>
        <w:pStyle w:val="15"/>
        <w:spacing w:after="0" w:line="360" w:lineRule="auto"/>
        <w:ind w:left="-426" w:right="142" w:firstLine="567"/>
        <w:contextualSpacing/>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55463547">
      <w:pPr>
        <w:pStyle w:val="15"/>
        <w:spacing w:after="0" w:line="360" w:lineRule="auto"/>
        <w:ind w:left="3960" w:right="1808"/>
        <w:contextualSpacing/>
        <w:rPr>
          <w:rFonts w:ascii="宋体" w:hAnsi="宋体" w:cs="宋体"/>
          <w:color w:val="auto"/>
          <w:sz w:val="24"/>
          <w:highlight w:val="none"/>
        </w:rPr>
      </w:pPr>
    </w:p>
    <w:p w14:paraId="7B86D6D5">
      <w:pPr>
        <w:autoSpaceDE w:val="0"/>
        <w:autoSpaceDN w:val="0"/>
        <w:spacing w:line="360" w:lineRule="auto"/>
        <w:ind w:left="4335" w:leftChars="1950" w:hanging="240" w:hangingChars="100"/>
        <w:rPr>
          <w:rFonts w:ascii="宋体" w:hAnsi="宋体" w:cs="宋体"/>
          <w:color w:val="auto"/>
          <w:kern w:val="0"/>
          <w:sz w:val="24"/>
          <w:highlight w:val="none"/>
        </w:rPr>
      </w:pPr>
      <w:r>
        <w:rPr>
          <w:rFonts w:hint="eastAsia" w:ascii="宋体" w:hAnsi="宋体" w:cs="宋体"/>
          <w:color w:val="auto"/>
          <w:kern w:val="0"/>
          <w:sz w:val="24"/>
          <w:highlight w:val="none"/>
        </w:rPr>
        <w:t>供应商名称（盖公章）：</w:t>
      </w:r>
    </w:p>
    <w:p w14:paraId="7B8425FC">
      <w:pPr>
        <w:autoSpaceDE w:val="0"/>
        <w:autoSpaceDN w:val="0"/>
        <w:spacing w:line="360" w:lineRule="auto"/>
        <w:ind w:firstLine="6480" w:firstLineChars="27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26799203">
      <w:pPr>
        <w:pStyle w:val="15"/>
        <w:spacing w:after="0" w:line="360" w:lineRule="auto"/>
        <w:ind w:left="3960" w:right="1808"/>
        <w:contextualSpacing/>
        <w:rPr>
          <w:rFonts w:ascii="宋体" w:hAnsi="宋体" w:cs="宋体"/>
          <w:color w:val="auto"/>
          <w:highlight w:val="none"/>
        </w:rPr>
      </w:pPr>
    </w:p>
    <w:p w14:paraId="55FC738E">
      <w:pPr>
        <w:spacing w:line="360" w:lineRule="auto"/>
        <w:ind w:firstLine="480" w:firstLineChars="200"/>
        <w:contextualSpacing/>
        <w:jc w:val="left"/>
        <w:rPr>
          <w:rFonts w:ascii="宋体" w:hAnsi="宋体" w:cs="宋体"/>
          <w:color w:val="auto"/>
          <w:kern w:val="0"/>
          <w:sz w:val="24"/>
          <w:highlight w:val="none"/>
        </w:rPr>
      </w:pPr>
      <w:r>
        <w:rPr>
          <w:rFonts w:hint="eastAsia" w:ascii="宋体" w:hAnsi="宋体" w:cs="宋体"/>
          <w:color w:val="auto"/>
          <w:sz w:val="24"/>
          <w:highlight w:val="none"/>
        </w:rPr>
        <w:t>注：享受《政府采购促进中小企业发展管理办法》（财库〔2020〕46号）规定的中小企业扶持政策的，采购人或者采购代理机构应当随成交结果公开成交供应商的《中小企业声明函》，接受社会监督。从业人员、营业收入、资产总额填报上一年度数据，无上一年度数据的新成立企业可不填报。</w:t>
      </w:r>
    </w:p>
    <w:p w14:paraId="19F44020">
      <w:pPr>
        <w:snapToGrid w:val="0"/>
        <w:spacing w:before="120" w:beforeLines="50" w:after="50" w:line="360" w:lineRule="auto"/>
        <w:outlineLvl w:val="1"/>
        <w:rPr>
          <w:rFonts w:ascii="宋体" w:hAnsi="宋体" w:cs="宋体"/>
          <w:b/>
          <w:bCs/>
          <w:color w:val="auto"/>
          <w:sz w:val="32"/>
          <w:szCs w:val="32"/>
          <w:highlight w:val="none"/>
        </w:rPr>
        <w:sectPr>
          <w:pgSz w:w="11911" w:h="16838"/>
          <w:pgMar w:top="1134" w:right="1134" w:bottom="1134" w:left="1134" w:header="720" w:footer="720" w:gutter="0"/>
          <w:cols w:space="720" w:num="1"/>
        </w:sectPr>
      </w:pPr>
    </w:p>
    <w:p w14:paraId="398E8CDD">
      <w:pPr>
        <w:spacing w:line="520" w:lineRule="exact"/>
        <w:rPr>
          <w:rFonts w:hAnsi="宋体" w:cs="宋体"/>
          <w:b/>
          <w:color w:val="auto"/>
          <w:sz w:val="28"/>
          <w:szCs w:val="28"/>
          <w:highlight w:val="none"/>
        </w:rPr>
      </w:pPr>
      <w:r>
        <w:rPr>
          <w:rFonts w:hint="eastAsia" w:ascii="宋体" w:hAnsi="宋体" w:cs="宋体"/>
          <w:b/>
          <w:color w:val="auto"/>
          <w:sz w:val="28"/>
          <w:szCs w:val="28"/>
          <w:highlight w:val="none"/>
        </w:rPr>
        <w:t>2.</w:t>
      </w:r>
      <w:r>
        <w:rPr>
          <w:rFonts w:hint="eastAsia" w:hAnsi="宋体" w:cs="宋体"/>
          <w:b/>
          <w:color w:val="auto"/>
          <w:sz w:val="28"/>
          <w:szCs w:val="28"/>
          <w:highlight w:val="none"/>
        </w:rPr>
        <w:t>残疾人福利性单位声明函的格式：</w:t>
      </w:r>
    </w:p>
    <w:p w14:paraId="70E12D6C">
      <w:pPr>
        <w:pStyle w:val="23"/>
        <w:rPr>
          <w:color w:val="auto"/>
          <w:highlight w:val="none"/>
        </w:rPr>
      </w:pPr>
    </w:p>
    <w:p w14:paraId="5BF97FCE">
      <w:pPr>
        <w:spacing w:line="520" w:lineRule="exact"/>
        <w:jc w:val="center"/>
        <w:rPr>
          <w:rFonts w:ascii="仿宋" w:hAnsi="仿宋" w:eastAsia="仿宋" w:cs="仿宋"/>
          <w:color w:val="auto"/>
          <w:sz w:val="44"/>
          <w:szCs w:val="44"/>
          <w:highlight w:val="none"/>
        </w:rPr>
      </w:pPr>
    </w:p>
    <w:p w14:paraId="06ACF47B">
      <w:pPr>
        <w:spacing w:line="520" w:lineRule="exact"/>
        <w:jc w:val="center"/>
        <w:rPr>
          <w:rFonts w:ascii="仿宋" w:hAnsi="仿宋" w:eastAsia="仿宋" w:cs="仿宋"/>
          <w:color w:val="auto"/>
          <w:sz w:val="44"/>
          <w:szCs w:val="44"/>
          <w:highlight w:val="none"/>
        </w:rPr>
      </w:pPr>
    </w:p>
    <w:p w14:paraId="655753AA">
      <w:pPr>
        <w:spacing w:line="520" w:lineRule="exact"/>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残疾人福利性单位声明函</w:t>
      </w:r>
    </w:p>
    <w:p w14:paraId="5C3EE8B7">
      <w:pPr>
        <w:spacing w:line="520" w:lineRule="exact"/>
        <w:rPr>
          <w:rFonts w:ascii="宋体" w:hAnsi="宋体" w:cs="宋体"/>
          <w:color w:val="auto"/>
          <w:sz w:val="32"/>
          <w:szCs w:val="32"/>
          <w:highlight w:val="none"/>
        </w:rPr>
      </w:pPr>
    </w:p>
    <w:p w14:paraId="35C65089">
      <w:pPr>
        <w:spacing w:line="360" w:lineRule="auto"/>
        <w:ind w:firstLine="480" w:firstLineChars="200"/>
        <w:contextualSpacing/>
        <w:rPr>
          <w:rFonts w:ascii="宋体" w:hAnsi="宋体" w:cs="宋体"/>
          <w:color w:val="auto"/>
          <w:sz w:val="24"/>
          <w:highlight w:val="none"/>
        </w:rPr>
      </w:pPr>
    </w:p>
    <w:p w14:paraId="5F04C019">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中国残疾人联合会关于促进残疾人就业政府采购政策的通知》（财库〔2017〕141号）的规定，本单位为符合条件的残疾人福利性单位，且本单位参加</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单位的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项目采购活动提供本单位制造的货物（由本单位承担工程/提供服务），或者提供其他残疾人福利性单位制造的货物（不包括使用非残疾人福利性单位注册商标的货物）。</w:t>
      </w:r>
    </w:p>
    <w:p w14:paraId="5E6BBE5F">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1D5EE75A">
      <w:pPr>
        <w:spacing w:line="360" w:lineRule="auto"/>
        <w:contextualSpacing/>
        <w:rPr>
          <w:rFonts w:ascii="宋体" w:hAnsi="宋体" w:cs="宋体"/>
          <w:color w:val="auto"/>
          <w:sz w:val="24"/>
          <w:highlight w:val="none"/>
        </w:rPr>
      </w:pPr>
    </w:p>
    <w:p w14:paraId="17A4FC81">
      <w:pPr>
        <w:spacing w:line="360" w:lineRule="auto"/>
        <w:contextualSpacing/>
        <w:rPr>
          <w:rFonts w:ascii="宋体" w:hAnsi="宋体" w:cs="宋体"/>
          <w:color w:val="auto"/>
          <w:sz w:val="24"/>
          <w:highlight w:val="none"/>
        </w:rPr>
      </w:pPr>
    </w:p>
    <w:p w14:paraId="5D4679F8">
      <w:pPr>
        <w:spacing w:line="360" w:lineRule="auto"/>
        <w:contextualSpacing/>
        <w:rPr>
          <w:rFonts w:ascii="宋体" w:hAnsi="宋体" w:cs="宋体"/>
          <w:color w:val="auto"/>
          <w:sz w:val="24"/>
          <w:highlight w:val="none"/>
        </w:rPr>
      </w:pPr>
    </w:p>
    <w:p w14:paraId="38C96BC0">
      <w:pPr>
        <w:spacing w:line="360" w:lineRule="auto"/>
        <w:ind w:firstLine="2400" w:firstLineChars="1000"/>
        <w:contextualSpacing/>
        <w:rPr>
          <w:rFonts w:ascii="宋体" w:hAnsi="宋体" w:cs="宋体"/>
          <w:color w:val="auto"/>
          <w:sz w:val="24"/>
          <w:highlight w:val="none"/>
        </w:rPr>
      </w:pPr>
      <w:r>
        <w:rPr>
          <w:rFonts w:hint="eastAsia" w:ascii="宋体" w:hAnsi="宋体" w:cs="宋体"/>
          <w:color w:val="auto"/>
          <w:sz w:val="24"/>
          <w:highlight w:val="none"/>
        </w:rPr>
        <w:t>供应商名称（盖公章）：</w:t>
      </w:r>
    </w:p>
    <w:p w14:paraId="0ACB14DD">
      <w:pPr>
        <w:spacing w:line="360" w:lineRule="auto"/>
        <w:ind w:firstLine="4320" w:firstLineChars="1800"/>
        <w:contextualSpacing/>
        <w:rPr>
          <w:rFonts w:ascii="宋体" w:hAnsi="宋体" w:cs="宋体"/>
          <w:color w:val="auto"/>
          <w:sz w:val="24"/>
          <w:highlight w:val="none"/>
        </w:rPr>
      </w:pPr>
      <w:r>
        <w:rPr>
          <w:rFonts w:hint="eastAsia" w:ascii="宋体" w:hAnsi="宋体" w:cs="宋体"/>
          <w:color w:val="auto"/>
          <w:sz w:val="24"/>
          <w:highlight w:val="none"/>
        </w:rPr>
        <w:t>日  期：     年   月   日</w:t>
      </w:r>
    </w:p>
    <w:p w14:paraId="57D5980F">
      <w:pPr>
        <w:spacing w:line="360" w:lineRule="auto"/>
        <w:contextualSpacing/>
        <w:rPr>
          <w:rFonts w:ascii="宋体" w:hAnsi="宋体" w:cs="宋体"/>
          <w:color w:val="auto"/>
          <w:sz w:val="24"/>
          <w:highlight w:val="none"/>
        </w:rPr>
      </w:pPr>
    </w:p>
    <w:p w14:paraId="656B6986">
      <w:pPr>
        <w:spacing w:line="360" w:lineRule="auto"/>
        <w:contextualSpacing/>
        <w:rPr>
          <w:rFonts w:ascii="宋体" w:hAnsi="宋体" w:cs="宋体"/>
          <w:color w:val="auto"/>
          <w:sz w:val="24"/>
          <w:highlight w:val="none"/>
        </w:rPr>
      </w:pPr>
    </w:p>
    <w:p w14:paraId="552D4D9F">
      <w:pPr>
        <w:spacing w:line="360" w:lineRule="auto"/>
        <w:contextualSpacing/>
        <w:rPr>
          <w:rFonts w:ascii="宋体" w:hAnsi="宋体" w:cs="宋体"/>
          <w:color w:val="auto"/>
          <w:sz w:val="24"/>
          <w:highlight w:val="none"/>
        </w:rPr>
      </w:pPr>
    </w:p>
    <w:p w14:paraId="49858363">
      <w:pPr>
        <w:spacing w:line="360" w:lineRule="auto"/>
        <w:ind w:firstLine="480" w:firstLineChars="200"/>
        <w:contextualSpacing/>
        <w:rPr>
          <w:rFonts w:ascii="宋体" w:hAnsi="宋体" w:cs="宋体"/>
          <w:color w:val="auto"/>
          <w:sz w:val="24"/>
          <w:highlight w:val="none"/>
        </w:rPr>
      </w:pPr>
      <w:r>
        <w:rPr>
          <w:rFonts w:hint="eastAsia" w:ascii="宋体" w:hAnsi="宋体" w:cs="宋体"/>
          <w:color w:val="auto"/>
          <w:sz w:val="24"/>
          <w:highlight w:val="none"/>
        </w:rPr>
        <w:t>注：请根据自己的真实情况出具《残疾人福利性单位声明函》。依法享受中小企业扶持政策的，采购人或者采购代理机构在公告成交结果时，同时公告其《残疾人福利性单位声明函》，接受社会监督。</w:t>
      </w:r>
    </w:p>
    <w:p w14:paraId="7777A2C0">
      <w:pPr>
        <w:widowControl/>
        <w:shd w:val="clear" w:color="auto" w:fill="FFFFFF"/>
        <w:spacing w:line="480" w:lineRule="atLeast"/>
        <w:rPr>
          <w:rFonts w:ascii="宋体" w:hAnsi="宋体" w:cs="宋体"/>
          <w:color w:val="auto"/>
          <w:kern w:val="0"/>
          <w:sz w:val="28"/>
          <w:szCs w:val="28"/>
          <w:highlight w:val="none"/>
        </w:rPr>
      </w:pPr>
      <w:r>
        <w:rPr>
          <w:rFonts w:hint="eastAsia" w:ascii="宋体" w:hAnsi="宋体" w:cs="宋体"/>
          <w:color w:val="auto"/>
          <w:sz w:val="24"/>
          <w:highlight w:val="none"/>
        </w:rPr>
        <w:br w:type="page"/>
      </w:r>
      <w:r>
        <w:rPr>
          <w:rFonts w:hint="eastAsia" w:ascii="宋体" w:hAnsi="宋体" w:cs="宋体"/>
          <w:color w:val="auto"/>
          <w:sz w:val="28"/>
          <w:szCs w:val="28"/>
          <w:highlight w:val="none"/>
        </w:rPr>
        <w:t>3.</w:t>
      </w:r>
      <w:r>
        <w:rPr>
          <w:rFonts w:hint="eastAsia" w:ascii="宋体" w:hAnsi="宋体" w:cs="宋体"/>
          <w:color w:val="auto"/>
          <w:kern w:val="0"/>
          <w:sz w:val="28"/>
          <w:szCs w:val="28"/>
          <w:highlight w:val="none"/>
        </w:rPr>
        <w:t>广西壮族自治区政府采购项目合同验收书的格式：</w:t>
      </w:r>
    </w:p>
    <w:p w14:paraId="3BF44B06">
      <w:pPr>
        <w:spacing w:line="360" w:lineRule="auto"/>
        <w:ind w:firstLine="480" w:firstLineChars="200"/>
        <w:contextualSpacing/>
        <w:rPr>
          <w:rFonts w:cs="仿宋_GB2312"/>
          <w:color w:val="auto"/>
          <w:sz w:val="24"/>
          <w:highlight w:val="none"/>
        </w:rPr>
      </w:pPr>
    </w:p>
    <w:p w14:paraId="01C46C5F">
      <w:pPr>
        <w:widowControl/>
        <w:shd w:val="clear" w:color="auto" w:fill="FFFFFF"/>
        <w:spacing w:line="480" w:lineRule="atLeast"/>
        <w:jc w:val="center"/>
        <w:rPr>
          <w:rFonts w:ascii="仿宋" w:hAnsi="仿宋" w:eastAsia="仿宋" w:cs="宋体"/>
          <w:color w:val="auto"/>
          <w:kern w:val="0"/>
          <w:sz w:val="32"/>
          <w:szCs w:val="32"/>
          <w:highlight w:val="none"/>
        </w:rPr>
      </w:pPr>
      <w:r>
        <w:rPr>
          <w:rFonts w:hint="eastAsia" w:ascii="宋体" w:hAnsi="宋体" w:cs="宋体"/>
          <w:b/>
          <w:bCs/>
          <w:color w:val="auto"/>
          <w:kern w:val="0"/>
          <w:sz w:val="32"/>
          <w:szCs w:val="32"/>
          <w:highlight w:val="none"/>
        </w:rPr>
        <w:t>广西壮族自治区政府采购项目合同验收书</w:t>
      </w:r>
    </w:p>
    <w:p w14:paraId="0EB1017A">
      <w:pPr>
        <w:widowControl/>
        <w:shd w:val="clear" w:color="auto" w:fill="FFFFFF"/>
        <w:spacing w:line="480" w:lineRule="atLeast"/>
        <w:jc w:val="center"/>
        <w:rPr>
          <w:rFonts w:ascii="仿宋" w:hAnsi="仿宋" w:eastAsia="仿宋" w:cs="宋体"/>
          <w:color w:val="auto"/>
          <w:kern w:val="0"/>
          <w:sz w:val="32"/>
          <w:szCs w:val="32"/>
          <w:highlight w:val="none"/>
        </w:rPr>
      </w:pPr>
    </w:p>
    <w:p w14:paraId="7E3EAD7E">
      <w:pPr>
        <w:widowControl/>
        <w:shd w:val="clear" w:color="auto" w:fill="FFFFFF"/>
        <w:snapToGrid w:val="0"/>
        <w:spacing w:line="320" w:lineRule="atLeast"/>
        <w:ind w:firstLine="480"/>
        <w:jc w:val="left"/>
        <w:rPr>
          <w:rFonts w:ascii="宋体" w:hAnsi="宋体" w:cs="宋体"/>
          <w:color w:val="auto"/>
          <w:kern w:val="0"/>
          <w:sz w:val="24"/>
          <w:highlight w:val="none"/>
        </w:rPr>
      </w:pPr>
      <w:r>
        <w:rPr>
          <w:rFonts w:hint="eastAsia" w:ascii="宋体" w:hAnsi="宋体" w:cs="宋体"/>
          <w:color w:val="auto"/>
          <w:kern w:val="0"/>
          <w:sz w:val="24"/>
          <w:highlight w:val="none"/>
        </w:rPr>
        <w:t>根据政府采购项目（</w:t>
      </w:r>
      <w:r>
        <w:rPr>
          <w:rFonts w:hint="eastAsia" w:ascii="宋体" w:hAnsi="宋体" w:cs="宋体"/>
          <w:color w:val="auto"/>
          <w:kern w:val="0"/>
          <w:sz w:val="24"/>
          <w:highlight w:val="none"/>
          <w:u w:val="single"/>
        </w:rPr>
        <w:t>采购合同编号：</w:t>
      </w:r>
      <w:r>
        <w:rPr>
          <w:rFonts w:hint="eastAsia" w:ascii="宋体" w:hAnsi="宋体" w:cs="宋体"/>
          <w:color w:val="auto"/>
          <w:kern w:val="0"/>
          <w:sz w:val="24"/>
          <w:highlight w:val="none"/>
          <w:u w:val="single"/>
        </w:rPr>
        <w:softHyphen/>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）的约定，我单位对（</w:t>
      </w:r>
      <w:r>
        <w:rPr>
          <w:rFonts w:hint="eastAsia" w:ascii="宋体" w:hAnsi="宋体" w:cs="宋体"/>
          <w:color w:val="auto"/>
          <w:kern w:val="0"/>
          <w:sz w:val="24"/>
          <w:highlight w:val="none"/>
          <w:u w:val="single"/>
        </w:rPr>
        <w:t xml:space="preserve"> 项目名称 </w:t>
      </w:r>
      <w:r>
        <w:rPr>
          <w:rFonts w:hint="eastAsia" w:ascii="宋体" w:hAnsi="宋体" w:cs="宋体"/>
          <w:color w:val="auto"/>
          <w:kern w:val="0"/>
          <w:sz w:val="24"/>
          <w:highlight w:val="none"/>
        </w:rPr>
        <w:t>） 政府采购项目成交供应商（</w:t>
      </w:r>
      <w:r>
        <w:rPr>
          <w:rFonts w:hint="eastAsia" w:ascii="宋体" w:hAnsi="宋体" w:cs="宋体"/>
          <w:color w:val="auto"/>
          <w:kern w:val="0"/>
          <w:sz w:val="24"/>
          <w:highlight w:val="none"/>
          <w:u w:val="single"/>
        </w:rPr>
        <w:t xml:space="preserve"> 公司名称 </w:t>
      </w:r>
      <w:r>
        <w:rPr>
          <w:rFonts w:hint="eastAsia" w:ascii="宋体" w:hAnsi="宋体" w:cs="宋体"/>
          <w:color w:val="auto"/>
          <w:kern w:val="0"/>
          <w:sz w:val="24"/>
          <w:highlight w:val="none"/>
        </w:rPr>
        <w:t>） 提供的货物（或者工程、服务）进行了验收，验收情况如下：</w:t>
      </w:r>
    </w:p>
    <w:tbl>
      <w:tblPr>
        <w:tblStyle w:val="31"/>
        <w:tblW w:w="8445" w:type="dxa"/>
        <w:jc w:val="center"/>
        <w:tblLayout w:type="fixed"/>
        <w:tblCellMar>
          <w:top w:w="0" w:type="dxa"/>
          <w:left w:w="0" w:type="dxa"/>
          <w:bottom w:w="0" w:type="dxa"/>
          <w:right w:w="0" w:type="dxa"/>
        </w:tblCellMar>
      </w:tblPr>
      <w:tblGrid>
        <w:gridCol w:w="804"/>
        <w:gridCol w:w="825"/>
        <w:gridCol w:w="1623"/>
        <w:gridCol w:w="798"/>
        <w:gridCol w:w="102"/>
        <w:gridCol w:w="2002"/>
        <w:gridCol w:w="178"/>
        <w:gridCol w:w="685"/>
        <w:gridCol w:w="1428"/>
      </w:tblGrid>
      <w:tr w14:paraId="486FAB0C">
        <w:tblPrEx>
          <w:tblCellMar>
            <w:top w:w="0" w:type="dxa"/>
            <w:left w:w="0" w:type="dxa"/>
            <w:bottom w:w="0" w:type="dxa"/>
            <w:right w:w="0" w:type="dxa"/>
          </w:tblCellMar>
        </w:tblPrEx>
        <w:trPr>
          <w:trHeight w:val="497" w:hRule="atLeast"/>
          <w:jc w:val="center"/>
        </w:trPr>
        <w:tc>
          <w:tcPr>
            <w:tcW w:w="3252" w:type="dxa"/>
            <w:gridSpan w:val="3"/>
            <w:tcBorders>
              <w:top w:val="single" w:color="auto" w:sz="8" w:space="0"/>
              <w:left w:val="single" w:color="auto" w:sz="8" w:space="0"/>
              <w:bottom w:val="single" w:color="auto" w:sz="8" w:space="0"/>
              <w:right w:val="single" w:color="auto" w:sz="8" w:space="0"/>
            </w:tcBorders>
            <w:vAlign w:val="center"/>
          </w:tcPr>
          <w:p w14:paraId="7BE2A31D">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验收方式：</w:t>
            </w:r>
          </w:p>
        </w:tc>
        <w:tc>
          <w:tcPr>
            <w:tcW w:w="5193" w:type="dxa"/>
            <w:gridSpan w:val="6"/>
            <w:tcBorders>
              <w:top w:val="single" w:color="auto" w:sz="8" w:space="0"/>
              <w:left w:val="nil"/>
              <w:bottom w:val="single" w:color="auto" w:sz="8" w:space="0"/>
              <w:right w:val="single" w:color="auto" w:sz="8" w:space="0"/>
            </w:tcBorders>
            <w:vAlign w:val="center"/>
          </w:tcPr>
          <w:p w14:paraId="0D5C3AA0">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hint="eastAsia" w:ascii="宋体" w:hAnsi="宋体" w:cs="宋体"/>
                <w:color w:val="auto"/>
                <w:kern w:val="0"/>
                <w:szCs w:val="21"/>
                <w:highlight w:val="none"/>
              </w:rPr>
              <w:t>□</w:t>
            </w:r>
            <w:r>
              <w:rPr>
                <w:rFonts w:ascii="Verdana" w:hAnsi="Verdana" w:cs="宋体"/>
                <w:color w:val="auto"/>
                <w:kern w:val="0"/>
                <w:szCs w:val="21"/>
                <w:highlight w:val="none"/>
              </w:rPr>
              <w:t xml:space="preserve">自行验收 </w:t>
            </w:r>
            <w:r>
              <w:rPr>
                <w:rFonts w:hint="eastAsia" w:ascii="宋体" w:hAnsi="宋体" w:cs="宋体"/>
                <w:color w:val="auto"/>
                <w:kern w:val="0"/>
                <w:szCs w:val="21"/>
                <w:highlight w:val="none"/>
              </w:rPr>
              <w:t>□</w:t>
            </w:r>
            <w:r>
              <w:rPr>
                <w:rFonts w:ascii="Verdana" w:hAnsi="Verdana" w:cs="宋体"/>
                <w:color w:val="auto"/>
                <w:kern w:val="0"/>
                <w:szCs w:val="21"/>
                <w:highlight w:val="none"/>
              </w:rPr>
              <w:t>委托验收</w:t>
            </w:r>
          </w:p>
        </w:tc>
      </w:tr>
      <w:tr w14:paraId="6A678CC8">
        <w:tblPrEx>
          <w:tblCellMar>
            <w:top w:w="0" w:type="dxa"/>
            <w:left w:w="0" w:type="dxa"/>
            <w:bottom w:w="0" w:type="dxa"/>
            <w:right w:w="0" w:type="dxa"/>
          </w:tblCellMar>
        </w:tblPrEx>
        <w:trPr>
          <w:trHeight w:val="622" w:hRule="atLeast"/>
          <w:jc w:val="center"/>
        </w:trPr>
        <w:tc>
          <w:tcPr>
            <w:tcW w:w="804" w:type="dxa"/>
            <w:tcBorders>
              <w:top w:val="nil"/>
              <w:left w:val="single" w:color="auto" w:sz="8" w:space="0"/>
              <w:bottom w:val="single" w:color="auto" w:sz="8" w:space="0"/>
              <w:right w:val="single" w:color="auto" w:sz="8" w:space="0"/>
            </w:tcBorders>
            <w:vAlign w:val="center"/>
          </w:tcPr>
          <w:p w14:paraId="40D5481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序号</w:t>
            </w:r>
          </w:p>
        </w:tc>
        <w:tc>
          <w:tcPr>
            <w:tcW w:w="2448" w:type="dxa"/>
            <w:gridSpan w:val="2"/>
            <w:tcBorders>
              <w:top w:val="nil"/>
              <w:left w:val="nil"/>
              <w:bottom w:val="single" w:color="auto" w:sz="8" w:space="0"/>
              <w:right w:val="single" w:color="auto" w:sz="8" w:space="0"/>
            </w:tcBorders>
            <w:vAlign w:val="center"/>
          </w:tcPr>
          <w:p w14:paraId="70902C0C">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名称</w:t>
            </w:r>
          </w:p>
        </w:tc>
        <w:tc>
          <w:tcPr>
            <w:tcW w:w="2902" w:type="dxa"/>
            <w:gridSpan w:val="3"/>
            <w:tcBorders>
              <w:top w:val="nil"/>
              <w:left w:val="nil"/>
              <w:bottom w:val="single" w:color="auto" w:sz="8" w:space="0"/>
              <w:right w:val="single" w:color="auto" w:sz="8" w:space="0"/>
            </w:tcBorders>
            <w:vAlign w:val="center"/>
          </w:tcPr>
          <w:p w14:paraId="35755325">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货物型号规格、标准及配置等（或者服务内容、标准）</w:t>
            </w:r>
          </w:p>
        </w:tc>
        <w:tc>
          <w:tcPr>
            <w:tcW w:w="863" w:type="dxa"/>
            <w:gridSpan w:val="2"/>
            <w:tcBorders>
              <w:top w:val="nil"/>
              <w:left w:val="nil"/>
              <w:bottom w:val="single" w:color="auto" w:sz="8" w:space="0"/>
              <w:right w:val="single" w:color="auto" w:sz="8" w:space="0"/>
            </w:tcBorders>
            <w:vAlign w:val="center"/>
          </w:tcPr>
          <w:p w14:paraId="07E3FC95">
            <w:pPr>
              <w:widowControl/>
              <w:snapToGrid w:val="0"/>
              <w:spacing w:before="100" w:beforeAutospacing="1" w:after="100" w:afterAutospacing="1" w:line="320" w:lineRule="atLeast"/>
              <w:jc w:val="center"/>
              <w:rPr>
                <w:rFonts w:ascii="Verdana" w:hAnsi="Verdana" w:cs="宋体"/>
                <w:color w:val="auto"/>
                <w:kern w:val="0"/>
                <w:szCs w:val="21"/>
                <w:highlight w:val="none"/>
              </w:rPr>
            </w:pPr>
            <w:r>
              <w:rPr>
                <w:rFonts w:ascii="Verdana" w:hAnsi="Verdana" w:cs="宋体"/>
                <w:color w:val="auto"/>
                <w:kern w:val="0"/>
                <w:szCs w:val="21"/>
                <w:highlight w:val="none"/>
              </w:rPr>
              <w:t>数量</w:t>
            </w:r>
          </w:p>
        </w:tc>
        <w:tc>
          <w:tcPr>
            <w:tcW w:w="1428" w:type="dxa"/>
            <w:tcBorders>
              <w:top w:val="nil"/>
              <w:left w:val="nil"/>
              <w:bottom w:val="single" w:color="auto" w:sz="8" w:space="0"/>
              <w:right w:val="single" w:color="auto" w:sz="8" w:space="0"/>
            </w:tcBorders>
            <w:vAlign w:val="center"/>
          </w:tcPr>
          <w:p w14:paraId="6F69780A">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金额</w:t>
            </w:r>
          </w:p>
        </w:tc>
      </w:tr>
      <w:tr w14:paraId="5D4385A0">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58867607">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615EB180">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34983AA8">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439AB3C5">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04E94D6D">
            <w:pPr>
              <w:widowControl/>
              <w:spacing w:before="100" w:beforeAutospacing="1" w:after="100" w:afterAutospacing="1" w:line="240" w:lineRule="atLeast"/>
              <w:jc w:val="center"/>
              <w:rPr>
                <w:rFonts w:ascii="Verdana" w:hAnsi="Verdana" w:cs="宋体"/>
                <w:color w:val="auto"/>
                <w:kern w:val="0"/>
                <w:szCs w:val="21"/>
                <w:highlight w:val="none"/>
              </w:rPr>
            </w:pPr>
          </w:p>
        </w:tc>
      </w:tr>
      <w:tr w14:paraId="0D85B339">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24C57B84">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0A5A5602">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51B60222">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169F8BEF">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5BE2E98C">
            <w:pPr>
              <w:widowControl/>
              <w:spacing w:before="100" w:beforeAutospacing="1" w:after="100" w:afterAutospacing="1" w:line="240" w:lineRule="atLeast"/>
              <w:jc w:val="center"/>
              <w:rPr>
                <w:rFonts w:ascii="Verdana" w:hAnsi="Verdana" w:cs="宋体"/>
                <w:color w:val="auto"/>
                <w:kern w:val="0"/>
                <w:szCs w:val="21"/>
                <w:highlight w:val="none"/>
              </w:rPr>
            </w:pPr>
          </w:p>
        </w:tc>
      </w:tr>
      <w:tr w14:paraId="70AD549A">
        <w:tblPrEx>
          <w:tblCellMar>
            <w:top w:w="0" w:type="dxa"/>
            <w:left w:w="0" w:type="dxa"/>
            <w:bottom w:w="0" w:type="dxa"/>
            <w:right w:w="0" w:type="dxa"/>
          </w:tblCellMar>
        </w:tblPrEx>
        <w:trPr>
          <w:trHeight w:val="487" w:hRule="atLeast"/>
          <w:jc w:val="center"/>
        </w:trPr>
        <w:tc>
          <w:tcPr>
            <w:tcW w:w="804" w:type="dxa"/>
            <w:tcBorders>
              <w:top w:val="nil"/>
              <w:left w:val="single" w:color="auto" w:sz="8" w:space="0"/>
              <w:bottom w:val="single" w:color="auto" w:sz="8" w:space="0"/>
              <w:right w:val="single" w:color="auto" w:sz="8" w:space="0"/>
            </w:tcBorders>
            <w:vAlign w:val="center"/>
          </w:tcPr>
          <w:p w14:paraId="3899979A">
            <w:pPr>
              <w:widowControl/>
              <w:spacing w:before="100" w:beforeAutospacing="1" w:after="100" w:afterAutospacing="1" w:line="240" w:lineRule="atLeast"/>
              <w:jc w:val="center"/>
              <w:rPr>
                <w:rFonts w:ascii="Verdana" w:hAnsi="Verdana" w:cs="宋体"/>
                <w:color w:val="auto"/>
                <w:kern w:val="0"/>
                <w:szCs w:val="21"/>
                <w:highlight w:val="none"/>
              </w:rPr>
            </w:pPr>
          </w:p>
        </w:tc>
        <w:tc>
          <w:tcPr>
            <w:tcW w:w="2448" w:type="dxa"/>
            <w:gridSpan w:val="2"/>
            <w:tcBorders>
              <w:top w:val="nil"/>
              <w:left w:val="nil"/>
              <w:bottom w:val="single" w:color="auto" w:sz="8" w:space="0"/>
              <w:right w:val="single" w:color="auto" w:sz="8" w:space="0"/>
            </w:tcBorders>
            <w:vAlign w:val="center"/>
          </w:tcPr>
          <w:p w14:paraId="14BFC01B">
            <w:pPr>
              <w:widowControl/>
              <w:spacing w:before="100" w:beforeAutospacing="1" w:after="100" w:afterAutospacing="1" w:line="240" w:lineRule="atLeast"/>
              <w:jc w:val="center"/>
              <w:rPr>
                <w:rFonts w:ascii="Verdana" w:hAnsi="Verdana" w:cs="宋体"/>
                <w:color w:val="auto"/>
                <w:kern w:val="0"/>
                <w:szCs w:val="21"/>
                <w:highlight w:val="none"/>
              </w:rPr>
            </w:pPr>
          </w:p>
        </w:tc>
        <w:tc>
          <w:tcPr>
            <w:tcW w:w="2902" w:type="dxa"/>
            <w:gridSpan w:val="3"/>
            <w:tcBorders>
              <w:top w:val="nil"/>
              <w:left w:val="nil"/>
              <w:bottom w:val="single" w:color="auto" w:sz="8" w:space="0"/>
              <w:right w:val="single" w:color="auto" w:sz="8" w:space="0"/>
            </w:tcBorders>
            <w:vAlign w:val="center"/>
          </w:tcPr>
          <w:p w14:paraId="2270386B">
            <w:pPr>
              <w:widowControl/>
              <w:spacing w:before="100" w:beforeAutospacing="1" w:after="100" w:afterAutospacing="1" w:line="240" w:lineRule="atLeast"/>
              <w:jc w:val="center"/>
              <w:rPr>
                <w:rFonts w:ascii="Verdana" w:hAnsi="Verdana" w:cs="宋体"/>
                <w:color w:val="auto"/>
                <w:kern w:val="0"/>
                <w:szCs w:val="21"/>
                <w:highlight w:val="none"/>
              </w:rPr>
            </w:pPr>
          </w:p>
        </w:tc>
        <w:tc>
          <w:tcPr>
            <w:tcW w:w="863" w:type="dxa"/>
            <w:gridSpan w:val="2"/>
            <w:tcBorders>
              <w:top w:val="nil"/>
              <w:left w:val="nil"/>
              <w:bottom w:val="single" w:color="auto" w:sz="8" w:space="0"/>
              <w:right w:val="single" w:color="auto" w:sz="8" w:space="0"/>
            </w:tcBorders>
            <w:vAlign w:val="center"/>
          </w:tcPr>
          <w:p w14:paraId="24BA0B79">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3E57DB31">
            <w:pPr>
              <w:widowControl/>
              <w:spacing w:before="100" w:beforeAutospacing="1" w:after="100" w:afterAutospacing="1" w:line="240" w:lineRule="atLeast"/>
              <w:jc w:val="center"/>
              <w:rPr>
                <w:rFonts w:ascii="Verdana" w:hAnsi="Verdana" w:cs="宋体"/>
                <w:color w:val="auto"/>
                <w:kern w:val="0"/>
                <w:szCs w:val="21"/>
                <w:highlight w:val="none"/>
              </w:rPr>
            </w:pPr>
          </w:p>
        </w:tc>
      </w:tr>
      <w:tr w14:paraId="0806D69F">
        <w:tblPrEx>
          <w:tblCellMar>
            <w:top w:w="0" w:type="dxa"/>
            <w:left w:w="0" w:type="dxa"/>
            <w:bottom w:w="0" w:type="dxa"/>
            <w:right w:w="0" w:type="dxa"/>
          </w:tblCellMar>
        </w:tblPrEx>
        <w:trPr>
          <w:trHeight w:val="487" w:hRule="atLeast"/>
          <w:jc w:val="center"/>
        </w:trPr>
        <w:tc>
          <w:tcPr>
            <w:tcW w:w="6154" w:type="dxa"/>
            <w:gridSpan w:val="6"/>
            <w:tcBorders>
              <w:top w:val="nil"/>
              <w:left w:val="single" w:color="auto" w:sz="8" w:space="0"/>
              <w:bottom w:val="single" w:color="auto" w:sz="8" w:space="0"/>
              <w:right w:val="single" w:color="auto" w:sz="8" w:space="0"/>
            </w:tcBorders>
            <w:vAlign w:val="center"/>
          </w:tcPr>
          <w:p w14:paraId="2C24B35F">
            <w:pPr>
              <w:widowControl/>
              <w:snapToGrid w:val="0"/>
              <w:spacing w:before="100" w:beforeAutospacing="1" w:after="100" w:afterAutospacing="1" w:line="320" w:lineRule="atLeast"/>
              <w:ind w:firstLine="5"/>
              <w:jc w:val="center"/>
              <w:rPr>
                <w:rFonts w:ascii="Verdana" w:hAnsi="Verdana" w:cs="宋体"/>
                <w:color w:val="auto"/>
                <w:kern w:val="0"/>
                <w:szCs w:val="21"/>
                <w:highlight w:val="none"/>
              </w:rPr>
            </w:pPr>
            <w:r>
              <w:rPr>
                <w:rFonts w:ascii="Verdana" w:hAnsi="Verdana" w:cs="宋体"/>
                <w:color w:val="auto"/>
                <w:kern w:val="0"/>
                <w:szCs w:val="21"/>
                <w:highlight w:val="none"/>
              </w:rPr>
              <w:t>合 计</w:t>
            </w:r>
          </w:p>
        </w:tc>
        <w:tc>
          <w:tcPr>
            <w:tcW w:w="863" w:type="dxa"/>
            <w:gridSpan w:val="2"/>
            <w:tcBorders>
              <w:top w:val="nil"/>
              <w:left w:val="nil"/>
              <w:bottom w:val="single" w:color="auto" w:sz="8" w:space="0"/>
              <w:right w:val="single" w:color="auto" w:sz="8" w:space="0"/>
            </w:tcBorders>
            <w:vAlign w:val="center"/>
          </w:tcPr>
          <w:p w14:paraId="3CEC3216">
            <w:pPr>
              <w:widowControl/>
              <w:spacing w:before="100" w:beforeAutospacing="1" w:after="100" w:afterAutospacing="1" w:line="240" w:lineRule="atLeast"/>
              <w:jc w:val="center"/>
              <w:rPr>
                <w:rFonts w:ascii="Verdana" w:hAnsi="Verdana" w:cs="宋体"/>
                <w:color w:val="auto"/>
                <w:kern w:val="0"/>
                <w:szCs w:val="21"/>
                <w:highlight w:val="none"/>
              </w:rPr>
            </w:pPr>
          </w:p>
        </w:tc>
        <w:tc>
          <w:tcPr>
            <w:tcW w:w="1428" w:type="dxa"/>
            <w:tcBorders>
              <w:top w:val="nil"/>
              <w:left w:val="nil"/>
              <w:bottom w:val="single" w:color="auto" w:sz="8" w:space="0"/>
              <w:right w:val="single" w:color="auto" w:sz="8" w:space="0"/>
            </w:tcBorders>
            <w:vAlign w:val="center"/>
          </w:tcPr>
          <w:p w14:paraId="7746857D">
            <w:pPr>
              <w:widowControl/>
              <w:spacing w:before="100" w:beforeAutospacing="1" w:after="100" w:afterAutospacing="1" w:line="240" w:lineRule="atLeast"/>
              <w:jc w:val="center"/>
              <w:rPr>
                <w:rFonts w:ascii="Verdana" w:hAnsi="Verdana" w:cs="宋体"/>
                <w:color w:val="auto"/>
                <w:kern w:val="0"/>
                <w:szCs w:val="21"/>
                <w:highlight w:val="none"/>
              </w:rPr>
            </w:pPr>
          </w:p>
        </w:tc>
      </w:tr>
      <w:tr w14:paraId="38F0D427">
        <w:tblPrEx>
          <w:tblCellMar>
            <w:top w:w="0" w:type="dxa"/>
            <w:left w:w="0" w:type="dxa"/>
            <w:bottom w:w="0" w:type="dxa"/>
            <w:right w:w="0" w:type="dxa"/>
          </w:tblCellMar>
        </w:tblPrEx>
        <w:trPr>
          <w:trHeight w:val="641" w:hRule="atLeast"/>
          <w:jc w:val="center"/>
        </w:trPr>
        <w:tc>
          <w:tcPr>
            <w:tcW w:w="8445" w:type="dxa"/>
            <w:gridSpan w:val="9"/>
            <w:tcBorders>
              <w:top w:val="nil"/>
              <w:left w:val="single" w:color="auto" w:sz="8" w:space="0"/>
              <w:bottom w:val="single" w:color="auto" w:sz="8" w:space="0"/>
              <w:right w:val="single" w:color="auto" w:sz="8" w:space="0"/>
            </w:tcBorders>
            <w:vAlign w:val="center"/>
          </w:tcPr>
          <w:p w14:paraId="575A11C4">
            <w:pPr>
              <w:widowControl/>
              <w:snapToGrid w:val="0"/>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 xml:space="preserve">合计大写金额：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万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仟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佰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拾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元</w:t>
            </w:r>
          </w:p>
        </w:tc>
      </w:tr>
      <w:tr w14:paraId="2A2741A9">
        <w:tblPrEx>
          <w:tblCellMar>
            <w:top w:w="0" w:type="dxa"/>
            <w:left w:w="0" w:type="dxa"/>
            <w:bottom w:w="0" w:type="dxa"/>
            <w:right w:w="0" w:type="dxa"/>
          </w:tblCellMar>
        </w:tblPrEx>
        <w:trPr>
          <w:trHeight w:val="641" w:hRule="atLeast"/>
          <w:jc w:val="center"/>
        </w:trPr>
        <w:tc>
          <w:tcPr>
            <w:tcW w:w="1629" w:type="dxa"/>
            <w:gridSpan w:val="2"/>
            <w:tcBorders>
              <w:top w:val="nil"/>
              <w:left w:val="single" w:color="auto" w:sz="8" w:space="0"/>
              <w:bottom w:val="single" w:color="auto" w:sz="8" w:space="0"/>
              <w:right w:val="single" w:color="auto" w:sz="8" w:space="0"/>
            </w:tcBorders>
            <w:vAlign w:val="center"/>
          </w:tcPr>
          <w:p w14:paraId="6C6572E8">
            <w:pPr>
              <w:widowControl/>
              <w:snapToGrid w:val="0"/>
              <w:spacing w:before="100" w:beforeAutospacing="1" w:after="100" w:afterAutospacing="1" w:line="320" w:lineRule="atLeast"/>
              <w:ind w:firstLine="2"/>
              <w:jc w:val="center"/>
              <w:rPr>
                <w:rFonts w:ascii="Verdana" w:hAnsi="Verdana" w:cs="宋体"/>
                <w:color w:val="auto"/>
                <w:kern w:val="0"/>
                <w:szCs w:val="21"/>
                <w:highlight w:val="none"/>
              </w:rPr>
            </w:pPr>
            <w:r>
              <w:rPr>
                <w:rFonts w:ascii="Verdana" w:hAnsi="Verdana" w:cs="宋体"/>
                <w:color w:val="auto"/>
                <w:kern w:val="0"/>
                <w:szCs w:val="21"/>
                <w:highlight w:val="none"/>
              </w:rPr>
              <w:t>实际供货日期</w:t>
            </w:r>
          </w:p>
        </w:tc>
        <w:tc>
          <w:tcPr>
            <w:tcW w:w="2421" w:type="dxa"/>
            <w:gridSpan w:val="2"/>
            <w:tcBorders>
              <w:top w:val="nil"/>
              <w:left w:val="nil"/>
              <w:bottom w:val="single" w:color="auto" w:sz="8" w:space="0"/>
              <w:right w:val="single" w:color="auto" w:sz="8" w:space="0"/>
            </w:tcBorders>
            <w:vAlign w:val="center"/>
          </w:tcPr>
          <w:p w14:paraId="1BFBC563">
            <w:pPr>
              <w:widowControl/>
              <w:spacing w:before="100" w:beforeAutospacing="1" w:after="100" w:afterAutospacing="1" w:line="240" w:lineRule="atLeast"/>
              <w:jc w:val="center"/>
              <w:rPr>
                <w:rFonts w:ascii="Verdana" w:hAnsi="Verdana" w:cs="宋体"/>
                <w:color w:val="auto"/>
                <w:kern w:val="0"/>
                <w:szCs w:val="21"/>
                <w:highlight w:val="none"/>
              </w:rPr>
            </w:pPr>
          </w:p>
        </w:tc>
        <w:tc>
          <w:tcPr>
            <w:tcW w:w="2282" w:type="dxa"/>
            <w:gridSpan w:val="3"/>
            <w:tcBorders>
              <w:top w:val="nil"/>
              <w:left w:val="nil"/>
              <w:bottom w:val="single" w:color="auto" w:sz="8" w:space="0"/>
              <w:right w:val="single" w:color="auto" w:sz="8" w:space="0"/>
            </w:tcBorders>
            <w:vAlign w:val="center"/>
          </w:tcPr>
          <w:p w14:paraId="2EFF846C">
            <w:pPr>
              <w:widowControl/>
              <w:snapToGrid w:val="0"/>
              <w:spacing w:before="100" w:beforeAutospacing="1" w:after="100" w:afterAutospacing="1" w:line="320" w:lineRule="atLeast"/>
              <w:ind w:firstLine="46"/>
              <w:jc w:val="center"/>
              <w:rPr>
                <w:rFonts w:ascii="Verdana" w:hAnsi="Verdana" w:cs="宋体"/>
                <w:color w:val="auto"/>
                <w:kern w:val="0"/>
                <w:szCs w:val="21"/>
                <w:highlight w:val="none"/>
              </w:rPr>
            </w:pPr>
            <w:r>
              <w:rPr>
                <w:rFonts w:ascii="Verdana" w:hAnsi="Verdana" w:cs="宋体"/>
                <w:color w:val="auto"/>
                <w:kern w:val="0"/>
                <w:szCs w:val="21"/>
                <w:highlight w:val="none"/>
              </w:rPr>
              <w:t>合同交货验收日期</w:t>
            </w:r>
          </w:p>
        </w:tc>
        <w:tc>
          <w:tcPr>
            <w:tcW w:w="2113" w:type="dxa"/>
            <w:gridSpan w:val="2"/>
            <w:tcBorders>
              <w:top w:val="nil"/>
              <w:left w:val="nil"/>
              <w:bottom w:val="single" w:color="auto" w:sz="8" w:space="0"/>
              <w:right w:val="single" w:color="auto" w:sz="8" w:space="0"/>
            </w:tcBorders>
            <w:vAlign w:val="center"/>
          </w:tcPr>
          <w:p w14:paraId="3306E73E">
            <w:pPr>
              <w:widowControl/>
              <w:spacing w:before="100" w:beforeAutospacing="1" w:after="100" w:afterAutospacing="1" w:line="240" w:lineRule="atLeast"/>
              <w:jc w:val="center"/>
              <w:rPr>
                <w:rFonts w:ascii="Verdana" w:hAnsi="Verdana" w:cs="宋体"/>
                <w:color w:val="auto"/>
                <w:kern w:val="0"/>
                <w:szCs w:val="21"/>
                <w:highlight w:val="none"/>
              </w:rPr>
            </w:pPr>
          </w:p>
        </w:tc>
      </w:tr>
      <w:tr w14:paraId="666A0F1C">
        <w:tblPrEx>
          <w:tblCellMar>
            <w:top w:w="0" w:type="dxa"/>
            <w:left w:w="0" w:type="dxa"/>
            <w:bottom w:w="0" w:type="dxa"/>
            <w:right w:w="0" w:type="dxa"/>
          </w:tblCellMar>
        </w:tblPrEx>
        <w:trPr>
          <w:trHeight w:val="693" w:hRule="atLeast"/>
          <w:jc w:val="center"/>
        </w:trPr>
        <w:tc>
          <w:tcPr>
            <w:tcW w:w="1629" w:type="dxa"/>
            <w:gridSpan w:val="2"/>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5D6512A0">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验收具体内容</w:t>
            </w:r>
          </w:p>
        </w:tc>
        <w:tc>
          <w:tcPr>
            <w:tcW w:w="6816" w:type="dxa"/>
            <w:gridSpan w:val="7"/>
            <w:tcBorders>
              <w:top w:val="nil"/>
              <w:left w:val="nil"/>
              <w:bottom w:val="single" w:color="auto" w:sz="8" w:space="0"/>
              <w:right w:val="single" w:color="auto" w:sz="8" w:space="0"/>
            </w:tcBorders>
            <w:tcMar>
              <w:top w:w="0" w:type="dxa"/>
              <w:left w:w="108" w:type="dxa"/>
              <w:bottom w:w="0" w:type="dxa"/>
              <w:right w:w="108" w:type="dxa"/>
            </w:tcMar>
            <w:vAlign w:val="center"/>
          </w:tcPr>
          <w:p w14:paraId="7FDF7F93">
            <w:pPr>
              <w:widowControl/>
              <w:snapToGrid w:val="0"/>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应按采购合同、磋商文件、竞标响应文件及验收方案等进行验收；并核对成交供应商在安装调试等方面是否违反合同约定或者服务规范要求、提供的质量保证证明材料是否齐全、应有的配件及附件是否达到合同约定等。可附件)</w:t>
            </w:r>
          </w:p>
        </w:tc>
      </w:tr>
      <w:tr w14:paraId="029B2B2B">
        <w:tblPrEx>
          <w:tblCellMar>
            <w:top w:w="0" w:type="dxa"/>
            <w:left w:w="0" w:type="dxa"/>
            <w:bottom w:w="0" w:type="dxa"/>
            <w:right w:w="0" w:type="dxa"/>
          </w:tblCellMar>
        </w:tblPrEx>
        <w:trPr>
          <w:trHeight w:val="1281" w:hRule="atLeast"/>
          <w:jc w:val="center"/>
        </w:trPr>
        <w:tc>
          <w:tcPr>
            <w:tcW w:w="1629" w:type="dxa"/>
            <w:gridSpan w:val="2"/>
            <w:vMerge w:val="restart"/>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49AF8A75">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验收小组意见</w:t>
            </w:r>
          </w:p>
        </w:tc>
        <w:tc>
          <w:tcPr>
            <w:tcW w:w="6816" w:type="dxa"/>
            <w:gridSpan w:val="7"/>
            <w:tcBorders>
              <w:top w:val="nil"/>
              <w:left w:val="nil"/>
              <w:bottom w:val="single" w:color="auto" w:sz="8" w:space="0"/>
              <w:right w:val="single" w:color="auto" w:sz="8" w:space="0"/>
            </w:tcBorders>
            <w:vAlign w:val="center"/>
          </w:tcPr>
          <w:p w14:paraId="25D4B375">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验收结论性意见：</w:t>
            </w:r>
          </w:p>
        </w:tc>
      </w:tr>
      <w:tr w14:paraId="1431B9B3">
        <w:tblPrEx>
          <w:tblCellMar>
            <w:top w:w="0" w:type="dxa"/>
            <w:left w:w="0" w:type="dxa"/>
            <w:bottom w:w="0" w:type="dxa"/>
            <w:right w:w="0" w:type="dxa"/>
          </w:tblCellMar>
        </w:tblPrEx>
        <w:trPr>
          <w:trHeight w:val="607" w:hRule="atLeast"/>
          <w:jc w:val="center"/>
        </w:trPr>
        <w:tc>
          <w:tcPr>
            <w:tcW w:w="1629" w:type="dxa"/>
            <w:gridSpan w:val="2"/>
            <w:vMerge w:val="continue"/>
            <w:tcBorders>
              <w:top w:val="nil"/>
              <w:left w:val="single" w:color="auto" w:sz="8" w:space="0"/>
              <w:bottom w:val="single" w:color="auto" w:sz="8" w:space="0"/>
              <w:right w:val="single" w:color="auto" w:sz="8" w:space="0"/>
            </w:tcBorders>
            <w:vAlign w:val="center"/>
          </w:tcPr>
          <w:p w14:paraId="37FCEB83">
            <w:pPr>
              <w:widowControl/>
              <w:jc w:val="left"/>
              <w:rPr>
                <w:rFonts w:ascii="Verdana" w:hAnsi="Verdana" w:cs="宋体"/>
                <w:color w:val="auto"/>
                <w:kern w:val="0"/>
                <w:szCs w:val="21"/>
                <w:highlight w:val="none"/>
              </w:rPr>
            </w:pPr>
          </w:p>
        </w:tc>
        <w:tc>
          <w:tcPr>
            <w:tcW w:w="6816" w:type="dxa"/>
            <w:gridSpan w:val="7"/>
            <w:tcBorders>
              <w:top w:val="nil"/>
              <w:left w:val="nil"/>
              <w:bottom w:val="single" w:color="auto" w:sz="8" w:space="0"/>
              <w:right w:val="single" w:color="auto" w:sz="8" w:space="0"/>
            </w:tcBorders>
            <w:vAlign w:val="center"/>
          </w:tcPr>
          <w:p w14:paraId="42CC6183">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有异议的意见和说明理由：</w:t>
            </w:r>
          </w:p>
          <w:p w14:paraId="43DA415A">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签字：</w:t>
            </w:r>
          </w:p>
        </w:tc>
      </w:tr>
      <w:tr w14:paraId="7DCE111C">
        <w:tblPrEx>
          <w:tblCellMar>
            <w:top w:w="0" w:type="dxa"/>
            <w:left w:w="0" w:type="dxa"/>
            <w:bottom w:w="0" w:type="dxa"/>
            <w:right w:w="0" w:type="dxa"/>
          </w:tblCellMar>
        </w:tblPrEx>
        <w:trPr>
          <w:trHeight w:val="507"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7FFC06F6">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验收小组成员签字：</w:t>
            </w:r>
          </w:p>
        </w:tc>
      </w:tr>
      <w:tr w14:paraId="285F4241">
        <w:tblPrEx>
          <w:tblCellMar>
            <w:top w:w="0" w:type="dxa"/>
            <w:left w:w="0" w:type="dxa"/>
            <w:bottom w:w="0" w:type="dxa"/>
            <w:right w:w="0" w:type="dxa"/>
          </w:tblCellMar>
        </w:tblPrEx>
        <w:trPr>
          <w:trHeight w:val="736" w:hRule="atLeast"/>
          <w:jc w:val="center"/>
        </w:trPr>
        <w:tc>
          <w:tcPr>
            <w:tcW w:w="8445" w:type="dxa"/>
            <w:gridSpan w:val="9"/>
            <w:tcBorders>
              <w:top w:val="nil"/>
              <w:left w:val="single" w:color="auto" w:sz="8" w:space="0"/>
              <w:bottom w:val="single" w:color="auto" w:sz="8" w:space="0"/>
              <w:right w:val="single" w:color="auto" w:sz="8" w:space="0"/>
            </w:tcBorders>
            <w:tcMar>
              <w:top w:w="0" w:type="dxa"/>
              <w:left w:w="108" w:type="dxa"/>
              <w:bottom w:w="0" w:type="dxa"/>
              <w:right w:w="108" w:type="dxa"/>
            </w:tcMar>
            <w:vAlign w:val="center"/>
          </w:tcPr>
          <w:p w14:paraId="0ECC91BE">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监督人员或者</w:t>
            </w:r>
            <w:r>
              <w:rPr>
                <w:rFonts w:hint="eastAsia" w:ascii="Verdana" w:hAnsi="Verdana" w:cs="宋体"/>
                <w:color w:val="auto"/>
                <w:kern w:val="0"/>
                <w:szCs w:val="21"/>
                <w:highlight w:val="none"/>
              </w:rPr>
              <w:t>其他</w:t>
            </w:r>
            <w:r>
              <w:rPr>
                <w:rFonts w:ascii="Verdana" w:hAnsi="Verdana" w:cs="宋体"/>
                <w:color w:val="auto"/>
                <w:kern w:val="0"/>
                <w:szCs w:val="21"/>
                <w:highlight w:val="none"/>
              </w:rPr>
              <w:t>相关人员签字：</w:t>
            </w:r>
          </w:p>
          <w:p w14:paraId="5090BC98">
            <w:pPr>
              <w:widowControl/>
              <w:spacing w:before="100" w:beforeAutospacing="1" w:after="100" w:afterAutospacing="1" w:line="320" w:lineRule="atLeast"/>
              <w:ind w:firstLine="74"/>
              <w:jc w:val="left"/>
              <w:rPr>
                <w:rFonts w:ascii="Verdana" w:hAnsi="Verdana" w:cs="宋体"/>
                <w:color w:val="auto"/>
                <w:kern w:val="0"/>
                <w:szCs w:val="21"/>
                <w:highlight w:val="none"/>
              </w:rPr>
            </w:pPr>
            <w:r>
              <w:rPr>
                <w:rFonts w:ascii="Verdana" w:hAnsi="Verdana" w:cs="宋体"/>
                <w:color w:val="auto"/>
                <w:kern w:val="0"/>
                <w:szCs w:val="21"/>
                <w:highlight w:val="none"/>
              </w:rPr>
              <w:t>或者受邀机构的意见（盖章）：</w:t>
            </w:r>
          </w:p>
        </w:tc>
      </w:tr>
      <w:tr w14:paraId="667C56A6">
        <w:tblPrEx>
          <w:tblCellMar>
            <w:top w:w="0" w:type="dxa"/>
            <w:left w:w="0" w:type="dxa"/>
            <w:bottom w:w="0" w:type="dxa"/>
            <w:right w:w="0" w:type="dxa"/>
          </w:tblCellMar>
        </w:tblPrEx>
        <w:trPr>
          <w:trHeight w:val="758" w:hRule="atLeast"/>
          <w:jc w:val="center"/>
        </w:trPr>
        <w:tc>
          <w:tcPr>
            <w:tcW w:w="4152" w:type="dxa"/>
            <w:gridSpan w:val="5"/>
            <w:tcBorders>
              <w:top w:val="nil"/>
              <w:left w:val="single" w:color="auto" w:sz="8" w:space="0"/>
              <w:bottom w:val="single" w:color="auto" w:sz="8" w:space="0"/>
              <w:right w:val="nil"/>
            </w:tcBorders>
            <w:tcMar>
              <w:top w:w="0" w:type="dxa"/>
              <w:left w:w="108" w:type="dxa"/>
              <w:bottom w:w="0" w:type="dxa"/>
              <w:right w:w="108" w:type="dxa"/>
            </w:tcMar>
            <w:vAlign w:val="center"/>
          </w:tcPr>
          <w:p w14:paraId="217B9920">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成交供应商负责人签字或者盖章：</w:t>
            </w:r>
          </w:p>
          <w:p w14:paraId="1BD1E368">
            <w:pPr>
              <w:widowControl/>
              <w:spacing w:before="100" w:beforeAutospacing="1" w:after="100" w:afterAutospacing="1" w:line="320" w:lineRule="atLeast"/>
              <w:jc w:val="left"/>
              <w:rPr>
                <w:rFonts w:ascii="Verdana" w:hAnsi="Verdana" w:cs="宋体"/>
                <w:color w:val="auto"/>
                <w:kern w:val="0"/>
                <w:szCs w:val="21"/>
                <w:highlight w:val="none"/>
              </w:rPr>
            </w:pPr>
          </w:p>
          <w:p w14:paraId="6E32310F">
            <w:pPr>
              <w:widowControl/>
              <w:spacing w:before="100" w:beforeAutospacing="1" w:after="100" w:afterAutospacing="1" w:line="320" w:lineRule="atLeast"/>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 </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日</w:t>
            </w:r>
          </w:p>
        </w:tc>
        <w:tc>
          <w:tcPr>
            <w:tcW w:w="4293" w:type="dxa"/>
            <w:gridSpan w:val="4"/>
            <w:tcBorders>
              <w:top w:val="nil"/>
              <w:left w:val="nil"/>
              <w:bottom w:val="single" w:color="auto" w:sz="8" w:space="0"/>
              <w:right w:val="single" w:color="auto" w:sz="8" w:space="0"/>
            </w:tcBorders>
            <w:vAlign w:val="center"/>
          </w:tcPr>
          <w:p w14:paraId="1B7D91A8">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采购人或者受托机构的意见（盖章）：</w:t>
            </w:r>
          </w:p>
          <w:p w14:paraId="17C98669">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p>
          <w:p w14:paraId="543896F2">
            <w:pPr>
              <w:widowControl/>
              <w:spacing w:before="100" w:beforeAutospacing="1" w:after="100" w:afterAutospacing="1" w:line="320" w:lineRule="atLeast"/>
              <w:ind w:firstLine="210" w:firstLineChars="100"/>
              <w:jc w:val="left"/>
              <w:rPr>
                <w:rFonts w:ascii="Verdana" w:hAnsi="Verdana" w:cs="宋体"/>
                <w:color w:val="auto"/>
                <w:kern w:val="0"/>
                <w:szCs w:val="21"/>
                <w:highlight w:val="none"/>
              </w:rPr>
            </w:pPr>
            <w:r>
              <w:rPr>
                <w:rFonts w:ascii="Verdana" w:hAnsi="Verdana" w:cs="宋体"/>
                <w:color w:val="auto"/>
                <w:kern w:val="0"/>
                <w:szCs w:val="21"/>
                <w:highlight w:val="none"/>
              </w:rPr>
              <w:t>联系电话：</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年</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月</w:t>
            </w:r>
            <w:r>
              <w:rPr>
                <w:rFonts w:hint="eastAsia" w:ascii="Verdana" w:hAnsi="Verdana" w:cs="宋体"/>
                <w:color w:val="auto"/>
                <w:kern w:val="0"/>
                <w:szCs w:val="21"/>
                <w:highlight w:val="none"/>
              </w:rPr>
              <w:t xml:space="preserve"> </w:t>
            </w:r>
            <w:r>
              <w:rPr>
                <w:rFonts w:ascii="Verdana" w:hAnsi="Verdana" w:cs="宋体"/>
                <w:color w:val="auto"/>
                <w:kern w:val="0"/>
                <w:szCs w:val="21"/>
                <w:highlight w:val="none"/>
              </w:rPr>
              <w:t xml:space="preserve"> 日</w:t>
            </w:r>
          </w:p>
        </w:tc>
      </w:tr>
    </w:tbl>
    <w:p w14:paraId="58BD02D7">
      <w:pPr>
        <w:rPr>
          <w:rFonts w:ascii="宋体" w:hAnsi="宋体" w:cs="宋体"/>
          <w:color w:val="auto"/>
          <w:sz w:val="28"/>
          <w:szCs w:val="28"/>
          <w:highlight w:val="none"/>
        </w:rPr>
      </w:pPr>
      <w:r>
        <w:rPr>
          <w:rFonts w:hAnsi="宋体"/>
          <w:color w:val="auto"/>
          <w:highlight w:val="none"/>
        </w:rPr>
        <w:br w:type="page"/>
      </w:r>
      <w:r>
        <w:rPr>
          <w:rFonts w:hint="eastAsia" w:ascii="宋体" w:hAnsi="宋体" w:cs="宋体"/>
          <w:color w:val="auto"/>
          <w:sz w:val="28"/>
          <w:szCs w:val="28"/>
          <w:highlight w:val="none"/>
        </w:rPr>
        <w:t>4.政府采购项目履约保证金退付意见书的格式：</w:t>
      </w:r>
    </w:p>
    <w:p w14:paraId="3F0607F5">
      <w:pPr>
        <w:pStyle w:val="20"/>
        <w:snapToGrid w:val="0"/>
        <w:rPr>
          <w:rFonts w:ascii="黑体" w:hAnsi="黑体" w:eastAsia="黑体" w:cs="黑体"/>
          <w:color w:val="auto"/>
          <w:sz w:val="32"/>
          <w:szCs w:val="32"/>
          <w:highlight w:val="none"/>
        </w:rPr>
      </w:pPr>
    </w:p>
    <w:p w14:paraId="0148EEFC">
      <w:pPr>
        <w:pStyle w:val="10"/>
        <w:rPr>
          <w:color w:val="auto"/>
          <w:highlight w:val="none"/>
        </w:rPr>
      </w:pPr>
    </w:p>
    <w:p w14:paraId="12CD5FFB">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政府采购项目履约保证金退付意见书（参考）</w:t>
      </w:r>
    </w:p>
    <w:p w14:paraId="135D8890">
      <w:pPr>
        <w:jc w:val="center"/>
        <w:rPr>
          <w:rFonts w:ascii="黑体" w:hAnsi="黑体" w:eastAsia="黑体"/>
          <w:color w:val="auto"/>
          <w:sz w:val="36"/>
          <w:szCs w:val="36"/>
          <w:highlight w:val="none"/>
        </w:rPr>
      </w:pPr>
    </w:p>
    <w:tbl>
      <w:tblPr>
        <w:tblStyle w:val="31"/>
        <w:tblW w:w="88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8009"/>
      </w:tblGrid>
      <w:tr w14:paraId="474C0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5" w:hRule="atLeast"/>
          <w:jc w:val="center"/>
        </w:trPr>
        <w:tc>
          <w:tcPr>
            <w:tcW w:w="817" w:type="dxa"/>
            <w:vMerge w:val="restart"/>
            <w:vAlign w:val="center"/>
          </w:tcPr>
          <w:p w14:paraId="4FE223DA">
            <w:pPr>
              <w:jc w:val="center"/>
              <w:rPr>
                <w:color w:val="auto"/>
                <w:sz w:val="24"/>
                <w:highlight w:val="none"/>
              </w:rPr>
            </w:pPr>
            <w:r>
              <w:rPr>
                <w:rFonts w:hint="eastAsia"/>
                <w:color w:val="auto"/>
                <w:sz w:val="24"/>
                <w:highlight w:val="none"/>
              </w:rPr>
              <w:t>供</w:t>
            </w:r>
          </w:p>
          <w:p w14:paraId="4FC93249">
            <w:pPr>
              <w:jc w:val="center"/>
              <w:rPr>
                <w:color w:val="auto"/>
                <w:sz w:val="24"/>
                <w:highlight w:val="none"/>
              </w:rPr>
            </w:pPr>
            <w:r>
              <w:rPr>
                <w:rFonts w:hint="eastAsia"/>
                <w:color w:val="auto"/>
                <w:sz w:val="24"/>
                <w:highlight w:val="none"/>
              </w:rPr>
              <w:t>应</w:t>
            </w:r>
          </w:p>
          <w:p w14:paraId="24A87BD5">
            <w:pPr>
              <w:jc w:val="center"/>
              <w:rPr>
                <w:color w:val="auto"/>
                <w:sz w:val="24"/>
                <w:highlight w:val="none"/>
              </w:rPr>
            </w:pPr>
            <w:r>
              <w:rPr>
                <w:rFonts w:hint="eastAsia"/>
                <w:color w:val="auto"/>
                <w:sz w:val="24"/>
                <w:highlight w:val="none"/>
              </w:rPr>
              <w:t>商</w:t>
            </w:r>
          </w:p>
          <w:p w14:paraId="59EFFE54">
            <w:pPr>
              <w:jc w:val="center"/>
              <w:rPr>
                <w:color w:val="auto"/>
                <w:sz w:val="24"/>
                <w:highlight w:val="none"/>
              </w:rPr>
            </w:pPr>
            <w:r>
              <w:rPr>
                <w:rFonts w:hint="eastAsia"/>
                <w:color w:val="auto"/>
                <w:sz w:val="24"/>
                <w:highlight w:val="none"/>
              </w:rPr>
              <w:t>申</w:t>
            </w:r>
          </w:p>
          <w:p w14:paraId="74C2DEA2">
            <w:pPr>
              <w:jc w:val="center"/>
              <w:rPr>
                <w:color w:val="auto"/>
                <w:sz w:val="24"/>
                <w:highlight w:val="none"/>
              </w:rPr>
            </w:pPr>
            <w:r>
              <w:rPr>
                <w:rFonts w:hint="eastAsia"/>
                <w:color w:val="auto"/>
                <w:sz w:val="24"/>
                <w:highlight w:val="none"/>
              </w:rPr>
              <w:t>请</w:t>
            </w:r>
          </w:p>
        </w:tc>
        <w:tc>
          <w:tcPr>
            <w:tcW w:w="8009" w:type="dxa"/>
            <w:vAlign w:val="center"/>
          </w:tcPr>
          <w:p w14:paraId="231C93B1">
            <w:pPr>
              <w:rPr>
                <w:color w:val="auto"/>
                <w:sz w:val="24"/>
                <w:highlight w:val="none"/>
              </w:rPr>
            </w:pPr>
            <w:r>
              <w:rPr>
                <w:rFonts w:hint="eastAsia"/>
                <w:color w:val="auto"/>
                <w:sz w:val="24"/>
                <w:highlight w:val="none"/>
              </w:rPr>
              <w:t>项目编号：</w:t>
            </w:r>
          </w:p>
        </w:tc>
      </w:tr>
      <w:tr w14:paraId="3FBED1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817" w:type="dxa"/>
            <w:vMerge w:val="continue"/>
            <w:vAlign w:val="center"/>
          </w:tcPr>
          <w:p w14:paraId="3BC2D763">
            <w:pPr>
              <w:rPr>
                <w:color w:val="auto"/>
                <w:sz w:val="24"/>
                <w:highlight w:val="none"/>
              </w:rPr>
            </w:pPr>
          </w:p>
        </w:tc>
        <w:tc>
          <w:tcPr>
            <w:tcW w:w="8009" w:type="dxa"/>
            <w:vAlign w:val="center"/>
          </w:tcPr>
          <w:p w14:paraId="4ABC4EA7">
            <w:pPr>
              <w:rPr>
                <w:color w:val="auto"/>
                <w:sz w:val="24"/>
                <w:highlight w:val="none"/>
              </w:rPr>
            </w:pPr>
            <w:r>
              <w:rPr>
                <w:rFonts w:hint="eastAsia"/>
                <w:color w:val="auto"/>
                <w:sz w:val="24"/>
                <w:highlight w:val="none"/>
              </w:rPr>
              <w:t>项目名称：</w:t>
            </w:r>
          </w:p>
        </w:tc>
      </w:tr>
      <w:tr w14:paraId="5322F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17" w:type="dxa"/>
            <w:vMerge w:val="continue"/>
          </w:tcPr>
          <w:p w14:paraId="2C5556F7">
            <w:pPr>
              <w:rPr>
                <w:color w:val="auto"/>
                <w:sz w:val="24"/>
                <w:highlight w:val="none"/>
              </w:rPr>
            </w:pPr>
          </w:p>
        </w:tc>
        <w:tc>
          <w:tcPr>
            <w:tcW w:w="8009" w:type="dxa"/>
          </w:tcPr>
          <w:p w14:paraId="4F8CD60E">
            <w:pPr>
              <w:rPr>
                <w:color w:val="auto"/>
                <w:sz w:val="24"/>
                <w:highlight w:val="none"/>
              </w:rPr>
            </w:pPr>
            <w:r>
              <w:rPr>
                <w:rFonts w:hint="eastAsia"/>
                <w:color w:val="auto"/>
                <w:sz w:val="24"/>
                <w:highlight w:val="none"/>
              </w:rPr>
              <w:t xml:space="preserve">  </w:t>
            </w:r>
          </w:p>
          <w:p w14:paraId="03100280">
            <w:pPr>
              <w:ind w:firstLine="480" w:firstLineChars="200"/>
              <w:rPr>
                <w:color w:val="auto"/>
                <w:sz w:val="24"/>
                <w:highlight w:val="none"/>
              </w:rPr>
            </w:pPr>
            <w:r>
              <w:rPr>
                <w:rFonts w:hint="eastAsia"/>
                <w:color w:val="auto"/>
                <w:sz w:val="24"/>
                <w:highlight w:val="none"/>
              </w:rPr>
              <w:t>该项目已于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日验收并交付使用。根据合同规定，该项目的履约保证金期限于</w:t>
            </w:r>
            <w:r>
              <w:rPr>
                <w:rFonts w:hint="eastAsia"/>
                <w:color w:val="auto"/>
                <w:sz w:val="24"/>
                <w:highlight w:val="none"/>
                <w:u w:val="single"/>
              </w:rPr>
              <w:t xml:space="preserve">         </w:t>
            </w:r>
            <w:r>
              <w:rPr>
                <w:rFonts w:hint="eastAsia"/>
                <w:color w:val="auto"/>
                <w:sz w:val="24"/>
                <w:highlight w:val="none"/>
              </w:rPr>
              <w:t>年</w:t>
            </w:r>
            <w:r>
              <w:rPr>
                <w:rFonts w:hint="eastAsia"/>
                <w:color w:val="auto"/>
                <w:sz w:val="24"/>
                <w:highlight w:val="none"/>
                <w:u w:val="single"/>
              </w:rPr>
              <w:t xml:space="preserve">        </w:t>
            </w:r>
            <w:r>
              <w:rPr>
                <w:rFonts w:hint="eastAsia"/>
                <w:color w:val="auto"/>
                <w:sz w:val="24"/>
                <w:highlight w:val="none"/>
              </w:rPr>
              <w:t>月</w:t>
            </w:r>
            <w:r>
              <w:rPr>
                <w:rFonts w:hint="eastAsia"/>
                <w:color w:val="auto"/>
                <w:sz w:val="24"/>
                <w:highlight w:val="none"/>
                <w:u w:val="single"/>
              </w:rPr>
              <w:t xml:space="preserve">        </w:t>
            </w:r>
            <w:r>
              <w:rPr>
                <w:rFonts w:hint="eastAsia"/>
                <w:color w:val="auto"/>
                <w:sz w:val="24"/>
                <w:highlight w:val="none"/>
              </w:rPr>
              <w:t>日已满，请将履约保证金</w:t>
            </w:r>
          </w:p>
          <w:p w14:paraId="53C12949">
            <w:pPr>
              <w:rPr>
                <w:color w:val="auto"/>
                <w:sz w:val="24"/>
                <w:highlight w:val="none"/>
              </w:rPr>
            </w:pPr>
            <w:r>
              <w:rPr>
                <w:rFonts w:hint="eastAsia"/>
                <w:color w:val="auto"/>
                <w:sz w:val="24"/>
                <w:highlight w:val="none"/>
              </w:rPr>
              <w:t>（大写）</w:t>
            </w:r>
            <w:r>
              <w:rPr>
                <w:rFonts w:hint="eastAsia"/>
                <w:color w:val="auto"/>
                <w:sz w:val="24"/>
                <w:highlight w:val="none"/>
                <w:u w:val="single"/>
              </w:rPr>
              <w:t xml:space="preserve">人民币                            </w:t>
            </w:r>
            <w:r>
              <w:rPr>
                <w:rFonts w:hint="eastAsia"/>
                <w:color w:val="auto"/>
                <w:sz w:val="24"/>
                <w:highlight w:val="none"/>
              </w:rPr>
              <w:t>（小写）¥</w:t>
            </w:r>
            <w:r>
              <w:rPr>
                <w:rFonts w:hint="eastAsia"/>
                <w:color w:val="auto"/>
                <w:sz w:val="24"/>
                <w:highlight w:val="none"/>
                <w:u w:val="single"/>
              </w:rPr>
              <w:t xml:space="preserve">          </w:t>
            </w:r>
            <w:r>
              <w:rPr>
                <w:rFonts w:hint="eastAsia"/>
                <w:color w:val="auto"/>
                <w:sz w:val="24"/>
                <w:highlight w:val="none"/>
              </w:rPr>
              <w:t>退付到达以下账户。</w:t>
            </w:r>
          </w:p>
          <w:p w14:paraId="2B6D40EB">
            <w:pPr>
              <w:rPr>
                <w:color w:val="auto"/>
                <w:sz w:val="24"/>
                <w:highlight w:val="none"/>
              </w:rPr>
            </w:pPr>
            <w:r>
              <w:rPr>
                <w:rFonts w:hint="eastAsia"/>
                <w:color w:val="auto"/>
                <w:sz w:val="24"/>
                <w:highlight w:val="none"/>
              </w:rPr>
              <w:t>单位名称：</w:t>
            </w:r>
          </w:p>
          <w:p w14:paraId="2B7A895A">
            <w:pPr>
              <w:rPr>
                <w:color w:val="auto"/>
                <w:sz w:val="24"/>
                <w:highlight w:val="none"/>
              </w:rPr>
            </w:pPr>
            <w:r>
              <w:rPr>
                <w:rFonts w:hint="eastAsia"/>
                <w:color w:val="auto"/>
                <w:sz w:val="24"/>
                <w:highlight w:val="none"/>
              </w:rPr>
              <w:t>开户银行：</w:t>
            </w:r>
          </w:p>
          <w:p w14:paraId="69F052C1">
            <w:pPr>
              <w:rPr>
                <w:color w:val="auto"/>
                <w:sz w:val="24"/>
                <w:highlight w:val="none"/>
              </w:rPr>
            </w:pPr>
            <w:r>
              <w:rPr>
                <w:rFonts w:hint="eastAsia"/>
                <w:color w:val="auto"/>
                <w:sz w:val="24"/>
                <w:highlight w:val="none"/>
              </w:rPr>
              <w:t>账    号：</w:t>
            </w:r>
          </w:p>
          <w:p w14:paraId="44B983B5">
            <w:pPr>
              <w:rPr>
                <w:color w:val="auto"/>
                <w:sz w:val="24"/>
                <w:highlight w:val="none"/>
              </w:rPr>
            </w:pPr>
            <w:r>
              <w:rPr>
                <w:rFonts w:hint="eastAsia"/>
                <w:color w:val="auto"/>
                <w:sz w:val="24"/>
                <w:highlight w:val="none"/>
              </w:rPr>
              <w:t>联系人及电话：</w:t>
            </w:r>
          </w:p>
          <w:p w14:paraId="1750284D">
            <w:pPr>
              <w:rPr>
                <w:color w:val="auto"/>
                <w:sz w:val="24"/>
                <w:highlight w:val="none"/>
              </w:rPr>
            </w:pPr>
          </w:p>
          <w:p w14:paraId="5682FBC1">
            <w:pPr>
              <w:jc w:val="center"/>
              <w:rPr>
                <w:color w:val="auto"/>
                <w:sz w:val="24"/>
                <w:highlight w:val="none"/>
              </w:rPr>
            </w:pPr>
            <w:r>
              <w:rPr>
                <w:rFonts w:hint="eastAsia"/>
                <w:color w:val="auto"/>
                <w:sz w:val="24"/>
                <w:highlight w:val="none"/>
              </w:rPr>
              <w:t xml:space="preserve">                           供应商签章：</w:t>
            </w:r>
          </w:p>
          <w:p w14:paraId="3372F3D1">
            <w:pPr>
              <w:jc w:val="center"/>
              <w:rPr>
                <w:color w:val="auto"/>
                <w:sz w:val="24"/>
                <w:highlight w:val="none"/>
              </w:rPr>
            </w:pPr>
            <w:r>
              <w:rPr>
                <w:rFonts w:hint="eastAsia"/>
                <w:color w:val="auto"/>
                <w:sz w:val="24"/>
                <w:highlight w:val="none"/>
              </w:rPr>
              <w:t xml:space="preserve">                                                年    月    日</w:t>
            </w:r>
          </w:p>
        </w:tc>
      </w:tr>
      <w:tr w14:paraId="27930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5" w:hRule="atLeast"/>
          <w:jc w:val="center"/>
        </w:trPr>
        <w:tc>
          <w:tcPr>
            <w:tcW w:w="817" w:type="dxa"/>
            <w:vAlign w:val="center"/>
          </w:tcPr>
          <w:p w14:paraId="5CECE419">
            <w:pPr>
              <w:jc w:val="center"/>
              <w:rPr>
                <w:color w:val="auto"/>
                <w:sz w:val="24"/>
                <w:highlight w:val="none"/>
              </w:rPr>
            </w:pPr>
            <w:r>
              <w:rPr>
                <w:rFonts w:hint="eastAsia"/>
                <w:color w:val="auto"/>
                <w:sz w:val="24"/>
                <w:highlight w:val="none"/>
              </w:rPr>
              <w:t>采</w:t>
            </w:r>
          </w:p>
          <w:p w14:paraId="1CAC2357">
            <w:pPr>
              <w:jc w:val="center"/>
              <w:rPr>
                <w:color w:val="auto"/>
                <w:sz w:val="24"/>
                <w:highlight w:val="none"/>
              </w:rPr>
            </w:pPr>
            <w:r>
              <w:rPr>
                <w:rFonts w:hint="eastAsia"/>
                <w:color w:val="auto"/>
                <w:sz w:val="24"/>
                <w:highlight w:val="none"/>
              </w:rPr>
              <w:t>购</w:t>
            </w:r>
          </w:p>
          <w:p w14:paraId="674A48FE">
            <w:pPr>
              <w:jc w:val="center"/>
              <w:rPr>
                <w:color w:val="auto"/>
                <w:sz w:val="24"/>
                <w:highlight w:val="none"/>
              </w:rPr>
            </w:pPr>
            <w:r>
              <w:rPr>
                <w:rFonts w:hint="eastAsia"/>
                <w:color w:val="auto"/>
                <w:sz w:val="24"/>
                <w:highlight w:val="none"/>
              </w:rPr>
              <w:t>单</w:t>
            </w:r>
          </w:p>
          <w:p w14:paraId="71F16A6D">
            <w:pPr>
              <w:jc w:val="center"/>
              <w:rPr>
                <w:color w:val="auto"/>
                <w:sz w:val="24"/>
                <w:highlight w:val="none"/>
              </w:rPr>
            </w:pPr>
            <w:r>
              <w:rPr>
                <w:rFonts w:hint="eastAsia"/>
                <w:color w:val="auto"/>
                <w:sz w:val="24"/>
                <w:highlight w:val="none"/>
              </w:rPr>
              <w:t>位</w:t>
            </w:r>
          </w:p>
          <w:p w14:paraId="7F31E3CA">
            <w:pPr>
              <w:jc w:val="center"/>
              <w:rPr>
                <w:color w:val="auto"/>
                <w:sz w:val="24"/>
                <w:highlight w:val="none"/>
              </w:rPr>
            </w:pPr>
            <w:r>
              <w:rPr>
                <w:rFonts w:hint="eastAsia"/>
                <w:color w:val="auto"/>
                <w:sz w:val="24"/>
                <w:highlight w:val="none"/>
              </w:rPr>
              <w:t>意</w:t>
            </w:r>
          </w:p>
          <w:p w14:paraId="49449074">
            <w:pPr>
              <w:jc w:val="center"/>
              <w:rPr>
                <w:color w:val="auto"/>
                <w:sz w:val="24"/>
                <w:highlight w:val="none"/>
              </w:rPr>
            </w:pPr>
            <w:r>
              <w:rPr>
                <w:rFonts w:hint="eastAsia"/>
                <w:color w:val="auto"/>
                <w:sz w:val="24"/>
                <w:highlight w:val="none"/>
              </w:rPr>
              <w:t>见</w:t>
            </w:r>
          </w:p>
        </w:tc>
        <w:tc>
          <w:tcPr>
            <w:tcW w:w="8009" w:type="dxa"/>
          </w:tcPr>
          <w:p w14:paraId="69274541">
            <w:pPr>
              <w:rPr>
                <w:color w:val="auto"/>
                <w:sz w:val="24"/>
                <w:highlight w:val="none"/>
              </w:rPr>
            </w:pPr>
          </w:p>
          <w:p w14:paraId="6D80F594">
            <w:pPr>
              <w:rPr>
                <w:color w:val="auto"/>
                <w:sz w:val="24"/>
                <w:highlight w:val="none"/>
              </w:rPr>
            </w:pPr>
            <w:r>
              <w:rPr>
                <w:rFonts w:hint="eastAsia"/>
                <w:color w:val="auto"/>
                <w:sz w:val="24"/>
                <w:highlight w:val="none"/>
              </w:rPr>
              <w:t>退付意见：是否同意退付履约保证金及退付金额：</w:t>
            </w:r>
          </w:p>
          <w:p w14:paraId="3CF22A87">
            <w:pPr>
              <w:rPr>
                <w:color w:val="auto"/>
                <w:sz w:val="24"/>
                <w:highlight w:val="none"/>
              </w:rPr>
            </w:pPr>
          </w:p>
          <w:p w14:paraId="44763397">
            <w:pPr>
              <w:rPr>
                <w:color w:val="auto"/>
                <w:sz w:val="24"/>
                <w:highlight w:val="none"/>
              </w:rPr>
            </w:pPr>
          </w:p>
          <w:p w14:paraId="3E62FBEA">
            <w:pPr>
              <w:rPr>
                <w:color w:val="auto"/>
                <w:sz w:val="24"/>
                <w:highlight w:val="none"/>
              </w:rPr>
            </w:pPr>
            <w:r>
              <w:rPr>
                <w:rFonts w:hint="eastAsia"/>
                <w:color w:val="auto"/>
                <w:sz w:val="24"/>
                <w:highlight w:val="none"/>
              </w:rPr>
              <w:t xml:space="preserve">联系人及电话：                                </w:t>
            </w:r>
          </w:p>
          <w:p w14:paraId="21EF0BC9">
            <w:pPr>
              <w:rPr>
                <w:color w:val="auto"/>
                <w:sz w:val="24"/>
                <w:highlight w:val="none"/>
              </w:rPr>
            </w:pPr>
          </w:p>
          <w:p w14:paraId="57C9313B">
            <w:pPr>
              <w:ind w:firstLine="4560" w:firstLineChars="1900"/>
              <w:rPr>
                <w:color w:val="auto"/>
                <w:sz w:val="24"/>
                <w:highlight w:val="none"/>
              </w:rPr>
            </w:pPr>
            <w:r>
              <w:rPr>
                <w:rFonts w:hint="eastAsia"/>
                <w:color w:val="auto"/>
                <w:sz w:val="24"/>
                <w:highlight w:val="none"/>
              </w:rPr>
              <w:t xml:space="preserve"> 采购人签章：</w:t>
            </w:r>
          </w:p>
          <w:p w14:paraId="4A3783A7">
            <w:pPr>
              <w:jc w:val="center"/>
              <w:rPr>
                <w:color w:val="auto"/>
                <w:sz w:val="24"/>
                <w:highlight w:val="none"/>
              </w:rPr>
            </w:pPr>
            <w:r>
              <w:rPr>
                <w:rFonts w:hint="eastAsia"/>
                <w:color w:val="auto"/>
                <w:sz w:val="24"/>
                <w:highlight w:val="none"/>
              </w:rPr>
              <w:t xml:space="preserve">                                                年    月    日</w:t>
            </w:r>
          </w:p>
        </w:tc>
      </w:tr>
      <w:tr w14:paraId="48B7F3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3" w:hRule="atLeast"/>
          <w:jc w:val="center"/>
        </w:trPr>
        <w:tc>
          <w:tcPr>
            <w:tcW w:w="817" w:type="dxa"/>
            <w:vAlign w:val="center"/>
          </w:tcPr>
          <w:p w14:paraId="2B0B92C2">
            <w:pPr>
              <w:jc w:val="center"/>
              <w:rPr>
                <w:color w:val="auto"/>
                <w:sz w:val="24"/>
                <w:highlight w:val="none"/>
              </w:rPr>
            </w:pPr>
            <w:r>
              <w:rPr>
                <w:rFonts w:hint="eastAsia"/>
                <w:color w:val="auto"/>
                <w:sz w:val="24"/>
                <w:highlight w:val="none"/>
              </w:rPr>
              <w:t>备注</w:t>
            </w:r>
          </w:p>
        </w:tc>
        <w:tc>
          <w:tcPr>
            <w:tcW w:w="8009" w:type="dxa"/>
          </w:tcPr>
          <w:p w14:paraId="10B737BC">
            <w:pPr>
              <w:rPr>
                <w:color w:val="auto"/>
                <w:sz w:val="24"/>
                <w:highlight w:val="none"/>
              </w:rPr>
            </w:pPr>
          </w:p>
        </w:tc>
      </w:tr>
    </w:tbl>
    <w:p w14:paraId="07CCFAB2">
      <w:pPr>
        <w:pStyle w:val="15"/>
        <w:ind w:left="1" w:firstLine="2" w:firstLineChars="1"/>
        <w:rPr>
          <w:rFonts w:ascii="宋体"/>
          <w:b/>
          <w:bCs/>
          <w:color w:val="auto"/>
          <w:sz w:val="18"/>
          <w:szCs w:val="18"/>
          <w:highlight w:val="none"/>
        </w:rPr>
      </w:pPr>
    </w:p>
    <w:p w14:paraId="5626617A">
      <w:pPr>
        <w:pStyle w:val="15"/>
        <w:ind w:left="1" w:firstLine="2" w:firstLineChars="1"/>
        <w:rPr>
          <w:rFonts w:ascii="宋体"/>
          <w:b/>
          <w:bCs/>
          <w:color w:val="auto"/>
          <w:sz w:val="18"/>
          <w:szCs w:val="18"/>
          <w:highlight w:val="none"/>
        </w:rPr>
      </w:pPr>
      <w:r>
        <w:rPr>
          <w:rFonts w:hint="eastAsia" w:ascii="宋体"/>
          <w:b/>
          <w:bCs/>
          <w:color w:val="auto"/>
          <w:sz w:val="18"/>
          <w:szCs w:val="18"/>
          <w:highlight w:val="none"/>
        </w:rPr>
        <w:t>　　　注：供应商凭经采购人审批的退付意见书到履约保证金收取单位财务部门办理履约保证金退付事宜。</w:t>
      </w:r>
    </w:p>
    <w:p w14:paraId="383174B2">
      <w:pPr>
        <w:shd w:val="clear" w:color="auto" w:fill="FFFFFF"/>
        <w:spacing w:line="360" w:lineRule="auto"/>
        <w:ind w:firstLine="2349" w:firstLineChars="1300"/>
        <w:jc w:val="left"/>
        <w:rPr>
          <w:color w:val="auto"/>
          <w:sz w:val="24"/>
          <w:highlight w:val="none"/>
        </w:rPr>
      </w:pPr>
      <w:r>
        <w:rPr>
          <w:rFonts w:hint="eastAsia" w:ascii="宋体"/>
          <w:b/>
          <w:bCs/>
          <w:color w:val="auto"/>
          <w:sz w:val="18"/>
          <w:szCs w:val="18"/>
          <w:highlight w:val="none"/>
        </w:rPr>
        <w:br w:type="page"/>
      </w:r>
    </w:p>
    <w:p w14:paraId="69F8513B">
      <w:pPr>
        <w:pStyle w:val="2"/>
        <w:jc w:val="center"/>
        <w:rPr>
          <w:b w:val="0"/>
          <w:bCs w:val="0"/>
          <w:color w:val="auto"/>
          <w:highlight w:val="none"/>
        </w:rPr>
      </w:pPr>
      <w:bookmarkStart w:id="155" w:name="_Toc9343"/>
      <w:bookmarkStart w:id="156" w:name="_Toc24786"/>
      <w:bookmarkStart w:id="157" w:name="_Toc4005"/>
      <w:bookmarkStart w:id="158" w:name="_Toc80886947"/>
      <w:bookmarkStart w:id="159" w:name="_Toc18676"/>
      <w:bookmarkStart w:id="160" w:name="_Toc15161"/>
      <w:bookmarkStart w:id="161" w:name="_Toc15154"/>
      <w:bookmarkStart w:id="162" w:name="_Toc12748"/>
    </w:p>
    <w:p w14:paraId="0983AC5E">
      <w:pPr>
        <w:pStyle w:val="2"/>
        <w:jc w:val="center"/>
        <w:rPr>
          <w:b w:val="0"/>
          <w:bCs w:val="0"/>
          <w:color w:val="auto"/>
          <w:highlight w:val="none"/>
        </w:rPr>
      </w:pPr>
    </w:p>
    <w:p w14:paraId="3B62F836">
      <w:pPr>
        <w:pStyle w:val="2"/>
        <w:jc w:val="center"/>
        <w:rPr>
          <w:b w:val="0"/>
          <w:bCs w:val="0"/>
          <w:color w:val="auto"/>
          <w:highlight w:val="none"/>
        </w:rPr>
      </w:pPr>
    </w:p>
    <w:p w14:paraId="236591BD">
      <w:pPr>
        <w:pStyle w:val="2"/>
        <w:jc w:val="center"/>
        <w:rPr>
          <w:b w:val="0"/>
          <w:bCs w:val="0"/>
          <w:color w:val="auto"/>
          <w:highlight w:val="none"/>
        </w:rPr>
      </w:pPr>
      <w:r>
        <w:rPr>
          <w:rFonts w:hint="eastAsia"/>
          <w:b w:val="0"/>
          <w:bCs w:val="0"/>
          <w:color w:val="auto"/>
          <w:highlight w:val="none"/>
        </w:rPr>
        <w:t xml:space="preserve">第六章 </w:t>
      </w:r>
      <w:r>
        <w:rPr>
          <w:b w:val="0"/>
          <w:bCs w:val="0"/>
          <w:color w:val="auto"/>
          <w:highlight w:val="none"/>
        </w:rPr>
        <w:t xml:space="preserve"> </w:t>
      </w:r>
      <w:r>
        <w:rPr>
          <w:rFonts w:hint="eastAsia"/>
          <w:b w:val="0"/>
          <w:bCs w:val="0"/>
          <w:color w:val="auto"/>
          <w:highlight w:val="none"/>
        </w:rPr>
        <w:t>合同文本</w:t>
      </w:r>
      <w:bookmarkEnd w:id="155"/>
      <w:bookmarkEnd w:id="156"/>
      <w:bookmarkEnd w:id="157"/>
      <w:bookmarkEnd w:id="158"/>
      <w:bookmarkEnd w:id="159"/>
      <w:bookmarkEnd w:id="160"/>
      <w:bookmarkEnd w:id="161"/>
    </w:p>
    <w:p w14:paraId="73023754">
      <w:pPr>
        <w:snapToGrid w:val="0"/>
        <w:rPr>
          <w:rFonts w:ascii="宋体" w:hAnsi="宋体" w:cs="宋体"/>
          <w:b/>
          <w:bCs/>
          <w:color w:val="auto"/>
          <w:sz w:val="32"/>
          <w:szCs w:val="32"/>
          <w:highlight w:val="none"/>
        </w:rPr>
      </w:pPr>
      <w:r>
        <w:rPr>
          <w:b/>
          <w:bCs/>
          <w:color w:val="auto"/>
          <w:highlight w:val="none"/>
        </w:rPr>
        <w:br w:type="page"/>
      </w:r>
      <w:bookmarkEnd w:id="162"/>
    </w:p>
    <w:p w14:paraId="76333C6A">
      <w:pPr>
        <w:snapToGrid w:val="0"/>
        <w:spacing w:line="480" w:lineRule="exact"/>
        <w:jc w:val="center"/>
        <w:rPr>
          <w:rFonts w:ascii="宋体" w:hAnsi="宋体"/>
          <w:b/>
          <w:bCs/>
          <w:color w:val="auto"/>
          <w:sz w:val="32"/>
          <w:szCs w:val="32"/>
          <w:highlight w:val="none"/>
        </w:rPr>
      </w:pPr>
    </w:p>
    <w:p w14:paraId="1CC2F753">
      <w:pPr>
        <w:snapToGrid w:val="0"/>
        <w:spacing w:line="480" w:lineRule="exact"/>
        <w:jc w:val="center"/>
        <w:rPr>
          <w:rFonts w:ascii="宋体" w:hAnsi="宋体"/>
          <w:b/>
          <w:bCs/>
          <w:color w:val="auto"/>
          <w:sz w:val="32"/>
          <w:szCs w:val="32"/>
          <w:highlight w:val="none"/>
        </w:rPr>
      </w:pPr>
      <w:bookmarkStart w:id="163" w:name="OLE_LINK11"/>
      <w:r>
        <w:rPr>
          <w:rFonts w:hint="eastAsia" w:ascii="宋体" w:hAnsi="宋体"/>
          <w:b/>
          <w:bCs/>
          <w:color w:val="auto"/>
          <w:sz w:val="32"/>
          <w:szCs w:val="32"/>
          <w:highlight w:val="none"/>
        </w:rPr>
        <w:t>《广西壮族自治区政府采购合同》</w:t>
      </w:r>
    </w:p>
    <w:bookmarkEnd w:id="163"/>
    <w:p w14:paraId="3578EDDB">
      <w:pPr>
        <w:snapToGrid w:val="0"/>
        <w:spacing w:line="480" w:lineRule="exact"/>
        <w:ind w:right="480" w:firstLine="5250" w:firstLineChars="2500"/>
        <w:rPr>
          <w:rFonts w:ascii="宋体" w:hAnsi="宋体"/>
          <w:bCs/>
          <w:color w:val="auto"/>
          <w:szCs w:val="21"/>
          <w:highlight w:val="none"/>
        </w:rPr>
      </w:pPr>
    </w:p>
    <w:p w14:paraId="249E709C">
      <w:pPr>
        <w:keepNext w:val="0"/>
        <w:keepLines w:val="0"/>
        <w:pageBreakBefore w:val="0"/>
        <w:widowControl w:val="0"/>
        <w:kinsoku/>
        <w:wordWrap/>
        <w:overflowPunct/>
        <w:topLinePunct w:val="0"/>
        <w:autoSpaceDE/>
        <w:autoSpaceDN/>
        <w:bidi w:val="0"/>
        <w:adjustRightInd/>
        <w:snapToGrid w:val="0"/>
        <w:spacing w:line="460" w:lineRule="exact"/>
        <w:ind w:right="480"/>
        <w:textAlignment w:val="auto"/>
        <w:rPr>
          <w:rFonts w:hint="eastAsia" w:ascii="宋体" w:hAnsi="宋体" w:eastAsia="宋体" w:cs="宋体"/>
          <w:bCs/>
          <w:color w:val="auto"/>
          <w:sz w:val="21"/>
          <w:szCs w:val="21"/>
          <w:highlight w:val="none"/>
        </w:rPr>
      </w:pPr>
    </w:p>
    <w:p w14:paraId="0F7BDB2D">
      <w:pPr>
        <w:keepNext w:val="0"/>
        <w:keepLines w:val="0"/>
        <w:pageBreakBefore w:val="0"/>
        <w:widowControl w:val="0"/>
        <w:kinsoku/>
        <w:wordWrap/>
        <w:overflowPunct/>
        <w:topLinePunct w:val="0"/>
        <w:autoSpaceDE/>
        <w:autoSpaceDN/>
        <w:bidi w:val="0"/>
        <w:adjustRightInd/>
        <w:spacing w:line="460" w:lineRule="exact"/>
        <w:ind w:right="-22" w:rightChars="0"/>
        <w:textAlignment w:val="auto"/>
        <w:rPr>
          <w:rFonts w:hint="default" w:ascii="宋体" w:hAnsi="宋体" w:eastAsia="宋体" w:cs="宋体"/>
          <w:bCs/>
          <w:color w:val="auto"/>
          <w:sz w:val="21"/>
          <w:szCs w:val="21"/>
          <w:highlight w:val="none"/>
          <w:u w:val="single"/>
          <w:lang w:val="en-US" w:eastAsia="zh-CN"/>
        </w:rPr>
      </w:pPr>
      <w:r>
        <w:rPr>
          <w:rFonts w:hint="eastAsia" w:ascii="宋体" w:hAnsi="宋体" w:eastAsia="宋体" w:cs="宋体"/>
          <w:color w:val="auto"/>
          <w:sz w:val="21"/>
          <w:szCs w:val="21"/>
          <w:highlight w:val="none"/>
        </w:rPr>
        <w:t>采购计划号：</w:t>
      </w:r>
      <w:r>
        <w:rPr>
          <w:rFonts w:hint="eastAsia" w:ascii="宋体" w:hAnsi="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bCs/>
          <w:color w:val="auto"/>
          <w:sz w:val="21"/>
          <w:szCs w:val="21"/>
          <w:highlight w:val="none"/>
        </w:rPr>
        <w:t>合同编号：</w:t>
      </w:r>
      <w:r>
        <w:rPr>
          <w:rFonts w:hint="eastAsia" w:ascii="宋体" w:hAnsi="宋体" w:cs="宋体"/>
          <w:color w:val="auto"/>
          <w:sz w:val="21"/>
          <w:szCs w:val="21"/>
          <w:highlight w:val="none"/>
          <w:u w:val="single"/>
          <w:lang w:val="en-US" w:eastAsia="zh-CN"/>
        </w:rPr>
        <w:t xml:space="preserve">                     </w:t>
      </w:r>
    </w:p>
    <w:p w14:paraId="0296CB51">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采购人（甲方）：</w:t>
      </w:r>
      <w:r>
        <w:rPr>
          <w:rFonts w:hint="eastAsia" w:ascii="宋体" w:hAnsi="宋体" w:eastAsia="宋体" w:cs="宋体"/>
          <w:b/>
          <w:bCs/>
          <w:color w:val="auto"/>
          <w:sz w:val="21"/>
          <w:szCs w:val="21"/>
          <w:highlight w:val="none"/>
          <w:u w:val="single"/>
          <w:lang w:eastAsia="zh-CN"/>
        </w:rPr>
        <w:t>广西壮族自治区人事考试院</w:t>
      </w:r>
    </w:p>
    <w:p w14:paraId="49E3C700">
      <w:pPr>
        <w:keepNext w:val="0"/>
        <w:keepLines w:val="0"/>
        <w:pageBreakBefore w:val="0"/>
        <w:widowControl w:val="0"/>
        <w:kinsoku/>
        <w:wordWrap/>
        <w:overflowPunct/>
        <w:topLinePunct w:val="0"/>
        <w:autoSpaceDE/>
        <w:autoSpaceDN/>
        <w:bidi w:val="0"/>
        <w:adjustRightInd/>
        <w:spacing w:line="460" w:lineRule="exact"/>
        <w:textAlignment w:val="auto"/>
        <w:rPr>
          <w:rFonts w:hint="default"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供应商（乙方）：</w:t>
      </w:r>
      <w:r>
        <w:rPr>
          <w:rFonts w:hint="eastAsia" w:ascii="宋体" w:hAnsi="宋体" w:cs="宋体"/>
          <w:b/>
          <w:bCs/>
          <w:color w:val="auto"/>
          <w:sz w:val="21"/>
          <w:szCs w:val="21"/>
          <w:highlight w:val="none"/>
          <w:u w:val="single"/>
          <w:lang w:val="en-US" w:eastAsia="zh-CN"/>
        </w:rPr>
        <w:t xml:space="preserve">                        </w:t>
      </w:r>
    </w:p>
    <w:p w14:paraId="22BDE9D1">
      <w:pPr>
        <w:keepNext w:val="0"/>
        <w:keepLines w:val="0"/>
        <w:pageBreakBefore w:val="0"/>
        <w:widowControl w:val="0"/>
        <w:kinsoku/>
        <w:wordWrap/>
        <w:overflowPunct/>
        <w:topLinePunct w:val="0"/>
        <w:autoSpaceDE/>
        <w:autoSpaceDN/>
        <w:bidi w:val="0"/>
        <w:adjustRightInd/>
        <w:spacing w:line="460" w:lineRule="exact"/>
        <w:textAlignment w:val="auto"/>
        <w:rPr>
          <w:rFonts w:hint="default"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项目名称：</w:t>
      </w:r>
      <w:r>
        <w:rPr>
          <w:rFonts w:hint="eastAsia" w:ascii="宋体" w:hAnsi="宋体" w:cs="宋体"/>
          <w:color w:val="auto"/>
          <w:sz w:val="21"/>
          <w:szCs w:val="21"/>
          <w:highlight w:val="none"/>
          <w:u w:val="single"/>
          <w:lang w:val="en-US" w:eastAsia="zh-CN"/>
        </w:rPr>
        <w:t xml:space="preserve">                       </w:t>
      </w:r>
    </w:p>
    <w:p w14:paraId="23BD42AF">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lang w:eastAsia="zh-CN"/>
        </w:rPr>
        <w:t xml:space="preserve">                       </w:t>
      </w:r>
    </w:p>
    <w:p w14:paraId="0955BF88">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签订地点：</w:t>
      </w:r>
      <w:r>
        <w:rPr>
          <w:rFonts w:hint="eastAsia" w:ascii="宋体" w:hAnsi="宋体" w:eastAsia="宋体" w:cs="宋体"/>
          <w:color w:val="auto"/>
          <w:sz w:val="21"/>
          <w:szCs w:val="21"/>
          <w:highlight w:val="none"/>
          <w:u w:val="single"/>
          <w:lang w:val="en-US" w:eastAsia="zh-CN"/>
        </w:rPr>
        <w:t>广西南宁市</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签订时间：</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年     月     日</w:t>
      </w:r>
    </w:p>
    <w:p w14:paraId="50F63AA5">
      <w:pPr>
        <w:keepNext w:val="0"/>
        <w:keepLines w:val="0"/>
        <w:pageBreakBefore w:val="0"/>
        <w:widowControl w:val="0"/>
        <w:kinsoku/>
        <w:wordWrap/>
        <w:overflowPunct/>
        <w:topLinePunct w:val="0"/>
        <w:autoSpaceDE/>
        <w:autoSpaceDN/>
        <w:bidi w:val="0"/>
        <w:adjustRightInd/>
        <w:spacing w:line="460" w:lineRule="exac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本合同为中小企业预留合同：</w:t>
      </w:r>
      <w:r>
        <w:rPr>
          <w:rFonts w:hint="eastAsia" w:ascii="宋体" w:hAnsi="宋体" w:eastAsia="宋体" w:cs="宋体"/>
          <w:color w:val="auto"/>
          <w:sz w:val="21"/>
          <w:szCs w:val="21"/>
          <w:highlight w:val="none"/>
          <w:u w:val="single"/>
        </w:rPr>
        <w:t>（是）</w:t>
      </w:r>
      <w:r>
        <w:rPr>
          <w:rFonts w:hint="eastAsia" w:ascii="宋体" w:hAnsi="宋体" w:eastAsia="宋体" w:cs="宋体"/>
          <w:color w:val="auto"/>
          <w:sz w:val="21"/>
          <w:szCs w:val="21"/>
          <w:highlight w:val="none"/>
        </w:rPr>
        <w:t>。</w:t>
      </w:r>
    </w:p>
    <w:p w14:paraId="72AA51B9">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460" w:lineRule="exact"/>
        <w:jc w:val="left"/>
        <w:textAlignment w:val="auto"/>
        <w:rPr>
          <w:rFonts w:hint="eastAsia" w:ascii="宋体" w:hAnsi="宋体" w:eastAsia="宋体" w:cs="宋体"/>
          <w:color w:val="auto"/>
          <w:kern w:val="0"/>
          <w:sz w:val="21"/>
          <w:szCs w:val="21"/>
          <w:highlight w:val="none"/>
          <w:lang w:val="en-US" w:eastAsia="zh-CN" w:bidi="ar-SA"/>
        </w:rPr>
      </w:pPr>
    </w:p>
    <w:p w14:paraId="1A35653B">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根据《中华人民共和国政府采购法》、《中华人民共和国民法典》等法律、法规规定，按照采购</w:t>
      </w:r>
      <w:r>
        <w:rPr>
          <w:rFonts w:hint="eastAsia" w:ascii="宋体" w:hAnsi="宋体" w:eastAsia="宋体" w:cs="Times New Roman"/>
          <w:color w:val="auto"/>
          <w:szCs w:val="21"/>
          <w:highlight w:val="none"/>
        </w:rPr>
        <w:t>文件规定条款和乙方响应文件及其承诺，甲乙双方签订本合同。</w:t>
      </w:r>
    </w:p>
    <w:p w14:paraId="5A45205C">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第一条　合同标的</w:t>
      </w:r>
    </w:p>
    <w:p w14:paraId="33CE2EF0">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项目一览表</w:t>
      </w:r>
    </w:p>
    <w:tbl>
      <w:tblPr>
        <w:tblStyle w:val="31"/>
        <w:tblW w:w="93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9"/>
        <w:gridCol w:w="1845"/>
        <w:gridCol w:w="2069"/>
        <w:gridCol w:w="714"/>
        <w:gridCol w:w="2885"/>
        <w:gridCol w:w="1348"/>
      </w:tblGrid>
      <w:tr w14:paraId="183F6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14:paraId="5C2F0DC0">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color w:val="auto"/>
                <w:szCs w:val="21"/>
                <w:highlight w:val="none"/>
              </w:rPr>
            </w:pPr>
            <w:r>
              <w:rPr>
                <w:rFonts w:hint="eastAsia" w:ascii="宋体" w:hAnsi="宋体" w:cs="宋体"/>
                <w:color w:val="auto"/>
                <w:szCs w:val="21"/>
                <w:highlight w:val="none"/>
                <w:lang w:val="en-US" w:eastAsia="zh-CN"/>
              </w:rPr>
              <w:t>序号</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A97B8CB">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6884C626">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服务内容</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3540E7BC">
            <w:pPr>
              <w:keepNext w:val="0"/>
              <w:keepLines w:val="0"/>
              <w:pageBreakBefore w:val="0"/>
              <w:widowControl w:val="0"/>
              <w:kinsoku/>
              <w:wordWrap/>
              <w:overflowPunct/>
              <w:topLinePunct w:val="0"/>
              <w:autoSpaceDE/>
              <w:autoSpaceDN/>
              <w:bidi w:val="0"/>
              <w:adjustRightInd/>
              <w:spacing w:line="240" w:lineRule="auto"/>
              <w:jc w:val="center"/>
              <w:textAlignment w:val="auto"/>
              <w:rPr>
                <w:rFonts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2885" w:type="dxa"/>
            <w:tcBorders>
              <w:top w:val="single" w:color="auto" w:sz="4" w:space="0"/>
              <w:left w:val="single" w:color="auto" w:sz="4" w:space="0"/>
              <w:bottom w:val="single" w:color="auto" w:sz="4" w:space="0"/>
              <w:right w:val="single" w:color="auto" w:sz="4" w:space="0"/>
            </w:tcBorders>
            <w:noWrap w:val="0"/>
            <w:vAlign w:val="center"/>
          </w:tcPr>
          <w:p w14:paraId="6CEF0CA5">
            <w:pPr>
              <w:spacing w:line="500" w:lineRule="exact"/>
              <w:jc w:val="center"/>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合同总金额（元）</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7B3B7469">
            <w:pPr>
              <w:keepNext w:val="0"/>
              <w:keepLines w:val="0"/>
              <w:pageBreakBefore w:val="0"/>
              <w:widowControl w:val="0"/>
              <w:kinsoku/>
              <w:wordWrap/>
              <w:overflowPunct/>
              <w:topLinePunct w:val="0"/>
              <w:autoSpaceDE/>
              <w:autoSpaceDN/>
              <w:bidi w:val="0"/>
              <w:adjustRightInd/>
              <w:spacing w:line="240" w:lineRule="auto"/>
              <w:jc w:val="center"/>
              <w:textAlignment w:val="auto"/>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科次单价</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元/科次</w:t>
            </w:r>
            <w:r>
              <w:rPr>
                <w:rFonts w:hint="eastAsia" w:ascii="宋体" w:hAnsi="宋体" w:eastAsia="宋体" w:cs="宋体"/>
                <w:color w:val="auto"/>
                <w:szCs w:val="21"/>
                <w:highlight w:val="none"/>
              </w:rPr>
              <w:t>）</w:t>
            </w:r>
          </w:p>
        </w:tc>
      </w:tr>
      <w:tr w14:paraId="60300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0" w:hRule="atLeast"/>
          <w:jc w:val="center"/>
        </w:trPr>
        <w:tc>
          <w:tcPr>
            <w:tcW w:w="499" w:type="dxa"/>
            <w:tcBorders>
              <w:top w:val="single" w:color="auto" w:sz="4" w:space="0"/>
              <w:left w:val="single" w:color="auto" w:sz="4" w:space="0"/>
              <w:bottom w:val="single" w:color="auto" w:sz="4" w:space="0"/>
              <w:right w:val="single" w:color="auto" w:sz="4" w:space="0"/>
            </w:tcBorders>
            <w:noWrap w:val="0"/>
            <w:vAlign w:val="center"/>
          </w:tcPr>
          <w:p w14:paraId="315F71BF">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w:t>
            </w:r>
          </w:p>
        </w:tc>
        <w:tc>
          <w:tcPr>
            <w:tcW w:w="1845" w:type="dxa"/>
            <w:tcBorders>
              <w:top w:val="single" w:color="auto" w:sz="4" w:space="0"/>
              <w:left w:val="single" w:color="auto" w:sz="4" w:space="0"/>
              <w:bottom w:val="single" w:color="auto" w:sz="4" w:space="0"/>
              <w:right w:val="single" w:color="auto" w:sz="4" w:space="0"/>
            </w:tcBorders>
            <w:noWrap w:val="0"/>
            <w:vAlign w:val="center"/>
          </w:tcPr>
          <w:p w14:paraId="59DC5DBE">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2026年度广西职业资格电子化考试技术服务</w:t>
            </w:r>
          </w:p>
        </w:tc>
        <w:tc>
          <w:tcPr>
            <w:tcW w:w="2069" w:type="dxa"/>
            <w:tcBorders>
              <w:top w:val="single" w:color="auto" w:sz="4" w:space="0"/>
              <w:left w:val="single" w:color="auto" w:sz="4" w:space="0"/>
              <w:bottom w:val="single" w:color="auto" w:sz="4" w:space="0"/>
              <w:right w:val="single" w:color="auto" w:sz="4" w:space="0"/>
            </w:tcBorders>
            <w:noWrap w:val="0"/>
            <w:vAlign w:val="center"/>
          </w:tcPr>
          <w:p w14:paraId="3337CDC4">
            <w:pPr>
              <w:keepNext w:val="0"/>
              <w:keepLines w:val="0"/>
              <w:pageBreakBefore w:val="0"/>
              <w:widowControl w:val="0"/>
              <w:kinsoku/>
              <w:wordWrap/>
              <w:overflowPunct/>
              <w:topLinePunct w:val="0"/>
              <w:autoSpaceDE/>
              <w:autoSpaceDN/>
              <w:bidi w:val="0"/>
              <w:adjustRightInd/>
              <w:spacing w:line="460" w:lineRule="exact"/>
              <w:jc w:val="left"/>
              <w:textAlignment w:val="auto"/>
              <w:rPr>
                <w:rFonts w:hint="eastAsia" w:ascii="宋体" w:hAnsi="宋体" w:eastAsia="宋体" w:cs="宋体"/>
                <w:color w:val="auto"/>
                <w:szCs w:val="21"/>
                <w:highlight w:val="none"/>
              </w:rPr>
            </w:pPr>
            <w:r>
              <w:rPr>
                <w:rFonts w:hint="eastAsia" w:ascii="宋体" w:hAnsi="宋体" w:cs="宋体"/>
                <w:color w:val="auto"/>
                <w:szCs w:val="21"/>
                <w:highlight w:val="none"/>
              </w:rPr>
              <w:t>按本合同第十四条约定的采购文件、响应文件及技术要求偏离表中乙方响应的全部技术要求提供服务</w:t>
            </w:r>
          </w:p>
        </w:tc>
        <w:tc>
          <w:tcPr>
            <w:tcW w:w="714" w:type="dxa"/>
            <w:tcBorders>
              <w:top w:val="single" w:color="auto" w:sz="4" w:space="0"/>
              <w:left w:val="single" w:color="auto" w:sz="4" w:space="0"/>
              <w:bottom w:val="single" w:color="auto" w:sz="4" w:space="0"/>
              <w:right w:val="single" w:color="auto" w:sz="4" w:space="0"/>
            </w:tcBorders>
            <w:noWrap w:val="0"/>
            <w:vAlign w:val="center"/>
          </w:tcPr>
          <w:p w14:paraId="74C63AB1">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1项</w:t>
            </w:r>
          </w:p>
        </w:tc>
        <w:tc>
          <w:tcPr>
            <w:tcW w:w="2885" w:type="dxa"/>
            <w:tcBorders>
              <w:top w:val="single" w:color="auto" w:sz="4" w:space="0"/>
              <w:left w:val="single" w:color="auto" w:sz="4" w:space="0"/>
              <w:bottom w:val="single" w:color="auto" w:sz="4" w:space="0"/>
              <w:right w:val="single" w:color="auto" w:sz="4" w:space="0"/>
            </w:tcBorders>
            <w:noWrap w:val="0"/>
            <w:vAlign w:val="center"/>
          </w:tcPr>
          <w:p w14:paraId="1E41ED70">
            <w:pPr>
              <w:spacing w:line="500" w:lineRule="exact"/>
              <w:jc w:val="both"/>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（大写）</w:t>
            </w:r>
            <w:r>
              <w:rPr>
                <w:rFonts w:hint="eastAsia" w:ascii="宋体" w:hAnsi="宋体" w:eastAsia="宋体" w:cs="宋体"/>
                <w:color w:val="auto"/>
                <w:sz w:val="21"/>
                <w:szCs w:val="21"/>
                <w:highlight w:val="none"/>
                <w:u w:val="single"/>
              </w:rPr>
              <w:t xml:space="preserve">人民币          </w:t>
            </w:r>
          </w:p>
          <w:p w14:paraId="00C6D190">
            <w:pPr>
              <w:spacing w:line="500" w:lineRule="exact"/>
              <w:jc w:val="both"/>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（小写）¥</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 xml:space="preserve">    </w:t>
            </w:r>
            <w:r>
              <w:rPr>
                <w:rFonts w:hint="eastAsia" w:ascii="宋体" w:hAnsi="宋体"/>
                <w:color w:val="auto"/>
                <w:sz w:val="24"/>
                <w:szCs w:val="24"/>
                <w:highlight w:val="none"/>
                <w:u w:val="single"/>
              </w:rPr>
              <w:t xml:space="preserve">   </w:t>
            </w:r>
          </w:p>
        </w:tc>
        <w:tc>
          <w:tcPr>
            <w:tcW w:w="1348" w:type="dxa"/>
            <w:tcBorders>
              <w:top w:val="single" w:color="auto" w:sz="4" w:space="0"/>
              <w:left w:val="single" w:color="auto" w:sz="4" w:space="0"/>
              <w:bottom w:val="single" w:color="auto" w:sz="4" w:space="0"/>
              <w:right w:val="single" w:color="auto" w:sz="4" w:space="0"/>
            </w:tcBorders>
            <w:noWrap w:val="0"/>
            <w:vAlign w:val="center"/>
          </w:tcPr>
          <w:p w14:paraId="37340346">
            <w:pPr>
              <w:keepNext w:val="0"/>
              <w:keepLines w:val="0"/>
              <w:pageBreakBefore w:val="0"/>
              <w:widowControl w:val="0"/>
              <w:kinsoku/>
              <w:wordWrap/>
              <w:overflowPunct/>
              <w:topLinePunct w:val="0"/>
              <w:autoSpaceDE/>
              <w:autoSpaceDN/>
              <w:bidi w:val="0"/>
              <w:adjustRightInd/>
              <w:spacing w:line="460" w:lineRule="exact"/>
              <w:jc w:val="center"/>
              <w:textAlignment w:val="auto"/>
              <w:rPr>
                <w:rFonts w:hint="eastAsia" w:ascii="宋体" w:hAnsi="宋体" w:eastAsia="宋体" w:cs="宋体"/>
                <w:color w:val="auto"/>
                <w:szCs w:val="21"/>
                <w:highlight w:val="none"/>
                <w:lang w:val="en-US" w:eastAsia="zh-CN"/>
              </w:rPr>
            </w:pPr>
          </w:p>
        </w:tc>
      </w:tr>
    </w:tbl>
    <w:p w14:paraId="30B05077">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第二条　质量保证</w:t>
      </w:r>
    </w:p>
    <w:p w14:paraId="040790E9">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乙方所提供的服务及服务内容必须与响应文件承诺相一致，有国家强制性标准的，还必须符合国家强制性标准的规定，没有国家强制性标准但有其他强制性标准的，必须符合其他强制性标准的规定。</w:t>
      </w:r>
    </w:p>
    <w:p w14:paraId="63D0A4B0">
      <w:pPr>
        <w:keepNext w:val="0"/>
        <w:keepLines w:val="0"/>
        <w:pageBreakBefore w:val="0"/>
        <w:widowControl w:val="0"/>
        <w:kinsoku/>
        <w:wordWrap/>
        <w:overflowPunct/>
        <w:topLinePunct w:val="0"/>
        <w:autoSpaceDE/>
        <w:autoSpaceDN/>
        <w:bidi w:val="0"/>
        <w:adjustRightInd/>
        <w:snapToGrid w:val="0"/>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乙方需配合甲方做好绩效考核。</w:t>
      </w:r>
    </w:p>
    <w:p w14:paraId="37FD9CE1">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第三条　权利保证</w:t>
      </w:r>
    </w:p>
    <w:p w14:paraId="504BFC40">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应保证所提供服务在使用时不会侵犯任何第三方的专利权、商标权、工业设计权等知识产权及其他合法权利，且所有权、处分权等没有受到任何限制。乙方应在提供服务前进行详细的知识产权审查，确保所提供服务的合法性和合规性。如乙方违反上述保证，应向甲方支付相当于合同金额20%的违约金，如该违约金不足以弥补甲方因此遭受的损失，乙方还应赔偿甲方因此遭受的全部损失。</w:t>
      </w:r>
    </w:p>
    <w:p w14:paraId="50C20729">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没有甲方事先书面同意，乙方不得将由甲方提供的有关合同或者任何合同条文、规格、计划、图纸、样品或者资料</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以及乙方在服务过程中获取的所有考生个人信息、考试相关数据提供给与履行本合同无关的任何其他人。即使向履行本合同有关的人员提供，也应注意保密并限于履行合同的必需范围。乙方的保密义务持续有效，不因为本合同履行终止、解除或者无效而解除。如乙方违反保密义务，应承担全部责任，包括但不限于直接损失、间接损失</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甲方为维权支出的</w:t>
      </w:r>
      <w:r>
        <w:rPr>
          <w:rFonts w:hint="eastAsia" w:ascii="宋体" w:hAnsi="宋体" w:eastAsia="宋体" w:cs="宋体"/>
          <w:color w:val="auto"/>
          <w:szCs w:val="21"/>
          <w:highlight w:val="none"/>
        </w:rPr>
        <w:t>律师费、财产保全保函费、鉴定费</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保全保险费、差旅费</w:t>
      </w:r>
      <w:r>
        <w:rPr>
          <w:rFonts w:hint="eastAsia" w:ascii="宋体" w:hAnsi="宋体" w:eastAsia="宋体" w:cs="宋体"/>
          <w:color w:val="auto"/>
          <w:szCs w:val="21"/>
          <w:highlight w:val="none"/>
        </w:rPr>
        <w:t>等。</w:t>
      </w:r>
    </w:p>
    <w:p w14:paraId="5E9137C7">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第四条　成果交付</w:t>
      </w:r>
    </w:p>
    <w:p w14:paraId="314874C9">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Times New Roman"/>
          <w:color w:val="auto"/>
          <w:szCs w:val="21"/>
          <w:highlight w:val="none"/>
        </w:rPr>
        <w:t>合同履约期限</w:t>
      </w:r>
      <w:r>
        <w:rPr>
          <w:rFonts w:hint="eastAsia" w:ascii="宋体" w:hAnsi="宋体" w:eastAsia="宋体" w:cs="宋体"/>
          <w:color w:val="auto"/>
          <w:szCs w:val="21"/>
          <w:highlight w:val="none"/>
        </w:rPr>
        <w:t>：</w:t>
      </w:r>
      <w:r>
        <w:rPr>
          <w:rFonts w:hint="eastAsia" w:ascii="宋体" w:hAnsi="宋体" w:cs="宋体"/>
          <w:b w:val="0"/>
          <w:bCs w:val="0"/>
          <w:color w:val="auto"/>
          <w:szCs w:val="21"/>
          <w:highlight w:val="none"/>
          <w:u w:val="single"/>
          <w:lang w:val="en-US" w:eastAsia="zh-CN"/>
        </w:rPr>
        <w:t>合同签订之日起至本项目所有考试结束。签订合同之日起10天内能按采购文件要求提供本项目服务。如遇特殊情况当年考试推迟到第二年，须按合同约定完成当年考试任务</w:t>
      </w:r>
      <w:r>
        <w:rPr>
          <w:rFonts w:hint="eastAsia" w:ascii="宋体" w:hAnsi="宋体" w:eastAsia="宋体" w:cs="宋体"/>
          <w:color w:val="auto"/>
          <w:szCs w:val="21"/>
          <w:highlight w:val="none"/>
        </w:rPr>
        <w:t>。</w:t>
      </w:r>
    </w:p>
    <w:p w14:paraId="220BB6EF">
      <w:pPr>
        <w:keepNext w:val="0"/>
        <w:keepLines w:val="0"/>
        <w:pageBreakBefore w:val="0"/>
        <w:widowControl w:val="0"/>
        <w:kinsoku/>
        <w:wordWrap/>
        <w:overflowPunct/>
        <w:topLinePunct w:val="0"/>
        <w:autoSpaceDE/>
        <w:autoSpaceDN/>
        <w:bidi w:val="0"/>
        <w:adjustRightInd/>
        <w:spacing w:line="460" w:lineRule="exact"/>
        <w:ind w:firstLine="630" w:firstLineChars="300"/>
        <w:textAlignment w:val="auto"/>
        <w:rPr>
          <w:rFonts w:hint="eastAsia" w:ascii="宋体" w:hAnsi="宋体" w:eastAsia="宋体" w:cs="宋体"/>
          <w:color w:val="auto"/>
          <w:szCs w:val="21"/>
          <w:highlight w:val="none"/>
        </w:rPr>
      </w:pPr>
      <w:r>
        <w:rPr>
          <w:rFonts w:hint="eastAsia" w:ascii="宋体" w:hAnsi="宋体" w:eastAsia="宋体" w:cs="Times New Roman"/>
          <w:color w:val="auto"/>
          <w:szCs w:val="21"/>
          <w:highlight w:val="none"/>
        </w:rPr>
        <w:t>服务地点</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广西区内采购人指定地点</w:t>
      </w:r>
      <w:r>
        <w:rPr>
          <w:rFonts w:hint="eastAsia" w:ascii="宋体" w:hAnsi="宋体" w:eastAsia="宋体" w:cs="宋体"/>
          <w:color w:val="auto"/>
          <w:szCs w:val="21"/>
          <w:highlight w:val="none"/>
        </w:rPr>
        <w:t>。</w:t>
      </w:r>
    </w:p>
    <w:p w14:paraId="112CA62F">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乙方应按按本合同第十四条约定的采购文件、响应文件及技术要求偏离表中乙方响应的全部技术要求提供服务向甲方提供相应的服务，并提供所服务内容的相关技术资料。</w:t>
      </w:r>
    </w:p>
    <w:p w14:paraId="7EACE5E3">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提供不符合响应文件和本合同规定的服务成果，甲方有权拒绝接受，并要求乙方在接到甲方通知后的3个工作日内重新提供符合要求的服务，并支付相当于合同金额20%的违约金。若乙方未能在规定时间内完成补救措施，甲方有权解除合同并要求乙方</w:t>
      </w:r>
      <w:r>
        <w:rPr>
          <w:rFonts w:hint="eastAsia" w:ascii="宋体" w:hAnsi="宋体" w:cs="宋体"/>
          <w:color w:val="auto"/>
          <w:szCs w:val="21"/>
          <w:highlight w:val="none"/>
          <w:lang w:val="en-US" w:eastAsia="zh-CN"/>
        </w:rPr>
        <w:t>支付合同金额30%的违约金，</w:t>
      </w:r>
      <w:r>
        <w:rPr>
          <w:rFonts w:hint="eastAsia" w:ascii="宋体" w:hAnsi="宋体" w:cs="宋体"/>
          <w:color w:val="auto"/>
          <w:szCs w:val="21"/>
          <w:highlight w:val="none"/>
        </w:rPr>
        <w:t>如该违约金不足以弥补甲方因此遭受的损失，乙方还应赔偿甲方因此遭受的全部损失。</w:t>
      </w:r>
    </w:p>
    <w:p w14:paraId="1D385EDE">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 xml:space="preserve">第五条  </w:t>
      </w:r>
      <w:r>
        <w:rPr>
          <w:rFonts w:hint="eastAsia" w:ascii="宋体" w:hAnsi="宋体" w:eastAsia="宋体" w:cs="宋体"/>
          <w:b/>
          <w:color w:val="auto"/>
          <w:szCs w:val="21"/>
          <w:highlight w:val="none"/>
        </w:rPr>
        <w:t>售后服务及培训</w:t>
      </w:r>
    </w:p>
    <w:p w14:paraId="38285B3E">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乙方应按照国家有关法律法规和</w:t>
      </w:r>
      <w:r>
        <w:rPr>
          <w:rFonts w:hint="eastAsia" w:ascii="宋体" w:hAnsi="宋体" w:cs="宋体"/>
          <w:color w:val="auto"/>
          <w:szCs w:val="21"/>
          <w:highlight w:val="none"/>
          <w:lang w:val="en-US" w:eastAsia="zh-CN"/>
        </w:rPr>
        <w:t>乙方响应文件的服务承诺</w:t>
      </w:r>
      <w:r>
        <w:rPr>
          <w:rFonts w:hint="eastAsia" w:ascii="宋体" w:hAnsi="宋体" w:eastAsia="宋体" w:cs="宋体"/>
          <w:color w:val="auto"/>
          <w:szCs w:val="21"/>
          <w:highlight w:val="none"/>
        </w:rPr>
        <w:t>为甲方提供相应的售后服务。</w:t>
      </w:r>
    </w:p>
    <w:p w14:paraId="594DA986">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甲方应提供必要测试条件（如场地、电源、水源等）。</w:t>
      </w:r>
    </w:p>
    <w:p w14:paraId="431B313A">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乙方负责甲方有关人员的培训</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如有</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。培训时间、地点：</w:t>
      </w:r>
      <w:r>
        <w:rPr>
          <w:rFonts w:hint="eastAsia" w:ascii="宋体" w:hAnsi="宋体" w:eastAsia="宋体" w:cs="宋体"/>
          <w:color w:val="auto"/>
          <w:szCs w:val="21"/>
          <w:highlight w:val="none"/>
          <w:u w:val="single"/>
        </w:rPr>
        <w:t>甲方指定时间及地点</w:t>
      </w:r>
      <w:r>
        <w:rPr>
          <w:rFonts w:hint="eastAsia" w:ascii="宋体" w:hAnsi="宋体" w:eastAsia="宋体" w:cs="宋体"/>
          <w:color w:val="auto"/>
          <w:szCs w:val="21"/>
          <w:highlight w:val="none"/>
        </w:rPr>
        <w:t>。</w:t>
      </w:r>
    </w:p>
    <w:p w14:paraId="5CDF63F0">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第六条  付款方式</w:t>
      </w:r>
    </w:p>
    <w:p w14:paraId="59ECAC08">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1.项目实施中，按每批次考试进行结算，每批次结算金额=科次单价（成交总金额/总预计科次）×每批次实际科次。由甲方在该批次服务经验收合格、收到乙方提交的书面支付申请后十个工作日内支付。每次按合同支付款项前，乙方应向甲方提供与支付金额相符的有效发票，且收款方、出具发票方、合同乙方均必须与乙方名称一致。</w:t>
      </w:r>
    </w:p>
    <w:p w14:paraId="3F76D1EB">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cs="宋体"/>
          <w:b w:val="0"/>
          <w:bCs w:val="0"/>
          <w:color w:val="auto"/>
          <w:szCs w:val="21"/>
          <w:highlight w:val="none"/>
          <w:lang w:val="en-US" w:eastAsia="zh-CN"/>
        </w:rPr>
      </w:pPr>
      <w:r>
        <w:rPr>
          <w:rFonts w:hint="eastAsia" w:ascii="宋体" w:hAnsi="宋体" w:cs="宋体"/>
          <w:b w:val="0"/>
          <w:bCs w:val="0"/>
          <w:color w:val="auto"/>
          <w:szCs w:val="21"/>
          <w:highlight w:val="none"/>
          <w:lang w:val="en-US" w:eastAsia="zh-CN"/>
        </w:rPr>
        <w:t>2.考试实施期间，总实际科次不超过总预算科次时，按实际科次结算；总实际科次不超过总预算科次10%时，全年累计支付不超过合同总价；总实际科次超过总预算科次10%时，超出总预算科次10%以上的部分，结算金额=科次单价（成交总金额/总预计科次）×超出总预算科次10%以上部分的科次，待甲方另行申请资金并通过后支付。</w:t>
      </w:r>
    </w:p>
    <w:p w14:paraId="5599E18E">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u w:val="single"/>
        </w:rPr>
      </w:pPr>
      <w:r>
        <w:rPr>
          <w:rFonts w:hint="eastAsia" w:ascii="宋体" w:hAnsi="宋体" w:cs="宋体"/>
          <w:b w:val="0"/>
          <w:bCs w:val="0"/>
          <w:color w:val="auto"/>
          <w:szCs w:val="21"/>
          <w:highlight w:val="none"/>
          <w:lang w:val="en-US" w:eastAsia="zh-CN"/>
        </w:rPr>
        <w:t>注：科次单价（成交总金额/总预计科次）单位为元（人民币），四舍五入精确到小数点后2位，若总实际科次等于总预计科次时，经计算最后一批次结算金额不等于成交总金额-之前批次已结算总金额的，按成交总金额-之前批次已结算总金额结算。</w:t>
      </w:r>
    </w:p>
    <w:p w14:paraId="7479D004">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第七条  履约保证金</w:t>
      </w:r>
    </w:p>
    <w:p w14:paraId="5A9009A6">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ascii="宋体" w:hAnsi="宋体" w:eastAsia="宋体" w:cs="宋体"/>
          <w:bCs/>
          <w:color w:val="auto"/>
          <w:szCs w:val="21"/>
          <w:highlight w:val="none"/>
        </w:rPr>
      </w:pPr>
      <w:r>
        <w:rPr>
          <w:rFonts w:hint="eastAsia" w:ascii="宋体" w:hAnsi="宋体" w:eastAsia="宋体" w:cs="宋体"/>
          <w:bCs/>
          <w:color w:val="auto"/>
          <w:szCs w:val="21"/>
          <w:highlight w:val="none"/>
        </w:rPr>
        <w:t>本项目不收取履约保证金。</w:t>
      </w:r>
    </w:p>
    <w:p w14:paraId="5E058335">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第八条  税费</w:t>
      </w:r>
    </w:p>
    <w:p w14:paraId="50DE2049">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本合同执行中相关的一切税费均由乙方负担，合同另有约定的除外。</w:t>
      </w:r>
    </w:p>
    <w:p w14:paraId="191DE501">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第九条　违约责任</w:t>
      </w:r>
    </w:p>
    <w:p w14:paraId="069C88FB">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1</w:t>
      </w:r>
      <w:r>
        <w:rPr>
          <w:rFonts w:hint="eastAsia" w:ascii="宋体" w:hAnsi="宋体" w:eastAsia="宋体" w:cs="宋体"/>
          <w:color w:val="auto"/>
          <w:szCs w:val="21"/>
          <w:highlight w:val="none"/>
          <w:u w:val="single"/>
        </w:rPr>
        <w:t>.在考试实施过程中，因供应商服务不到位</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因</w:t>
      </w:r>
      <w:r>
        <w:rPr>
          <w:rFonts w:hint="eastAsia" w:ascii="宋体" w:hAnsi="宋体" w:eastAsia="宋体" w:cs="宋体"/>
          <w:color w:val="auto"/>
          <w:szCs w:val="21"/>
          <w:highlight w:val="none"/>
          <w:u w:val="single"/>
        </w:rPr>
        <w:t>硬件设备、网络设备等非考试软件系统原因造成考生无法正常考试，对考生造成的损失（包括</w:t>
      </w:r>
      <w:r>
        <w:rPr>
          <w:rFonts w:hint="eastAsia" w:ascii="宋体" w:hAnsi="宋体" w:eastAsia="宋体" w:cs="宋体"/>
          <w:color w:val="auto"/>
          <w:szCs w:val="21"/>
          <w:highlight w:val="none"/>
          <w:u w:val="single"/>
          <w:lang w:val="en-US" w:eastAsia="zh-CN"/>
        </w:rPr>
        <w:t>考试</w:t>
      </w:r>
      <w:r>
        <w:rPr>
          <w:rFonts w:hint="eastAsia" w:ascii="宋体" w:hAnsi="宋体" w:eastAsia="宋体" w:cs="宋体"/>
          <w:color w:val="auto"/>
          <w:szCs w:val="21"/>
          <w:highlight w:val="none"/>
          <w:u w:val="single"/>
        </w:rPr>
        <w:t>费、交通费、误工费</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食宿费</w:t>
      </w:r>
      <w:r>
        <w:rPr>
          <w:rFonts w:hint="eastAsia" w:ascii="宋体" w:hAnsi="宋体" w:eastAsia="宋体" w:cs="宋体"/>
          <w:color w:val="auto"/>
          <w:szCs w:val="21"/>
          <w:highlight w:val="none"/>
          <w:u w:val="single"/>
        </w:rPr>
        <w:t>等）由供应商负责。</w:t>
      </w:r>
    </w:p>
    <w:p w14:paraId="4780A917">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2</w:t>
      </w:r>
      <w:r>
        <w:rPr>
          <w:rFonts w:hint="eastAsia" w:ascii="宋体" w:hAnsi="宋体" w:eastAsia="宋体" w:cs="宋体"/>
          <w:color w:val="auto"/>
          <w:szCs w:val="21"/>
          <w:highlight w:val="none"/>
          <w:u w:val="single"/>
        </w:rPr>
        <w:t>.实施中发现供应商技术服务团队的项目经理、技术总负责人和考区技术负责人不符合技术团队人员配置要求的</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应</w:t>
      </w:r>
      <w:r>
        <w:rPr>
          <w:rFonts w:hint="eastAsia" w:ascii="宋体" w:hAnsi="宋体" w:eastAsia="宋体" w:cs="宋体"/>
          <w:color w:val="auto"/>
          <w:szCs w:val="21"/>
          <w:highlight w:val="none"/>
          <w:u w:val="single"/>
          <w:lang w:val="en-US" w:eastAsia="zh-CN"/>
        </w:rPr>
        <w:t>立即</w:t>
      </w:r>
      <w:r>
        <w:rPr>
          <w:rFonts w:hint="eastAsia" w:ascii="宋体" w:hAnsi="宋体" w:eastAsia="宋体" w:cs="宋体"/>
          <w:color w:val="auto"/>
          <w:szCs w:val="21"/>
          <w:highlight w:val="none"/>
          <w:u w:val="single"/>
        </w:rPr>
        <w:t>更换为符合要求的人员，经更换后仍不符合要求，</w:t>
      </w:r>
      <w:r>
        <w:rPr>
          <w:rFonts w:hint="eastAsia" w:ascii="宋体" w:hAnsi="宋体" w:eastAsia="宋体" w:cs="宋体"/>
          <w:color w:val="auto"/>
          <w:szCs w:val="21"/>
          <w:highlight w:val="none"/>
          <w:u w:val="single"/>
          <w:lang w:val="en-US" w:eastAsia="zh-CN"/>
        </w:rPr>
        <w:t>给采购方造成财产损失的，</w:t>
      </w:r>
      <w:r>
        <w:rPr>
          <w:rFonts w:hint="eastAsia" w:ascii="宋体" w:hAnsi="宋体" w:eastAsia="宋体" w:cs="宋体"/>
          <w:color w:val="auto"/>
          <w:szCs w:val="21"/>
          <w:highlight w:val="none"/>
          <w:u w:val="single"/>
        </w:rPr>
        <w:t>采购方有权解除合同</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并要求供应商向</w:t>
      </w:r>
      <w:r>
        <w:rPr>
          <w:rFonts w:hint="eastAsia" w:ascii="宋体" w:hAnsi="宋体" w:eastAsia="宋体" w:cs="宋体"/>
          <w:color w:val="auto"/>
          <w:szCs w:val="21"/>
          <w:highlight w:val="none"/>
          <w:u w:val="single"/>
        </w:rPr>
        <w:t>采购方支付中标金额</w:t>
      </w:r>
      <w:r>
        <w:rPr>
          <w:rFonts w:hint="eastAsia" w:ascii="宋体" w:hAnsi="宋体" w:eastAsia="宋体" w:cs="宋体"/>
          <w:color w:val="auto"/>
          <w:szCs w:val="21"/>
          <w:highlight w:val="none"/>
          <w:u w:val="single"/>
          <w:lang w:val="en-US" w:eastAsia="zh-CN"/>
        </w:rPr>
        <w:t>10</w:t>
      </w:r>
      <w:r>
        <w:rPr>
          <w:rFonts w:hint="eastAsia" w:ascii="宋体" w:hAnsi="宋体" w:eastAsia="宋体" w:cs="宋体"/>
          <w:color w:val="auto"/>
          <w:szCs w:val="21"/>
          <w:highlight w:val="none"/>
          <w:u w:val="single"/>
        </w:rPr>
        <w:t>%的违约金</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rPr>
        <w:t>若</w:t>
      </w:r>
      <w:r>
        <w:rPr>
          <w:rFonts w:hint="eastAsia" w:ascii="宋体" w:hAnsi="宋体" w:eastAsia="宋体" w:cs="宋体"/>
          <w:color w:val="auto"/>
          <w:szCs w:val="21"/>
          <w:highlight w:val="none"/>
          <w:u w:val="single"/>
          <w:lang w:val="en-US" w:eastAsia="zh-CN"/>
        </w:rPr>
        <w:t>违约金</w:t>
      </w:r>
      <w:r>
        <w:rPr>
          <w:rFonts w:hint="eastAsia" w:ascii="宋体" w:hAnsi="宋体" w:eastAsia="宋体" w:cs="宋体"/>
          <w:color w:val="auto"/>
          <w:szCs w:val="21"/>
          <w:highlight w:val="none"/>
          <w:u w:val="single"/>
        </w:rPr>
        <w:t>无法填平</w:t>
      </w:r>
      <w:r>
        <w:rPr>
          <w:rFonts w:hint="eastAsia" w:ascii="宋体" w:hAnsi="宋体" w:eastAsia="宋体" w:cs="宋体"/>
          <w:color w:val="auto"/>
          <w:szCs w:val="21"/>
          <w:highlight w:val="none"/>
          <w:u w:val="single"/>
          <w:lang w:val="en-US" w:eastAsia="zh-CN"/>
        </w:rPr>
        <w:t>采购人</w:t>
      </w:r>
      <w:r>
        <w:rPr>
          <w:rFonts w:hint="eastAsia" w:ascii="宋体" w:hAnsi="宋体" w:eastAsia="宋体" w:cs="宋体"/>
          <w:color w:val="auto"/>
          <w:szCs w:val="21"/>
          <w:highlight w:val="none"/>
          <w:u w:val="single"/>
        </w:rPr>
        <w:t>全部直接与间接损失，</w:t>
      </w:r>
      <w:r>
        <w:rPr>
          <w:rFonts w:hint="eastAsia" w:ascii="宋体" w:hAnsi="宋体" w:eastAsia="宋体" w:cs="宋体"/>
          <w:color w:val="auto"/>
          <w:szCs w:val="21"/>
          <w:highlight w:val="none"/>
          <w:u w:val="single"/>
          <w:lang w:val="en-US" w:eastAsia="zh-CN"/>
        </w:rPr>
        <w:t>采购人</w:t>
      </w:r>
      <w:r>
        <w:rPr>
          <w:rFonts w:hint="eastAsia" w:ascii="宋体" w:hAnsi="宋体" w:eastAsia="宋体" w:cs="宋体"/>
          <w:color w:val="auto"/>
          <w:szCs w:val="21"/>
          <w:highlight w:val="none"/>
          <w:u w:val="single"/>
        </w:rPr>
        <w:t>有权继续要求赔偿</w:t>
      </w:r>
      <w:r>
        <w:rPr>
          <w:rFonts w:hint="eastAsia" w:ascii="宋体" w:hAnsi="宋体" w:eastAsia="宋体" w:cs="宋体"/>
          <w:color w:val="auto"/>
          <w:szCs w:val="21"/>
          <w:highlight w:val="none"/>
          <w:u w:val="single"/>
          <w:lang w:eastAsia="zh-CN"/>
        </w:rPr>
        <w:t>。</w:t>
      </w:r>
    </w:p>
    <w:p w14:paraId="45FD68D5">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.因供应商应急处置不力造成多名考生无法考试（10人及以上）的，给采购方政府公信力造成影响和财产损失的，采购方有权解除合同</w:t>
      </w:r>
      <w:r>
        <w:rPr>
          <w:rFonts w:hint="eastAsia" w:ascii="宋体" w:hAnsi="宋体" w:eastAsia="宋体" w:cs="宋体"/>
          <w:color w:val="auto"/>
          <w:szCs w:val="21"/>
          <w:highlight w:val="none"/>
          <w:u w:val="single"/>
          <w:lang w:eastAsia="zh-CN"/>
        </w:rPr>
        <w:t>，</w:t>
      </w:r>
      <w:r>
        <w:rPr>
          <w:rFonts w:hint="eastAsia" w:ascii="宋体" w:hAnsi="宋体" w:eastAsia="宋体" w:cs="宋体"/>
          <w:color w:val="auto"/>
          <w:szCs w:val="21"/>
          <w:highlight w:val="none"/>
          <w:u w:val="single"/>
          <w:lang w:val="en-US" w:eastAsia="zh-CN"/>
        </w:rPr>
        <w:t>并要求供应商向采购人</w:t>
      </w:r>
      <w:r>
        <w:rPr>
          <w:rFonts w:hint="eastAsia" w:ascii="宋体" w:hAnsi="宋体" w:eastAsia="宋体" w:cs="宋体"/>
          <w:color w:val="auto"/>
          <w:szCs w:val="21"/>
          <w:highlight w:val="none"/>
          <w:u w:val="single"/>
        </w:rPr>
        <w:t>支付中标金额20%的违约金，若违约金无法填平采购人全部直接与间接损失，采购人有权继续要求赔偿。</w:t>
      </w:r>
    </w:p>
    <w:p w14:paraId="14DEC989">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.因供应</w:t>
      </w:r>
      <w:r>
        <w:rPr>
          <w:rFonts w:hint="eastAsia" w:ascii="宋体" w:hAnsi="宋体" w:eastAsia="宋体" w:cs="宋体"/>
          <w:color w:val="auto"/>
          <w:szCs w:val="21"/>
          <w:highlight w:val="none"/>
          <w:u w:val="single"/>
          <w:lang w:val="en-US" w:eastAsia="zh-CN"/>
        </w:rPr>
        <w:t>商技术服务工作未按要求开展和推进，</w:t>
      </w:r>
      <w:r>
        <w:rPr>
          <w:rFonts w:hint="eastAsia" w:ascii="宋体" w:hAnsi="宋体" w:eastAsia="宋体" w:cs="宋体"/>
          <w:color w:val="auto"/>
          <w:szCs w:val="21"/>
          <w:highlight w:val="none"/>
          <w:u w:val="single"/>
        </w:rPr>
        <w:t>造成整个考点无法正常按时开考的，采购方可以中止供应商服务资格</w:t>
      </w:r>
      <w:r>
        <w:rPr>
          <w:rFonts w:hint="eastAsia" w:ascii="宋体" w:hAnsi="宋体" w:eastAsia="宋体" w:cs="宋体"/>
          <w:color w:val="auto"/>
          <w:szCs w:val="21"/>
          <w:highlight w:val="none"/>
          <w:u w:val="single"/>
          <w:lang w:eastAsia="zh-CN"/>
        </w:rPr>
        <w:t>，供应商应赔偿采购方损失，并支付</w:t>
      </w:r>
      <w:r>
        <w:rPr>
          <w:rFonts w:hint="eastAsia" w:ascii="宋体" w:hAnsi="宋体" w:eastAsia="宋体" w:cs="宋体"/>
          <w:color w:val="auto"/>
          <w:szCs w:val="21"/>
          <w:highlight w:val="none"/>
          <w:u w:val="single"/>
        </w:rPr>
        <w:t>中标金额</w:t>
      </w:r>
      <w:r>
        <w:rPr>
          <w:rFonts w:hint="eastAsia" w:ascii="宋体" w:hAnsi="宋体" w:eastAsia="宋体" w:cs="宋体"/>
          <w:color w:val="auto"/>
          <w:szCs w:val="21"/>
          <w:highlight w:val="none"/>
          <w:u w:val="single"/>
          <w:lang w:val="en-US" w:eastAsia="zh-CN"/>
        </w:rPr>
        <w:t>3</w:t>
      </w:r>
      <w:r>
        <w:rPr>
          <w:rFonts w:hint="eastAsia" w:ascii="宋体" w:hAnsi="宋体" w:eastAsia="宋体" w:cs="宋体"/>
          <w:color w:val="auto"/>
          <w:szCs w:val="21"/>
          <w:highlight w:val="none"/>
          <w:u w:val="single"/>
        </w:rPr>
        <w:t>0%的违约金，若违约金无法填平采购人全部直接与间接损失，采购人有权继续要求赔偿。</w:t>
      </w:r>
    </w:p>
    <w:p w14:paraId="19BE611C">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5.除不可抗力原因外，乙方没有按照合同规定的时间提供服务或履行其他合同义务的，甲方可要求乙 方支付违约金。每推迟一天按合同金额的3‰支付违约金，该违约金累计不超过合同金额的10%。如该违约金不足以弥补甲方损失的，乙方还应就不足部分承担赔偿责任</w:t>
      </w:r>
      <w:r>
        <w:rPr>
          <w:rFonts w:hint="eastAsia" w:ascii="宋体" w:hAnsi="宋体" w:cs="宋体"/>
          <w:color w:val="auto"/>
          <w:szCs w:val="21"/>
          <w:highlight w:val="none"/>
          <w:lang w:eastAsia="zh-CN"/>
        </w:rPr>
        <w:t>。</w:t>
      </w:r>
      <w:r>
        <w:rPr>
          <w:rFonts w:hint="eastAsia" w:ascii="宋体" w:hAnsi="宋体" w:eastAsia="宋体" w:cs="宋体"/>
          <w:color w:val="auto"/>
          <w:szCs w:val="21"/>
          <w:highlight w:val="none"/>
        </w:rPr>
        <w:t>如乙方未能履行其他合同义务(如技术支持、售后服务等),甲方有权要求乙方支付合同金额30%的违约金。若乙方延迟超过3天，甲方有权解除合同并要求乙方赔偿因此造成的全部损失。</w:t>
      </w:r>
    </w:p>
    <w:p w14:paraId="37184C3C">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6.乙方提供的服务如侵犯了第三方合法权益引发的任何纠纷或者诉讼，均由乙方负责交涉并承担全 部责任。甲方因应对该等纠纷或诉讼所支出的全部费用（包括但不限于律师费、诉讼费、保全费、鉴定费等），均由乙方承担。</w:t>
      </w:r>
    </w:p>
    <w:p w14:paraId="0F0303A7">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7.甲方延期付款的，每天向乙方偿付延期款额3‰滞纳金，但滞纳金累计不得超过延期款额5%。</w:t>
      </w:r>
    </w:p>
    <w:p w14:paraId="42AE1017">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第十条  不可抗力事件处理</w:t>
      </w:r>
    </w:p>
    <w:p w14:paraId="76D0ADC2">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在合同有效期内，任何一方因不可抗力事件导致不能履行合同，则合同履行期可延长，其延长期与不可抗力影响期相同。</w:t>
      </w:r>
    </w:p>
    <w:p w14:paraId="24731D6E">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不可抗力事件发生后，应立即通知对方，并寄送有关权威机构出具的证明。</w:t>
      </w:r>
    </w:p>
    <w:p w14:paraId="6D113745">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不可抗力事件延续一百二十天以上，双方应通过友好协商，确定是否继续履行合同。</w:t>
      </w:r>
    </w:p>
    <w:p w14:paraId="41860D88">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第十一条  合同争议解决</w:t>
      </w:r>
    </w:p>
    <w:p w14:paraId="021508D1">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因服务质量问题发生争议的，应邀请国家认可的质量检测机构进行鉴定。服务符合标准的，鉴定费由甲方承担；服务不符合标准的，鉴定费由乙方承担。</w:t>
      </w:r>
    </w:p>
    <w:p w14:paraId="6D6E59C6">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因履行本合同引起的或者与本合同有关的争议，甲乙双方应首先通过友好协商解决，如果协商不能解决，可向甲方所在地有管辖权的人民法院提起诉讼。</w:t>
      </w:r>
    </w:p>
    <w:p w14:paraId="37D991D7">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诉讼期间，本合同继续履行。</w:t>
      </w:r>
    </w:p>
    <w:p w14:paraId="100CE0E2">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第十二条  合同生效及其它　</w:t>
      </w:r>
    </w:p>
    <w:p w14:paraId="5C3ABA35">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1</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合同经双方法定代表人或授权代表签字并加盖单位公章后生效</w:t>
      </w:r>
      <w:r>
        <w:rPr>
          <w:rFonts w:hint="eastAsia" w:ascii="宋体" w:hAnsi="宋体" w:eastAsia="宋体" w:cs="宋体"/>
          <w:color w:val="auto"/>
          <w:szCs w:val="21"/>
          <w:highlight w:val="none"/>
        </w:rPr>
        <w:t>（委托代理人签字的需后附授权委托书，格式自拟）</w:t>
      </w:r>
      <w:r>
        <w:rPr>
          <w:rFonts w:hint="eastAsia" w:ascii="宋体" w:hAnsi="宋体" w:eastAsia="宋体" w:cs="宋体"/>
          <w:bCs/>
          <w:color w:val="auto"/>
          <w:szCs w:val="21"/>
          <w:highlight w:val="none"/>
        </w:rPr>
        <w:t>。</w:t>
      </w:r>
    </w:p>
    <w:p w14:paraId="729EE91C">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2</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合同执行中涉及采购资金和采购内容修改或补充的，须经财政部门审批，并签书面补充协议报财政部门备案，方可作为主合同不可分割的一部分。</w:t>
      </w:r>
    </w:p>
    <w:p w14:paraId="1AB25968">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3</w:t>
      </w:r>
      <w:r>
        <w:rPr>
          <w:rFonts w:hint="eastAsia" w:ascii="宋体" w:hAnsi="宋体" w:cs="宋体"/>
          <w:bCs/>
          <w:color w:val="auto"/>
          <w:szCs w:val="21"/>
          <w:highlight w:val="none"/>
          <w:lang w:val="en-US" w:eastAsia="zh-CN"/>
        </w:rPr>
        <w:t>.</w:t>
      </w:r>
      <w:r>
        <w:rPr>
          <w:rFonts w:hint="eastAsia" w:ascii="宋体" w:hAnsi="宋体" w:eastAsia="宋体" w:cs="宋体"/>
          <w:bCs/>
          <w:color w:val="auto"/>
          <w:szCs w:val="21"/>
          <w:highlight w:val="none"/>
        </w:rPr>
        <w:t>本合同未尽事宜，遵照《</w:t>
      </w:r>
      <w:r>
        <w:rPr>
          <w:rFonts w:hint="eastAsia" w:ascii="宋体" w:hAnsi="宋体" w:eastAsia="宋体" w:cs="宋体"/>
          <w:color w:val="auto"/>
          <w:szCs w:val="21"/>
          <w:highlight w:val="none"/>
        </w:rPr>
        <w:t>中华人民共和国民法典</w:t>
      </w:r>
      <w:r>
        <w:rPr>
          <w:rFonts w:hint="eastAsia" w:ascii="宋体" w:hAnsi="宋体" w:eastAsia="宋体" w:cs="宋体"/>
          <w:bCs/>
          <w:color w:val="auto"/>
          <w:szCs w:val="21"/>
          <w:highlight w:val="none"/>
        </w:rPr>
        <w:t>》有关条文执行。</w:t>
      </w:r>
    </w:p>
    <w:p w14:paraId="7DAE3C59">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第十三条  合同的变更、终止与转让</w:t>
      </w:r>
    </w:p>
    <w:p w14:paraId="0D55F97B">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除《中华人民共和国政府采购法》第五十条规定的情形外，本合同一经签订，甲乙双方不得擅自变更、中止或者终止。</w:t>
      </w:r>
    </w:p>
    <w:p w14:paraId="39D8B0DF">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bCs/>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乙方不得擅自转让其应履行的合同义务。如乙方擅自转让其应履行的合同义务，甲方有权解除合同，有权要求乙方支付合同金额20%的违约金。</w:t>
      </w:r>
    </w:p>
    <w:p w14:paraId="36CB5750">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第十四条　签订本合同依据</w:t>
      </w:r>
    </w:p>
    <w:p w14:paraId="050986E5">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成交通知书；</w:t>
      </w:r>
    </w:p>
    <w:p w14:paraId="37056963">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响应报价表及最</w:t>
      </w:r>
      <w:r>
        <w:rPr>
          <w:rFonts w:hint="eastAsia" w:ascii="宋体" w:hAnsi="宋体" w:cs="宋体"/>
          <w:color w:val="auto"/>
          <w:szCs w:val="21"/>
          <w:highlight w:val="none"/>
          <w:lang w:val="en-US" w:eastAsia="zh-CN"/>
        </w:rPr>
        <w:t>后</w:t>
      </w:r>
      <w:r>
        <w:rPr>
          <w:rFonts w:hint="eastAsia" w:ascii="宋体" w:hAnsi="宋体" w:eastAsia="宋体" w:cs="宋体"/>
          <w:color w:val="auto"/>
          <w:szCs w:val="21"/>
          <w:highlight w:val="none"/>
        </w:rPr>
        <w:t>报价表；</w:t>
      </w:r>
    </w:p>
    <w:p w14:paraId="16012C29">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商务条款偏离表和</w:t>
      </w:r>
      <w:r>
        <w:rPr>
          <w:rFonts w:hint="eastAsia" w:ascii="宋体" w:hAnsi="宋体" w:cs="宋体"/>
          <w:color w:val="auto"/>
          <w:szCs w:val="21"/>
          <w:highlight w:val="none"/>
          <w:lang w:val="en-US" w:eastAsia="zh-CN"/>
        </w:rPr>
        <w:t>技术要求偏离表</w:t>
      </w:r>
      <w:r>
        <w:rPr>
          <w:rFonts w:hint="eastAsia" w:ascii="宋体" w:hAnsi="宋体" w:eastAsia="宋体" w:cs="宋体"/>
          <w:color w:val="auto"/>
          <w:szCs w:val="21"/>
          <w:highlight w:val="none"/>
        </w:rPr>
        <w:t>；</w:t>
      </w:r>
    </w:p>
    <w:p w14:paraId="591D37D1">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4</w:t>
      </w:r>
      <w:r>
        <w:rPr>
          <w:rFonts w:hint="eastAsia" w:ascii="宋体" w:hAnsi="宋体" w:cs="宋体"/>
          <w:color w:val="auto"/>
          <w:szCs w:val="21"/>
          <w:highlight w:val="none"/>
          <w:lang w:val="en-US" w:eastAsia="zh-CN"/>
        </w:rPr>
        <w:t>.项目方案</w:t>
      </w:r>
      <w:r>
        <w:rPr>
          <w:rFonts w:hint="eastAsia" w:ascii="宋体" w:hAnsi="宋体" w:eastAsia="宋体" w:cs="宋体"/>
          <w:color w:val="auto"/>
          <w:szCs w:val="21"/>
          <w:highlight w:val="none"/>
        </w:rPr>
        <w:t>；</w:t>
      </w:r>
    </w:p>
    <w:p w14:paraId="473C39A3">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5</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响应文件中的其他相关文件。</w:t>
      </w:r>
    </w:p>
    <w:p w14:paraId="21E377FC">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cs="宋体"/>
          <w:color w:val="auto"/>
          <w:szCs w:val="21"/>
          <w:highlight w:val="none"/>
          <w:lang w:val="en-US" w:eastAsia="zh-CN"/>
        </w:rPr>
        <w:t>.</w:t>
      </w:r>
      <w:r>
        <w:rPr>
          <w:rFonts w:hint="eastAsia" w:ascii="宋体" w:hAnsi="宋体" w:eastAsia="宋体" w:cs="宋体"/>
          <w:color w:val="auto"/>
          <w:szCs w:val="21"/>
          <w:highlight w:val="none"/>
        </w:rPr>
        <w:t>上述合同文件互相补充和解释。如果合同文件之间存在矛盾或者不一致之处，以上述文件的排列顺序在先者为准。</w:t>
      </w:r>
    </w:p>
    <w:p w14:paraId="26EAC4C0">
      <w:pPr>
        <w:keepNext w:val="0"/>
        <w:keepLines w:val="0"/>
        <w:pageBreakBefore w:val="0"/>
        <w:widowControl w:val="0"/>
        <w:kinsoku/>
        <w:wordWrap/>
        <w:overflowPunct/>
        <w:topLinePunct w:val="0"/>
        <w:autoSpaceDE/>
        <w:autoSpaceDN/>
        <w:bidi w:val="0"/>
        <w:adjustRightInd/>
        <w:spacing w:line="460" w:lineRule="exact"/>
        <w:ind w:firstLine="422" w:firstLineChars="200"/>
        <w:textAlignment w:val="auto"/>
        <w:rPr>
          <w:rFonts w:hint="eastAsia" w:ascii="宋体" w:hAnsi="宋体" w:eastAsia="宋体" w:cs="宋体"/>
          <w:b/>
          <w:bCs w:val="0"/>
          <w:color w:val="auto"/>
          <w:szCs w:val="21"/>
          <w:highlight w:val="none"/>
        </w:rPr>
      </w:pPr>
      <w:r>
        <w:rPr>
          <w:rFonts w:hint="eastAsia" w:ascii="宋体" w:hAnsi="宋体" w:eastAsia="宋体" w:cs="宋体"/>
          <w:b/>
          <w:bCs w:val="0"/>
          <w:color w:val="auto"/>
          <w:szCs w:val="21"/>
          <w:highlight w:val="none"/>
        </w:rPr>
        <w:t>第十五条　本合同一式陆份，具有同等法律效力，财政部门（政府采购监管部门）、采购代理机构各壹份，甲乙双方各贰份（可根据需要另增加）。</w:t>
      </w:r>
    </w:p>
    <w:p w14:paraId="69D38A39">
      <w:pPr>
        <w:keepNext w:val="0"/>
        <w:keepLines w:val="0"/>
        <w:pageBreakBefore w:val="0"/>
        <w:widowControl w:val="0"/>
        <w:kinsoku/>
        <w:wordWrap/>
        <w:overflowPunct/>
        <w:topLinePunct w:val="0"/>
        <w:autoSpaceDE/>
        <w:autoSpaceDN/>
        <w:bidi w:val="0"/>
        <w:adjustRightInd/>
        <w:spacing w:line="46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本合同甲乙双方签字盖章后生效，自签订之日起七个工作日内，</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应当将合同副本报同级财政部门备案。本合同自签订之日起2个工作日内，</w:t>
      </w:r>
      <w:r>
        <w:rPr>
          <w:rFonts w:hint="eastAsia" w:ascii="宋体" w:hAnsi="宋体" w:cs="宋体"/>
          <w:color w:val="auto"/>
          <w:szCs w:val="21"/>
          <w:highlight w:val="none"/>
          <w:lang w:val="en-US" w:eastAsia="zh-CN"/>
        </w:rPr>
        <w:t>采购人</w:t>
      </w:r>
      <w:r>
        <w:rPr>
          <w:rFonts w:hint="eastAsia" w:ascii="宋体" w:hAnsi="宋体" w:eastAsia="宋体" w:cs="宋体"/>
          <w:color w:val="auto"/>
          <w:szCs w:val="21"/>
          <w:highlight w:val="none"/>
        </w:rPr>
        <w:t>应当将采购合同在广西壮族自治区财政厅指定的媒体上公告。</w:t>
      </w:r>
    </w:p>
    <w:tbl>
      <w:tblPr>
        <w:tblStyle w:val="3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16"/>
        <w:gridCol w:w="4517"/>
      </w:tblGrid>
      <w:tr w14:paraId="0BBE8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78" w:hRule="atLeast"/>
          <w:jc w:val="center"/>
        </w:trPr>
        <w:tc>
          <w:tcPr>
            <w:tcW w:w="4516" w:type="dxa"/>
            <w:noWrap w:val="0"/>
            <w:vAlign w:val="center"/>
          </w:tcPr>
          <w:p w14:paraId="515CB9BC">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甲方（章）</w:t>
            </w:r>
          </w:p>
          <w:p w14:paraId="56E7F299">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2462D8A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广西壮族自治区人事考试院</w:t>
            </w:r>
          </w:p>
          <w:p w14:paraId="55A0A76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p>
          <w:p w14:paraId="2ED0BF8C">
            <w:pPr>
              <w:keepNext w:val="0"/>
              <w:keepLines w:val="0"/>
              <w:pageBreakBefore w:val="0"/>
              <w:widowControl w:val="0"/>
              <w:kinsoku/>
              <w:wordWrap/>
              <w:overflowPunct/>
              <w:topLinePunct w:val="0"/>
              <w:autoSpaceDE/>
              <w:autoSpaceDN/>
              <w:bidi w:val="0"/>
              <w:adjustRightInd/>
              <w:snapToGrid w:val="0"/>
              <w:spacing w:line="360" w:lineRule="auto"/>
              <w:ind w:firstLine="945" w:firstLineChars="450"/>
              <w:jc w:val="right"/>
              <w:textAlignment w:val="auto"/>
              <w:rPr>
                <w:rFonts w:hint="eastAsia" w:ascii="宋体" w:hAnsi="宋体" w:eastAsia="宋体" w:cs="Times New Roman"/>
                <w:color w:val="auto"/>
                <w:szCs w:val="21"/>
                <w:highlight w:val="none"/>
              </w:rPr>
            </w:pP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   月   日</w:t>
            </w:r>
          </w:p>
        </w:tc>
        <w:tc>
          <w:tcPr>
            <w:tcW w:w="4517" w:type="dxa"/>
            <w:noWrap w:val="0"/>
            <w:vAlign w:val="center"/>
          </w:tcPr>
          <w:p w14:paraId="23AFA4E1">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乙方（章）</w:t>
            </w:r>
          </w:p>
          <w:p w14:paraId="709C6293">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宋体" w:hAnsi="宋体" w:eastAsia="宋体" w:cs="宋体"/>
                <w:b/>
                <w:bCs/>
                <w:color w:val="auto"/>
                <w:sz w:val="21"/>
                <w:szCs w:val="21"/>
                <w:highlight w:val="none"/>
              </w:rPr>
            </w:pPr>
          </w:p>
          <w:p w14:paraId="09E719D5">
            <w:pPr>
              <w:keepNext w:val="0"/>
              <w:keepLines w:val="0"/>
              <w:pageBreakBefore w:val="0"/>
              <w:widowControl w:val="0"/>
              <w:tabs>
                <w:tab w:val="center" w:pos="4153"/>
                <w:tab w:val="right" w:pos="8306"/>
              </w:tabs>
              <w:kinsoku/>
              <w:wordWrap/>
              <w:overflowPunct/>
              <w:topLinePunct w:val="0"/>
              <w:autoSpaceDE/>
              <w:autoSpaceDN/>
              <w:bidi w:val="0"/>
              <w:adjustRightInd/>
              <w:snapToGrid w:val="0"/>
              <w:spacing w:line="360" w:lineRule="auto"/>
              <w:jc w:val="left"/>
              <w:textAlignment w:val="auto"/>
              <w:rPr>
                <w:rFonts w:hint="eastAsia" w:ascii="宋体" w:hAnsi="宋体" w:eastAsia="宋体" w:cs="宋体"/>
                <w:color w:val="auto"/>
                <w:kern w:val="0"/>
                <w:sz w:val="21"/>
                <w:szCs w:val="21"/>
                <w:highlight w:val="none"/>
                <w:lang w:val="en-US" w:eastAsia="zh-CN" w:bidi="ar-SA"/>
              </w:rPr>
            </w:pPr>
          </w:p>
          <w:p w14:paraId="2FB4870F">
            <w:pPr>
              <w:keepNext w:val="0"/>
              <w:keepLines w:val="0"/>
              <w:pageBreakBefore w:val="0"/>
              <w:widowControl w:val="0"/>
              <w:kinsoku/>
              <w:wordWrap/>
              <w:overflowPunct/>
              <w:topLinePunct w:val="0"/>
              <w:autoSpaceDE/>
              <w:autoSpaceDN/>
              <w:bidi w:val="0"/>
              <w:adjustRightInd/>
              <w:spacing w:line="360" w:lineRule="auto"/>
              <w:textAlignment w:val="auto"/>
              <w:rPr>
                <w:rFonts w:hint="eastAsia" w:ascii="宋体" w:hAnsi="宋体" w:eastAsia="宋体" w:cs="宋体"/>
                <w:color w:val="auto"/>
                <w:sz w:val="21"/>
                <w:szCs w:val="21"/>
                <w:highlight w:val="none"/>
              </w:rPr>
            </w:pPr>
          </w:p>
          <w:p w14:paraId="13735890">
            <w:pPr>
              <w:keepNext w:val="0"/>
              <w:keepLines w:val="0"/>
              <w:pageBreakBefore w:val="0"/>
              <w:widowControl w:val="0"/>
              <w:kinsoku/>
              <w:wordWrap/>
              <w:overflowPunct/>
              <w:topLinePunct w:val="0"/>
              <w:autoSpaceDE/>
              <w:autoSpaceDN/>
              <w:bidi w:val="0"/>
              <w:adjustRightInd/>
              <w:snapToGrid w:val="0"/>
              <w:spacing w:line="360" w:lineRule="auto"/>
              <w:jc w:val="right"/>
              <w:textAlignment w:val="auto"/>
              <w:rPr>
                <w:rFonts w:hint="eastAsia" w:ascii="宋体" w:hAnsi="宋体" w:eastAsia="宋体" w:cs="Times New Roman"/>
                <w:color w:val="auto"/>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rPr>
              <w:t>年   月   日</w:t>
            </w:r>
          </w:p>
        </w:tc>
      </w:tr>
      <w:tr w14:paraId="306CC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exact"/>
          <w:jc w:val="center"/>
        </w:trPr>
        <w:tc>
          <w:tcPr>
            <w:tcW w:w="4516" w:type="dxa"/>
            <w:noWrap w:val="0"/>
            <w:vAlign w:val="center"/>
          </w:tcPr>
          <w:p w14:paraId="419DCC62">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rPr>
              <w:t>单位地址：</w:t>
            </w:r>
            <w:r>
              <w:rPr>
                <w:rFonts w:hint="eastAsia" w:ascii="宋体" w:hAnsi="宋体" w:cs="宋体"/>
                <w:color w:val="auto"/>
                <w:kern w:val="0"/>
                <w:szCs w:val="21"/>
                <w:highlight w:val="none"/>
                <w:lang w:eastAsia="zh-CN"/>
              </w:rPr>
              <w:t>广西南宁市青秀区桂春路9号</w:t>
            </w:r>
          </w:p>
        </w:tc>
        <w:tc>
          <w:tcPr>
            <w:tcW w:w="4517" w:type="dxa"/>
            <w:noWrap w:val="0"/>
            <w:vAlign w:val="center"/>
          </w:tcPr>
          <w:p w14:paraId="4D459ACE">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单位地址：</w:t>
            </w:r>
          </w:p>
        </w:tc>
      </w:tr>
      <w:tr w14:paraId="1F86D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16" w:type="dxa"/>
            <w:noWrap w:val="0"/>
            <w:vAlign w:val="top"/>
          </w:tcPr>
          <w:p w14:paraId="67FD79A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rPr>
              <w:t>法定代表人或者委托代理人：</w:t>
            </w:r>
          </w:p>
        </w:tc>
        <w:tc>
          <w:tcPr>
            <w:tcW w:w="4517" w:type="dxa"/>
            <w:noWrap w:val="0"/>
            <w:vAlign w:val="top"/>
          </w:tcPr>
          <w:p w14:paraId="334FD1C5">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法定代表人或者委托代理人：</w:t>
            </w:r>
          </w:p>
        </w:tc>
      </w:tr>
      <w:tr w14:paraId="646A92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16" w:type="dxa"/>
            <w:noWrap w:val="0"/>
            <w:vAlign w:val="center"/>
          </w:tcPr>
          <w:p w14:paraId="2FA27084">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rPr>
              <w:t>电话：</w:t>
            </w:r>
            <w:r>
              <w:rPr>
                <w:rFonts w:hint="eastAsia" w:ascii="宋体" w:hAnsi="宋体" w:eastAsia="宋体" w:cs="Times New Roman"/>
                <w:color w:val="auto"/>
                <w:szCs w:val="21"/>
                <w:highlight w:val="none"/>
                <w:lang w:eastAsia="zh-CN"/>
              </w:rPr>
              <w:t>0771-</w:t>
            </w:r>
            <w:r>
              <w:rPr>
                <w:rFonts w:hint="eastAsia" w:ascii="宋体" w:hAnsi="宋体" w:eastAsia="宋体" w:cs="Times New Roman"/>
                <w:color w:val="auto"/>
                <w:szCs w:val="21"/>
                <w:highlight w:val="none"/>
                <w:lang w:val="en-US" w:eastAsia="zh-CN"/>
              </w:rPr>
              <w:t>5535935</w:t>
            </w:r>
          </w:p>
        </w:tc>
        <w:tc>
          <w:tcPr>
            <w:tcW w:w="4517" w:type="dxa"/>
            <w:noWrap w:val="0"/>
            <w:vAlign w:val="center"/>
          </w:tcPr>
          <w:p w14:paraId="0A97C6B3">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电话：</w:t>
            </w:r>
          </w:p>
        </w:tc>
      </w:tr>
      <w:tr w14:paraId="2F87A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16" w:type="dxa"/>
            <w:noWrap w:val="0"/>
            <w:vAlign w:val="center"/>
          </w:tcPr>
          <w:p w14:paraId="4BA670D2">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c>
          <w:tcPr>
            <w:tcW w:w="4517" w:type="dxa"/>
            <w:noWrap w:val="0"/>
            <w:vAlign w:val="center"/>
          </w:tcPr>
          <w:p w14:paraId="521C848B">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电子邮箱：</w:t>
            </w:r>
          </w:p>
        </w:tc>
      </w:tr>
      <w:tr w14:paraId="3D9AB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16" w:type="dxa"/>
            <w:noWrap w:val="0"/>
            <w:vAlign w:val="center"/>
          </w:tcPr>
          <w:p w14:paraId="2E2ADC3D">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c>
          <w:tcPr>
            <w:tcW w:w="4517" w:type="dxa"/>
            <w:noWrap w:val="0"/>
            <w:vAlign w:val="center"/>
          </w:tcPr>
          <w:p w14:paraId="4D2CC2A0">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开户银行：</w:t>
            </w:r>
          </w:p>
        </w:tc>
      </w:tr>
      <w:tr w14:paraId="6616EB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16" w:type="dxa"/>
            <w:noWrap w:val="0"/>
            <w:vAlign w:val="center"/>
          </w:tcPr>
          <w:p w14:paraId="06BBAA1F">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c>
          <w:tcPr>
            <w:tcW w:w="4517" w:type="dxa"/>
            <w:noWrap w:val="0"/>
            <w:vAlign w:val="center"/>
          </w:tcPr>
          <w:p w14:paraId="1241A1C8">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账号：</w:t>
            </w:r>
          </w:p>
        </w:tc>
      </w:tr>
      <w:tr w14:paraId="3080E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16" w:type="dxa"/>
            <w:noWrap w:val="0"/>
            <w:vAlign w:val="center"/>
          </w:tcPr>
          <w:p w14:paraId="6DB6F987">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lang w:val="en-US" w:eastAsia="zh-CN"/>
              </w:rPr>
            </w:pPr>
            <w:r>
              <w:rPr>
                <w:rFonts w:hint="eastAsia" w:ascii="宋体" w:hAnsi="宋体" w:cs="Times New Roman"/>
                <w:color w:val="auto"/>
                <w:szCs w:val="21"/>
                <w:highlight w:val="none"/>
                <w:lang w:val="en-US" w:eastAsia="zh-CN"/>
              </w:rPr>
              <w:t>纳税人识别号：</w:t>
            </w:r>
          </w:p>
        </w:tc>
        <w:tc>
          <w:tcPr>
            <w:tcW w:w="4517" w:type="dxa"/>
            <w:noWrap w:val="0"/>
            <w:vAlign w:val="center"/>
          </w:tcPr>
          <w:p w14:paraId="49FEA623">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cs="Times New Roman"/>
                <w:color w:val="auto"/>
                <w:szCs w:val="21"/>
                <w:highlight w:val="none"/>
                <w:lang w:val="en-US" w:eastAsia="zh-CN"/>
              </w:rPr>
              <w:t>纳税人识别号：</w:t>
            </w:r>
          </w:p>
        </w:tc>
      </w:tr>
      <w:tr w14:paraId="513AE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4516" w:type="dxa"/>
            <w:noWrap w:val="0"/>
            <w:vAlign w:val="center"/>
          </w:tcPr>
          <w:p w14:paraId="1C5A555B">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c>
          <w:tcPr>
            <w:tcW w:w="4517" w:type="dxa"/>
            <w:noWrap w:val="0"/>
            <w:vAlign w:val="center"/>
          </w:tcPr>
          <w:p w14:paraId="4776433B">
            <w:pPr>
              <w:keepNext w:val="0"/>
              <w:keepLines w:val="0"/>
              <w:pageBreakBefore w:val="0"/>
              <w:widowControl w:val="0"/>
              <w:kinsoku/>
              <w:wordWrap/>
              <w:overflowPunct/>
              <w:topLinePunct w:val="0"/>
              <w:autoSpaceDE/>
              <w:autoSpaceDN/>
              <w:bidi w:val="0"/>
              <w:adjustRightInd/>
              <w:snapToGrid w:val="0"/>
              <w:spacing w:line="460" w:lineRule="exact"/>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邮政编码：</w:t>
            </w:r>
          </w:p>
        </w:tc>
      </w:tr>
    </w:tbl>
    <w:p w14:paraId="7FFDBD8D">
      <w:pPr>
        <w:rPr>
          <w:rFonts w:cs="仿宋_GB2312"/>
          <w:b/>
          <w:color w:val="auto"/>
          <w:sz w:val="44"/>
          <w:szCs w:val="44"/>
          <w:highlight w:val="none"/>
        </w:rPr>
      </w:pPr>
      <w:r>
        <w:rPr>
          <w:rFonts w:cs="仿宋_GB2312"/>
          <w:b/>
          <w:color w:val="auto"/>
          <w:sz w:val="44"/>
          <w:szCs w:val="44"/>
          <w:highlight w:val="none"/>
        </w:rPr>
        <w:br w:type="page"/>
      </w:r>
    </w:p>
    <w:p w14:paraId="3C8D4FD8">
      <w:pPr>
        <w:pStyle w:val="2"/>
        <w:rPr>
          <w:color w:val="auto"/>
          <w:highlight w:val="none"/>
        </w:rPr>
      </w:pPr>
    </w:p>
    <w:p w14:paraId="056D460C">
      <w:pPr>
        <w:tabs>
          <w:tab w:val="left" w:pos="3261"/>
        </w:tabs>
        <w:spacing w:line="360" w:lineRule="auto"/>
        <w:contextualSpacing/>
        <w:jc w:val="center"/>
        <w:rPr>
          <w:rFonts w:cs="仿宋_GB2312"/>
          <w:b/>
          <w:color w:val="auto"/>
          <w:sz w:val="44"/>
          <w:szCs w:val="44"/>
          <w:highlight w:val="none"/>
        </w:rPr>
      </w:pPr>
    </w:p>
    <w:p w14:paraId="601D8B78">
      <w:pPr>
        <w:tabs>
          <w:tab w:val="left" w:pos="3261"/>
        </w:tabs>
        <w:spacing w:line="360" w:lineRule="auto"/>
        <w:contextualSpacing/>
        <w:jc w:val="center"/>
        <w:rPr>
          <w:rFonts w:cs="仿宋_GB2312"/>
          <w:b/>
          <w:color w:val="auto"/>
          <w:sz w:val="44"/>
          <w:szCs w:val="44"/>
          <w:highlight w:val="none"/>
        </w:rPr>
      </w:pPr>
    </w:p>
    <w:p w14:paraId="46475344">
      <w:pPr>
        <w:tabs>
          <w:tab w:val="left" w:pos="3261"/>
        </w:tabs>
        <w:spacing w:line="360" w:lineRule="auto"/>
        <w:contextualSpacing/>
        <w:jc w:val="center"/>
        <w:rPr>
          <w:rFonts w:cs="仿宋_GB2312"/>
          <w:b/>
          <w:color w:val="auto"/>
          <w:sz w:val="44"/>
          <w:szCs w:val="44"/>
          <w:highlight w:val="none"/>
        </w:rPr>
      </w:pPr>
    </w:p>
    <w:p w14:paraId="72747C54">
      <w:pPr>
        <w:pStyle w:val="2"/>
        <w:jc w:val="center"/>
        <w:rPr>
          <w:rFonts w:cs="仿宋_GB2312"/>
          <w:b w:val="0"/>
          <w:color w:val="auto"/>
          <w:highlight w:val="none"/>
        </w:rPr>
      </w:pPr>
      <w:bookmarkStart w:id="164" w:name="_Toc29624"/>
      <w:bookmarkStart w:id="165" w:name="_Toc610"/>
      <w:bookmarkStart w:id="166" w:name="_Toc80886951"/>
      <w:bookmarkStart w:id="167" w:name="_Toc20915"/>
      <w:bookmarkStart w:id="168" w:name="_Toc8963"/>
      <w:bookmarkStart w:id="169" w:name="_Toc178"/>
      <w:bookmarkStart w:id="170" w:name="_Toc28283"/>
      <w:bookmarkStart w:id="171" w:name="_Toc13011"/>
    </w:p>
    <w:p w14:paraId="1C150114">
      <w:pPr>
        <w:pStyle w:val="2"/>
        <w:jc w:val="center"/>
        <w:rPr>
          <w:rFonts w:cs="仿宋_GB2312"/>
          <w:b w:val="0"/>
          <w:color w:val="auto"/>
          <w:highlight w:val="none"/>
        </w:rPr>
      </w:pPr>
    </w:p>
    <w:p w14:paraId="05EDEC1D">
      <w:pPr>
        <w:pStyle w:val="2"/>
        <w:jc w:val="center"/>
        <w:rPr>
          <w:rFonts w:cs="仿宋_GB2312"/>
          <w:color w:val="auto"/>
          <w:highlight w:val="none"/>
        </w:rPr>
        <w:sectPr>
          <w:pgSz w:w="11911" w:h="16838"/>
          <w:pgMar w:top="1134" w:right="1134" w:bottom="1134" w:left="1134" w:header="720" w:footer="720" w:gutter="0"/>
          <w:cols w:space="720" w:num="1"/>
        </w:sectPr>
      </w:pPr>
      <w:r>
        <w:rPr>
          <w:rFonts w:hint="eastAsia" w:cs="仿宋_GB2312"/>
          <w:b w:val="0"/>
          <w:color w:val="auto"/>
          <w:highlight w:val="none"/>
        </w:rPr>
        <w:t>第七章 质疑、投诉材料格式</w:t>
      </w:r>
      <w:bookmarkEnd w:id="164"/>
      <w:bookmarkEnd w:id="165"/>
      <w:bookmarkEnd w:id="166"/>
      <w:bookmarkEnd w:id="167"/>
      <w:bookmarkEnd w:id="168"/>
      <w:bookmarkEnd w:id="169"/>
      <w:bookmarkEnd w:id="170"/>
      <w:bookmarkEnd w:id="171"/>
    </w:p>
    <w:p w14:paraId="1FCADCB5">
      <w:pPr>
        <w:spacing w:line="360" w:lineRule="auto"/>
        <w:jc w:val="center"/>
        <w:rPr>
          <w:b/>
          <w:bCs/>
          <w:color w:val="auto"/>
          <w:sz w:val="32"/>
          <w:szCs w:val="32"/>
          <w:highlight w:val="none"/>
        </w:rPr>
      </w:pPr>
      <w:r>
        <w:rPr>
          <w:rFonts w:hint="eastAsia"/>
          <w:b/>
          <w:bCs/>
          <w:color w:val="auto"/>
          <w:sz w:val="32"/>
          <w:szCs w:val="32"/>
          <w:highlight w:val="none"/>
        </w:rPr>
        <w:t>质疑函（格式）</w:t>
      </w:r>
    </w:p>
    <w:p w14:paraId="7AE55DB4">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一、质疑供应商基本信息：</w:t>
      </w:r>
    </w:p>
    <w:p w14:paraId="4670CF67">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质疑供应商：</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6D3DF7F9">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14:paraId="023CEDBF">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48D6507D">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p>
    <w:p w14:paraId="0E36BF19">
      <w:pPr>
        <w:spacing w:line="360" w:lineRule="auto"/>
        <w:ind w:firstLine="480" w:firstLineChars="200"/>
        <w:contextualSpacing/>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17D4DE29">
      <w:pPr>
        <w:spacing w:line="360" w:lineRule="auto"/>
        <w:ind w:firstLine="480" w:firstLineChars="200"/>
        <w:contextualSpacing/>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2F754252">
      <w:pPr>
        <w:spacing w:line="360" w:lineRule="auto"/>
        <w:ind w:firstLine="482" w:firstLineChars="200"/>
        <w:contextualSpacing/>
        <w:rPr>
          <w:rFonts w:ascii="宋体" w:hAnsi="宋体" w:cs="宋体"/>
          <w:b/>
          <w:bCs/>
          <w:color w:val="auto"/>
          <w:kern w:val="0"/>
          <w:sz w:val="24"/>
          <w:highlight w:val="none"/>
        </w:rPr>
      </w:pPr>
      <w:r>
        <w:rPr>
          <w:rFonts w:hint="eastAsia" w:ascii="宋体" w:hAnsi="宋体" w:cs="宋体"/>
          <w:b/>
          <w:bCs/>
          <w:color w:val="auto"/>
          <w:kern w:val="0"/>
          <w:sz w:val="24"/>
          <w:highlight w:val="none"/>
        </w:rPr>
        <w:t>二、质疑项目基本情况：</w:t>
      </w:r>
    </w:p>
    <w:p w14:paraId="508374E9">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14:paraId="0085CC0D">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bCs/>
          <w:color w:val="auto"/>
          <w:kern w:val="0"/>
          <w:sz w:val="24"/>
          <w:highlight w:val="none"/>
        </w:rPr>
        <w:t>质疑</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14:paraId="0D5070C7">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14:paraId="745D706D">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w:t>
      </w:r>
    </w:p>
    <w:p w14:paraId="0356C012">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□采购文件   采购文件获取日期：</w:t>
      </w:r>
      <w:r>
        <w:rPr>
          <w:rFonts w:hint="eastAsia" w:ascii="宋体" w:hAnsi="宋体" w:cs="宋体"/>
          <w:bCs/>
          <w:color w:val="auto"/>
          <w:kern w:val="0"/>
          <w:sz w:val="24"/>
          <w:highlight w:val="none"/>
          <w:u w:val="single"/>
        </w:rPr>
        <w:t xml:space="preserve">                                   </w:t>
      </w:r>
    </w:p>
    <w:p w14:paraId="6C2BA444">
      <w:pPr>
        <w:spacing w:line="360" w:lineRule="auto"/>
        <w:ind w:left="25" w:leftChars="12" w:firstLine="352" w:firstLineChars="147"/>
        <w:contextualSpacing/>
        <w:rPr>
          <w:rFonts w:ascii="宋体" w:hAnsi="宋体" w:cs="宋体"/>
          <w:color w:val="auto"/>
          <w:kern w:val="0"/>
          <w:sz w:val="24"/>
          <w:highlight w:val="none"/>
        </w:rPr>
      </w:pPr>
      <w:r>
        <w:rPr>
          <w:rFonts w:hint="eastAsia" w:ascii="宋体" w:hAnsi="宋体" w:cs="宋体"/>
          <w:color w:val="auto"/>
          <w:kern w:val="0"/>
          <w:sz w:val="24"/>
          <w:highlight w:val="none"/>
        </w:rPr>
        <w:t xml:space="preserve">□采购过程   </w:t>
      </w:r>
    </w:p>
    <w:p w14:paraId="0FD27492">
      <w:pPr>
        <w:spacing w:line="360" w:lineRule="auto"/>
        <w:ind w:left="25" w:leftChars="12" w:firstLine="352" w:firstLineChars="147"/>
        <w:contextualSpacing/>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□成交结果   </w:t>
      </w:r>
    </w:p>
    <w:p w14:paraId="049E9DB0">
      <w:pPr>
        <w:spacing w:line="360" w:lineRule="auto"/>
        <w:ind w:left="25" w:leftChars="12" w:firstLine="472" w:firstLineChars="196"/>
        <w:contextualSpacing/>
        <w:rPr>
          <w:rFonts w:ascii="宋体" w:hAnsi="宋体" w:cs="宋体"/>
          <w:b/>
          <w:color w:val="auto"/>
          <w:kern w:val="0"/>
          <w:sz w:val="24"/>
          <w:highlight w:val="none"/>
        </w:rPr>
      </w:pPr>
      <w:r>
        <w:rPr>
          <w:rFonts w:hint="eastAsia" w:ascii="宋体" w:hAnsi="宋体" w:cs="宋体"/>
          <w:b/>
          <w:color w:val="auto"/>
          <w:kern w:val="0"/>
          <w:sz w:val="24"/>
          <w:highlight w:val="none"/>
        </w:rPr>
        <w:t>三、质疑事项具体内容</w:t>
      </w:r>
    </w:p>
    <w:p w14:paraId="4B761DFA">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质疑事项1：</w:t>
      </w:r>
      <w:r>
        <w:rPr>
          <w:rFonts w:hint="eastAsia" w:ascii="宋体" w:hAnsi="宋体" w:cs="宋体"/>
          <w:bCs/>
          <w:color w:val="auto"/>
          <w:kern w:val="0"/>
          <w:sz w:val="24"/>
          <w:highlight w:val="none"/>
          <w:u w:val="single"/>
        </w:rPr>
        <w:t xml:space="preserve">                                                                 </w:t>
      </w:r>
    </w:p>
    <w:p w14:paraId="751087D2">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事实依据：</w:t>
      </w:r>
      <w:r>
        <w:rPr>
          <w:rFonts w:hint="eastAsia" w:ascii="宋体" w:hAnsi="宋体" w:cs="宋体"/>
          <w:bCs/>
          <w:color w:val="auto"/>
          <w:kern w:val="0"/>
          <w:sz w:val="24"/>
          <w:highlight w:val="none"/>
          <w:u w:val="single"/>
        </w:rPr>
        <w:t xml:space="preserve">                                                                  </w:t>
      </w:r>
    </w:p>
    <w:p w14:paraId="1CF6BC6A">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法律依据：</w:t>
      </w:r>
      <w:r>
        <w:rPr>
          <w:rFonts w:hint="eastAsia" w:ascii="宋体" w:hAnsi="宋体" w:cs="宋体"/>
          <w:color w:val="auto"/>
          <w:kern w:val="0"/>
          <w:sz w:val="24"/>
          <w:highlight w:val="none"/>
          <w:u w:val="single"/>
        </w:rPr>
        <w:t xml:space="preserve">                                                        </w:t>
      </w:r>
      <w:r>
        <w:rPr>
          <w:rFonts w:hint="eastAsia" w:ascii="宋体" w:hAnsi="宋体" w:cs="宋体"/>
          <w:bCs/>
          <w:color w:val="auto"/>
          <w:kern w:val="0"/>
          <w:sz w:val="24"/>
          <w:highlight w:val="none"/>
          <w:u w:val="single"/>
        </w:rPr>
        <w:t xml:space="preserve">          </w:t>
      </w:r>
    </w:p>
    <w:p w14:paraId="60C50A71">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质疑事项2</w:t>
      </w:r>
    </w:p>
    <w:p w14:paraId="15DB9D99">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w:t>
      </w:r>
    </w:p>
    <w:p w14:paraId="5D10D2BD">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四、与质疑事项相关的质疑请求：</w:t>
      </w:r>
    </w:p>
    <w:p w14:paraId="3FD3FE67">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14:paraId="2592762E">
      <w:pPr>
        <w:spacing w:line="360" w:lineRule="auto"/>
        <w:ind w:left="25" w:leftChars="12" w:firstLine="352" w:firstLineChars="147"/>
        <w:contextualSpacing/>
        <w:rPr>
          <w:rFonts w:ascii="宋体" w:hAnsi="宋体" w:cs="宋体"/>
          <w:color w:val="auto"/>
          <w:kern w:val="0"/>
          <w:sz w:val="24"/>
          <w:highlight w:val="none"/>
        </w:rPr>
      </w:pPr>
    </w:p>
    <w:p w14:paraId="13283041">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6AF87077">
      <w:pPr>
        <w:spacing w:line="360" w:lineRule="auto"/>
        <w:ind w:left="25" w:leftChars="12" w:firstLine="352" w:firstLineChars="147"/>
        <w:contextualSpacing/>
        <w:rPr>
          <w:rFonts w:ascii="宋体" w:hAnsi="宋体" w:cs="宋体"/>
          <w:color w:val="auto"/>
          <w:kern w:val="0"/>
          <w:sz w:val="24"/>
          <w:highlight w:val="none"/>
        </w:rPr>
      </w:pPr>
    </w:p>
    <w:p w14:paraId="7439017E">
      <w:pPr>
        <w:spacing w:line="360" w:lineRule="auto"/>
        <w:ind w:left="25" w:leftChars="12" w:firstLine="472" w:firstLineChars="197"/>
        <w:contextualSpacing/>
        <w:rPr>
          <w:rFonts w:ascii="宋体" w:hAnsi="宋体" w:cs="宋体"/>
          <w:color w:val="auto"/>
          <w:kern w:val="0"/>
          <w:sz w:val="24"/>
          <w:highlight w:val="none"/>
        </w:rPr>
      </w:pPr>
      <w:r>
        <w:rPr>
          <w:rFonts w:hint="eastAsia" w:ascii="宋体" w:hAnsi="宋体" w:cs="宋体"/>
          <w:color w:val="auto"/>
          <w:kern w:val="0"/>
          <w:sz w:val="24"/>
          <w:highlight w:val="none"/>
        </w:rPr>
        <w:t>日期：</w:t>
      </w:r>
    </w:p>
    <w:p w14:paraId="6545018A">
      <w:pPr>
        <w:spacing w:line="360" w:lineRule="auto"/>
        <w:contextualSpacing/>
        <w:rPr>
          <w:b/>
          <w:color w:val="auto"/>
          <w:kern w:val="0"/>
          <w:sz w:val="24"/>
          <w:highlight w:val="none"/>
        </w:rPr>
      </w:pPr>
    </w:p>
    <w:p w14:paraId="4D5DF3C4">
      <w:pPr>
        <w:spacing w:line="360" w:lineRule="auto"/>
        <w:contextualSpacing/>
        <w:rPr>
          <w:b/>
          <w:color w:val="auto"/>
          <w:kern w:val="0"/>
          <w:sz w:val="24"/>
          <w:highlight w:val="none"/>
        </w:rPr>
      </w:pPr>
    </w:p>
    <w:p w14:paraId="4E3C72A7">
      <w:pPr>
        <w:spacing w:line="360" w:lineRule="auto"/>
        <w:contextualSpacing/>
        <w:rPr>
          <w:b/>
          <w:color w:val="auto"/>
          <w:kern w:val="0"/>
          <w:sz w:val="24"/>
          <w:highlight w:val="none"/>
        </w:rPr>
      </w:pPr>
      <w:r>
        <w:rPr>
          <w:rFonts w:hint="eastAsia"/>
          <w:b/>
          <w:color w:val="auto"/>
          <w:kern w:val="0"/>
          <w:sz w:val="24"/>
          <w:highlight w:val="none"/>
        </w:rPr>
        <w:t>说明：</w:t>
      </w:r>
    </w:p>
    <w:p w14:paraId="228C4739">
      <w:pPr>
        <w:spacing w:line="360" w:lineRule="auto"/>
        <w:ind w:left="25" w:leftChars="12" w:firstLine="354" w:firstLineChars="147"/>
        <w:contextualSpacing/>
        <w:rPr>
          <w:rFonts w:ascii="宋体" w:hAnsi="宋体" w:cs="宋体"/>
          <w:b/>
          <w:bCs/>
          <w:color w:val="auto"/>
          <w:kern w:val="0"/>
          <w:sz w:val="24"/>
          <w:highlight w:val="none"/>
        </w:rPr>
      </w:pPr>
      <w:r>
        <w:rPr>
          <w:rFonts w:hint="eastAsia" w:ascii="宋体" w:hAnsi="宋体" w:cs="宋体"/>
          <w:b/>
          <w:color w:val="auto"/>
          <w:kern w:val="0"/>
          <w:sz w:val="24"/>
          <w:highlight w:val="none"/>
        </w:rPr>
        <w:t>1.供应商提出质疑时，应提交质疑函和必要的证明材料</w:t>
      </w:r>
      <w:r>
        <w:rPr>
          <w:rFonts w:hint="eastAsia" w:ascii="宋体" w:hAnsi="宋体" w:cs="宋体"/>
          <w:b/>
          <w:bCs/>
          <w:color w:val="auto"/>
          <w:kern w:val="0"/>
          <w:sz w:val="24"/>
          <w:highlight w:val="none"/>
        </w:rPr>
        <w:t>。</w:t>
      </w:r>
    </w:p>
    <w:p w14:paraId="5A3C6116">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4D4379D5">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3.质疑函的质疑事项应具体、明确，并有必要的事实依据和法律依据。</w:t>
      </w:r>
    </w:p>
    <w:p w14:paraId="3164E4ED">
      <w:pPr>
        <w:spacing w:line="360" w:lineRule="auto"/>
        <w:ind w:left="25" w:leftChars="12" w:firstLine="354" w:firstLineChars="147"/>
        <w:contextualSpacing/>
        <w:rPr>
          <w:rFonts w:ascii="宋体" w:hAnsi="宋体" w:cs="宋体"/>
          <w:b/>
          <w:color w:val="auto"/>
          <w:kern w:val="0"/>
          <w:sz w:val="24"/>
          <w:highlight w:val="none"/>
        </w:rPr>
      </w:pPr>
      <w:r>
        <w:rPr>
          <w:rFonts w:hint="eastAsia" w:ascii="宋体" w:hAnsi="宋体" w:cs="宋体"/>
          <w:b/>
          <w:color w:val="auto"/>
          <w:kern w:val="0"/>
          <w:sz w:val="24"/>
          <w:highlight w:val="none"/>
        </w:rPr>
        <w:t>4.质疑函的质疑请求应与质疑事项相关。</w:t>
      </w:r>
    </w:p>
    <w:p w14:paraId="18ABD4BA">
      <w:pPr>
        <w:spacing w:line="360" w:lineRule="auto"/>
        <w:ind w:left="25" w:leftChars="12" w:firstLine="354" w:firstLineChars="147"/>
        <w:contextualSpacing/>
        <w:rPr>
          <w:rFonts w:ascii="宋体" w:hAnsi="宋体" w:cs="宋体"/>
          <w:b/>
          <w:color w:val="auto"/>
          <w:kern w:val="0"/>
          <w:sz w:val="20"/>
          <w:szCs w:val="21"/>
          <w:highlight w:val="none"/>
        </w:rPr>
      </w:pPr>
      <w:r>
        <w:rPr>
          <w:rFonts w:hint="eastAsia" w:ascii="宋体" w:hAnsi="宋体" w:cs="宋体"/>
          <w:b/>
          <w:color w:val="auto"/>
          <w:kern w:val="0"/>
          <w:sz w:val="24"/>
          <w:highlight w:val="none"/>
        </w:rPr>
        <w:t>5.质疑供应商为法人或者其他组织的，质疑函应由法定代表人、主要负责人，或者其授权代表签字或者盖章，并加盖公章。</w:t>
      </w:r>
    </w:p>
    <w:p w14:paraId="10F54BDA">
      <w:pPr>
        <w:snapToGrid w:val="0"/>
        <w:rPr>
          <w:rFonts w:hAnsi="Courier New"/>
          <w:b/>
          <w:color w:val="auto"/>
          <w:kern w:val="0"/>
          <w:sz w:val="24"/>
          <w:highlight w:val="none"/>
        </w:rPr>
      </w:pPr>
    </w:p>
    <w:p w14:paraId="241E778A">
      <w:pPr>
        <w:spacing w:line="460" w:lineRule="exact"/>
        <w:jc w:val="center"/>
        <w:rPr>
          <w:rFonts w:ascii="Calibri" w:hAnsi="Calibri" w:eastAsia="隶书"/>
          <w:color w:val="auto"/>
          <w:sz w:val="44"/>
          <w:highlight w:val="none"/>
        </w:rPr>
      </w:pPr>
      <w:r>
        <w:rPr>
          <w:rFonts w:ascii="Calibri" w:hAnsi="Calibri" w:eastAsia="隶书"/>
          <w:color w:val="auto"/>
          <w:sz w:val="44"/>
          <w:highlight w:val="none"/>
        </w:rPr>
        <w:br w:type="page"/>
      </w:r>
    </w:p>
    <w:p w14:paraId="69F31ADB">
      <w:pPr>
        <w:spacing w:line="360" w:lineRule="auto"/>
        <w:jc w:val="center"/>
        <w:rPr>
          <w:b/>
          <w:bCs/>
          <w:color w:val="auto"/>
          <w:sz w:val="32"/>
          <w:szCs w:val="32"/>
          <w:highlight w:val="none"/>
        </w:rPr>
      </w:pPr>
      <w:r>
        <w:rPr>
          <w:rFonts w:hint="eastAsia"/>
          <w:b/>
          <w:bCs/>
          <w:color w:val="auto"/>
          <w:sz w:val="32"/>
          <w:szCs w:val="32"/>
          <w:highlight w:val="none"/>
        </w:rPr>
        <w:t>投诉书（格式）</w:t>
      </w:r>
    </w:p>
    <w:p w14:paraId="1D8EE71F">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一、投诉相关主体基本情况：</w:t>
      </w:r>
    </w:p>
    <w:p w14:paraId="35B4944E">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供应商：</w:t>
      </w:r>
      <w:r>
        <w:rPr>
          <w:rFonts w:hint="eastAsia" w:ascii="宋体" w:hAnsi="宋体" w:cs="宋体"/>
          <w:bCs/>
          <w:color w:val="auto"/>
          <w:kern w:val="0"/>
          <w:sz w:val="24"/>
          <w:highlight w:val="none"/>
          <w:u w:val="single"/>
        </w:rPr>
        <w:t xml:space="preserve">                                                                    </w:t>
      </w:r>
    </w:p>
    <w:p w14:paraId="73FF54BC">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14:paraId="04E2BAD7">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法定代表人/主要负责人：</w:t>
      </w:r>
      <w:r>
        <w:rPr>
          <w:rFonts w:hint="eastAsia" w:ascii="宋体" w:hAnsi="宋体" w:cs="宋体"/>
          <w:bCs/>
          <w:color w:val="auto"/>
          <w:kern w:val="0"/>
          <w:sz w:val="24"/>
          <w:highlight w:val="none"/>
          <w:u w:val="single"/>
        </w:rPr>
        <w:t xml:space="preserve">                                                     </w:t>
      </w:r>
    </w:p>
    <w:p w14:paraId="7699DA23">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74F3FFE1">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授权代表：</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37504477">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14:paraId="2ACE60F5">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7D19E69A">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被投诉人1：</w:t>
      </w:r>
    </w:p>
    <w:p w14:paraId="1DADF1BF">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p>
    <w:p w14:paraId="4AA24B12">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4CFA781E">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p>
    <w:p w14:paraId="7D954723">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被投诉人2：</w:t>
      </w:r>
    </w:p>
    <w:p w14:paraId="2273FFA0">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2D504D93">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相关供应商：</w:t>
      </w:r>
      <w:r>
        <w:rPr>
          <w:rFonts w:hint="eastAsia" w:ascii="宋体" w:hAnsi="宋体" w:cs="宋体"/>
          <w:bCs/>
          <w:color w:val="auto"/>
          <w:kern w:val="0"/>
          <w:sz w:val="24"/>
          <w:highlight w:val="none"/>
          <w:u w:val="single"/>
        </w:rPr>
        <w:t xml:space="preserve">                                                                       </w:t>
      </w:r>
    </w:p>
    <w:p w14:paraId="017939AC">
      <w:pPr>
        <w:snapToGrid w:val="0"/>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地址：</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邮编：</w:t>
      </w:r>
      <w:r>
        <w:rPr>
          <w:rFonts w:hint="eastAsia" w:ascii="宋体" w:hAnsi="宋体" w:cs="宋体"/>
          <w:bCs/>
          <w:color w:val="auto"/>
          <w:kern w:val="0"/>
          <w:sz w:val="24"/>
          <w:highlight w:val="none"/>
          <w:u w:val="single"/>
        </w:rPr>
        <w:t xml:space="preserve">                         </w:t>
      </w:r>
    </w:p>
    <w:p w14:paraId="6D51C027">
      <w:pPr>
        <w:snapToGrid w:val="0"/>
        <w:spacing w:line="360" w:lineRule="auto"/>
        <w:ind w:firstLine="480" w:firstLineChars="200"/>
        <w:rPr>
          <w:rFonts w:ascii="宋体" w:hAnsi="宋体" w:cs="宋体"/>
          <w:bCs/>
          <w:color w:val="auto"/>
          <w:kern w:val="0"/>
          <w:sz w:val="24"/>
          <w:highlight w:val="none"/>
        </w:rPr>
      </w:pPr>
      <w:r>
        <w:rPr>
          <w:rFonts w:hint="eastAsia" w:ascii="宋体" w:hAnsi="宋体" w:cs="宋体"/>
          <w:bCs/>
          <w:color w:val="auto"/>
          <w:kern w:val="0"/>
          <w:sz w:val="24"/>
          <w:highlight w:val="none"/>
        </w:rPr>
        <w:t>联系人：</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联系电话：</w:t>
      </w:r>
      <w:r>
        <w:rPr>
          <w:rFonts w:hint="eastAsia" w:ascii="宋体" w:hAnsi="宋体" w:cs="宋体"/>
          <w:bCs/>
          <w:color w:val="auto"/>
          <w:kern w:val="0"/>
          <w:sz w:val="24"/>
          <w:highlight w:val="none"/>
          <w:u w:val="single"/>
        </w:rPr>
        <w:t xml:space="preserve">                     </w:t>
      </w:r>
      <w:r>
        <w:rPr>
          <w:rFonts w:hint="eastAsia" w:ascii="宋体" w:hAnsi="宋体" w:cs="宋体"/>
          <w:bCs/>
          <w:color w:val="auto"/>
          <w:kern w:val="0"/>
          <w:sz w:val="24"/>
          <w:highlight w:val="none"/>
        </w:rPr>
        <w:t xml:space="preserve">                </w:t>
      </w:r>
    </w:p>
    <w:p w14:paraId="772CA6F4">
      <w:pPr>
        <w:snapToGrid w:val="0"/>
        <w:spacing w:line="360" w:lineRule="auto"/>
        <w:ind w:firstLine="482" w:firstLineChars="200"/>
        <w:rPr>
          <w:rFonts w:ascii="宋体" w:hAnsi="宋体" w:cs="宋体"/>
          <w:b/>
          <w:bCs/>
          <w:color w:val="auto"/>
          <w:kern w:val="0"/>
          <w:sz w:val="24"/>
          <w:highlight w:val="none"/>
        </w:rPr>
      </w:pPr>
      <w:r>
        <w:rPr>
          <w:rFonts w:hint="eastAsia" w:ascii="宋体" w:hAnsi="宋体" w:cs="宋体"/>
          <w:b/>
          <w:bCs/>
          <w:color w:val="auto"/>
          <w:kern w:val="0"/>
          <w:sz w:val="24"/>
          <w:highlight w:val="none"/>
        </w:rPr>
        <w:t>二、投诉项目基本情况：</w:t>
      </w:r>
    </w:p>
    <w:p w14:paraId="6162D861">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项目的名称：</w:t>
      </w:r>
      <w:r>
        <w:rPr>
          <w:rFonts w:hint="eastAsia" w:ascii="宋体" w:hAnsi="宋体" w:cs="宋体"/>
          <w:bCs/>
          <w:color w:val="auto"/>
          <w:kern w:val="0"/>
          <w:sz w:val="24"/>
          <w:highlight w:val="none"/>
          <w:u w:val="single"/>
        </w:rPr>
        <w:t xml:space="preserve">                                                                   </w:t>
      </w:r>
    </w:p>
    <w:p w14:paraId="39265DF3">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采购</w:t>
      </w:r>
      <w:r>
        <w:rPr>
          <w:rFonts w:hint="eastAsia" w:ascii="宋体" w:hAnsi="宋体" w:cs="宋体"/>
          <w:color w:val="auto"/>
          <w:kern w:val="0"/>
          <w:sz w:val="24"/>
          <w:highlight w:val="none"/>
        </w:rPr>
        <w:t>项目的编号：</w:t>
      </w:r>
      <w:r>
        <w:rPr>
          <w:rFonts w:hint="eastAsia" w:ascii="宋体" w:hAnsi="宋体" w:cs="宋体"/>
          <w:bCs/>
          <w:color w:val="auto"/>
          <w:kern w:val="0"/>
          <w:sz w:val="24"/>
          <w:highlight w:val="none"/>
          <w:u w:val="single"/>
        </w:rPr>
        <w:t xml:space="preserve">                                          </w:t>
      </w:r>
    </w:p>
    <w:p w14:paraId="65F290EC">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采购人名称：</w:t>
      </w:r>
      <w:r>
        <w:rPr>
          <w:rFonts w:hint="eastAsia" w:ascii="宋体" w:hAnsi="宋体" w:cs="宋体"/>
          <w:bCs/>
          <w:color w:val="auto"/>
          <w:kern w:val="0"/>
          <w:sz w:val="24"/>
          <w:highlight w:val="none"/>
          <w:u w:val="single"/>
        </w:rPr>
        <w:t xml:space="preserve">                                                                        </w:t>
      </w:r>
    </w:p>
    <w:p w14:paraId="2E781C9E">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代理机构名称：</w:t>
      </w:r>
      <w:r>
        <w:rPr>
          <w:rFonts w:hint="eastAsia" w:ascii="宋体" w:hAnsi="宋体" w:cs="宋体"/>
          <w:bCs/>
          <w:color w:val="auto"/>
          <w:kern w:val="0"/>
          <w:sz w:val="24"/>
          <w:highlight w:val="none"/>
          <w:u w:val="single"/>
        </w:rPr>
        <w:t xml:space="preserve">                                                                      </w:t>
      </w:r>
    </w:p>
    <w:p w14:paraId="21D2D383">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bCs/>
          <w:color w:val="auto"/>
          <w:kern w:val="0"/>
          <w:sz w:val="24"/>
          <w:highlight w:val="none"/>
        </w:rPr>
        <w:t>采购文件公告：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14:paraId="4B8B3083">
      <w:pPr>
        <w:spacing w:line="360" w:lineRule="auto"/>
        <w:ind w:left="25" w:leftChars="12" w:firstLine="472" w:firstLineChars="197"/>
        <w:rPr>
          <w:rFonts w:ascii="宋体" w:hAnsi="宋体" w:cs="宋体"/>
          <w:b/>
          <w:color w:val="auto"/>
          <w:kern w:val="0"/>
          <w:sz w:val="24"/>
          <w:highlight w:val="none"/>
        </w:rPr>
      </w:pPr>
      <w:r>
        <w:rPr>
          <w:rFonts w:hint="eastAsia" w:ascii="宋体" w:hAnsi="宋体" w:cs="宋体"/>
          <w:bCs/>
          <w:color w:val="auto"/>
          <w:kern w:val="0"/>
          <w:sz w:val="24"/>
          <w:highlight w:val="none"/>
        </w:rPr>
        <w:t>采购结果公告：</w:t>
      </w:r>
      <w:r>
        <w:rPr>
          <w:rFonts w:hint="eastAsia" w:ascii="宋体" w:hAnsi="宋体" w:cs="宋体"/>
          <w:bCs/>
          <w:color w:val="auto"/>
          <w:kern w:val="0"/>
          <w:sz w:val="24"/>
          <w:highlight w:val="none"/>
          <w:u w:val="single"/>
        </w:rPr>
        <w:t>是/否</w:t>
      </w:r>
      <w:r>
        <w:rPr>
          <w:rFonts w:hint="eastAsia" w:ascii="宋体" w:hAnsi="宋体" w:cs="宋体"/>
          <w:bCs/>
          <w:color w:val="auto"/>
          <w:kern w:val="0"/>
          <w:sz w:val="24"/>
          <w:highlight w:val="none"/>
        </w:rPr>
        <w:t>公告期限：</w:t>
      </w:r>
      <w:r>
        <w:rPr>
          <w:rFonts w:hint="eastAsia" w:ascii="宋体" w:hAnsi="宋体" w:cs="宋体"/>
          <w:bCs/>
          <w:color w:val="auto"/>
          <w:kern w:val="0"/>
          <w:sz w:val="24"/>
          <w:highlight w:val="none"/>
          <w:u w:val="single"/>
        </w:rPr>
        <w:t xml:space="preserve">                                                       </w:t>
      </w:r>
    </w:p>
    <w:p w14:paraId="29D8357F">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三、质疑基本情况</w:t>
      </w:r>
    </w:p>
    <w:p w14:paraId="65AF5EA9">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投诉人于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日，向</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提出质疑，质疑事项为：</w:t>
      </w:r>
    </w:p>
    <w:p w14:paraId="183B2CAE">
      <w:pPr>
        <w:spacing w:line="360" w:lineRule="auto"/>
        <w:ind w:firstLine="241"/>
        <w:rPr>
          <w:rFonts w:ascii="宋体" w:hAnsi="宋体" w:cs="宋体"/>
          <w:bCs/>
          <w:color w:val="auto"/>
          <w:kern w:val="0"/>
          <w:sz w:val="24"/>
          <w:highlight w:val="none"/>
          <w:u w:val="single"/>
        </w:rPr>
      </w:pP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65709FA5">
      <w:pPr>
        <w:spacing w:line="360" w:lineRule="auto"/>
        <w:ind w:firstLine="241"/>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5384A00D">
      <w:pPr>
        <w:spacing w:line="360" w:lineRule="auto"/>
        <w:ind w:firstLine="480" w:firstLineChars="200"/>
        <w:rPr>
          <w:rFonts w:ascii="宋体" w:hAnsi="宋体" w:cs="宋体"/>
          <w:color w:val="auto"/>
          <w:kern w:val="0"/>
          <w:sz w:val="24"/>
          <w:highlight w:val="none"/>
        </w:rPr>
      </w:pPr>
      <w:r>
        <w:rPr>
          <w:rFonts w:hint="eastAsia" w:ascii="宋体" w:hAnsi="宋体" w:cs="宋体"/>
          <w:bCs/>
          <w:color w:val="auto"/>
          <w:kern w:val="0"/>
          <w:sz w:val="24"/>
          <w:highlight w:val="none"/>
          <w:u w:val="single"/>
        </w:rPr>
        <w:t>采购人/采购代理机构</w:t>
      </w:r>
      <w:r>
        <w:rPr>
          <w:rFonts w:hint="eastAsia" w:ascii="宋体" w:hAnsi="宋体" w:cs="宋体"/>
          <w:bCs/>
          <w:color w:val="auto"/>
          <w:kern w:val="0"/>
          <w:sz w:val="24"/>
          <w:highlight w:val="none"/>
        </w:rPr>
        <w:t>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年</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月</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日，</w:t>
      </w:r>
      <w:r>
        <w:rPr>
          <w:rFonts w:hint="eastAsia" w:ascii="宋体" w:hAnsi="宋体" w:cs="宋体"/>
          <w:bCs/>
          <w:color w:val="auto"/>
          <w:kern w:val="0"/>
          <w:sz w:val="24"/>
          <w:highlight w:val="none"/>
        </w:rPr>
        <w:t>就质疑事项作出了答复/没有在法定期限内作出答复。</w:t>
      </w:r>
    </w:p>
    <w:p w14:paraId="6A37970C">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四、投诉事项具体内容</w:t>
      </w:r>
    </w:p>
    <w:p w14:paraId="121C4FF3">
      <w:pPr>
        <w:spacing w:line="360" w:lineRule="auto"/>
        <w:ind w:left="25" w:leftChars="12" w:firstLine="472" w:firstLineChars="197"/>
        <w:rPr>
          <w:rFonts w:ascii="宋体" w:hAnsi="宋体" w:cs="宋体"/>
          <w:bCs/>
          <w:color w:val="auto"/>
          <w:kern w:val="0"/>
          <w:sz w:val="24"/>
          <w:highlight w:val="none"/>
          <w:u w:val="single"/>
        </w:rPr>
      </w:pPr>
      <w:r>
        <w:rPr>
          <w:rFonts w:hint="eastAsia" w:ascii="宋体" w:hAnsi="宋体" w:cs="宋体"/>
          <w:color w:val="auto"/>
          <w:kern w:val="0"/>
          <w:sz w:val="24"/>
          <w:highlight w:val="none"/>
        </w:rPr>
        <w:t>投诉事项1：</w:t>
      </w:r>
      <w:r>
        <w:rPr>
          <w:rFonts w:hint="eastAsia" w:ascii="宋体" w:hAnsi="宋体" w:cs="宋体"/>
          <w:bCs/>
          <w:color w:val="auto"/>
          <w:kern w:val="0"/>
          <w:sz w:val="24"/>
          <w:highlight w:val="none"/>
          <w:u w:val="single"/>
        </w:rPr>
        <w:t xml:space="preserve">                                                                 </w:t>
      </w:r>
    </w:p>
    <w:p w14:paraId="31B1D61B">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事实依据：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669B9AFB">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u w:val="single"/>
        </w:rPr>
        <w:t xml:space="preserve">                                                                            </w:t>
      </w:r>
    </w:p>
    <w:p w14:paraId="3E2638C8">
      <w:pPr>
        <w:spacing w:line="360" w:lineRule="auto"/>
        <w:ind w:firstLine="480" w:firstLineChars="200"/>
        <w:rPr>
          <w:rFonts w:ascii="宋体" w:hAnsi="宋体" w:cs="宋体"/>
          <w:bCs/>
          <w:color w:val="auto"/>
          <w:kern w:val="0"/>
          <w:sz w:val="24"/>
          <w:highlight w:val="none"/>
          <w:u w:val="single"/>
        </w:rPr>
      </w:pPr>
      <w:r>
        <w:rPr>
          <w:rFonts w:hint="eastAsia" w:ascii="宋体" w:hAnsi="宋体" w:cs="宋体"/>
          <w:bCs/>
          <w:color w:val="auto"/>
          <w:kern w:val="0"/>
          <w:sz w:val="24"/>
          <w:highlight w:val="none"/>
        </w:rPr>
        <w:t>法律依据：</w:t>
      </w:r>
      <w:r>
        <w:rPr>
          <w:rFonts w:hint="eastAsia" w:ascii="宋体" w:hAnsi="宋体" w:cs="宋体"/>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64996592">
      <w:pPr>
        <w:spacing w:line="360" w:lineRule="auto"/>
        <w:ind w:left="25" w:leftChars="12" w:firstLine="352" w:firstLineChars="147"/>
        <w:rPr>
          <w:rFonts w:ascii="宋体" w:hAnsi="宋体" w:cs="宋体"/>
          <w:bCs/>
          <w:color w:val="auto"/>
          <w:kern w:val="0"/>
          <w:sz w:val="24"/>
          <w:highlight w:val="none"/>
          <w:u w:val="single"/>
        </w:rPr>
      </w:pPr>
      <w:r>
        <w:rPr>
          <w:rFonts w:hint="eastAsia" w:ascii="宋体" w:hAnsi="宋体" w:cs="宋体"/>
          <w:bCs/>
          <w:color w:val="auto"/>
          <w:kern w:val="0"/>
          <w:sz w:val="24"/>
          <w:highlight w:val="none"/>
        </w:rPr>
        <w:t xml:space="preserve"> </w:t>
      </w:r>
      <w:r>
        <w:rPr>
          <w:rFonts w:hint="eastAsia" w:ascii="宋体" w:hAnsi="宋体" w:cs="宋体"/>
          <w:bCs/>
          <w:color w:val="auto"/>
          <w:kern w:val="0"/>
          <w:sz w:val="24"/>
          <w:highlight w:val="none"/>
          <w:u w:val="single"/>
        </w:rPr>
        <w:t xml:space="preserve">                                                                            </w:t>
      </w:r>
    </w:p>
    <w:p w14:paraId="469E58A1">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color w:val="auto"/>
          <w:kern w:val="0"/>
          <w:sz w:val="24"/>
          <w:highlight w:val="none"/>
        </w:rPr>
        <w:t xml:space="preserve">投诉事项2  </w:t>
      </w:r>
      <w:r>
        <w:rPr>
          <w:rFonts w:hint="eastAsia" w:ascii="宋体" w:hAnsi="宋体" w:cs="宋体"/>
          <w:bCs/>
          <w:color w:val="auto"/>
          <w:kern w:val="0"/>
          <w:sz w:val="24"/>
          <w:highlight w:val="none"/>
        </w:rPr>
        <w:t xml:space="preserve">   </w:t>
      </w:r>
    </w:p>
    <w:p w14:paraId="246BF61E">
      <w:pPr>
        <w:spacing w:line="360" w:lineRule="auto"/>
        <w:ind w:left="25" w:leftChars="12" w:firstLine="472" w:firstLineChars="197"/>
        <w:rPr>
          <w:rFonts w:ascii="宋体" w:hAnsi="宋体" w:cs="宋体"/>
          <w:bCs/>
          <w:color w:val="auto"/>
          <w:kern w:val="0"/>
          <w:sz w:val="24"/>
          <w:highlight w:val="none"/>
        </w:rPr>
      </w:pPr>
      <w:r>
        <w:rPr>
          <w:rFonts w:hint="eastAsia" w:ascii="宋体" w:hAnsi="宋体" w:cs="宋体"/>
          <w:bCs/>
          <w:color w:val="auto"/>
          <w:kern w:val="0"/>
          <w:sz w:val="24"/>
          <w:highlight w:val="none"/>
        </w:rPr>
        <w:t>……</w:t>
      </w:r>
    </w:p>
    <w:p w14:paraId="5A40F7CA">
      <w:pPr>
        <w:spacing w:line="360" w:lineRule="auto"/>
        <w:ind w:left="25" w:leftChars="12"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五、与投诉事项相关的投诉请求：</w:t>
      </w:r>
    </w:p>
    <w:p w14:paraId="761C4649">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请求：</w:t>
      </w:r>
      <w:r>
        <w:rPr>
          <w:rFonts w:hint="eastAsia" w:ascii="宋体" w:hAnsi="宋体" w:cs="宋体"/>
          <w:bCs/>
          <w:color w:val="auto"/>
          <w:kern w:val="0"/>
          <w:sz w:val="24"/>
          <w:highlight w:val="none"/>
          <w:u w:val="single"/>
        </w:rPr>
        <w:t xml:space="preserve">                                                                      </w:t>
      </w:r>
    </w:p>
    <w:p w14:paraId="54BF997D">
      <w:pPr>
        <w:spacing w:line="360" w:lineRule="auto"/>
        <w:ind w:left="25" w:leftChars="12" w:firstLine="352" w:firstLineChars="147"/>
        <w:rPr>
          <w:rFonts w:ascii="宋体" w:hAnsi="宋体" w:cs="宋体"/>
          <w:color w:val="auto"/>
          <w:kern w:val="0"/>
          <w:sz w:val="24"/>
          <w:highlight w:val="none"/>
        </w:rPr>
      </w:pPr>
    </w:p>
    <w:p w14:paraId="5A8DA600">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签字（签章）：                                       公章：</w:t>
      </w:r>
    </w:p>
    <w:p w14:paraId="247E4B0E">
      <w:pPr>
        <w:spacing w:line="360" w:lineRule="auto"/>
        <w:ind w:left="25" w:leftChars="12" w:firstLine="352" w:firstLineChars="147"/>
        <w:rPr>
          <w:rFonts w:ascii="宋体" w:hAnsi="宋体" w:cs="宋体"/>
          <w:color w:val="auto"/>
          <w:kern w:val="0"/>
          <w:sz w:val="24"/>
          <w:highlight w:val="none"/>
        </w:rPr>
      </w:pPr>
    </w:p>
    <w:p w14:paraId="388D2C48">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color w:val="auto"/>
          <w:kern w:val="0"/>
          <w:sz w:val="24"/>
          <w:highlight w:val="none"/>
        </w:rPr>
        <w:t>日期：</w:t>
      </w:r>
    </w:p>
    <w:p w14:paraId="25EFFDF8">
      <w:pPr>
        <w:spacing w:line="360" w:lineRule="auto"/>
        <w:ind w:left="25" w:leftChars="12" w:firstLine="472" w:firstLineChars="197"/>
        <w:rPr>
          <w:rFonts w:ascii="宋体" w:hAnsi="宋体" w:cs="宋体"/>
          <w:color w:val="auto"/>
          <w:kern w:val="0"/>
          <w:sz w:val="24"/>
          <w:highlight w:val="none"/>
        </w:rPr>
      </w:pPr>
      <w:r>
        <w:rPr>
          <w:rFonts w:hint="eastAsia" w:ascii="宋体" w:hAnsi="宋体" w:cs="宋体"/>
          <w:bCs/>
          <w:color w:val="auto"/>
          <w:kern w:val="0"/>
          <w:sz w:val="24"/>
          <w:highlight w:val="none"/>
        </w:rPr>
        <w:t xml:space="preserve">        </w:t>
      </w:r>
    </w:p>
    <w:p w14:paraId="14C08B9C">
      <w:pPr>
        <w:snapToGrid w:val="0"/>
        <w:spacing w:line="360" w:lineRule="auto"/>
        <w:rPr>
          <w:rFonts w:ascii="宋体" w:hAnsi="宋体" w:cs="宋体"/>
          <w:b/>
          <w:color w:val="auto"/>
          <w:kern w:val="0"/>
          <w:sz w:val="24"/>
          <w:highlight w:val="none"/>
        </w:rPr>
      </w:pPr>
    </w:p>
    <w:p w14:paraId="79A35976">
      <w:pPr>
        <w:snapToGrid w:val="0"/>
        <w:spacing w:line="360" w:lineRule="auto"/>
        <w:rPr>
          <w:rFonts w:ascii="宋体" w:hAnsi="宋体" w:cs="宋体"/>
          <w:b/>
          <w:color w:val="auto"/>
          <w:kern w:val="0"/>
          <w:sz w:val="24"/>
          <w:highlight w:val="none"/>
        </w:rPr>
      </w:pPr>
      <w:r>
        <w:rPr>
          <w:rFonts w:hint="eastAsia" w:ascii="宋体" w:hAnsi="宋体" w:cs="宋体"/>
          <w:b/>
          <w:color w:val="auto"/>
          <w:kern w:val="0"/>
          <w:sz w:val="24"/>
          <w:highlight w:val="none"/>
        </w:rPr>
        <w:t>说明：</w:t>
      </w:r>
    </w:p>
    <w:p w14:paraId="39162D8B">
      <w:pPr>
        <w:spacing w:line="360" w:lineRule="auto"/>
        <w:ind w:left="25" w:leftChars="12" w:firstLine="354" w:firstLineChars="147"/>
        <w:rPr>
          <w:rFonts w:ascii="宋体" w:hAnsi="宋体" w:cs="宋体"/>
          <w:b/>
          <w:bCs/>
          <w:color w:val="auto"/>
          <w:kern w:val="0"/>
          <w:sz w:val="24"/>
          <w:highlight w:val="none"/>
        </w:rPr>
      </w:pPr>
      <w:r>
        <w:rPr>
          <w:rFonts w:hint="eastAsia" w:ascii="宋体" w:hAnsi="宋体" w:cs="宋体"/>
          <w:b/>
          <w:color w:val="auto"/>
          <w:kern w:val="0"/>
          <w:sz w:val="24"/>
          <w:highlight w:val="none"/>
        </w:rPr>
        <w:t>1.投诉人提起投诉时，应当提交投诉书和必要的证明材料，并按照被投诉人和与投诉事项有关的供应商数量提供投诉书副本</w:t>
      </w:r>
      <w:r>
        <w:rPr>
          <w:rFonts w:hint="eastAsia" w:ascii="宋体" w:hAnsi="宋体" w:cs="宋体"/>
          <w:b/>
          <w:bCs/>
          <w:color w:val="auto"/>
          <w:kern w:val="0"/>
          <w:sz w:val="24"/>
          <w:highlight w:val="none"/>
        </w:rPr>
        <w:t>。</w:t>
      </w:r>
    </w:p>
    <w:p w14:paraId="3C6310D4">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2.投诉人若委托代理人进行投诉的，投诉书应按要求列明“授权代表”的有关内容，并在附件中提交由投诉人签署的授权委托书。授权委托书应当载明代理人的姓名或者名称、代理事项、具体权限、期限和相关事项。</w:t>
      </w:r>
    </w:p>
    <w:p w14:paraId="35D47030">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3.投诉书应简要列明质疑事项，质疑函、质疑答复等作为附件材料提供。</w:t>
      </w:r>
    </w:p>
    <w:p w14:paraId="58B6F7C1">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4.投诉书的投诉事项应具体、明确，并有必要的事实依据和法律依据。</w:t>
      </w:r>
    </w:p>
    <w:p w14:paraId="0CBBC87C">
      <w:pPr>
        <w:spacing w:line="360" w:lineRule="auto"/>
        <w:ind w:left="25" w:leftChars="12" w:firstLine="354" w:firstLineChars="147"/>
        <w:rPr>
          <w:rFonts w:ascii="宋体" w:hAnsi="宋体" w:cs="宋体"/>
          <w:b/>
          <w:color w:val="auto"/>
          <w:kern w:val="0"/>
          <w:sz w:val="24"/>
          <w:highlight w:val="none"/>
        </w:rPr>
      </w:pPr>
      <w:r>
        <w:rPr>
          <w:rFonts w:hint="eastAsia" w:ascii="宋体" w:hAnsi="宋体" w:cs="宋体"/>
          <w:b/>
          <w:color w:val="auto"/>
          <w:kern w:val="0"/>
          <w:sz w:val="24"/>
          <w:highlight w:val="none"/>
        </w:rPr>
        <w:t>5.投诉书的投诉请求应与投诉事项相关。</w:t>
      </w:r>
    </w:p>
    <w:p w14:paraId="3AFB3CDF">
      <w:pPr>
        <w:spacing w:line="360" w:lineRule="auto"/>
        <w:ind w:left="25" w:leftChars="12" w:firstLine="354" w:firstLineChars="147"/>
        <w:rPr>
          <w:rFonts w:ascii="宋体" w:hAnsi="宋体" w:cs="宋体"/>
          <w:color w:val="auto"/>
          <w:highlight w:val="none"/>
        </w:rPr>
      </w:pPr>
      <w:r>
        <w:rPr>
          <w:rFonts w:hint="eastAsia" w:ascii="宋体" w:hAnsi="宋体" w:cs="宋体"/>
          <w:b/>
          <w:color w:val="auto"/>
          <w:kern w:val="0"/>
          <w:sz w:val="24"/>
          <w:highlight w:val="none"/>
        </w:rPr>
        <w:t>6.投诉人为法人或者其他组织的，投诉书应由法定代表人、主要负责人，或者其授权代表签字或者盖章，并加盖公章。</w:t>
      </w:r>
    </w:p>
    <w:p w14:paraId="7F4432BD">
      <w:pPr>
        <w:rPr>
          <w:color w:val="auto"/>
          <w:highlight w:val="none"/>
        </w:rPr>
      </w:pPr>
    </w:p>
    <w:sectPr>
      <w:headerReference r:id="rId12" w:type="default"/>
      <w:footerReference r:id="rId13" w:type="default"/>
      <w:pgSz w:w="11911" w:h="16838"/>
      <w:pgMar w:top="1134" w:right="1134" w:bottom="1134" w:left="113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15F94A-EDB3-411D-B5FC-5A92DA8A20AB}"/>
  </w:font>
  <w:font w:name="Courier New">
    <w:panose1 w:val="02070309020205020404"/>
    <w:charset w:val="01"/>
    <w:family w:val="modern"/>
    <w:pitch w:val="default"/>
    <w:sig w:usb0="E0002EFF" w:usb1="C0007843" w:usb2="00000009" w:usb3="00000000" w:csb0="400001FF" w:csb1="FFFF0000"/>
    <w:embedRegular r:id="rId2" w:fontKey="{78C19305-3D5B-4255-9791-17A38CA5DCD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76196AEC-796F-4674-A68C-F927ABCCEEF2}"/>
  </w:font>
  <w:font w:name="Cambria">
    <w:panose1 w:val="02040503050406030204"/>
    <w:charset w:val="00"/>
    <w:family w:val="roman"/>
    <w:pitch w:val="default"/>
    <w:sig w:usb0="E00006FF" w:usb1="420024FF" w:usb2="02000000" w:usb3="00000000" w:csb0="2000019F" w:csb1="00000000"/>
    <w:embedRegular r:id="rId4" w:fontKey="{92716813-D989-447B-8E4A-8F4A0852B9CC}"/>
  </w:font>
  <w:font w:name="等线 Light">
    <w:panose1 w:val="02010600030101010101"/>
    <w:charset w:val="86"/>
    <w:family w:val="auto"/>
    <w:pitch w:val="default"/>
    <w:sig w:usb0="A00002BF" w:usb1="38CF7CFA" w:usb2="00000016" w:usb3="00000000" w:csb0="0004000F" w:csb1="00000000"/>
  </w:font>
  <w:font w:name="DejaVu Sans">
    <w:altName w:val="Times New Roman"/>
    <w:panose1 w:val="00000000000000000000"/>
    <w:charset w:val="00"/>
    <w:family w:val="roman"/>
    <w:pitch w:val="default"/>
    <w:sig w:usb0="00000000" w:usb1="00000000" w:usb2="00000008" w:usb3="00000000" w:csb0="000001FF" w:csb1="00000000"/>
  </w:font>
  <w:font w:name="方正黑体_GBK">
    <w:panose1 w:val="0201060001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5" w:fontKey="{7C12D8DB-6EA1-4720-9529-B3B1CCEEA4FF}"/>
  </w:font>
  <w:font w:name="Arial Unicode MS">
    <w:panose1 w:val="020B0604020202020204"/>
    <w:charset w:val="86"/>
    <w:family w:val="swiss"/>
    <w:pitch w:val="default"/>
    <w:sig w:usb0="F7FFAEFF" w:usb1="F9DFFFFF" w:usb2="0000007F" w:usb3="00000000" w:csb0="203F01FF" w:csb1="DFFF0000"/>
    <w:embedRegular r:id="rId6" w:fontKey="{16CF1D30-3BA3-4066-9551-A1DD5CCF6F8B}"/>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7" w:fontKey="{2C19038E-341A-44D0-ADA8-5C5EB11D9F0A}"/>
  </w:font>
  <w:font w:name="Tahoma">
    <w:panose1 w:val="020B0604030504040204"/>
    <w:charset w:val="00"/>
    <w:family w:val="swiss"/>
    <w:pitch w:val="default"/>
    <w:sig w:usb0="E1002EFF" w:usb1="C000605B" w:usb2="00000029" w:usb3="00000000" w:csb0="200101FF" w:csb1="20280000"/>
  </w:font>
  <w:font w:name="Helvetica">
    <w:altName w:val="Arial"/>
    <w:panose1 w:val="020B0604020202020204"/>
    <w:charset w:val="00"/>
    <w:family w:val="swiss"/>
    <w:pitch w:val="default"/>
    <w:sig w:usb0="00000000" w:usb1="00000000" w:usb2="00000009" w:usb3="00000000" w:csb0="000001FF" w:csb1="00000000"/>
    <w:embedRegular r:id="rId8" w:fontKey="{A6CC71E1-7EFE-4D07-AC9E-2DE0716FC7AA}"/>
  </w:font>
  <w:font w:name="Verdana">
    <w:panose1 w:val="020B0604030504040204"/>
    <w:charset w:val="00"/>
    <w:family w:val="swiss"/>
    <w:pitch w:val="default"/>
    <w:sig w:usb0="A00006FF" w:usb1="4000205B" w:usb2="00000010" w:usb3="00000000" w:csb0="2000019F" w:csb1="00000000"/>
    <w:embedRegular r:id="rId9" w:fontKey="{F1A887A4-E296-49D8-81D2-90D97D034C27}"/>
  </w:font>
  <w:font w:name="隶书">
    <w:panose1 w:val="02010509060101010101"/>
    <w:charset w:val="86"/>
    <w:family w:val="modern"/>
    <w:pitch w:val="default"/>
    <w:sig w:usb0="00000001" w:usb1="080E0000" w:usb2="00000000" w:usb3="00000000" w:csb0="00040000" w:csb1="00000000"/>
    <w:embedRegular r:id="rId10" w:fontKey="{59F0F3BF-172F-46C1-BB01-BE31143040F6}"/>
  </w:font>
  <w:font w:name="WPSEMBED1">
    <w:panose1 w:val="0201050906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5F5E9D">
    <w:pPr>
      <w:pStyle w:val="23"/>
      <w:jc w:val="center"/>
      <w:rPr>
        <w:rFonts w:ascii="Calibri" w:hAnsi="Calibri"/>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659951">
    <w:pPr>
      <w:pStyle w:val="23"/>
      <w:framePr w:wrap="around" w:vAnchor="text" w:hAnchor="margin" w:xAlign="center" w:y="1"/>
      <w:rPr>
        <w:rStyle w:val="35"/>
        <w:rFonts w:ascii="Calibri" w:hAnsi="Calibri"/>
        <w:sz w:val="21"/>
      </w:rPr>
    </w:pPr>
    <w:r>
      <w:rPr>
        <w:rFonts w:ascii="Calibri" w:hAnsi="Calibri"/>
        <w:sz w:val="21"/>
      </w:rPr>
      <w:fldChar w:fldCharType="begin"/>
    </w:r>
    <w:r>
      <w:rPr>
        <w:rStyle w:val="35"/>
        <w:rFonts w:ascii="Calibri" w:hAnsi="Calibri"/>
        <w:sz w:val="21"/>
      </w:rPr>
      <w:instrText xml:space="preserve">PAGE  </w:instrText>
    </w:r>
    <w:r>
      <w:rPr>
        <w:rFonts w:ascii="Calibri" w:hAnsi="Calibri"/>
        <w:sz w:val="21"/>
      </w:rPr>
      <w:fldChar w:fldCharType="separate"/>
    </w:r>
    <w:r>
      <w:rPr>
        <w:rStyle w:val="35"/>
        <w:rFonts w:ascii="Calibri" w:hAnsi="Calibri"/>
        <w:sz w:val="21"/>
      </w:rPr>
      <w:t>0</w:t>
    </w:r>
    <w:r>
      <w:rPr>
        <w:rFonts w:ascii="Calibri" w:hAnsi="Calibri"/>
        <w:sz w:val="21"/>
      </w:rPr>
      <w:fldChar w:fldCharType="end"/>
    </w:r>
  </w:p>
  <w:p w14:paraId="1602CF12">
    <w:pPr>
      <w:pStyle w:val="23"/>
      <w:rPr>
        <w:rFonts w:ascii="Calibri" w:hAnsi="Calibri"/>
        <w:sz w:val="21"/>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C8EDE">
    <w:pPr>
      <w:pStyle w:val="23"/>
      <w:tabs>
        <w:tab w:val="center" w:pos="4439"/>
        <w:tab w:val="clear" w:pos="4153"/>
      </w:tabs>
      <w:jc w:val="both"/>
      <w:rPr>
        <w:rFonts w:ascii="Calibri" w:hAnsi="Calibri"/>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F351032">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wrap="none" lIns="0" tIns="0" rIns="0" bIns="0" upright="1">
                      <a:spAutoFit/>
                    </wps:bodyPr>
                  </wps:wsp>
                </a:graphicData>
              </a:graphic>
            </wp:anchor>
          </w:drawing>
        </mc:Choice>
        <mc:Fallback>
          <w:pict>
            <v:shape id="文本框 513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Ay05HLAQAAnAMAAA4AAAAAAAAAAQAgAAAAHgEAAGRycy9lMm9E&#10;b2MueG1sUEsFBgAAAAAGAAYAWQEAAFsFAAAAAA==&#10;">
              <v:fill on="f" focussize="0,0"/>
              <v:stroke on="f"/>
              <v:imagedata o:title=""/>
              <o:lock v:ext="edit" aspectratio="f"/>
              <v:textbox inset="0mm,0mm,0mm,0mm" style="mso-fit-shape-to-text:t;">
                <w:txbxContent>
                  <w:p w14:paraId="4F351032">
                    <w:pPr>
                      <w:pStyle w:val="23"/>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49DC8">
    <w:pPr>
      <w:pStyle w:val="23"/>
      <w:tabs>
        <w:tab w:val="center" w:pos="4439"/>
        <w:tab w:val="clear" w:pos="4153"/>
      </w:tabs>
      <w:rPr>
        <w:rFonts w:ascii="Calibri" w:hAnsi="Calibri"/>
      </w:rPr>
    </w:pPr>
    <w:r>
      <w:rPr>
        <w:rFonts w:ascii="Calibri" w:hAnsi="Calibri"/>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5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F77642E">
                          <w:pPr>
                            <w:rPr>
                              <w:rFonts w:ascii="Calibri" w:hAnsi="Calibri"/>
                            </w:rPr>
                          </w:pPr>
                        </w:p>
                      </w:txbxContent>
                    </wps:txbx>
                    <wps:bodyPr wrap="none" lIns="0" tIns="0" rIns="0" bIns="0" upright="1">
                      <a:spAutoFit/>
                    </wps:bodyPr>
                  </wps:wsp>
                </a:graphicData>
              </a:graphic>
            </wp:anchor>
          </w:drawing>
        </mc:Choice>
        <mc:Fallback>
          <w:pict>
            <v:shape id="文本框 51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vjubLzAEAAJwDAAAOAAAAAAAAAAEAIAAAAB4BAABkcnMvZTJv&#10;RG9jLnhtbFBLBQYAAAAABgAGAFkBAABcBQAAAAA=&#10;">
              <v:fill on="f" focussize="0,0"/>
              <v:stroke on="f"/>
              <v:imagedata o:title=""/>
              <o:lock v:ext="edit" aspectratio="f"/>
              <v:textbox inset="0mm,0mm,0mm,0mm" style="mso-fit-shape-to-text:t;">
                <w:txbxContent>
                  <w:p w14:paraId="2F77642E">
                    <w:pPr>
                      <w:rPr>
                        <w:rFonts w:ascii="Calibri" w:hAnsi="Calibri"/>
                      </w:rPr>
                    </w:pP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D80D0B">
    <w:pPr>
      <w:pStyle w:val="23"/>
      <w:jc w:val="center"/>
      <w:rPr>
        <w:rFonts w:ascii="Calibri" w:hAnsi="Calibr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602FE7">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wps:txbx>
                    <wps:bodyPr wrap="none" lIns="0" tIns="0" rIns="0" bIns="0" upright="1">
                      <a:spAutoFit/>
                    </wps:bodyPr>
                  </wps:wsp>
                </a:graphicData>
              </a:graphic>
            </wp:anchor>
          </w:drawing>
        </mc:Choice>
        <mc:Fallback>
          <w:pict>
            <v:shape id="文本框 5137"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24GEKzAEAAJwDAAAOAAAAAAAAAAEAIAAAAB4BAABkcnMvZTJv&#10;RG9jLnhtbFBLBQYAAAAABgAGAFkBAABcBQAAAAA=&#10;">
              <v:fill on="f" focussize="0,0"/>
              <v:stroke on="f"/>
              <v:imagedata o:title=""/>
              <o:lock v:ext="edit" aspectratio="f"/>
              <v:textbox inset="0mm,0mm,0mm,0mm" style="mso-fit-shape-to-text:t;">
                <w:txbxContent>
                  <w:p w14:paraId="33602FE7">
                    <w:pPr>
                      <w:pStyle w:val="23"/>
                    </w:pPr>
                    <w:r>
                      <w:rPr>
                        <w:rFonts w:hint="eastAsia"/>
                      </w:rPr>
                      <w:fldChar w:fldCharType="begin"/>
                    </w:r>
                    <w:r>
                      <w:rPr>
                        <w:rFonts w:hint="eastAsia"/>
                      </w:rPr>
                      <w:instrText xml:space="preserve"> PAGE  \* MERGEFORMAT </w:instrText>
                    </w:r>
                    <w:r>
                      <w:rPr>
                        <w:rFonts w:hint="eastAsia"/>
                      </w:rPr>
                      <w:fldChar w:fldCharType="separate"/>
                    </w:r>
                    <w:r>
                      <w:t>3</w:t>
                    </w:r>
                    <w:r>
                      <w:rPr>
                        <w:rFonts w:hint="eastAsia"/>
                      </w:rPr>
                      <w:fldChar w:fldCharType="end"/>
                    </w:r>
                  </w:p>
                </w:txbxContent>
              </v:textbox>
            </v:shape>
          </w:pict>
        </mc:Fallback>
      </mc:AlternateContent>
    </w:r>
  </w:p>
  <w:p w14:paraId="6264D851">
    <w:pPr>
      <w:pStyle w:val="23"/>
      <w:rPr>
        <w:rFonts w:ascii="Calibri" w:hAnsi="Calibri"/>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FE587B">
    <w:pPr>
      <w:pStyle w:val="23"/>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A95CE9">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wps:txbx>
                    <wps:bodyPr wrap="none" lIns="0" tIns="0" rIns="0" bIns="0" upright="1">
                      <a:spAutoFit/>
                    </wps:bodyPr>
                  </wps:wsp>
                </a:graphicData>
              </a:graphic>
            </wp:anchor>
          </w:drawing>
        </mc:Choice>
        <mc:Fallback>
          <w:pict>
            <v:shape id="文本框 5121"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Q6w3RzAEAAJwDAAAOAAAAAAAAAAEAIAAAAB4BAABkcnMvZTJv&#10;RG9jLnhtbFBLBQYAAAAABgAGAFkBAABcBQAAAAA=&#10;">
              <v:fill on="f" focussize="0,0"/>
              <v:stroke on="f"/>
              <v:imagedata o:title=""/>
              <o:lock v:ext="edit" aspectratio="f"/>
              <v:textbox inset="0mm,0mm,0mm,0mm" style="mso-fit-shape-to-text:t;">
                <w:txbxContent>
                  <w:p w14:paraId="3EA95CE9">
                    <w:pPr>
                      <w:pStyle w:val="23"/>
                      <w:jc w:val="center"/>
                    </w:pPr>
                    <w:r>
                      <w:rPr>
                        <w:rFonts w:hint="eastAsia"/>
                      </w:rPr>
                      <w:fldChar w:fldCharType="begin"/>
                    </w:r>
                    <w:r>
                      <w:rPr>
                        <w:rFonts w:hint="eastAsia"/>
                      </w:rPr>
                      <w:instrText xml:space="preserve"> PAGE  \* MERGEFORMAT </w:instrText>
                    </w:r>
                    <w:r>
                      <w:rPr>
                        <w:rFonts w:hint="eastAsia"/>
                      </w:rPr>
                      <w:fldChar w:fldCharType="separate"/>
                    </w:r>
                    <w:r>
                      <w:t>76</w:t>
                    </w:r>
                    <w:r>
                      <w:rPr>
                        <w:rFonts w:hint="eastAsia"/>
                      </w:rPr>
                      <w:fldChar w:fldCharType="end"/>
                    </w:r>
                  </w:p>
                </w:txbxContent>
              </v:textbox>
            </v:shape>
          </w:pict>
        </mc:Fallback>
      </mc:AlternateContent>
    </w:r>
  </w:p>
  <w:p w14:paraId="0B880419">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2AE028">
    <w:pPr>
      <w:pStyle w:val="24"/>
      <w:tabs>
        <w:tab w:val="center" w:pos="0"/>
        <w:tab w:val="clear" w:pos="4153"/>
      </w:tabs>
      <w:rPr>
        <w:rFonts w:ascii="Calibri" w:hAnsi="Calibri"/>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725C6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28C74">
    <w:pPr>
      <w:pStyle w:val="24"/>
      <w:tabs>
        <w:tab w:val="center" w:pos="0"/>
        <w:tab w:val="clear" w:pos="4153"/>
      </w:tabs>
      <w:rPr>
        <w:rFonts w:ascii="Calibri" w:hAnsi="Calibri"/>
      </w:rPr>
    </w:pPr>
    <w:r>
      <w:rPr>
        <w:rFonts w:hint="eastAsia" w:ascii="Calibri" w:hAnsi="Calibri"/>
      </w:rPr>
      <w:t>南宁市政府采购竞争性磋商采购文件（项目编号：NNZC2021-C3--KLZB）</w:t>
    </w:r>
  </w:p>
  <w:p w14:paraId="4C2B9432">
    <w:pPr>
      <w:pStyle w:val="24"/>
      <w:pBdr>
        <w:bottom w:val="none" w:color="auto" w:sz="0" w:space="1"/>
      </w:pBdr>
      <w:rPr>
        <w:rFonts w:ascii="Calibri" w:hAnsi="Calibri"/>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AF3FD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7719C6">
    <w:r>
      <w:t>&gt;</w:t>
    </w:r>
  </w:p>
  <w:p w14:paraId="5544D505">
    <w:pPr>
      <w:pStyle w:val="2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EC241D"/>
    <w:multiLevelType w:val="singleLevel"/>
    <w:tmpl w:val="D7EC241D"/>
    <w:lvl w:ilvl="0" w:tentative="0">
      <w:start w:val="1"/>
      <w:numFmt w:val="decimal"/>
      <w:suff w:val="nothing"/>
      <w:lvlText w:val="（%1）"/>
      <w:lvlJc w:val="left"/>
    </w:lvl>
  </w:abstractNum>
  <w:abstractNum w:abstractNumId="1">
    <w:nsid w:val="0000000B"/>
    <w:multiLevelType w:val="multilevel"/>
    <w:tmpl w:val="0000000B"/>
    <w:lvl w:ilvl="0" w:tentative="0">
      <w:start w:val="1"/>
      <w:numFmt w:val="decimal"/>
      <w:lvlText w:val="（%1）"/>
      <w:lvlJc w:val="left"/>
      <w:pPr>
        <w:tabs>
          <w:tab w:val="left" w:pos="1140"/>
        </w:tabs>
        <w:ind w:left="1140" w:hanging="720"/>
      </w:pPr>
      <w:rPr>
        <w:rFonts w:ascii="宋体" w:hAnsi="宋体" w:eastAsia="宋体" w:cs="Times New Roman"/>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0595501A"/>
    <w:multiLevelType w:val="multilevel"/>
    <w:tmpl w:val="0595501A"/>
    <w:lvl w:ilvl="0" w:tentative="0">
      <w:start w:val="1"/>
      <w:numFmt w:val="decimal"/>
      <w:suff w:val="space"/>
      <w:lvlText w:val="%1."/>
      <w:lvlJc w:val="left"/>
      <w:pPr>
        <w:ind w:left="0" w:firstLine="0"/>
      </w:pPr>
      <w:rPr>
        <w:rFonts w:hint="eastAsia"/>
      </w:rPr>
    </w:lvl>
    <w:lvl w:ilvl="1" w:tentative="0">
      <w:start w:val="1"/>
      <w:numFmt w:val="decimal"/>
      <w:isLgl/>
      <w:suff w:val="space"/>
      <w:lvlText w:val="%1.%2"/>
      <w:lvlJc w:val="left"/>
      <w:pPr>
        <w:ind w:left="0" w:firstLine="0"/>
      </w:pPr>
      <w:rPr>
        <w:rFonts w:hint="eastAsia"/>
      </w:rPr>
    </w:lvl>
    <w:lvl w:ilvl="2" w:tentative="0">
      <w:start w:val="1"/>
      <w:numFmt w:val="decimal"/>
      <w:pStyle w:val="91"/>
      <w:isLgl/>
      <w:suff w:val="space"/>
      <w:lvlText w:val="%1.%2.%3"/>
      <w:lvlJc w:val="left"/>
      <w:pPr>
        <w:ind w:left="0" w:firstLine="0"/>
      </w:pPr>
      <w:rPr>
        <w:rFonts w:hint="eastAsia"/>
        <w:b w:val="0"/>
        <w:i w:val="0"/>
        <w:color w:val="auto"/>
      </w:rPr>
    </w:lvl>
    <w:lvl w:ilvl="3" w:tentative="0">
      <w:start w:val="1"/>
      <w:numFmt w:val="decimal"/>
      <w:isLgl/>
      <w:suff w:val="space"/>
      <w:lvlText w:val="%1.%2.%3.%4"/>
      <w:lvlJc w:val="left"/>
      <w:pPr>
        <w:ind w:left="0" w:firstLine="0"/>
      </w:pPr>
      <w:rPr>
        <w:rFonts w:hint="eastAsia"/>
      </w:rPr>
    </w:lvl>
    <w:lvl w:ilvl="4" w:tentative="0">
      <w:start w:val="1"/>
      <w:numFmt w:val="decimal"/>
      <w:isLgl/>
      <w:lvlText w:val="%1.%2.%3.%4.%5"/>
      <w:lvlJc w:val="left"/>
      <w:pPr>
        <w:tabs>
          <w:tab w:val="left" w:pos="0"/>
        </w:tabs>
        <w:ind w:left="0" w:firstLine="0"/>
      </w:pPr>
      <w:rPr>
        <w:rFonts w:hint="eastAsia"/>
      </w:rPr>
    </w:lvl>
    <w:lvl w:ilvl="5" w:tentative="0">
      <w:start w:val="1"/>
      <w:numFmt w:val="decimal"/>
      <w:lvlText w:val="%1.%2.%3.%4.%5.%6"/>
      <w:lvlJc w:val="left"/>
      <w:pPr>
        <w:tabs>
          <w:tab w:val="left" w:pos="6086"/>
        </w:tabs>
        <w:ind w:left="3260" w:hanging="1134"/>
      </w:pPr>
      <w:rPr>
        <w:rFonts w:hint="eastAsia"/>
      </w:rPr>
    </w:lvl>
    <w:lvl w:ilvl="6" w:tentative="0">
      <w:start w:val="1"/>
      <w:numFmt w:val="decimal"/>
      <w:lvlText w:val="%1.%2.%3.%4.%5.%6.%7"/>
      <w:lvlJc w:val="left"/>
      <w:pPr>
        <w:tabs>
          <w:tab w:val="left" w:pos="7231"/>
        </w:tabs>
        <w:ind w:left="3827" w:hanging="1276"/>
      </w:pPr>
      <w:rPr>
        <w:rFonts w:hint="eastAsia"/>
      </w:rPr>
    </w:lvl>
    <w:lvl w:ilvl="7" w:tentative="0">
      <w:start w:val="1"/>
      <w:numFmt w:val="decimal"/>
      <w:lvlText w:val="%1.%2.%3.%4.%5.%6.%7.%8"/>
      <w:lvlJc w:val="left"/>
      <w:pPr>
        <w:tabs>
          <w:tab w:val="left" w:pos="8376"/>
        </w:tabs>
        <w:ind w:left="4394" w:hanging="1418"/>
      </w:pPr>
      <w:rPr>
        <w:rFonts w:hint="eastAsia"/>
      </w:rPr>
    </w:lvl>
    <w:lvl w:ilvl="8" w:tentative="0">
      <w:start w:val="1"/>
      <w:numFmt w:val="decimal"/>
      <w:lvlText w:val="%1.%2.%3.%4.%5.%6.%7.%8.%9"/>
      <w:lvlJc w:val="left"/>
      <w:pPr>
        <w:tabs>
          <w:tab w:val="left" w:pos="9522"/>
        </w:tabs>
        <w:ind w:left="5102" w:hanging="1700"/>
      </w:pPr>
      <w:rPr>
        <w:rFonts w:hint="eastAsia"/>
      </w:rPr>
    </w:lvl>
  </w:abstractNum>
  <w:abstractNum w:abstractNumId="3">
    <w:nsid w:val="1FFFC925"/>
    <w:multiLevelType w:val="singleLevel"/>
    <w:tmpl w:val="1FFFC925"/>
    <w:lvl w:ilvl="0" w:tentative="0">
      <w:start w:val="2"/>
      <w:numFmt w:val="decimal"/>
      <w:lvlText w:val="%1."/>
      <w:lvlJc w:val="left"/>
      <w:pPr>
        <w:tabs>
          <w:tab w:val="left" w:pos="312"/>
        </w:tabs>
        <w:ind w:left="420" w:firstLine="0"/>
      </w:pPr>
    </w:lvl>
  </w:abstractNum>
  <w:num w:numId="1">
    <w:abstractNumId w:val="2"/>
  </w:num>
  <w:num w:numId="2">
    <w:abstractNumId w:val="3"/>
  </w:num>
  <w:num w:numId="3">
    <w:abstractNumId w:val="0"/>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FmZWIzNDg2MmIzZjExOTIzMmViNTBmYTMwYTk0ZWYifQ=="/>
  </w:docVars>
  <w:rsids>
    <w:rsidRoot w:val="00F34B14"/>
    <w:rsid w:val="00000672"/>
    <w:rsid w:val="00001013"/>
    <w:rsid w:val="00001799"/>
    <w:rsid w:val="00001AF2"/>
    <w:rsid w:val="00001ECA"/>
    <w:rsid w:val="00002D29"/>
    <w:rsid w:val="00003B93"/>
    <w:rsid w:val="0000474D"/>
    <w:rsid w:val="00005FDF"/>
    <w:rsid w:val="000070B3"/>
    <w:rsid w:val="000076B8"/>
    <w:rsid w:val="0001047A"/>
    <w:rsid w:val="000109DC"/>
    <w:rsid w:val="00010D39"/>
    <w:rsid w:val="0001172C"/>
    <w:rsid w:val="00011A4D"/>
    <w:rsid w:val="00011BC9"/>
    <w:rsid w:val="00012854"/>
    <w:rsid w:val="00012EA6"/>
    <w:rsid w:val="00013359"/>
    <w:rsid w:val="000139CF"/>
    <w:rsid w:val="00013AA4"/>
    <w:rsid w:val="00013DFE"/>
    <w:rsid w:val="000141EA"/>
    <w:rsid w:val="00015094"/>
    <w:rsid w:val="00016ABC"/>
    <w:rsid w:val="000176C5"/>
    <w:rsid w:val="000177DB"/>
    <w:rsid w:val="000179C9"/>
    <w:rsid w:val="00017CCC"/>
    <w:rsid w:val="00020227"/>
    <w:rsid w:val="00020263"/>
    <w:rsid w:val="00020455"/>
    <w:rsid w:val="00020527"/>
    <w:rsid w:val="00020813"/>
    <w:rsid w:val="000220B2"/>
    <w:rsid w:val="0002264C"/>
    <w:rsid w:val="00022731"/>
    <w:rsid w:val="00022792"/>
    <w:rsid w:val="00024463"/>
    <w:rsid w:val="00025461"/>
    <w:rsid w:val="00025636"/>
    <w:rsid w:val="00025E36"/>
    <w:rsid w:val="00026855"/>
    <w:rsid w:val="00026886"/>
    <w:rsid w:val="0002785D"/>
    <w:rsid w:val="000329E0"/>
    <w:rsid w:val="00032E5A"/>
    <w:rsid w:val="00034390"/>
    <w:rsid w:val="000352E9"/>
    <w:rsid w:val="00035494"/>
    <w:rsid w:val="00036125"/>
    <w:rsid w:val="00036A07"/>
    <w:rsid w:val="0003780B"/>
    <w:rsid w:val="00040571"/>
    <w:rsid w:val="00040973"/>
    <w:rsid w:val="0004156E"/>
    <w:rsid w:val="00041713"/>
    <w:rsid w:val="0004440C"/>
    <w:rsid w:val="00046B5E"/>
    <w:rsid w:val="000470CB"/>
    <w:rsid w:val="000509D9"/>
    <w:rsid w:val="00051316"/>
    <w:rsid w:val="00051ACB"/>
    <w:rsid w:val="00052451"/>
    <w:rsid w:val="000533E7"/>
    <w:rsid w:val="00055D41"/>
    <w:rsid w:val="00057CD6"/>
    <w:rsid w:val="00060DCE"/>
    <w:rsid w:val="000610E3"/>
    <w:rsid w:val="000614F3"/>
    <w:rsid w:val="000623B4"/>
    <w:rsid w:val="00062405"/>
    <w:rsid w:val="000634A7"/>
    <w:rsid w:val="00063B0B"/>
    <w:rsid w:val="00063F81"/>
    <w:rsid w:val="00064847"/>
    <w:rsid w:val="00065E08"/>
    <w:rsid w:val="000673E2"/>
    <w:rsid w:val="0007063F"/>
    <w:rsid w:val="00070740"/>
    <w:rsid w:val="000707FD"/>
    <w:rsid w:val="00070949"/>
    <w:rsid w:val="000711E4"/>
    <w:rsid w:val="000724D9"/>
    <w:rsid w:val="00072AED"/>
    <w:rsid w:val="00073F47"/>
    <w:rsid w:val="0007492F"/>
    <w:rsid w:val="00074ED8"/>
    <w:rsid w:val="000752AF"/>
    <w:rsid w:val="00075B7E"/>
    <w:rsid w:val="00077ACA"/>
    <w:rsid w:val="00077C70"/>
    <w:rsid w:val="000813B5"/>
    <w:rsid w:val="00081BA3"/>
    <w:rsid w:val="00081D2E"/>
    <w:rsid w:val="00081F89"/>
    <w:rsid w:val="00082619"/>
    <w:rsid w:val="00082D02"/>
    <w:rsid w:val="00083871"/>
    <w:rsid w:val="00083B91"/>
    <w:rsid w:val="0008473C"/>
    <w:rsid w:val="0008520B"/>
    <w:rsid w:val="000860BD"/>
    <w:rsid w:val="000871B8"/>
    <w:rsid w:val="000916DA"/>
    <w:rsid w:val="00092442"/>
    <w:rsid w:val="000929EF"/>
    <w:rsid w:val="000933BE"/>
    <w:rsid w:val="00093CD4"/>
    <w:rsid w:val="0009560F"/>
    <w:rsid w:val="0009588E"/>
    <w:rsid w:val="000959EE"/>
    <w:rsid w:val="00097183"/>
    <w:rsid w:val="000972CB"/>
    <w:rsid w:val="00097608"/>
    <w:rsid w:val="000A13F3"/>
    <w:rsid w:val="000A23B1"/>
    <w:rsid w:val="000A2B0E"/>
    <w:rsid w:val="000A398F"/>
    <w:rsid w:val="000A3BB7"/>
    <w:rsid w:val="000A448C"/>
    <w:rsid w:val="000A509C"/>
    <w:rsid w:val="000A54A7"/>
    <w:rsid w:val="000A6007"/>
    <w:rsid w:val="000A65A6"/>
    <w:rsid w:val="000A70E3"/>
    <w:rsid w:val="000A7275"/>
    <w:rsid w:val="000A7A12"/>
    <w:rsid w:val="000A7A72"/>
    <w:rsid w:val="000B1202"/>
    <w:rsid w:val="000B1801"/>
    <w:rsid w:val="000B1D0C"/>
    <w:rsid w:val="000B2273"/>
    <w:rsid w:val="000B2585"/>
    <w:rsid w:val="000B2BC6"/>
    <w:rsid w:val="000B2D03"/>
    <w:rsid w:val="000B3815"/>
    <w:rsid w:val="000B3C7B"/>
    <w:rsid w:val="000B4321"/>
    <w:rsid w:val="000B552E"/>
    <w:rsid w:val="000B6A6B"/>
    <w:rsid w:val="000B6C95"/>
    <w:rsid w:val="000B79FC"/>
    <w:rsid w:val="000B7BD1"/>
    <w:rsid w:val="000C02B1"/>
    <w:rsid w:val="000C1679"/>
    <w:rsid w:val="000C1EE3"/>
    <w:rsid w:val="000C3AE7"/>
    <w:rsid w:val="000C3CC9"/>
    <w:rsid w:val="000C5ED6"/>
    <w:rsid w:val="000C6DE4"/>
    <w:rsid w:val="000C7202"/>
    <w:rsid w:val="000D0A89"/>
    <w:rsid w:val="000D0AFC"/>
    <w:rsid w:val="000D1389"/>
    <w:rsid w:val="000D1798"/>
    <w:rsid w:val="000D2626"/>
    <w:rsid w:val="000D291C"/>
    <w:rsid w:val="000D3FB6"/>
    <w:rsid w:val="000D411D"/>
    <w:rsid w:val="000D4589"/>
    <w:rsid w:val="000D4809"/>
    <w:rsid w:val="000D73DD"/>
    <w:rsid w:val="000E1C51"/>
    <w:rsid w:val="000E28AB"/>
    <w:rsid w:val="000E2E3E"/>
    <w:rsid w:val="000E3583"/>
    <w:rsid w:val="000E3AF0"/>
    <w:rsid w:val="000E4E04"/>
    <w:rsid w:val="000E693B"/>
    <w:rsid w:val="000E6EC9"/>
    <w:rsid w:val="000E70B4"/>
    <w:rsid w:val="000E7B62"/>
    <w:rsid w:val="000F0E1E"/>
    <w:rsid w:val="000F17E5"/>
    <w:rsid w:val="000F1A1B"/>
    <w:rsid w:val="000F2A95"/>
    <w:rsid w:val="000F3281"/>
    <w:rsid w:val="000F32FD"/>
    <w:rsid w:val="000F3733"/>
    <w:rsid w:val="000F439E"/>
    <w:rsid w:val="000F5F8B"/>
    <w:rsid w:val="000F6153"/>
    <w:rsid w:val="000F63C8"/>
    <w:rsid w:val="000F64AA"/>
    <w:rsid w:val="000F7AF4"/>
    <w:rsid w:val="000F7C33"/>
    <w:rsid w:val="000F7F0C"/>
    <w:rsid w:val="001004D6"/>
    <w:rsid w:val="00102676"/>
    <w:rsid w:val="00103646"/>
    <w:rsid w:val="00103918"/>
    <w:rsid w:val="00104897"/>
    <w:rsid w:val="00104EDE"/>
    <w:rsid w:val="00105CDA"/>
    <w:rsid w:val="00106BEE"/>
    <w:rsid w:val="00107C74"/>
    <w:rsid w:val="0011091C"/>
    <w:rsid w:val="00111266"/>
    <w:rsid w:val="001112EB"/>
    <w:rsid w:val="00112768"/>
    <w:rsid w:val="00113678"/>
    <w:rsid w:val="00113C3E"/>
    <w:rsid w:val="00115E11"/>
    <w:rsid w:val="00115EEE"/>
    <w:rsid w:val="00115F56"/>
    <w:rsid w:val="00116CA9"/>
    <w:rsid w:val="00116F38"/>
    <w:rsid w:val="001170A4"/>
    <w:rsid w:val="00117AE7"/>
    <w:rsid w:val="00117CBD"/>
    <w:rsid w:val="0012006A"/>
    <w:rsid w:val="00121979"/>
    <w:rsid w:val="00122064"/>
    <w:rsid w:val="00124341"/>
    <w:rsid w:val="00124492"/>
    <w:rsid w:val="00124B12"/>
    <w:rsid w:val="001250A0"/>
    <w:rsid w:val="001263B8"/>
    <w:rsid w:val="0012763E"/>
    <w:rsid w:val="00130217"/>
    <w:rsid w:val="00130783"/>
    <w:rsid w:val="00130A47"/>
    <w:rsid w:val="00130D7C"/>
    <w:rsid w:val="00132B47"/>
    <w:rsid w:val="001337F8"/>
    <w:rsid w:val="001348B4"/>
    <w:rsid w:val="001351CB"/>
    <w:rsid w:val="00135530"/>
    <w:rsid w:val="00135947"/>
    <w:rsid w:val="001359A2"/>
    <w:rsid w:val="00135F92"/>
    <w:rsid w:val="00136020"/>
    <w:rsid w:val="00136445"/>
    <w:rsid w:val="00140132"/>
    <w:rsid w:val="00141C9C"/>
    <w:rsid w:val="0014277F"/>
    <w:rsid w:val="001434BE"/>
    <w:rsid w:val="00144050"/>
    <w:rsid w:val="0014479F"/>
    <w:rsid w:val="001452B4"/>
    <w:rsid w:val="00145320"/>
    <w:rsid w:val="001476D3"/>
    <w:rsid w:val="001509CF"/>
    <w:rsid w:val="00150D1D"/>
    <w:rsid w:val="001525AA"/>
    <w:rsid w:val="00152A87"/>
    <w:rsid w:val="00153BB5"/>
    <w:rsid w:val="00154518"/>
    <w:rsid w:val="00156359"/>
    <w:rsid w:val="001568F3"/>
    <w:rsid w:val="00156DD6"/>
    <w:rsid w:val="0016086E"/>
    <w:rsid w:val="00160D0C"/>
    <w:rsid w:val="00161172"/>
    <w:rsid w:val="00161998"/>
    <w:rsid w:val="00161E65"/>
    <w:rsid w:val="00162597"/>
    <w:rsid w:val="001629AF"/>
    <w:rsid w:val="001629FD"/>
    <w:rsid w:val="0016428A"/>
    <w:rsid w:val="001647C9"/>
    <w:rsid w:val="001655B2"/>
    <w:rsid w:val="00165627"/>
    <w:rsid w:val="00165929"/>
    <w:rsid w:val="001661A3"/>
    <w:rsid w:val="00167226"/>
    <w:rsid w:val="0016782B"/>
    <w:rsid w:val="0016784D"/>
    <w:rsid w:val="00172CA8"/>
    <w:rsid w:val="00173256"/>
    <w:rsid w:val="00173B0E"/>
    <w:rsid w:val="00173E03"/>
    <w:rsid w:val="00174182"/>
    <w:rsid w:val="0017512C"/>
    <w:rsid w:val="0017586A"/>
    <w:rsid w:val="00175BA6"/>
    <w:rsid w:val="00176CA7"/>
    <w:rsid w:val="00176F8E"/>
    <w:rsid w:val="001778C5"/>
    <w:rsid w:val="00177E56"/>
    <w:rsid w:val="00177F0A"/>
    <w:rsid w:val="00180DA0"/>
    <w:rsid w:val="00181EAD"/>
    <w:rsid w:val="00181F43"/>
    <w:rsid w:val="00182862"/>
    <w:rsid w:val="00184F57"/>
    <w:rsid w:val="00185544"/>
    <w:rsid w:val="00185617"/>
    <w:rsid w:val="00186823"/>
    <w:rsid w:val="00186FE1"/>
    <w:rsid w:val="00187A14"/>
    <w:rsid w:val="0019171E"/>
    <w:rsid w:val="00192368"/>
    <w:rsid w:val="001923A0"/>
    <w:rsid w:val="001928B1"/>
    <w:rsid w:val="00193537"/>
    <w:rsid w:val="00193846"/>
    <w:rsid w:val="00194EC8"/>
    <w:rsid w:val="00195424"/>
    <w:rsid w:val="001955FF"/>
    <w:rsid w:val="00196D6E"/>
    <w:rsid w:val="00197EDD"/>
    <w:rsid w:val="001A02B3"/>
    <w:rsid w:val="001A04BB"/>
    <w:rsid w:val="001A08D0"/>
    <w:rsid w:val="001A1B39"/>
    <w:rsid w:val="001A2120"/>
    <w:rsid w:val="001A28C6"/>
    <w:rsid w:val="001A2E69"/>
    <w:rsid w:val="001A3C34"/>
    <w:rsid w:val="001A3EDE"/>
    <w:rsid w:val="001A4222"/>
    <w:rsid w:val="001A50EA"/>
    <w:rsid w:val="001A5BA2"/>
    <w:rsid w:val="001A5E24"/>
    <w:rsid w:val="001A6B27"/>
    <w:rsid w:val="001A6D8B"/>
    <w:rsid w:val="001A6DAA"/>
    <w:rsid w:val="001A7717"/>
    <w:rsid w:val="001A793A"/>
    <w:rsid w:val="001B125A"/>
    <w:rsid w:val="001B1EBA"/>
    <w:rsid w:val="001B2142"/>
    <w:rsid w:val="001B2F2B"/>
    <w:rsid w:val="001B327A"/>
    <w:rsid w:val="001B35DE"/>
    <w:rsid w:val="001B3A13"/>
    <w:rsid w:val="001B3F5C"/>
    <w:rsid w:val="001B59FF"/>
    <w:rsid w:val="001B6512"/>
    <w:rsid w:val="001B65D7"/>
    <w:rsid w:val="001B6752"/>
    <w:rsid w:val="001B6768"/>
    <w:rsid w:val="001B6F1F"/>
    <w:rsid w:val="001B7CD7"/>
    <w:rsid w:val="001B7ECC"/>
    <w:rsid w:val="001C025B"/>
    <w:rsid w:val="001C115F"/>
    <w:rsid w:val="001C1EAB"/>
    <w:rsid w:val="001C25A7"/>
    <w:rsid w:val="001C318C"/>
    <w:rsid w:val="001C35C4"/>
    <w:rsid w:val="001C4287"/>
    <w:rsid w:val="001C4479"/>
    <w:rsid w:val="001C5190"/>
    <w:rsid w:val="001C6081"/>
    <w:rsid w:val="001C6F1B"/>
    <w:rsid w:val="001C7B48"/>
    <w:rsid w:val="001D0CFB"/>
    <w:rsid w:val="001D1A0D"/>
    <w:rsid w:val="001D343C"/>
    <w:rsid w:val="001D34F5"/>
    <w:rsid w:val="001D56FC"/>
    <w:rsid w:val="001D58A1"/>
    <w:rsid w:val="001D58C2"/>
    <w:rsid w:val="001D5A8A"/>
    <w:rsid w:val="001D61CA"/>
    <w:rsid w:val="001D6E87"/>
    <w:rsid w:val="001D735E"/>
    <w:rsid w:val="001D73C8"/>
    <w:rsid w:val="001D7BC6"/>
    <w:rsid w:val="001E129E"/>
    <w:rsid w:val="001E175C"/>
    <w:rsid w:val="001E1B0E"/>
    <w:rsid w:val="001E3B63"/>
    <w:rsid w:val="001E522E"/>
    <w:rsid w:val="001E5A94"/>
    <w:rsid w:val="001E5F6F"/>
    <w:rsid w:val="001F0373"/>
    <w:rsid w:val="001F2A2E"/>
    <w:rsid w:val="001F2BB8"/>
    <w:rsid w:val="001F3356"/>
    <w:rsid w:val="001F3C63"/>
    <w:rsid w:val="001F4460"/>
    <w:rsid w:val="001F4F4F"/>
    <w:rsid w:val="001F711A"/>
    <w:rsid w:val="001F75B0"/>
    <w:rsid w:val="00200CE5"/>
    <w:rsid w:val="00200F7C"/>
    <w:rsid w:val="002014DB"/>
    <w:rsid w:val="0020150B"/>
    <w:rsid w:val="00201E12"/>
    <w:rsid w:val="002033B5"/>
    <w:rsid w:val="0020382C"/>
    <w:rsid w:val="0020437A"/>
    <w:rsid w:val="0020454C"/>
    <w:rsid w:val="00204740"/>
    <w:rsid w:val="00205129"/>
    <w:rsid w:val="0020521F"/>
    <w:rsid w:val="0020532C"/>
    <w:rsid w:val="0021060F"/>
    <w:rsid w:val="002114C7"/>
    <w:rsid w:val="0021302C"/>
    <w:rsid w:val="00213B1C"/>
    <w:rsid w:val="00214202"/>
    <w:rsid w:val="002148E3"/>
    <w:rsid w:val="00214FD7"/>
    <w:rsid w:val="0021552D"/>
    <w:rsid w:val="002156AE"/>
    <w:rsid w:val="00215E99"/>
    <w:rsid w:val="0022054D"/>
    <w:rsid w:val="00223DDB"/>
    <w:rsid w:val="00223FA4"/>
    <w:rsid w:val="00223FB0"/>
    <w:rsid w:val="00224067"/>
    <w:rsid w:val="0022421C"/>
    <w:rsid w:val="00224E83"/>
    <w:rsid w:val="00225664"/>
    <w:rsid w:val="0022663D"/>
    <w:rsid w:val="00227F2D"/>
    <w:rsid w:val="00230179"/>
    <w:rsid w:val="00231851"/>
    <w:rsid w:val="002319FB"/>
    <w:rsid w:val="00231B89"/>
    <w:rsid w:val="00231F11"/>
    <w:rsid w:val="00231F5E"/>
    <w:rsid w:val="002346B4"/>
    <w:rsid w:val="00234F6E"/>
    <w:rsid w:val="002355BE"/>
    <w:rsid w:val="002358EA"/>
    <w:rsid w:val="00236578"/>
    <w:rsid w:val="00236DE9"/>
    <w:rsid w:val="00237342"/>
    <w:rsid w:val="00237D5A"/>
    <w:rsid w:val="002415AE"/>
    <w:rsid w:val="00241D3C"/>
    <w:rsid w:val="00242109"/>
    <w:rsid w:val="00243189"/>
    <w:rsid w:val="002439AB"/>
    <w:rsid w:val="00243C19"/>
    <w:rsid w:val="00244AE8"/>
    <w:rsid w:val="00244DC9"/>
    <w:rsid w:val="00245587"/>
    <w:rsid w:val="00245F2B"/>
    <w:rsid w:val="00247F3A"/>
    <w:rsid w:val="00250122"/>
    <w:rsid w:val="00250755"/>
    <w:rsid w:val="0025097B"/>
    <w:rsid w:val="00250A51"/>
    <w:rsid w:val="00251043"/>
    <w:rsid w:val="00251C4A"/>
    <w:rsid w:val="0025271C"/>
    <w:rsid w:val="002529E4"/>
    <w:rsid w:val="002533CD"/>
    <w:rsid w:val="002535EA"/>
    <w:rsid w:val="00253CBA"/>
    <w:rsid w:val="00254EAB"/>
    <w:rsid w:val="002557AF"/>
    <w:rsid w:val="0025589C"/>
    <w:rsid w:val="00255B62"/>
    <w:rsid w:val="002566B1"/>
    <w:rsid w:val="002575E3"/>
    <w:rsid w:val="00257A74"/>
    <w:rsid w:val="002603C1"/>
    <w:rsid w:val="002609A1"/>
    <w:rsid w:val="002612B1"/>
    <w:rsid w:val="00266165"/>
    <w:rsid w:val="002662FE"/>
    <w:rsid w:val="00266F2C"/>
    <w:rsid w:val="0027125E"/>
    <w:rsid w:val="00271767"/>
    <w:rsid w:val="00271785"/>
    <w:rsid w:val="00272293"/>
    <w:rsid w:val="002723C8"/>
    <w:rsid w:val="00273C2A"/>
    <w:rsid w:val="00273CBE"/>
    <w:rsid w:val="002746B1"/>
    <w:rsid w:val="00274BAD"/>
    <w:rsid w:val="002754D6"/>
    <w:rsid w:val="00282D56"/>
    <w:rsid w:val="002835B0"/>
    <w:rsid w:val="00283C74"/>
    <w:rsid w:val="0028407E"/>
    <w:rsid w:val="0028410F"/>
    <w:rsid w:val="00284572"/>
    <w:rsid w:val="00285221"/>
    <w:rsid w:val="00286FB5"/>
    <w:rsid w:val="00287763"/>
    <w:rsid w:val="00287FCB"/>
    <w:rsid w:val="00290606"/>
    <w:rsid w:val="002909B2"/>
    <w:rsid w:val="00290A98"/>
    <w:rsid w:val="00291D6D"/>
    <w:rsid w:val="00291FF1"/>
    <w:rsid w:val="00292AA2"/>
    <w:rsid w:val="00293361"/>
    <w:rsid w:val="002952B1"/>
    <w:rsid w:val="00295D11"/>
    <w:rsid w:val="00296FB6"/>
    <w:rsid w:val="002A0001"/>
    <w:rsid w:val="002A0BD9"/>
    <w:rsid w:val="002A0C3A"/>
    <w:rsid w:val="002A1130"/>
    <w:rsid w:val="002A1880"/>
    <w:rsid w:val="002A23B7"/>
    <w:rsid w:val="002A3A57"/>
    <w:rsid w:val="002A4B4F"/>
    <w:rsid w:val="002A57A8"/>
    <w:rsid w:val="002A6DEF"/>
    <w:rsid w:val="002A6E42"/>
    <w:rsid w:val="002A770B"/>
    <w:rsid w:val="002B013E"/>
    <w:rsid w:val="002B058D"/>
    <w:rsid w:val="002B0A16"/>
    <w:rsid w:val="002B0C16"/>
    <w:rsid w:val="002B2AC5"/>
    <w:rsid w:val="002B3528"/>
    <w:rsid w:val="002B3539"/>
    <w:rsid w:val="002B4532"/>
    <w:rsid w:val="002B4625"/>
    <w:rsid w:val="002B5042"/>
    <w:rsid w:val="002B69CC"/>
    <w:rsid w:val="002B6D71"/>
    <w:rsid w:val="002C0C1C"/>
    <w:rsid w:val="002C54C2"/>
    <w:rsid w:val="002C5D34"/>
    <w:rsid w:val="002C5D7F"/>
    <w:rsid w:val="002C6009"/>
    <w:rsid w:val="002C60BB"/>
    <w:rsid w:val="002C661A"/>
    <w:rsid w:val="002D0D6F"/>
    <w:rsid w:val="002D25FC"/>
    <w:rsid w:val="002D4AC6"/>
    <w:rsid w:val="002D5BF5"/>
    <w:rsid w:val="002D5E31"/>
    <w:rsid w:val="002D5E95"/>
    <w:rsid w:val="002D5EE8"/>
    <w:rsid w:val="002D7360"/>
    <w:rsid w:val="002D7648"/>
    <w:rsid w:val="002D780A"/>
    <w:rsid w:val="002E109C"/>
    <w:rsid w:val="002E193E"/>
    <w:rsid w:val="002E1A94"/>
    <w:rsid w:val="002E1D55"/>
    <w:rsid w:val="002E26C4"/>
    <w:rsid w:val="002E30A5"/>
    <w:rsid w:val="002E47E4"/>
    <w:rsid w:val="002E4BF9"/>
    <w:rsid w:val="002E4D61"/>
    <w:rsid w:val="002E5FED"/>
    <w:rsid w:val="002E68A7"/>
    <w:rsid w:val="002E6E6C"/>
    <w:rsid w:val="002F0522"/>
    <w:rsid w:val="002F0B85"/>
    <w:rsid w:val="002F16DD"/>
    <w:rsid w:val="002F199D"/>
    <w:rsid w:val="002F1A1E"/>
    <w:rsid w:val="002F213C"/>
    <w:rsid w:val="002F2453"/>
    <w:rsid w:val="002F352D"/>
    <w:rsid w:val="002F381E"/>
    <w:rsid w:val="002F4084"/>
    <w:rsid w:val="002F4A08"/>
    <w:rsid w:val="002F4ADB"/>
    <w:rsid w:val="002F531E"/>
    <w:rsid w:val="002F548D"/>
    <w:rsid w:val="002F5ACC"/>
    <w:rsid w:val="002F704B"/>
    <w:rsid w:val="002F72C3"/>
    <w:rsid w:val="002F768C"/>
    <w:rsid w:val="002F7D1E"/>
    <w:rsid w:val="00300201"/>
    <w:rsid w:val="0030025A"/>
    <w:rsid w:val="00301ADC"/>
    <w:rsid w:val="00302EFC"/>
    <w:rsid w:val="00303243"/>
    <w:rsid w:val="00303BCC"/>
    <w:rsid w:val="00303F2B"/>
    <w:rsid w:val="00303F8D"/>
    <w:rsid w:val="0030572D"/>
    <w:rsid w:val="0030586A"/>
    <w:rsid w:val="003061E3"/>
    <w:rsid w:val="0030622D"/>
    <w:rsid w:val="00306811"/>
    <w:rsid w:val="00306F32"/>
    <w:rsid w:val="003074C5"/>
    <w:rsid w:val="00307A3C"/>
    <w:rsid w:val="00307FA4"/>
    <w:rsid w:val="00310290"/>
    <w:rsid w:val="0031083D"/>
    <w:rsid w:val="00310CC1"/>
    <w:rsid w:val="00311B60"/>
    <w:rsid w:val="00312504"/>
    <w:rsid w:val="00313026"/>
    <w:rsid w:val="00313913"/>
    <w:rsid w:val="0031421F"/>
    <w:rsid w:val="00314B31"/>
    <w:rsid w:val="00315A65"/>
    <w:rsid w:val="003165D7"/>
    <w:rsid w:val="0031683B"/>
    <w:rsid w:val="00317BA7"/>
    <w:rsid w:val="00320BE2"/>
    <w:rsid w:val="00321886"/>
    <w:rsid w:val="00323694"/>
    <w:rsid w:val="00323BE7"/>
    <w:rsid w:val="00324C3A"/>
    <w:rsid w:val="00324D63"/>
    <w:rsid w:val="003255AF"/>
    <w:rsid w:val="003256EB"/>
    <w:rsid w:val="003259DB"/>
    <w:rsid w:val="003314D9"/>
    <w:rsid w:val="00331653"/>
    <w:rsid w:val="00331A48"/>
    <w:rsid w:val="00331BCC"/>
    <w:rsid w:val="003330C9"/>
    <w:rsid w:val="0033364C"/>
    <w:rsid w:val="00334415"/>
    <w:rsid w:val="00335BCB"/>
    <w:rsid w:val="00335EA1"/>
    <w:rsid w:val="0033691E"/>
    <w:rsid w:val="00336A6A"/>
    <w:rsid w:val="00336CCB"/>
    <w:rsid w:val="003411D1"/>
    <w:rsid w:val="003416BA"/>
    <w:rsid w:val="00342148"/>
    <w:rsid w:val="00342F99"/>
    <w:rsid w:val="0034575A"/>
    <w:rsid w:val="00345F57"/>
    <w:rsid w:val="0034638A"/>
    <w:rsid w:val="00350458"/>
    <w:rsid w:val="00350DB4"/>
    <w:rsid w:val="00350E6C"/>
    <w:rsid w:val="003518A6"/>
    <w:rsid w:val="00351E7F"/>
    <w:rsid w:val="00352953"/>
    <w:rsid w:val="00354062"/>
    <w:rsid w:val="0035459E"/>
    <w:rsid w:val="00355C0D"/>
    <w:rsid w:val="003566A9"/>
    <w:rsid w:val="00356988"/>
    <w:rsid w:val="003569D3"/>
    <w:rsid w:val="00356CE9"/>
    <w:rsid w:val="003570BB"/>
    <w:rsid w:val="00357128"/>
    <w:rsid w:val="0035755E"/>
    <w:rsid w:val="00357A80"/>
    <w:rsid w:val="00361441"/>
    <w:rsid w:val="00361B8B"/>
    <w:rsid w:val="00363F39"/>
    <w:rsid w:val="0036445C"/>
    <w:rsid w:val="00364627"/>
    <w:rsid w:val="00364AB0"/>
    <w:rsid w:val="00364D71"/>
    <w:rsid w:val="003667B0"/>
    <w:rsid w:val="003667DD"/>
    <w:rsid w:val="00366B48"/>
    <w:rsid w:val="00367764"/>
    <w:rsid w:val="003701F7"/>
    <w:rsid w:val="00370316"/>
    <w:rsid w:val="00370DC7"/>
    <w:rsid w:val="00371CBD"/>
    <w:rsid w:val="00371F20"/>
    <w:rsid w:val="003721E3"/>
    <w:rsid w:val="00372B98"/>
    <w:rsid w:val="003737B7"/>
    <w:rsid w:val="003740CC"/>
    <w:rsid w:val="003745F4"/>
    <w:rsid w:val="00374AFA"/>
    <w:rsid w:val="00374E79"/>
    <w:rsid w:val="0037529A"/>
    <w:rsid w:val="00375388"/>
    <w:rsid w:val="00375FB9"/>
    <w:rsid w:val="00376170"/>
    <w:rsid w:val="00376851"/>
    <w:rsid w:val="00376FA2"/>
    <w:rsid w:val="00377A3B"/>
    <w:rsid w:val="00377E3C"/>
    <w:rsid w:val="00380BBE"/>
    <w:rsid w:val="00381D70"/>
    <w:rsid w:val="0038235E"/>
    <w:rsid w:val="003829D0"/>
    <w:rsid w:val="0038326A"/>
    <w:rsid w:val="0038444F"/>
    <w:rsid w:val="003861F0"/>
    <w:rsid w:val="00387051"/>
    <w:rsid w:val="00387ECF"/>
    <w:rsid w:val="0039021B"/>
    <w:rsid w:val="00390429"/>
    <w:rsid w:val="003906A0"/>
    <w:rsid w:val="0039366C"/>
    <w:rsid w:val="00393EC8"/>
    <w:rsid w:val="003950F5"/>
    <w:rsid w:val="0039538F"/>
    <w:rsid w:val="00395E42"/>
    <w:rsid w:val="00396409"/>
    <w:rsid w:val="00396A2D"/>
    <w:rsid w:val="00396FC3"/>
    <w:rsid w:val="003A1A94"/>
    <w:rsid w:val="003A204E"/>
    <w:rsid w:val="003A2D25"/>
    <w:rsid w:val="003A5728"/>
    <w:rsid w:val="003A60E7"/>
    <w:rsid w:val="003A7092"/>
    <w:rsid w:val="003A72A1"/>
    <w:rsid w:val="003A7611"/>
    <w:rsid w:val="003A7D1F"/>
    <w:rsid w:val="003B0B6A"/>
    <w:rsid w:val="003B22F7"/>
    <w:rsid w:val="003B29CF"/>
    <w:rsid w:val="003B3A90"/>
    <w:rsid w:val="003B534F"/>
    <w:rsid w:val="003B538A"/>
    <w:rsid w:val="003B5E4F"/>
    <w:rsid w:val="003B7A79"/>
    <w:rsid w:val="003C0FE1"/>
    <w:rsid w:val="003C151A"/>
    <w:rsid w:val="003C350C"/>
    <w:rsid w:val="003C3903"/>
    <w:rsid w:val="003C3BA0"/>
    <w:rsid w:val="003C4580"/>
    <w:rsid w:val="003C5C5E"/>
    <w:rsid w:val="003C6746"/>
    <w:rsid w:val="003C7555"/>
    <w:rsid w:val="003C7898"/>
    <w:rsid w:val="003D0FF5"/>
    <w:rsid w:val="003D11A3"/>
    <w:rsid w:val="003D1537"/>
    <w:rsid w:val="003D183C"/>
    <w:rsid w:val="003D2D1B"/>
    <w:rsid w:val="003D48C7"/>
    <w:rsid w:val="003D4C27"/>
    <w:rsid w:val="003D7109"/>
    <w:rsid w:val="003D7CE8"/>
    <w:rsid w:val="003E0514"/>
    <w:rsid w:val="003E1032"/>
    <w:rsid w:val="003E1904"/>
    <w:rsid w:val="003E285E"/>
    <w:rsid w:val="003E3124"/>
    <w:rsid w:val="003E3300"/>
    <w:rsid w:val="003E43D3"/>
    <w:rsid w:val="003E48E1"/>
    <w:rsid w:val="003E59BB"/>
    <w:rsid w:val="003E6225"/>
    <w:rsid w:val="003E65AC"/>
    <w:rsid w:val="003E66AE"/>
    <w:rsid w:val="003E72B9"/>
    <w:rsid w:val="003E7ED4"/>
    <w:rsid w:val="003F0E52"/>
    <w:rsid w:val="003F0F6B"/>
    <w:rsid w:val="003F1FC6"/>
    <w:rsid w:val="003F1FE3"/>
    <w:rsid w:val="003F2359"/>
    <w:rsid w:val="003F3865"/>
    <w:rsid w:val="003F3D55"/>
    <w:rsid w:val="003F44E2"/>
    <w:rsid w:val="003F4632"/>
    <w:rsid w:val="003F47BA"/>
    <w:rsid w:val="003F4FE6"/>
    <w:rsid w:val="003F5638"/>
    <w:rsid w:val="003F6617"/>
    <w:rsid w:val="00402332"/>
    <w:rsid w:val="004025C2"/>
    <w:rsid w:val="00403195"/>
    <w:rsid w:val="004033A9"/>
    <w:rsid w:val="00403E55"/>
    <w:rsid w:val="0040407C"/>
    <w:rsid w:val="0040416C"/>
    <w:rsid w:val="00404681"/>
    <w:rsid w:val="00405AC1"/>
    <w:rsid w:val="00406923"/>
    <w:rsid w:val="0040763D"/>
    <w:rsid w:val="00410D17"/>
    <w:rsid w:val="00413442"/>
    <w:rsid w:val="00413821"/>
    <w:rsid w:val="00413BA5"/>
    <w:rsid w:val="004141A3"/>
    <w:rsid w:val="00414909"/>
    <w:rsid w:val="0041582F"/>
    <w:rsid w:val="00416112"/>
    <w:rsid w:val="00416AC8"/>
    <w:rsid w:val="00417AE0"/>
    <w:rsid w:val="00417BAA"/>
    <w:rsid w:val="0042042B"/>
    <w:rsid w:val="00420B45"/>
    <w:rsid w:val="00420D7A"/>
    <w:rsid w:val="00421257"/>
    <w:rsid w:val="00422193"/>
    <w:rsid w:val="004223DE"/>
    <w:rsid w:val="00422A10"/>
    <w:rsid w:val="00424D17"/>
    <w:rsid w:val="00425DFD"/>
    <w:rsid w:val="004263A3"/>
    <w:rsid w:val="00427713"/>
    <w:rsid w:val="00427CCC"/>
    <w:rsid w:val="0043013A"/>
    <w:rsid w:val="00430421"/>
    <w:rsid w:val="00430A36"/>
    <w:rsid w:val="00430B4F"/>
    <w:rsid w:val="00431084"/>
    <w:rsid w:val="004310D7"/>
    <w:rsid w:val="004322D6"/>
    <w:rsid w:val="00432589"/>
    <w:rsid w:val="00432A94"/>
    <w:rsid w:val="00432C95"/>
    <w:rsid w:val="00433827"/>
    <w:rsid w:val="00433A40"/>
    <w:rsid w:val="00434B70"/>
    <w:rsid w:val="004360C8"/>
    <w:rsid w:val="004371D5"/>
    <w:rsid w:val="0044006B"/>
    <w:rsid w:val="0044033F"/>
    <w:rsid w:val="00440630"/>
    <w:rsid w:val="00441F0F"/>
    <w:rsid w:val="00442965"/>
    <w:rsid w:val="00443367"/>
    <w:rsid w:val="00444157"/>
    <w:rsid w:val="0044417C"/>
    <w:rsid w:val="00444DB3"/>
    <w:rsid w:val="00445617"/>
    <w:rsid w:val="00445A2F"/>
    <w:rsid w:val="0044684E"/>
    <w:rsid w:val="00446F22"/>
    <w:rsid w:val="0045019F"/>
    <w:rsid w:val="004503A4"/>
    <w:rsid w:val="00450555"/>
    <w:rsid w:val="004506FA"/>
    <w:rsid w:val="00450DC6"/>
    <w:rsid w:val="00450FDD"/>
    <w:rsid w:val="004516A5"/>
    <w:rsid w:val="00451E9C"/>
    <w:rsid w:val="0045280F"/>
    <w:rsid w:val="004535AE"/>
    <w:rsid w:val="0045444D"/>
    <w:rsid w:val="0045463A"/>
    <w:rsid w:val="00454AC9"/>
    <w:rsid w:val="00455050"/>
    <w:rsid w:val="004554A3"/>
    <w:rsid w:val="0045556F"/>
    <w:rsid w:val="00455A6E"/>
    <w:rsid w:val="00455EAD"/>
    <w:rsid w:val="00456783"/>
    <w:rsid w:val="004578EB"/>
    <w:rsid w:val="004604D5"/>
    <w:rsid w:val="00460697"/>
    <w:rsid w:val="0046117B"/>
    <w:rsid w:val="00464AB7"/>
    <w:rsid w:val="00465DE5"/>
    <w:rsid w:val="00467EF8"/>
    <w:rsid w:val="00472429"/>
    <w:rsid w:val="004725E5"/>
    <w:rsid w:val="00472751"/>
    <w:rsid w:val="00473128"/>
    <w:rsid w:val="00473263"/>
    <w:rsid w:val="00475078"/>
    <w:rsid w:val="00475767"/>
    <w:rsid w:val="004779A0"/>
    <w:rsid w:val="004808E3"/>
    <w:rsid w:val="00481016"/>
    <w:rsid w:val="0048204C"/>
    <w:rsid w:val="004821BB"/>
    <w:rsid w:val="004826FE"/>
    <w:rsid w:val="004827D5"/>
    <w:rsid w:val="00482AF2"/>
    <w:rsid w:val="004830C9"/>
    <w:rsid w:val="00483347"/>
    <w:rsid w:val="00483E2E"/>
    <w:rsid w:val="00484B69"/>
    <w:rsid w:val="00485406"/>
    <w:rsid w:val="0048590F"/>
    <w:rsid w:val="00486D60"/>
    <w:rsid w:val="00491FA1"/>
    <w:rsid w:val="00492A25"/>
    <w:rsid w:val="004938A3"/>
    <w:rsid w:val="0049558B"/>
    <w:rsid w:val="00496350"/>
    <w:rsid w:val="00496D31"/>
    <w:rsid w:val="0049797C"/>
    <w:rsid w:val="004A00E1"/>
    <w:rsid w:val="004A0943"/>
    <w:rsid w:val="004A1405"/>
    <w:rsid w:val="004A1FC6"/>
    <w:rsid w:val="004A2E5F"/>
    <w:rsid w:val="004A32EC"/>
    <w:rsid w:val="004A38C2"/>
    <w:rsid w:val="004A3C03"/>
    <w:rsid w:val="004A3DB7"/>
    <w:rsid w:val="004A5088"/>
    <w:rsid w:val="004A5255"/>
    <w:rsid w:val="004A6CB0"/>
    <w:rsid w:val="004A70FF"/>
    <w:rsid w:val="004A7EDE"/>
    <w:rsid w:val="004B0D93"/>
    <w:rsid w:val="004B1FA4"/>
    <w:rsid w:val="004B29AC"/>
    <w:rsid w:val="004B35DF"/>
    <w:rsid w:val="004B3627"/>
    <w:rsid w:val="004B4922"/>
    <w:rsid w:val="004B54AF"/>
    <w:rsid w:val="004B57DF"/>
    <w:rsid w:val="004B5976"/>
    <w:rsid w:val="004B7137"/>
    <w:rsid w:val="004B722E"/>
    <w:rsid w:val="004B72E8"/>
    <w:rsid w:val="004C01A5"/>
    <w:rsid w:val="004C0412"/>
    <w:rsid w:val="004C1142"/>
    <w:rsid w:val="004C2138"/>
    <w:rsid w:val="004C2333"/>
    <w:rsid w:val="004C3940"/>
    <w:rsid w:val="004C51FD"/>
    <w:rsid w:val="004C65A8"/>
    <w:rsid w:val="004C65C8"/>
    <w:rsid w:val="004C6689"/>
    <w:rsid w:val="004D139A"/>
    <w:rsid w:val="004D14DC"/>
    <w:rsid w:val="004D17C6"/>
    <w:rsid w:val="004D2858"/>
    <w:rsid w:val="004D2E49"/>
    <w:rsid w:val="004D35BA"/>
    <w:rsid w:val="004D38E5"/>
    <w:rsid w:val="004D3C5A"/>
    <w:rsid w:val="004D449A"/>
    <w:rsid w:val="004D4701"/>
    <w:rsid w:val="004D47C7"/>
    <w:rsid w:val="004D4F35"/>
    <w:rsid w:val="004D5D45"/>
    <w:rsid w:val="004D618D"/>
    <w:rsid w:val="004D62A9"/>
    <w:rsid w:val="004D6FC3"/>
    <w:rsid w:val="004D7476"/>
    <w:rsid w:val="004D7716"/>
    <w:rsid w:val="004E0306"/>
    <w:rsid w:val="004E0572"/>
    <w:rsid w:val="004E06D5"/>
    <w:rsid w:val="004E1641"/>
    <w:rsid w:val="004E1818"/>
    <w:rsid w:val="004E1990"/>
    <w:rsid w:val="004E25A8"/>
    <w:rsid w:val="004E3930"/>
    <w:rsid w:val="004E3ED9"/>
    <w:rsid w:val="004E5866"/>
    <w:rsid w:val="004E6097"/>
    <w:rsid w:val="004E61EF"/>
    <w:rsid w:val="004E63C6"/>
    <w:rsid w:val="004E76A7"/>
    <w:rsid w:val="004E7B03"/>
    <w:rsid w:val="004F0064"/>
    <w:rsid w:val="004F06AC"/>
    <w:rsid w:val="004F1D2A"/>
    <w:rsid w:val="004F243F"/>
    <w:rsid w:val="004F252C"/>
    <w:rsid w:val="004F36A3"/>
    <w:rsid w:val="004F3E0C"/>
    <w:rsid w:val="004F4308"/>
    <w:rsid w:val="004F7160"/>
    <w:rsid w:val="00500258"/>
    <w:rsid w:val="00500B2D"/>
    <w:rsid w:val="00501A99"/>
    <w:rsid w:val="00503180"/>
    <w:rsid w:val="005038A4"/>
    <w:rsid w:val="00505450"/>
    <w:rsid w:val="00505CC4"/>
    <w:rsid w:val="005100B7"/>
    <w:rsid w:val="005113C9"/>
    <w:rsid w:val="00512050"/>
    <w:rsid w:val="00512055"/>
    <w:rsid w:val="0051280C"/>
    <w:rsid w:val="00512842"/>
    <w:rsid w:val="005128BE"/>
    <w:rsid w:val="0051356F"/>
    <w:rsid w:val="00513E7C"/>
    <w:rsid w:val="005140BB"/>
    <w:rsid w:val="00514FBE"/>
    <w:rsid w:val="00514FD9"/>
    <w:rsid w:val="0051550A"/>
    <w:rsid w:val="0051608F"/>
    <w:rsid w:val="00520EF8"/>
    <w:rsid w:val="005210F7"/>
    <w:rsid w:val="00521753"/>
    <w:rsid w:val="0052239D"/>
    <w:rsid w:val="005224EE"/>
    <w:rsid w:val="005225F6"/>
    <w:rsid w:val="005227DE"/>
    <w:rsid w:val="00522879"/>
    <w:rsid w:val="00523BB1"/>
    <w:rsid w:val="0052570E"/>
    <w:rsid w:val="005260CD"/>
    <w:rsid w:val="00526265"/>
    <w:rsid w:val="0052655D"/>
    <w:rsid w:val="005265E0"/>
    <w:rsid w:val="00526BC3"/>
    <w:rsid w:val="00531761"/>
    <w:rsid w:val="0053248F"/>
    <w:rsid w:val="0053332A"/>
    <w:rsid w:val="0053358A"/>
    <w:rsid w:val="00534668"/>
    <w:rsid w:val="00534DDD"/>
    <w:rsid w:val="00535291"/>
    <w:rsid w:val="00535A94"/>
    <w:rsid w:val="00537874"/>
    <w:rsid w:val="0053795F"/>
    <w:rsid w:val="00537D3D"/>
    <w:rsid w:val="00540511"/>
    <w:rsid w:val="00540578"/>
    <w:rsid w:val="00540808"/>
    <w:rsid w:val="0054080E"/>
    <w:rsid w:val="00540EA1"/>
    <w:rsid w:val="0054358E"/>
    <w:rsid w:val="00543AF4"/>
    <w:rsid w:val="00544191"/>
    <w:rsid w:val="0054440C"/>
    <w:rsid w:val="005448EC"/>
    <w:rsid w:val="00544C0A"/>
    <w:rsid w:val="00544F39"/>
    <w:rsid w:val="00546F90"/>
    <w:rsid w:val="00547EFB"/>
    <w:rsid w:val="005522F2"/>
    <w:rsid w:val="005531DF"/>
    <w:rsid w:val="00553874"/>
    <w:rsid w:val="00554577"/>
    <w:rsid w:val="00554AD8"/>
    <w:rsid w:val="00554F78"/>
    <w:rsid w:val="00555DA1"/>
    <w:rsid w:val="00556BF7"/>
    <w:rsid w:val="00557F60"/>
    <w:rsid w:val="00561730"/>
    <w:rsid w:val="00561B97"/>
    <w:rsid w:val="00562149"/>
    <w:rsid w:val="00567B5D"/>
    <w:rsid w:val="005706D5"/>
    <w:rsid w:val="00570757"/>
    <w:rsid w:val="00573733"/>
    <w:rsid w:val="00573F8B"/>
    <w:rsid w:val="00574554"/>
    <w:rsid w:val="00574E06"/>
    <w:rsid w:val="005751BB"/>
    <w:rsid w:val="00576089"/>
    <w:rsid w:val="005764B1"/>
    <w:rsid w:val="00576852"/>
    <w:rsid w:val="00576D06"/>
    <w:rsid w:val="00577287"/>
    <w:rsid w:val="005779E4"/>
    <w:rsid w:val="00577F9F"/>
    <w:rsid w:val="00580093"/>
    <w:rsid w:val="00580EC7"/>
    <w:rsid w:val="00581132"/>
    <w:rsid w:val="0058289C"/>
    <w:rsid w:val="005836C7"/>
    <w:rsid w:val="0058408E"/>
    <w:rsid w:val="00585374"/>
    <w:rsid w:val="005854CA"/>
    <w:rsid w:val="00585FAB"/>
    <w:rsid w:val="00590B77"/>
    <w:rsid w:val="00590D9A"/>
    <w:rsid w:val="005913A3"/>
    <w:rsid w:val="005940D4"/>
    <w:rsid w:val="00594A7B"/>
    <w:rsid w:val="0059580E"/>
    <w:rsid w:val="00595D90"/>
    <w:rsid w:val="00596A6F"/>
    <w:rsid w:val="00596FCE"/>
    <w:rsid w:val="005A11BC"/>
    <w:rsid w:val="005A1525"/>
    <w:rsid w:val="005A1E17"/>
    <w:rsid w:val="005A232F"/>
    <w:rsid w:val="005A252B"/>
    <w:rsid w:val="005A2A8F"/>
    <w:rsid w:val="005A3204"/>
    <w:rsid w:val="005A3341"/>
    <w:rsid w:val="005A3C3D"/>
    <w:rsid w:val="005A46EC"/>
    <w:rsid w:val="005A5EAE"/>
    <w:rsid w:val="005A6407"/>
    <w:rsid w:val="005A726C"/>
    <w:rsid w:val="005B07EC"/>
    <w:rsid w:val="005B222F"/>
    <w:rsid w:val="005B2B11"/>
    <w:rsid w:val="005B32A4"/>
    <w:rsid w:val="005B3371"/>
    <w:rsid w:val="005B338D"/>
    <w:rsid w:val="005B36D7"/>
    <w:rsid w:val="005B3BAF"/>
    <w:rsid w:val="005B4DA3"/>
    <w:rsid w:val="005B5362"/>
    <w:rsid w:val="005B5BEE"/>
    <w:rsid w:val="005B77D2"/>
    <w:rsid w:val="005C019B"/>
    <w:rsid w:val="005C08D0"/>
    <w:rsid w:val="005C1AED"/>
    <w:rsid w:val="005C30F5"/>
    <w:rsid w:val="005C51A5"/>
    <w:rsid w:val="005C557A"/>
    <w:rsid w:val="005C566F"/>
    <w:rsid w:val="005C5C47"/>
    <w:rsid w:val="005C61DD"/>
    <w:rsid w:val="005C6438"/>
    <w:rsid w:val="005C6B8B"/>
    <w:rsid w:val="005C727F"/>
    <w:rsid w:val="005D02E3"/>
    <w:rsid w:val="005D1F34"/>
    <w:rsid w:val="005D2C1F"/>
    <w:rsid w:val="005D2DE8"/>
    <w:rsid w:val="005D34B2"/>
    <w:rsid w:val="005D3B54"/>
    <w:rsid w:val="005D40CD"/>
    <w:rsid w:val="005D6B59"/>
    <w:rsid w:val="005D784B"/>
    <w:rsid w:val="005E03E4"/>
    <w:rsid w:val="005E0454"/>
    <w:rsid w:val="005E05F6"/>
    <w:rsid w:val="005E068E"/>
    <w:rsid w:val="005E2442"/>
    <w:rsid w:val="005E3111"/>
    <w:rsid w:val="005E3F85"/>
    <w:rsid w:val="005E4A5F"/>
    <w:rsid w:val="005E57B0"/>
    <w:rsid w:val="005E5B01"/>
    <w:rsid w:val="005E6D3B"/>
    <w:rsid w:val="005F009E"/>
    <w:rsid w:val="005F0DF1"/>
    <w:rsid w:val="005F1516"/>
    <w:rsid w:val="005F229E"/>
    <w:rsid w:val="005F2564"/>
    <w:rsid w:val="005F2D0F"/>
    <w:rsid w:val="005F368B"/>
    <w:rsid w:val="005F3822"/>
    <w:rsid w:val="005F4635"/>
    <w:rsid w:val="005F4900"/>
    <w:rsid w:val="005F4E52"/>
    <w:rsid w:val="005F6D58"/>
    <w:rsid w:val="005F7383"/>
    <w:rsid w:val="0060058E"/>
    <w:rsid w:val="00601F77"/>
    <w:rsid w:val="00602A3C"/>
    <w:rsid w:val="00603E47"/>
    <w:rsid w:val="00603EFD"/>
    <w:rsid w:val="0060475B"/>
    <w:rsid w:val="00604BED"/>
    <w:rsid w:val="00604FB6"/>
    <w:rsid w:val="00605387"/>
    <w:rsid w:val="00606302"/>
    <w:rsid w:val="006076FD"/>
    <w:rsid w:val="0061143F"/>
    <w:rsid w:val="006114D8"/>
    <w:rsid w:val="00613553"/>
    <w:rsid w:val="00613601"/>
    <w:rsid w:val="00613791"/>
    <w:rsid w:val="006150D6"/>
    <w:rsid w:val="00615245"/>
    <w:rsid w:val="0061590D"/>
    <w:rsid w:val="0061641E"/>
    <w:rsid w:val="00617EEE"/>
    <w:rsid w:val="00620A1F"/>
    <w:rsid w:val="006214DE"/>
    <w:rsid w:val="0062169D"/>
    <w:rsid w:val="0062181E"/>
    <w:rsid w:val="0062211B"/>
    <w:rsid w:val="00622BB7"/>
    <w:rsid w:val="00622C1E"/>
    <w:rsid w:val="00623389"/>
    <w:rsid w:val="00623DAA"/>
    <w:rsid w:val="00623FAF"/>
    <w:rsid w:val="006265C4"/>
    <w:rsid w:val="0062678A"/>
    <w:rsid w:val="006270AF"/>
    <w:rsid w:val="00627A44"/>
    <w:rsid w:val="00634367"/>
    <w:rsid w:val="00640082"/>
    <w:rsid w:val="00640291"/>
    <w:rsid w:val="00640EFE"/>
    <w:rsid w:val="00641D6D"/>
    <w:rsid w:val="00641FAC"/>
    <w:rsid w:val="00643664"/>
    <w:rsid w:val="00643CAA"/>
    <w:rsid w:val="00644F16"/>
    <w:rsid w:val="006455EB"/>
    <w:rsid w:val="006456C2"/>
    <w:rsid w:val="00645A65"/>
    <w:rsid w:val="006463B2"/>
    <w:rsid w:val="006477F0"/>
    <w:rsid w:val="006478E4"/>
    <w:rsid w:val="00650091"/>
    <w:rsid w:val="0065171A"/>
    <w:rsid w:val="00652680"/>
    <w:rsid w:val="00653CDE"/>
    <w:rsid w:val="00654585"/>
    <w:rsid w:val="00655AB6"/>
    <w:rsid w:val="00656281"/>
    <w:rsid w:val="0065636A"/>
    <w:rsid w:val="00657003"/>
    <w:rsid w:val="00660238"/>
    <w:rsid w:val="006602EF"/>
    <w:rsid w:val="00661277"/>
    <w:rsid w:val="006619E0"/>
    <w:rsid w:val="00663FEA"/>
    <w:rsid w:val="00664803"/>
    <w:rsid w:val="006657C5"/>
    <w:rsid w:val="006661A4"/>
    <w:rsid w:val="00666AC0"/>
    <w:rsid w:val="006670E0"/>
    <w:rsid w:val="006671B8"/>
    <w:rsid w:val="00667275"/>
    <w:rsid w:val="00667532"/>
    <w:rsid w:val="0066783E"/>
    <w:rsid w:val="00667E53"/>
    <w:rsid w:val="006711C4"/>
    <w:rsid w:val="006713AB"/>
    <w:rsid w:val="00672CA5"/>
    <w:rsid w:val="00673711"/>
    <w:rsid w:val="00673F82"/>
    <w:rsid w:val="00674F74"/>
    <w:rsid w:val="0067508F"/>
    <w:rsid w:val="00677576"/>
    <w:rsid w:val="0068051E"/>
    <w:rsid w:val="00680B9D"/>
    <w:rsid w:val="00681F13"/>
    <w:rsid w:val="0068231C"/>
    <w:rsid w:val="00682344"/>
    <w:rsid w:val="00682F28"/>
    <w:rsid w:val="00683515"/>
    <w:rsid w:val="00684842"/>
    <w:rsid w:val="0068576A"/>
    <w:rsid w:val="006859AA"/>
    <w:rsid w:val="00685BD6"/>
    <w:rsid w:val="00687116"/>
    <w:rsid w:val="006878A6"/>
    <w:rsid w:val="00687D5F"/>
    <w:rsid w:val="00690437"/>
    <w:rsid w:val="00690DC3"/>
    <w:rsid w:val="00690E65"/>
    <w:rsid w:val="006911B7"/>
    <w:rsid w:val="00691387"/>
    <w:rsid w:val="0069188E"/>
    <w:rsid w:val="00691974"/>
    <w:rsid w:val="00692BF6"/>
    <w:rsid w:val="00692CE6"/>
    <w:rsid w:val="00693186"/>
    <w:rsid w:val="00693381"/>
    <w:rsid w:val="00693B6C"/>
    <w:rsid w:val="006942AE"/>
    <w:rsid w:val="00695421"/>
    <w:rsid w:val="00697BD3"/>
    <w:rsid w:val="00697DFA"/>
    <w:rsid w:val="006A16D5"/>
    <w:rsid w:val="006A1740"/>
    <w:rsid w:val="006A1772"/>
    <w:rsid w:val="006A1780"/>
    <w:rsid w:val="006A17DA"/>
    <w:rsid w:val="006A21DD"/>
    <w:rsid w:val="006A26C6"/>
    <w:rsid w:val="006A3302"/>
    <w:rsid w:val="006A3B28"/>
    <w:rsid w:val="006A4FEE"/>
    <w:rsid w:val="006A703E"/>
    <w:rsid w:val="006A7BE3"/>
    <w:rsid w:val="006A7D32"/>
    <w:rsid w:val="006B01D1"/>
    <w:rsid w:val="006B0DF4"/>
    <w:rsid w:val="006B0E2B"/>
    <w:rsid w:val="006B16EA"/>
    <w:rsid w:val="006B1780"/>
    <w:rsid w:val="006B224E"/>
    <w:rsid w:val="006B376E"/>
    <w:rsid w:val="006B4589"/>
    <w:rsid w:val="006B610E"/>
    <w:rsid w:val="006B643B"/>
    <w:rsid w:val="006B6805"/>
    <w:rsid w:val="006B6DE0"/>
    <w:rsid w:val="006C16C3"/>
    <w:rsid w:val="006C2187"/>
    <w:rsid w:val="006C32F4"/>
    <w:rsid w:val="006C3C54"/>
    <w:rsid w:val="006C4B6B"/>
    <w:rsid w:val="006C4F9F"/>
    <w:rsid w:val="006C71A2"/>
    <w:rsid w:val="006C73EC"/>
    <w:rsid w:val="006D0C1D"/>
    <w:rsid w:val="006D2E9D"/>
    <w:rsid w:val="006D4A4E"/>
    <w:rsid w:val="006D4C42"/>
    <w:rsid w:val="006D5389"/>
    <w:rsid w:val="006D5809"/>
    <w:rsid w:val="006D607E"/>
    <w:rsid w:val="006D6781"/>
    <w:rsid w:val="006D6E12"/>
    <w:rsid w:val="006D70CB"/>
    <w:rsid w:val="006D715C"/>
    <w:rsid w:val="006D7363"/>
    <w:rsid w:val="006D774E"/>
    <w:rsid w:val="006D7EA2"/>
    <w:rsid w:val="006E0754"/>
    <w:rsid w:val="006E10BB"/>
    <w:rsid w:val="006E2668"/>
    <w:rsid w:val="006E2D39"/>
    <w:rsid w:val="006E32B0"/>
    <w:rsid w:val="006E348E"/>
    <w:rsid w:val="006E396A"/>
    <w:rsid w:val="006E3D63"/>
    <w:rsid w:val="006E58BF"/>
    <w:rsid w:val="006E5DD8"/>
    <w:rsid w:val="006E5EA1"/>
    <w:rsid w:val="006E6DEE"/>
    <w:rsid w:val="006E7D4B"/>
    <w:rsid w:val="006F0760"/>
    <w:rsid w:val="006F11E2"/>
    <w:rsid w:val="006F2574"/>
    <w:rsid w:val="006F3221"/>
    <w:rsid w:val="006F3231"/>
    <w:rsid w:val="006F3DE3"/>
    <w:rsid w:val="006F4787"/>
    <w:rsid w:val="006F5C43"/>
    <w:rsid w:val="006F61D8"/>
    <w:rsid w:val="006F62B7"/>
    <w:rsid w:val="006F70BC"/>
    <w:rsid w:val="006F734B"/>
    <w:rsid w:val="006F7E7C"/>
    <w:rsid w:val="007003D6"/>
    <w:rsid w:val="0070174E"/>
    <w:rsid w:val="007018DB"/>
    <w:rsid w:val="00701DE6"/>
    <w:rsid w:val="00702740"/>
    <w:rsid w:val="0070381B"/>
    <w:rsid w:val="007076DD"/>
    <w:rsid w:val="0070796C"/>
    <w:rsid w:val="007109BB"/>
    <w:rsid w:val="00710EBF"/>
    <w:rsid w:val="007110B8"/>
    <w:rsid w:val="0071209F"/>
    <w:rsid w:val="007125A2"/>
    <w:rsid w:val="00713DD9"/>
    <w:rsid w:val="00713F79"/>
    <w:rsid w:val="007148A8"/>
    <w:rsid w:val="00716AC8"/>
    <w:rsid w:val="00716E54"/>
    <w:rsid w:val="00717421"/>
    <w:rsid w:val="0072033C"/>
    <w:rsid w:val="00720B1B"/>
    <w:rsid w:val="00721062"/>
    <w:rsid w:val="00721E5D"/>
    <w:rsid w:val="007229D4"/>
    <w:rsid w:val="007230F8"/>
    <w:rsid w:val="007233F4"/>
    <w:rsid w:val="00724044"/>
    <w:rsid w:val="007248D3"/>
    <w:rsid w:val="00724DF8"/>
    <w:rsid w:val="00725137"/>
    <w:rsid w:val="00725378"/>
    <w:rsid w:val="00725573"/>
    <w:rsid w:val="00727A43"/>
    <w:rsid w:val="00727FF2"/>
    <w:rsid w:val="00730550"/>
    <w:rsid w:val="00730C2A"/>
    <w:rsid w:val="00731434"/>
    <w:rsid w:val="00731E59"/>
    <w:rsid w:val="007323E0"/>
    <w:rsid w:val="00732911"/>
    <w:rsid w:val="00733721"/>
    <w:rsid w:val="00733DE2"/>
    <w:rsid w:val="007352EA"/>
    <w:rsid w:val="0073625F"/>
    <w:rsid w:val="0073792F"/>
    <w:rsid w:val="00740C81"/>
    <w:rsid w:val="00740DA6"/>
    <w:rsid w:val="00741B4B"/>
    <w:rsid w:val="00741D1E"/>
    <w:rsid w:val="00741DD6"/>
    <w:rsid w:val="00741EE2"/>
    <w:rsid w:val="0074207F"/>
    <w:rsid w:val="00742367"/>
    <w:rsid w:val="00742EAA"/>
    <w:rsid w:val="00743360"/>
    <w:rsid w:val="00743818"/>
    <w:rsid w:val="00743857"/>
    <w:rsid w:val="007441FB"/>
    <w:rsid w:val="00744517"/>
    <w:rsid w:val="0074522A"/>
    <w:rsid w:val="00747295"/>
    <w:rsid w:val="00747829"/>
    <w:rsid w:val="00747DE2"/>
    <w:rsid w:val="007504BF"/>
    <w:rsid w:val="007506CD"/>
    <w:rsid w:val="0075267F"/>
    <w:rsid w:val="007526EC"/>
    <w:rsid w:val="007527F7"/>
    <w:rsid w:val="00753C48"/>
    <w:rsid w:val="00753ED8"/>
    <w:rsid w:val="00754250"/>
    <w:rsid w:val="00754FE4"/>
    <w:rsid w:val="00755216"/>
    <w:rsid w:val="00756236"/>
    <w:rsid w:val="00756271"/>
    <w:rsid w:val="00756348"/>
    <w:rsid w:val="00756521"/>
    <w:rsid w:val="00756AB7"/>
    <w:rsid w:val="0076106D"/>
    <w:rsid w:val="007623FB"/>
    <w:rsid w:val="00762517"/>
    <w:rsid w:val="00763240"/>
    <w:rsid w:val="0076376A"/>
    <w:rsid w:val="007648AD"/>
    <w:rsid w:val="0076504E"/>
    <w:rsid w:val="007660F4"/>
    <w:rsid w:val="00767BFD"/>
    <w:rsid w:val="00767EA0"/>
    <w:rsid w:val="0077068F"/>
    <w:rsid w:val="00771EDF"/>
    <w:rsid w:val="00772A90"/>
    <w:rsid w:val="00772F8D"/>
    <w:rsid w:val="0077408D"/>
    <w:rsid w:val="00774270"/>
    <w:rsid w:val="007743F6"/>
    <w:rsid w:val="00775679"/>
    <w:rsid w:val="0077574F"/>
    <w:rsid w:val="00775823"/>
    <w:rsid w:val="00775EEA"/>
    <w:rsid w:val="007777CC"/>
    <w:rsid w:val="00777B32"/>
    <w:rsid w:val="0078051E"/>
    <w:rsid w:val="00780B59"/>
    <w:rsid w:val="00781089"/>
    <w:rsid w:val="007838F3"/>
    <w:rsid w:val="007856FE"/>
    <w:rsid w:val="00785F46"/>
    <w:rsid w:val="007865F4"/>
    <w:rsid w:val="00786D5C"/>
    <w:rsid w:val="00786E96"/>
    <w:rsid w:val="00787DFF"/>
    <w:rsid w:val="00787F93"/>
    <w:rsid w:val="00791E6D"/>
    <w:rsid w:val="00791EB5"/>
    <w:rsid w:val="00791FF2"/>
    <w:rsid w:val="00793696"/>
    <w:rsid w:val="007955DA"/>
    <w:rsid w:val="00796F65"/>
    <w:rsid w:val="007A11C2"/>
    <w:rsid w:val="007A18BB"/>
    <w:rsid w:val="007A1BC2"/>
    <w:rsid w:val="007A27DD"/>
    <w:rsid w:val="007A41BF"/>
    <w:rsid w:val="007A490A"/>
    <w:rsid w:val="007A7B95"/>
    <w:rsid w:val="007B0297"/>
    <w:rsid w:val="007B02FA"/>
    <w:rsid w:val="007B0F53"/>
    <w:rsid w:val="007B21AE"/>
    <w:rsid w:val="007B2570"/>
    <w:rsid w:val="007B3113"/>
    <w:rsid w:val="007B3304"/>
    <w:rsid w:val="007B7490"/>
    <w:rsid w:val="007C0525"/>
    <w:rsid w:val="007C13F7"/>
    <w:rsid w:val="007C218D"/>
    <w:rsid w:val="007C2D28"/>
    <w:rsid w:val="007C3E22"/>
    <w:rsid w:val="007C5B90"/>
    <w:rsid w:val="007C6218"/>
    <w:rsid w:val="007C6484"/>
    <w:rsid w:val="007C67C6"/>
    <w:rsid w:val="007C78BE"/>
    <w:rsid w:val="007C7E59"/>
    <w:rsid w:val="007D0476"/>
    <w:rsid w:val="007D0B91"/>
    <w:rsid w:val="007D1386"/>
    <w:rsid w:val="007D1452"/>
    <w:rsid w:val="007D3DCB"/>
    <w:rsid w:val="007D460C"/>
    <w:rsid w:val="007D4996"/>
    <w:rsid w:val="007D4AD3"/>
    <w:rsid w:val="007D5D19"/>
    <w:rsid w:val="007D5FDC"/>
    <w:rsid w:val="007D6176"/>
    <w:rsid w:val="007D6D68"/>
    <w:rsid w:val="007E32DA"/>
    <w:rsid w:val="007E4998"/>
    <w:rsid w:val="007E4A9C"/>
    <w:rsid w:val="007E6914"/>
    <w:rsid w:val="007E7884"/>
    <w:rsid w:val="007E7F78"/>
    <w:rsid w:val="007F0179"/>
    <w:rsid w:val="007F2C13"/>
    <w:rsid w:val="007F2CEC"/>
    <w:rsid w:val="007F3435"/>
    <w:rsid w:val="007F4BBE"/>
    <w:rsid w:val="007F55DE"/>
    <w:rsid w:val="007F762D"/>
    <w:rsid w:val="007F78F0"/>
    <w:rsid w:val="007F78FF"/>
    <w:rsid w:val="008001C5"/>
    <w:rsid w:val="00800F6C"/>
    <w:rsid w:val="00801065"/>
    <w:rsid w:val="00802C0B"/>
    <w:rsid w:val="008051FC"/>
    <w:rsid w:val="008055A9"/>
    <w:rsid w:val="008056C4"/>
    <w:rsid w:val="008057FD"/>
    <w:rsid w:val="00805D8B"/>
    <w:rsid w:val="00810A63"/>
    <w:rsid w:val="00810BB6"/>
    <w:rsid w:val="00810E8E"/>
    <w:rsid w:val="008124BC"/>
    <w:rsid w:val="00812C44"/>
    <w:rsid w:val="008135E1"/>
    <w:rsid w:val="00813779"/>
    <w:rsid w:val="00813E26"/>
    <w:rsid w:val="0081481D"/>
    <w:rsid w:val="00814BE8"/>
    <w:rsid w:val="00814F6E"/>
    <w:rsid w:val="00815363"/>
    <w:rsid w:val="00815B84"/>
    <w:rsid w:val="00816BE9"/>
    <w:rsid w:val="0082027C"/>
    <w:rsid w:val="00822518"/>
    <w:rsid w:val="008226F5"/>
    <w:rsid w:val="00823FC6"/>
    <w:rsid w:val="00824306"/>
    <w:rsid w:val="00825B58"/>
    <w:rsid w:val="00825C74"/>
    <w:rsid w:val="00825CFA"/>
    <w:rsid w:val="00826AB9"/>
    <w:rsid w:val="00826E0E"/>
    <w:rsid w:val="00827D11"/>
    <w:rsid w:val="00827E0F"/>
    <w:rsid w:val="00827F6E"/>
    <w:rsid w:val="00831352"/>
    <w:rsid w:val="00831758"/>
    <w:rsid w:val="008317D9"/>
    <w:rsid w:val="0083279F"/>
    <w:rsid w:val="008334DB"/>
    <w:rsid w:val="00833B7F"/>
    <w:rsid w:val="00833E8E"/>
    <w:rsid w:val="00834906"/>
    <w:rsid w:val="00836075"/>
    <w:rsid w:val="00836417"/>
    <w:rsid w:val="00836A3E"/>
    <w:rsid w:val="00837526"/>
    <w:rsid w:val="00837AF8"/>
    <w:rsid w:val="008407A7"/>
    <w:rsid w:val="008424B5"/>
    <w:rsid w:val="0084322B"/>
    <w:rsid w:val="00843F81"/>
    <w:rsid w:val="00844087"/>
    <w:rsid w:val="00844526"/>
    <w:rsid w:val="008448F1"/>
    <w:rsid w:val="0084519E"/>
    <w:rsid w:val="00845CAE"/>
    <w:rsid w:val="00846370"/>
    <w:rsid w:val="008477E7"/>
    <w:rsid w:val="00847C2B"/>
    <w:rsid w:val="00850272"/>
    <w:rsid w:val="008506B9"/>
    <w:rsid w:val="00851822"/>
    <w:rsid w:val="00851DE4"/>
    <w:rsid w:val="008532BF"/>
    <w:rsid w:val="008539B2"/>
    <w:rsid w:val="00853BF4"/>
    <w:rsid w:val="00854294"/>
    <w:rsid w:val="0085572E"/>
    <w:rsid w:val="00856D46"/>
    <w:rsid w:val="0085788B"/>
    <w:rsid w:val="00857A9E"/>
    <w:rsid w:val="00857DE2"/>
    <w:rsid w:val="00863A8E"/>
    <w:rsid w:val="0086407F"/>
    <w:rsid w:val="008645E3"/>
    <w:rsid w:val="00864E79"/>
    <w:rsid w:val="008655D2"/>
    <w:rsid w:val="0086661F"/>
    <w:rsid w:val="00866A0D"/>
    <w:rsid w:val="00866DB5"/>
    <w:rsid w:val="0086701D"/>
    <w:rsid w:val="0086702B"/>
    <w:rsid w:val="008672E2"/>
    <w:rsid w:val="0086784E"/>
    <w:rsid w:val="0087121C"/>
    <w:rsid w:val="00871FD2"/>
    <w:rsid w:val="00872084"/>
    <w:rsid w:val="00872827"/>
    <w:rsid w:val="00872A32"/>
    <w:rsid w:val="00874911"/>
    <w:rsid w:val="008754E4"/>
    <w:rsid w:val="00876EAE"/>
    <w:rsid w:val="00877B8F"/>
    <w:rsid w:val="00880106"/>
    <w:rsid w:val="00880F95"/>
    <w:rsid w:val="00882B44"/>
    <w:rsid w:val="008838AD"/>
    <w:rsid w:val="008864B3"/>
    <w:rsid w:val="008865E5"/>
    <w:rsid w:val="008871B0"/>
    <w:rsid w:val="00890B57"/>
    <w:rsid w:val="008916BA"/>
    <w:rsid w:val="0089217C"/>
    <w:rsid w:val="00892790"/>
    <w:rsid w:val="008931DA"/>
    <w:rsid w:val="00893671"/>
    <w:rsid w:val="008946DC"/>
    <w:rsid w:val="00895838"/>
    <w:rsid w:val="00895A1E"/>
    <w:rsid w:val="00895A72"/>
    <w:rsid w:val="00895CDF"/>
    <w:rsid w:val="00896679"/>
    <w:rsid w:val="00896D8C"/>
    <w:rsid w:val="008A05A7"/>
    <w:rsid w:val="008A0FC9"/>
    <w:rsid w:val="008A1956"/>
    <w:rsid w:val="008A1A7C"/>
    <w:rsid w:val="008A2CE2"/>
    <w:rsid w:val="008A40D3"/>
    <w:rsid w:val="008A469C"/>
    <w:rsid w:val="008A51D1"/>
    <w:rsid w:val="008A5DCE"/>
    <w:rsid w:val="008A75D3"/>
    <w:rsid w:val="008B00D4"/>
    <w:rsid w:val="008B05DD"/>
    <w:rsid w:val="008B07B8"/>
    <w:rsid w:val="008B17E8"/>
    <w:rsid w:val="008B2E7C"/>
    <w:rsid w:val="008B321A"/>
    <w:rsid w:val="008B399A"/>
    <w:rsid w:val="008B45F0"/>
    <w:rsid w:val="008B4A70"/>
    <w:rsid w:val="008B502F"/>
    <w:rsid w:val="008B6DFC"/>
    <w:rsid w:val="008B7227"/>
    <w:rsid w:val="008C02FB"/>
    <w:rsid w:val="008C04E0"/>
    <w:rsid w:val="008C191C"/>
    <w:rsid w:val="008C1DA4"/>
    <w:rsid w:val="008C29B0"/>
    <w:rsid w:val="008C2CD5"/>
    <w:rsid w:val="008C3618"/>
    <w:rsid w:val="008C39E7"/>
    <w:rsid w:val="008C43AD"/>
    <w:rsid w:val="008C6118"/>
    <w:rsid w:val="008C6341"/>
    <w:rsid w:val="008C731F"/>
    <w:rsid w:val="008C74D9"/>
    <w:rsid w:val="008D03C2"/>
    <w:rsid w:val="008D12FB"/>
    <w:rsid w:val="008D3B2D"/>
    <w:rsid w:val="008D58D9"/>
    <w:rsid w:val="008D5AD4"/>
    <w:rsid w:val="008D695E"/>
    <w:rsid w:val="008D6DD5"/>
    <w:rsid w:val="008D6E59"/>
    <w:rsid w:val="008D7155"/>
    <w:rsid w:val="008D76E0"/>
    <w:rsid w:val="008E09F2"/>
    <w:rsid w:val="008E0B29"/>
    <w:rsid w:val="008E141A"/>
    <w:rsid w:val="008E1A44"/>
    <w:rsid w:val="008E1E55"/>
    <w:rsid w:val="008E28E6"/>
    <w:rsid w:val="008E3232"/>
    <w:rsid w:val="008E3674"/>
    <w:rsid w:val="008E3B6C"/>
    <w:rsid w:val="008E3DE7"/>
    <w:rsid w:val="008E562C"/>
    <w:rsid w:val="008E6540"/>
    <w:rsid w:val="008E6D26"/>
    <w:rsid w:val="008E77D4"/>
    <w:rsid w:val="008E7ADD"/>
    <w:rsid w:val="008F091F"/>
    <w:rsid w:val="008F17B2"/>
    <w:rsid w:val="008F22B3"/>
    <w:rsid w:val="008F357B"/>
    <w:rsid w:val="008F44CA"/>
    <w:rsid w:val="008F49D3"/>
    <w:rsid w:val="008F62C1"/>
    <w:rsid w:val="008F6519"/>
    <w:rsid w:val="008F7012"/>
    <w:rsid w:val="008F7ADA"/>
    <w:rsid w:val="008F7B17"/>
    <w:rsid w:val="00900042"/>
    <w:rsid w:val="0090034B"/>
    <w:rsid w:val="00901121"/>
    <w:rsid w:val="00902623"/>
    <w:rsid w:val="00902A67"/>
    <w:rsid w:val="00902C5E"/>
    <w:rsid w:val="00904BE4"/>
    <w:rsid w:val="0090504A"/>
    <w:rsid w:val="009051F5"/>
    <w:rsid w:val="00905221"/>
    <w:rsid w:val="009052F5"/>
    <w:rsid w:val="00905A7C"/>
    <w:rsid w:val="00905D7E"/>
    <w:rsid w:val="00907037"/>
    <w:rsid w:val="0091112C"/>
    <w:rsid w:val="0091160A"/>
    <w:rsid w:val="00912E04"/>
    <w:rsid w:val="00913258"/>
    <w:rsid w:val="00913851"/>
    <w:rsid w:val="00913BB0"/>
    <w:rsid w:val="0091456C"/>
    <w:rsid w:val="00914C58"/>
    <w:rsid w:val="0091564D"/>
    <w:rsid w:val="009156DA"/>
    <w:rsid w:val="00915774"/>
    <w:rsid w:val="00916BC5"/>
    <w:rsid w:val="0091726A"/>
    <w:rsid w:val="00917C01"/>
    <w:rsid w:val="00920184"/>
    <w:rsid w:val="00920EA4"/>
    <w:rsid w:val="00921792"/>
    <w:rsid w:val="00921BEA"/>
    <w:rsid w:val="009227BE"/>
    <w:rsid w:val="009238FD"/>
    <w:rsid w:val="00923998"/>
    <w:rsid w:val="00923DB4"/>
    <w:rsid w:val="0092420B"/>
    <w:rsid w:val="0092430E"/>
    <w:rsid w:val="00924570"/>
    <w:rsid w:val="00926112"/>
    <w:rsid w:val="0092625F"/>
    <w:rsid w:val="00926B28"/>
    <w:rsid w:val="00926D9C"/>
    <w:rsid w:val="00927028"/>
    <w:rsid w:val="00927763"/>
    <w:rsid w:val="00927A2D"/>
    <w:rsid w:val="00927B37"/>
    <w:rsid w:val="00931917"/>
    <w:rsid w:val="009321B1"/>
    <w:rsid w:val="00932ED7"/>
    <w:rsid w:val="009333CF"/>
    <w:rsid w:val="0093422D"/>
    <w:rsid w:val="0093483B"/>
    <w:rsid w:val="00934CF9"/>
    <w:rsid w:val="00934DD7"/>
    <w:rsid w:val="009369A9"/>
    <w:rsid w:val="00936CF7"/>
    <w:rsid w:val="00937783"/>
    <w:rsid w:val="00937EAD"/>
    <w:rsid w:val="00937F28"/>
    <w:rsid w:val="00940FE1"/>
    <w:rsid w:val="00942306"/>
    <w:rsid w:val="00942384"/>
    <w:rsid w:val="009424B8"/>
    <w:rsid w:val="00944668"/>
    <w:rsid w:val="00944DC6"/>
    <w:rsid w:val="009458B0"/>
    <w:rsid w:val="00945B52"/>
    <w:rsid w:val="00945B7A"/>
    <w:rsid w:val="00945F05"/>
    <w:rsid w:val="00946348"/>
    <w:rsid w:val="00947797"/>
    <w:rsid w:val="009478A2"/>
    <w:rsid w:val="00953808"/>
    <w:rsid w:val="009539A6"/>
    <w:rsid w:val="00954032"/>
    <w:rsid w:val="00954537"/>
    <w:rsid w:val="0095472D"/>
    <w:rsid w:val="00955FBB"/>
    <w:rsid w:val="0095694B"/>
    <w:rsid w:val="00956BD5"/>
    <w:rsid w:val="00956D84"/>
    <w:rsid w:val="009577B5"/>
    <w:rsid w:val="00960110"/>
    <w:rsid w:val="009608E6"/>
    <w:rsid w:val="00960F57"/>
    <w:rsid w:val="00961C90"/>
    <w:rsid w:val="00965443"/>
    <w:rsid w:val="00965954"/>
    <w:rsid w:val="00965A21"/>
    <w:rsid w:val="00965E55"/>
    <w:rsid w:val="0096608E"/>
    <w:rsid w:val="00966522"/>
    <w:rsid w:val="00966C33"/>
    <w:rsid w:val="00966FCB"/>
    <w:rsid w:val="00967285"/>
    <w:rsid w:val="00970F18"/>
    <w:rsid w:val="00971CF1"/>
    <w:rsid w:val="00971F5D"/>
    <w:rsid w:val="009721E9"/>
    <w:rsid w:val="00973772"/>
    <w:rsid w:val="0097471B"/>
    <w:rsid w:val="0097560A"/>
    <w:rsid w:val="00975E1E"/>
    <w:rsid w:val="00975E70"/>
    <w:rsid w:val="009761DE"/>
    <w:rsid w:val="009766FA"/>
    <w:rsid w:val="00977CD6"/>
    <w:rsid w:val="0098048B"/>
    <w:rsid w:val="00980DF9"/>
    <w:rsid w:val="00981150"/>
    <w:rsid w:val="0098243D"/>
    <w:rsid w:val="00982D26"/>
    <w:rsid w:val="00983B6E"/>
    <w:rsid w:val="00983FE5"/>
    <w:rsid w:val="009849E9"/>
    <w:rsid w:val="009859E4"/>
    <w:rsid w:val="00987812"/>
    <w:rsid w:val="00990225"/>
    <w:rsid w:val="00992A13"/>
    <w:rsid w:val="00994AAD"/>
    <w:rsid w:val="00994DE1"/>
    <w:rsid w:val="00995150"/>
    <w:rsid w:val="00995D67"/>
    <w:rsid w:val="009A013B"/>
    <w:rsid w:val="009A02F4"/>
    <w:rsid w:val="009A06BF"/>
    <w:rsid w:val="009A0D17"/>
    <w:rsid w:val="009A2494"/>
    <w:rsid w:val="009A32B1"/>
    <w:rsid w:val="009A33A3"/>
    <w:rsid w:val="009A36F2"/>
    <w:rsid w:val="009A40C3"/>
    <w:rsid w:val="009A40D5"/>
    <w:rsid w:val="009A57D0"/>
    <w:rsid w:val="009A6559"/>
    <w:rsid w:val="009A68FC"/>
    <w:rsid w:val="009A6CE4"/>
    <w:rsid w:val="009A7514"/>
    <w:rsid w:val="009A7E7A"/>
    <w:rsid w:val="009B1584"/>
    <w:rsid w:val="009B183D"/>
    <w:rsid w:val="009B18F0"/>
    <w:rsid w:val="009B1F4C"/>
    <w:rsid w:val="009B2471"/>
    <w:rsid w:val="009B314F"/>
    <w:rsid w:val="009B439C"/>
    <w:rsid w:val="009B46BC"/>
    <w:rsid w:val="009B49A1"/>
    <w:rsid w:val="009B4A6C"/>
    <w:rsid w:val="009B4DA8"/>
    <w:rsid w:val="009B519A"/>
    <w:rsid w:val="009B620C"/>
    <w:rsid w:val="009B6753"/>
    <w:rsid w:val="009B676C"/>
    <w:rsid w:val="009B6A26"/>
    <w:rsid w:val="009C079D"/>
    <w:rsid w:val="009C0D70"/>
    <w:rsid w:val="009C13D1"/>
    <w:rsid w:val="009C2913"/>
    <w:rsid w:val="009C2BD4"/>
    <w:rsid w:val="009C5AFE"/>
    <w:rsid w:val="009C6606"/>
    <w:rsid w:val="009C6CE5"/>
    <w:rsid w:val="009C6D50"/>
    <w:rsid w:val="009C7547"/>
    <w:rsid w:val="009D02AA"/>
    <w:rsid w:val="009D05EC"/>
    <w:rsid w:val="009D18D4"/>
    <w:rsid w:val="009D2F60"/>
    <w:rsid w:val="009D3A2E"/>
    <w:rsid w:val="009D5ADE"/>
    <w:rsid w:val="009D5BAC"/>
    <w:rsid w:val="009D5C56"/>
    <w:rsid w:val="009D6265"/>
    <w:rsid w:val="009D64BD"/>
    <w:rsid w:val="009D6CB1"/>
    <w:rsid w:val="009E0286"/>
    <w:rsid w:val="009E153F"/>
    <w:rsid w:val="009E322A"/>
    <w:rsid w:val="009E393E"/>
    <w:rsid w:val="009E444E"/>
    <w:rsid w:val="009E4968"/>
    <w:rsid w:val="009E663C"/>
    <w:rsid w:val="009E684A"/>
    <w:rsid w:val="009E6BB1"/>
    <w:rsid w:val="009E6E14"/>
    <w:rsid w:val="009E794A"/>
    <w:rsid w:val="009E7C14"/>
    <w:rsid w:val="009F0494"/>
    <w:rsid w:val="009F0CD9"/>
    <w:rsid w:val="009F1A79"/>
    <w:rsid w:val="009F1F57"/>
    <w:rsid w:val="009F259A"/>
    <w:rsid w:val="009F2DDD"/>
    <w:rsid w:val="009F3447"/>
    <w:rsid w:val="009F65F4"/>
    <w:rsid w:val="009F676B"/>
    <w:rsid w:val="009F6D2D"/>
    <w:rsid w:val="009F6D54"/>
    <w:rsid w:val="00A0010C"/>
    <w:rsid w:val="00A004DF"/>
    <w:rsid w:val="00A00FD5"/>
    <w:rsid w:val="00A012C0"/>
    <w:rsid w:val="00A019A8"/>
    <w:rsid w:val="00A01B03"/>
    <w:rsid w:val="00A01B89"/>
    <w:rsid w:val="00A02C66"/>
    <w:rsid w:val="00A02C84"/>
    <w:rsid w:val="00A03DFA"/>
    <w:rsid w:val="00A0464C"/>
    <w:rsid w:val="00A050BB"/>
    <w:rsid w:val="00A054E0"/>
    <w:rsid w:val="00A05D91"/>
    <w:rsid w:val="00A0740B"/>
    <w:rsid w:val="00A07ED3"/>
    <w:rsid w:val="00A10CA8"/>
    <w:rsid w:val="00A11042"/>
    <w:rsid w:val="00A12579"/>
    <w:rsid w:val="00A133D8"/>
    <w:rsid w:val="00A15655"/>
    <w:rsid w:val="00A160B0"/>
    <w:rsid w:val="00A1740C"/>
    <w:rsid w:val="00A20069"/>
    <w:rsid w:val="00A2244D"/>
    <w:rsid w:val="00A2253D"/>
    <w:rsid w:val="00A2267F"/>
    <w:rsid w:val="00A22CDB"/>
    <w:rsid w:val="00A247B8"/>
    <w:rsid w:val="00A2495A"/>
    <w:rsid w:val="00A24C7A"/>
    <w:rsid w:val="00A24D8F"/>
    <w:rsid w:val="00A250DD"/>
    <w:rsid w:val="00A25B8B"/>
    <w:rsid w:val="00A25C5D"/>
    <w:rsid w:val="00A2689F"/>
    <w:rsid w:val="00A26ECA"/>
    <w:rsid w:val="00A26EFD"/>
    <w:rsid w:val="00A27461"/>
    <w:rsid w:val="00A27D67"/>
    <w:rsid w:val="00A30ABC"/>
    <w:rsid w:val="00A33B74"/>
    <w:rsid w:val="00A3467F"/>
    <w:rsid w:val="00A34B4C"/>
    <w:rsid w:val="00A35030"/>
    <w:rsid w:val="00A3551A"/>
    <w:rsid w:val="00A366A0"/>
    <w:rsid w:val="00A37209"/>
    <w:rsid w:val="00A37584"/>
    <w:rsid w:val="00A376E8"/>
    <w:rsid w:val="00A37F8E"/>
    <w:rsid w:val="00A41537"/>
    <w:rsid w:val="00A41737"/>
    <w:rsid w:val="00A42B8F"/>
    <w:rsid w:val="00A42D8E"/>
    <w:rsid w:val="00A43254"/>
    <w:rsid w:val="00A43896"/>
    <w:rsid w:val="00A43A26"/>
    <w:rsid w:val="00A447A0"/>
    <w:rsid w:val="00A459F5"/>
    <w:rsid w:val="00A45FC0"/>
    <w:rsid w:val="00A46B74"/>
    <w:rsid w:val="00A47ECC"/>
    <w:rsid w:val="00A50171"/>
    <w:rsid w:val="00A504FA"/>
    <w:rsid w:val="00A5102E"/>
    <w:rsid w:val="00A5132E"/>
    <w:rsid w:val="00A51375"/>
    <w:rsid w:val="00A51533"/>
    <w:rsid w:val="00A531D4"/>
    <w:rsid w:val="00A54572"/>
    <w:rsid w:val="00A575B8"/>
    <w:rsid w:val="00A60155"/>
    <w:rsid w:val="00A61C60"/>
    <w:rsid w:val="00A61ECB"/>
    <w:rsid w:val="00A6410C"/>
    <w:rsid w:val="00A647B1"/>
    <w:rsid w:val="00A64DEF"/>
    <w:rsid w:val="00A654D2"/>
    <w:rsid w:val="00A665DF"/>
    <w:rsid w:val="00A67928"/>
    <w:rsid w:val="00A67FCC"/>
    <w:rsid w:val="00A70AA5"/>
    <w:rsid w:val="00A70C03"/>
    <w:rsid w:val="00A71256"/>
    <w:rsid w:val="00A7217B"/>
    <w:rsid w:val="00A73861"/>
    <w:rsid w:val="00A739A6"/>
    <w:rsid w:val="00A740ED"/>
    <w:rsid w:val="00A74C29"/>
    <w:rsid w:val="00A74C62"/>
    <w:rsid w:val="00A75DF5"/>
    <w:rsid w:val="00A75EF9"/>
    <w:rsid w:val="00A8311C"/>
    <w:rsid w:val="00A835D0"/>
    <w:rsid w:val="00A84C5F"/>
    <w:rsid w:val="00A85930"/>
    <w:rsid w:val="00A863F7"/>
    <w:rsid w:val="00A86604"/>
    <w:rsid w:val="00A87519"/>
    <w:rsid w:val="00A9246D"/>
    <w:rsid w:val="00A92CCA"/>
    <w:rsid w:val="00A93BD0"/>
    <w:rsid w:val="00A93CC2"/>
    <w:rsid w:val="00A974CC"/>
    <w:rsid w:val="00AA1067"/>
    <w:rsid w:val="00AA2001"/>
    <w:rsid w:val="00AA2B5C"/>
    <w:rsid w:val="00AA32D2"/>
    <w:rsid w:val="00AA4016"/>
    <w:rsid w:val="00AA4C1F"/>
    <w:rsid w:val="00AA5328"/>
    <w:rsid w:val="00AA5393"/>
    <w:rsid w:val="00AA63D4"/>
    <w:rsid w:val="00AB03FD"/>
    <w:rsid w:val="00AB2000"/>
    <w:rsid w:val="00AB2E94"/>
    <w:rsid w:val="00AB38CB"/>
    <w:rsid w:val="00AB3BEC"/>
    <w:rsid w:val="00AB44E4"/>
    <w:rsid w:val="00AB4AEB"/>
    <w:rsid w:val="00AB4E5F"/>
    <w:rsid w:val="00AB5256"/>
    <w:rsid w:val="00AB5352"/>
    <w:rsid w:val="00AB56AE"/>
    <w:rsid w:val="00AB62D5"/>
    <w:rsid w:val="00AB65B5"/>
    <w:rsid w:val="00AB6DCD"/>
    <w:rsid w:val="00AB6EE0"/>
    <w:rsid w:val="00AC17A2"/>
    <w:rsid w:val="00AC18CD"/>
    <w:rsid w:val="00AC3581"/>
    <w:rsid w:val="00AC40B7"/>
    <w:rsid w:val="00AC531F"/>
    <w:rsid w:val="00AC5B36"/>
    <w:rsid w:val="00AC6377"/>
    <w:rsid w:val="00AC66A4"/>
    <w:rsid w:val="00AC6CB1"/>
    <w:rsid w:val="00AC7D6D"/>
    <w:rsid w:val="00AD0091"/>
    <w:rsid w:val="00AD23EF"/>
    <w:rsid w:val="00AD2662"/>
    <w:rsid w:val="00AD307B"/>
    <w:rsid w:val="00AD4014"/>
    <w:rsid w:val="00AD41B3"/>
    <w:rsid w:val="00AD42F3"/>
    <w:rsid w:val="00AD5721"/>
    <w:rsid w:val="00AD5C4D"/>
    <w:rsid w:val="00AD69F0"/>
    <w:rsid w:val="00AD7127"/>
    <w:rsid w:val="00AD730C"/>
    <w:rsid w:val="00AD7795"/>
    <w:rsid w:val="00AE123A"/>
    <w:rsid w:val="00AE1539"/>
    <w:rsid w:val="00AE28A7"/>
    <w:rsid w:val="00AE2A98"/>
    <w:rsid w:val="00AE2CF2"/>
    <w:rsid w:val="00AE3012"/>
    <w:rsid w:val="00AE33A6"/>
    <w:rsid w:val="00AE3729"/>
    <w:rsid w:val="00AE4138"/>
    <w:rsid w:val="00AE4CCE"/>
    <w:rsid w:val="00AE5C6A"/>
    <w:rsid w:val="00AE6317"/>
    <w:rsid w:val="00AE6B62"/>
    <w:rsid w:val="00AE7280"/>
    <w:rsid w:val="00AF033A"/>
    <w:rsid w:val="00AF1699"/>
    <w:rsid w:val="00AF1FD3"/>
    <w:rsid w:val="00AF2910"/>
    <w:rsid w:val="00AF34B8"/>
    <w:rsid w:val="00AF3896"/>
    <w:rsid w:val="00AF3FC2"/>
    <w:rsid w:val="00AF48DB"/>
    <w:rsid w:val="00B0098A"/>
    <w:rsid w:val="00B00A5F"/>
    <w:rsid w:val="00B00F89"/>
    <w:rsid w:val="00B029B8"/>
    <w:rsid w:val="00B02F60"/>
    <w:rsid w:val="00B032B8"/>
    <w:rsid w:val="00B04721"/>
    <w:rsid w:val="00B04B15"/>
    <w:rsid w:val="00B04B46"/>
    <w:rsid w:val="00B0534D"/>
    <w:rsid w:val="00B05685"/>
    <w:rsid w:val="00B05F9F"/>
    <w:rsid w:val="00B06368"/>
    <w:rsid w:val="00B068DA"/>
    <w:rsid w:val="00B06A00"/>
    <w:rsid w:val="00B06FC6"/>
    <w:rsid w:val="00B074C9"/>
    <w:rsid w:val="00B07D9D"/>
    <w:rsid w:val="00B11AE5"/>
    <w:rsid w:val="00B12FE6"/>
    <w:rsid w:val="00B1303F"/>
    <w:rsid w:val="00B1364A"/>
    <w:rsid w:val="00B13859"/>
    <w:rsid w:val="00B13EC9"/>
    <w:rsid w:val="00B14319"/>
    <w:rsid w:val="00B14A06"/>
    <w:rsid w:val="00B158E1"/>
    <w:rsid w:val="00B16715"/>
    <w:rsid w:val="00B1768E"/>
    <w:rsid w:val="00B17910"/>
    <w:rsid w:val="00B20F18"/>
    <w:rsid w:val="00B21516"/>
    <w:rsid w:val="00B21A37"/>
    <w:rsid w:val="00B21D23"/>
    <w:rsid w:val="00B21F62"/>
    <w:rsid w:val="00B22CE0"/>
    <w:rsid w:val="00B23738"/>
    <w:rsid w:val="00B23BEF"/>
    <w:rsid w:val="00B247BB"/>
    <w:rsid w:val="00B24F86"/>
    <w:rsid w:val="00B2504A"/>
    <w:rsid w:val="00B25EE6"/>
    <w:rsid w:val="00B3115A"/>
    <w:rsid w:val="00B31825"/>
    <w:rsid w:val="00B31A5C"/>
    <w:rsid w:val="00B33B06"/>
    <w:rsid w:val="00B33C19"/>
    <w:rsid w:val="00B35A15"/>
    <w:rsid w:val="00B35B45"/>
    <w:rsid w:val="00B36A99"/>
    <w:rsid w:val="00B42264"/>
    <w:rsid w:val="00B434B2"/>
    <w:rsid w:val="00B43D45"/>
    <w:rsid w:val="00B451FC"/>
    <w:rsid w:val="00B468F2"/>
    <w:rsid w:val="00B469DE"/>
    <w:rsid w:val="00B47286"/>
    <w:rsid w:val="00B50234"/>
    <w:rsid w:val="00B51BF4"/>
    <w:rsid w:val="00B52C68"/>
    <w:rsid w:val="00B5372B"/>
    <w:rsid w:val="00B542FE"/>
    <w:rsid w:val="00B55A1B"/>
    <w:rsid w:val="00B561DB"/>
    <w:rsid w:val="00B56DF9"/>
    <w:rsid w:val="00B600BD"/>
    <w:rsid w:val="00B61274"/>
    <w:rsid w:val="00B61DCE"/>
    <w:rsid w:val="00B62188"/>
    <w:rsid w:val="00B62F79"/>
    <w:rsid w:val="00B62F82"/>
    <w:rsid w:val="00B6306A"/>
    <w:rsid w:val="00B635E3"/>
    <w:rsid w:val="00B653D7"/>
    <w:rsid w:val="00B662FF"/>
    <w:rsid w:val="00B66679"/>
    <w:rsid w:val="00B70145"/>
    <w:rsid w:val="00B71A92"/>
    <w:rsid w:val="00B721D8"/>
    <w:rsid w:val="00B730CA"/>
    <w:rsid w:val="00B747C5"/>
    <w:rsid w:val="00B74F2F"/>
    <w:rsid w:val="00B753ED"/>
    <w:rsid w:val="00B769BC"/>
    <w:rsid w:val="00B77349"/>
    <w:rsid w:val="00B7761E"/>
    <w:rsid w:val="00B80A3D"/>
    <w:rsid w:val="00B80B04"/>
    <w:rsid w:val="00B8127B"/>
    <w:rsid w:val="00B819E5"/>
    <w:rsid w:val="00B821E4"/>
    <w:rsid w:val="00B823E0"/>
    <w:rsid w:val="00B8260D"/>
    <w:rsid w:val="00B82B78"/>
    <w:rsid w:val="00B845B4"/>
    <w:rsid w:val="00B84662"/>
    <w:rsid w:val="00B84C74"/>
    <w:rsid w:val="00B85191"/>
    <w:rsid w:val="00B858A1"/>
    <w:rsid w:val="00B85FEC"/>
    <w:rsid w:val="00B864A3"/>
    <w:rsid w:val="00B86C2A"/>
    <w:rsid w:val="00B878BE"/>
    <w:rsid w:val="00B902A5"/>
    <w:rsid w:val="00B90420"/>
    <w:rsid w:val="00B90848"/>
    <w:rsid w:val="00B91146"/>
    <w:rsid w:val="00B913E4"/>
    <w:rsid w:val="00B91DB9"/>
    <w:rsid w:val="00B91FF3"/>
    <w:rsid w:val="00B93EFE"/>
    <w:rsid w:val="00B944B9"/>
    <w:rsid w:val="00B94956"/>
    <w:rsid w:val="00B94C7F"/>
    <w:rsid w:val="00B94E93"/>
    <w:rsid w:val="00B956B5"/>
    <w:rsid w:val="00B96DF2"/>
    <w:rsid w:val="00B96E18"/>
    <w:rsid w:val="00B96F5A"/>
    <w:rsid w:val="00BA0B39"/>
    <w:rsid w:val="00BA0CB2"/>
    <w:rsid w:val="00BA0E26"/>
    <w:rsid w:val="00BA1310"/>
    <w:rsid w:val="00BA138B"/>
    <w:rsid w:val="00BA305B"/>
    <w:rsid w:val="00BA31BF"/>
    <w:rsid w:val="00BA3FC7"/>
    <w:rsid w:val="00BA478B"/>
    <w:rsid w:val="00BA5224"/>
    <w:rsid w:val="00BA575E"/>
    <w:rsid w:val="00BA76B7"/>
    <w:rsid w:val="00BA7E3B"/>
    <w:rsid w:val="00BB078D"/>
    <w:rsid w:val="00BB079C"/>
    <w:rsid w:val="00BB0D7A"/>
    <w:rsid w:val="00BB10E1"/>
    <w:rsid w:val="00BB2471"/>
    <w:rsid w:val="00BB25B8"/>
    <w:rsid w:val="00BB3035"/>
    <w:rsid w:val="00BB39C1"/>
    <w:rsid w:val="00BB3DF5"/>
    <w:rsid w:val="00BB5D16"/>
    <w:rsid w:val="00BB6180"/>
    <w:rsid w:val="00BB69E6"/>
    <w:rsid w:val="00BB7BE5"/>
    <w:rsid w:val="00BC08BD"/>
    <w:rsid w:val="00BC11E8"/>
    <w:rsid w:val="00BC1B7A"/>
    <w:rsid w:val="00BC2C17"/>
    <w:rsid w:val="00BC3ACD"/>
    <w:rsid w:val="00BC3B20"/>
    <w:rsid w:val="00BC3EE4"/>
    <w:rsid w:val="00BC588C"/>
    <w:rsid w:val="00BC62F4"/>
    <w:rsid w:val="00BC6E73"/>
    <w:rsid w:val="00BC74D3"/>
    <w:rsid w:val="00BD0014"/>
    <w:rsid w:val="00BD01D8"/>
    <w:rsid w:val="00BD255F"/>
    <w:rsid w:val="00BD2895"/>
    <w:rsid w:val="00BD4236"/>
    <w:rsid w:val="00BD483B"/>
    <w:rsid w:val="00BD5CD4"/>
    <w:rsid w:val="00BD65D9"/>
    <w:rsid w:val="00BD6DF3"/>
    <w:rsid w:val="00BD6E09"/>
    <w:rsid w:val="00BD6EF9"/>
    <w:rsid w:val="00BE0ACB"/>
    <w:rsid w:val="00BE2260"/>
    <w:rsid w:val="00BE3786"/>
    <w:rsid w:val="00BE3917"/>
    <w:rsid w:val="00BE50FD"/>
    <w:rsid w:val="00BE51CA"/>
    <w:rsid w:val="00BE537F"/>
    <w:rsid w:val="00BE5D77"/>
    <w:rsid w:val="00BE6D47"/>
    <w:rsid w:val="00BE7032"/>
    <w:rsid w:val="00BE7330"/>
    <w:rsid w:val="00BF01C5"/>
    <w:rsid w:val="00BF061A"/>
    <w:rsid w:val="00BF066A"/>
    <w:rsid w:val="00BF14CC"/>
    <w:rsid w:val="00BF1821"/>
    <w:rsid w:val="00BF3C42"/>
    <w:rsid w:val="00BF4342"/>
    <w:rsid w:val="00BF4704"/>
    <w:rsid w:val="00BF4FFC"/>
    <w:rsid w:val="00BF5050"/>
    <w:rsid w:val="00BF50D1"/>
    <w:rsid w:val="00BF5422"/>
    <w:rsid w:val="00BF59B1"/>
    <w:rsid w:val="00BF6A78"/>
    <w:rsid w:val="00BF7695"/>
    <w:rsid w:val="00BF79B4"/>
    <w:rsid w:val="00BF7C61"/>
    <w:rsid w:val="00C00037"/>
    <w:rsid w:val="00C01427"/>
    <w:rsid w:val="00C014C7"/>
    <w:rsid w:val="00C047AB"/>
    <w:rsid w:val="00C058AF"/>
    <w:rsid w:val="00C075B6"/>
    <w:rsid w:val="00C124C1"/>
    <w:rsid w:val="00C128AE"/>
    <w:rsid w:val="00C12BA8"/>
    <w:rsid w:val="00C136D6"/>
    <w:rsid w:val="00C13902"/>
    <w:rsid w:val="00C13D5B"/>
    <w:rsid w:val="00C141D7"/>
    <w:rsid w:val="00C16F84"/>
    <w:rsid w:val="00C1711B"/>
    <w:rsid w:val="00C17AE2"/>
    <w:rsid w:val="00C17E00"/>
    <w:rsid w:val="00C20140"/>
    <w:rsid w:val="00C20F27"/>
    <w:rsid w:val="00C215CF"/>
    <w:rsid w:val="00C2244B"/>
    <w:rsid w:val="00C22711"/>
    <w:rsid w:val="00C2280A"/>
    <w:rsid w:val="00C22B0D"/>
    <w:rsid w:val="00C22BFF"/>
    <w:rsid w:val="00C23522"/>
    <w:rsid w:val="00C240C1"/>
    <w:rsid w:val="00C24AED"/>
    <w:rsid w:val="00C250D0"/>
    <w:rsid w:val="00C252AC"/>
    <w:rsid w:val="00C25C0F"/>
    <w:rsid w:val="00C26567"/>
    <w:rsid w:val="00C26923"/>
    <w:rsid w:val="00C27214"/>
    <w:rsid w:val="00C27597"/>
    <w:rsid w:val="00C27E5E"/>
    <w:rsid w:val="00C30382"/>
    <w:rsid w:val="00C30772"/>
    <w:rsid w:val="00C30D6F"/>
    <w:rsid w:val="00C31063"/>
    <w:rsid w:val="00C31B7E"/>
    <w:rsid w:val="00C322D1"/>
    <w:rsid w:val="00C3242A"/>
    <w:rsid w:val="00C33201"/>
    <w:rsid w:val="00C33A39"/>
    <w:rsid w:val="00C33B57"/>
    <w:rsid w:val="00C34619"/>
    <w:rsid w:val="00C34B60"/>
    <w:rsid w:val="00C35D01"/>
    <w:rsid w:val="00C360B3"/>
    <w:rsid w:val="00C37027"/>
    <w:rsid w:val="00C37B19"/>
    <w:rsid w:val="00C413CB"/>
    <w:rsid w:val="00C42752"/>
    <w:rsid w:val="00C42973"/>
    <w:rsid w:val="00C43E68"/>
    <w:rsid w:val="00C44C69"/>
    <w:rsid w:val="00C4712A"/>
    <w:rsid w:val="00C5034F"/>
    <w:rsid w:val="00C50830"/>
    <w:rsid w:val="00C52479"/>
    <w:rsid w:val="00C5266E"/>
    <w:rsid w:val="00C5280F"/>
    <w:rsid w:val="00C52C59"/>
    <w:rsid w:val="00C5349E"/>
    <w:rsid w:val="00C539FF"/>
    <w:rsid w:val="00C544BD"/>
    <w:rsid w:val="00C54D3D"/>
    <w:rsid w:val="00C55A30"/>
    <w:rsid w:val="00C56384"/>
    <w:rsid w:val="00C60AD0"/>
    <w:rsid w:val="00C60F8C"/>
    <w:rsid w:val="00C61794"/>
    <w:rsid w:val="00C62A48"/>
    <w:rsid w:val="00C62AC4"/>
    <w:rsid w:val="00C62B59"/>
    <w:rsid w:val="00C62F96"/>
    <w:rsid w:val="00C631E1"/>
    <w:rsid w:val="00C638D8"/>
    <w:rsid w:val="00C63AE7"/>
    <w:rsid w:val="00C63D26"/>
    <w:rsid w:val="00C6540A"/>
    <w:rsid w:val="00C6625C"/>
    <w:rsid w:val="00C668A1"/>
    <w:rsid w:val="00C67223"/>
    <w:rsid w:val="00C707B8"/>
    <w:rsid w:val="00C712AC"/>
    <w:rsid w:val="00C71C15"/>
    <w:rsid w:val="00C71F3D"/>
    <w:rsid w:val="00C72F53"/>
    <w:rsid w:val="00C74035"/>
    <w:rsid w:val="00C748EA"/>
    <w:rsid w:val="00C77818"/>
    <w:rsid w:val="00C8063F"/>
    <w:rsid w:val="00C806ED"/>
    <w:rsid w:val="00C81282"/>
    <w:rsid w:val="00C827B4"/>
    <w:rsid w:val="00C83214"/>
    <w:rsid w:val="00C8329F"/>
    <w:rsid w:val="00C8468A"/>
    <w:rsid w:val="00C84F8A"/>
    <w:rsid w:val="00C85BA4"/>
    <w:rsid w:val="00C8618F"/>
    <w:rsid w:val="00C8625D"/>
    <w:rsid w:val="00C90372"/>
    <w:rsid w:val="00C9041F"/>
    <w:rsid w:val="00C90F54"/>
    <w:rsid w:val="00C9166B"/>
    <w:rsid w:val="00C91A45"/>
    <w:rsid w:val="00C91FB4"/>
    <w:rsid w:val="00C92150"/>
    <w:rsid w:val="00C92328"/>
    <w:rsid w:val="00C92D42"/>
    <w:rsid w:val="00C938C2"/>
    <w:rsid w:val="00C93F8A"/>
    <w:rsid w:val="00C94EA1"/>
    <w:rsid w:val="00C9511B"/>
    <w:rsid w:val="00C95745"/>
    <w:rsid w:val="00C95902"/>
    <w:rsid w:val="00C962E3"/>
    <w:rsid w:val="00C9712D"/>
    <w:rsid w:val="00C97246"/>
    <w:rsid w:val="00C978E2"/>
    <w:rsid w:val="00C97997"/>
    <w:rsid w:val="00CA10A2"/>
    <w:rsid w:val="00CA1D83"/>
    <w:rsid w:val="00CA25C0"/>
    <w:rsid w:val="00CA3451"/>
    <w:rsid w:val="00CA35C6"/>
    <w:rsid w:val="00CA4948"/>
    <w:rsid w:val="00CA52F9"/>
    <w:rsid w:val="00CA5368"/>
    <w:rsid w:val="00CA568B"/>
    <w:rsid w:val="00CA573A"/>
    <w:rsid w:val="00CA5C58"/>
    <w:rsid w:val="00CA7D80"/>
    <w:rsid w:val="00CB1775"/>
    <w:rsid w:val="00CB19D7"/>
    <w:rsid w:val="00CB19FE"/>
    <w:rsid w:val="00CB1C3F"/>
    <w:rsid w:val="00CB2364"/>
    <w:rsid w:val="00CB304C"/>
    <w:rsid w:val="00CB3933"/>
    <w:rsid w:val="00CB53E8"/>
    <w:rsid w:val="00CB594A"/>
    <w:rsid w:val="00CB5CB2"/>
    <w:rsid w:val="00CB6979"/>
    <w:rsid w:val="00CB7DDE"/>
    <w:rsid w:val="00CC0A3D"/>
    <w:rsid w:val="00CC1585"/>
    <w:rsid w:val="00CC3C53"/>
    <w:rsid w:val="00CC3D24"/>
    <w:rsid w:val="00CC3F91"/>
    <w:rsid w:val="00CC472A"/>
    <w:rsid w:val="00CC4ACD"/>
    <w:rsid w:val="00CC4AD3"/>
    <w:rsid w:val="00CC4B0A"/>
    <w:rsid w:val="00CC544A"/>
    <w:rsid w:val="00CC57EA"/>
    <w:rsid w:val="00CC5954"/>
    <w:rsid w:val="00CC629B"/>
    <w:rsid w:val="00CC6C4E"/>
    <w:rsid w:val="00CD009D"/>
    <w:rsid w:val="00CD05A2"/>
    <w:rsid w:val="00CD29D4"/>
    <w:rsid w:val="00CD2B5C"/>
    <w:rsid w:val="00CD2FF3"/>
    <w:rsid w:val="00CD3323"/>
    <w:rsid w:val="00CD38F5"/>
    <w:rsid w:val="00CD437E"/>
    <w:rsid w:val="00CD46F1"/>
    <w:rsid w:val="00CD5DAD"/>
    <w:rsid w:val="00CD72C5"/>
    <w:rsid w:val="00CD79A7"/>
    <w:rsid w:val="00CE0789"/>
    <w:rsid w:val="00CE0E8D"/>
    <w:rsid w:val="00CE1A03"/>
    <w:rsid w:val="00CE2346"/>
    <w:rsid w:val="00CE25B2"/>
    <w:rsid w:val="00CE2687"/>
    <w:rsid w:val="00CE27B7"/>
    <w:rsid w:val="00CE3529"/>
    <w:rsid w:val="00CE35C8"/>
    <w:rsid w:val="00CE3962"/>
    <w:rsid w:val="00CE4D1A"/>
    <w:rsid w:val="00CE4E8A"/>
    <w:rsid w:val="00CE5105"/>
    <w:rsid w:val="00CE56BD"/>
    <w:rsid w:val="00CE5EC0"/>
    <w:rsid w:val="00CE6A0B"/>
    <w:rsid w:val="00CE6F9F"/>
    <w:rsid w:val="00CE781A"/>
    <w:rsid w:val="00CE7B08"/>
    <w:rsid w:val="00CE7D52"/>
    <w:rsid w:val="00CF1D74"/>
    <w:rsid w:val="00CF2BE2"/>
    <w:rsid w:val="00CF3DEB"/>
    <w:rsid w:val="00CF55F9"/>
    <w:rsid w:val="00CF7074"/>
    <w:rsid w:val="00CF7390"/>
    <w:rsid w:val="00CF7495"/>
    <w:rsid w:val="00D01CF9"/>
    <w:rsid w:val="00D0334D"/>
    <w:rsid w:val="00D0374D"/>
    <w:rsid w:val="00D06D7B"/>
    <w:rsid w:val="00D06DA5"/>
    <w:rsid w:val="00D07191"/>
    <w:rsid w:val="00D07F1D"/>
    <w:rsid w:val="00D10558"/>
    <w:rsid w:val="00D11D4D"/>
    <w:rsid w:val="00D126DC"/>
    <w:rsid w:val="00D12B03"/>
    <w:rsid w:val="00D13E70"/>
    <w:rsid w:val="00D15FCD"/>
    <w:rsid w:val="00D16C58"/>
    <w:rsid w:val="00D17019"/>
    <w:rsid w:val="00D17FC8"/>
    <w:rsid w:val="00D20B44"/>
    <w:rsid w:val="00D21168"/>
    <w:rsid w:val="00D2438C"/>
    <w:rsid w:val="00D2585A"/>
    <w:rsid w:val="00D259B0"/>
    <w:rsid w:val="00D26C3F"/>
    <w:rsid w:val="00D27026"/>
    <w:rsid w:val="00D2708A"/>
    <w:rsid w:val="00D27185"/>
    <w:rsid w:val="00D30EF8"/>
    <w:rsid w:val="00D32518"/>
    <w:rsid w:val="00D33488"/>
    <w:rsid w:val="00D33AB3"/>
    <w:rsid w:val="00D33F24"/>
    <w:rsid w:val="00D34160"/>
    <w:rsid w:val="00D346B8"/>
    <w:rsid w:val="00D34DCA"/>
    <w:rsid w:val="00D35AC8"/>
    <w:rsid w:val="00D36F87"/>
    <w:rsid w:val="00D37E4E"/>
    <w:rsid w:val="00D400A4"/>
    <w:rsid w:val="00D40DEF"/>
    <w:rsid w:val="00D417D8"/>
    <w:rsid w:val="00D41F78"/>
    <w:rsid w:val="00D42E6C"/>
    <w:rsid w:val="00D4351C"/>
    <w:rsid w:val="00D43B80"/>
    <w:rsid w:val="00D44988"/>
    <w:rsid w:val="00D45B4C"/>
    <w:rsid w:val="00D45BA4"/>
    <w:rsid w:val="00D471AF"/>
    <w:rsid w:val="00D4724F"/>
    <w:rsid w:val="00D50519"/>
    <w:rsid w:val="00D512C8"/>
    <w:rsid w:val="00D51601"/>
    <w:rsid w:val="00D51955"/>
    <w:rsid w:val="00D51ECB"/>
    <w:rsid w:val="00D5264C"/>
    <w:rsid w:val="00D52BBC"/>
    <w:rsid w:val="00D537FE"/>
    <w:rsid w:val="00D53CC9"/>
    <w:rsid w:val="00D54A6A"/>
    <w:rsid w:val="00D54B8F"/>
    <w:rsid w:val="00D55951"/>
    <w:rsid w:val="00D559F0"/>
    <w:rsid w:val="00D57EB6"/>
    <w:rsid w:val="00D608C0"/>
    <w:rsid w:val="00D60D6D"/>
    <w:rsid w:val="00D6128C"/>
    <w:rsid w:val="00D66D8B"/>
    <w:rsid w:val="00D70849"/>
    <w:rsid w:val="00D72297"/>
    <w:rsid w:val="00D72A1C"/>
    <w:rsid w:val="00D7308F"/>
    <w:rsid w:val="00D7313E"/>
    <w:rsid w:val="00D73580"/>
    <w:rsid w:val="00D73802"/>
    <w:rsid w:val="00D73C2C"/>
    <w:rsid w:val="00D73D52"/>
    <w:rsid w:val="00D745E7"/>
    <w:rsid w:val="00D774ED"/>
    <w:rsid w:val="00D777C3"/>
    <w:rsid w:val="00D7797C"/>
    <w:rsid w:val="00D77C44"/>
    <w:rsid w:val="00D77F88"/>
    <w:rsid w:val="00D81AFA"/>
    <w:rsid w:val="00D81EAA"/>
    <w:rsid w:val="00D81FE2"/>
    <w:rsid w:val="00D8259F"/>
    <w:rsid w:val="00D825F2"/>
    <w:rsid w:val="00D8285C"/>
    <w:rsid w:val="00D828B1"/>
    <w:rsid w:val="00D82A55"/>
    <w:rsid w:val="00D83D49"/>
    <w:rsid w:val="00D84181"/>
    <w:rsid w:val="00D846AD"/>
    <w:rsid w:val="00D84754"/>
    <w:rsid w:val="00D84F27"/>
    <w:rsid w:val="00D853F0"/>
    <w:rsid w:val="00D85862"/>
    <w:rsid w:val="00D86D47"/>
    <w:rsid w:val="00D8710C"/>
    <w:rsid w:val="00D873C6"/>
    <w:rsid w:val="00D9074A"/>
    <w:rsid w:val="00D9099E"/>
    <w:rsid w:val="00D9193A"/>
    <w:rsid w:val="00D923B2"/>
    <w:rsid w:val="00D92463"/>
    <w:rsid w:val="00D93E64"/>
    <w:rsid w:val="00D93F64"/>
    <w:rsid w:val="00D94CA4"/>
    <w:rsid w:val="00D95E99"/>
    <w:rsid w:val="00D965D5"/>
    <w:rsid w:val="00D97DA2"/>
    <w:rsid w:val="00DA1A3A"/>
    <w:rsid w:val="00DA2351"/>
    <w:rsid w:val="00DA249E"/>
    <w:rsid w:val="00DA2D3D"/>
    <w:rsid w:val="00DA4C30"/>
    <w:rsid w:val="00DA7722"/>
    <w:rsid w:val="00DB145E"/>
    <w:rsid w:val="00DB1A94"/>
    <w:rsid w:val="00DB1D52"/>
    <w:rsid w:val="00DB1D92"/>
    <w:rsid w:val="00DB1E2B"/>
    <w:rsid w:val="00DB1F62"/>
    <w:rsid w:val="00DB21E7"/>
    <w:rsid w:val="00DB2E03"/>
    <w:rsid w:val="00DB3742"/>
    <w:rsid w:val="00DB3E9B"/>
    <w:rsid w:val="00DB3F4B"/>
    <w:rsid w:val="00DB5375"/>
    <w:rsid w:val="00DB67C1"/>
    <w:rsid w:val="00DB6C0B"/>
    <w:rsid w:val="00DB70F4"/>
    <w:rsid w:val="00DB748A"/>
    <w:rsid w:val="00DB7D94"/>
    <w:rsid w:val="00DC1056"/>
    <w:rsid w:val="00DC1442"/>
    <w:rsid w:val="00DC21D8"/>
    <w:rsid w:val="00DC282A"/>
    <w:rsid w:val="00DC34DC"/>
    <w:rsid w:val="00DC3780"/>
    <w:rsid w:val="00DC3ADA"/>
    <w:rsid w:val="00DC3CC6"/>
    <w:rsid w:val="00DC3F55"/>
    <w:rsid w:val="00DC4782"/>
    <w:rsid w:val="00DC514A"/>
    <w:rsid w:val="00DC67B1"/>
    <w:rsid w:val="00DC7FBC"/>
    <w:rsid w:val="00DD0019"/>
    <w:rsid w:val="00DD132B"/>
    <w:rsid w:val="00DD1725"/>
    <w:rsid w:val="00DD2159"/>
    <w:rsid w:val="00DD218B"/>
    <w:rsid w:val="00DD2A18"/>
    <w:rsid w:val="00DD3044"/>
    <w:rsid w:val="00DD3985"/>
    <w:rsid w:val="00DD61E8"/>
    <w:rsid w:val="00DD62C0"/>
    <w:rsid w:val="00DD635A"/>
    <w:rsid w:val="00DD64DE"/>
    <w:rsid w:val="00DD7859"/>
    <w:rsid w:val="00DD7B41"/>
    <w:rsid w:val="00DE0784"/>
    <w:rsid w:val="00DE0A1D"/>
    <w:rsid w:val="00DE15B2"/>
    <w:rsid w:val="00DE1A9A"/>
    <w:rsid w:val="00DE3D2C"/>
    <w:rsid w:val="00DE5E82"/>
    <w:rsid w:val="00DE5FA6"/>
    <w:rsid w:val="00DE6792"/>
    <w:rsid w:val="00DE6AA1"/>
    <w:rsid w:val="00DE795F"/>
    <w:rsid w:val="00DE7AAB"/>
    <w:rsid w:val="00DE7EF7"/>
    <w:rsid w:val="00DF015B"/>
    <w:rsid w:val="00DF02EC"/>
    <w:rsid w:val="00DF10FC"/>
    <w:rsid w:val="00DF1185"/>
    <w:rsid w:val="00DF1299"/>
    <w:rsid w:val="00DF1A70"/>
    <w:rsid w:val="00DF1E5F"/>
    <w:rsid w:val="00DF1F03"/>
    <w:rsid w:val="00DF23A8"/>
    <w:rsid w:val="00DF2F27"/>
    <w:rsid w:val="00DF36B6"/>
    <w:rsid w:val="00DF4296"/>
    <w:rsid w:val="00DF53F0"/>
    <w:rsid w:val="00DF5F38"/>
    <w:rsid w:val="00DF6608"/>
    <w:rsid w:val="00DF6CCC"/>
    <w:rsid w:val="00DF6D0C"/>
    <w:rsid w:val="00DF6F64"/>
    <w:rsid w:val="00DF721E"/>
    <w:rsid w:val="00DF7B8A"/>
    <w:rsid w:val="00DF7C87"/>
    <w:rsid w:val="00DF7D05"/>
    <w:rsid w:val="00E009B0"/>
    <w:rsid w:val="00E00A12"/>
    <w:rsid w:val="00E00C49"/>
    <w:rsid w:val="00E01C9C"/>
    <w:rsid w:val="00E0219D"/>
    <w:rsid w:val="00E04C0F"/>
    <w:rsid w:val="00E0570B"/>
    <w:rsid w:val="00E10343"/>
    <w:rsid w:val="00E10913"/>
    <w:rsid w:val="00E10B87"/>
    <w:rsid w:val="00E121CE"/>
    <w:rsid w:val="00E1478B"/>
    <w:rsid w:val="00E14FAC"/>
    <w:rsid w:val="00E15007"/>
    <w:rsid w:val="00E16277"/>
    <w:rsid w:val="00E16EC7"/>
    <w:rsid w:val="00E219CE"/>
    <w:rsid w:val="00E23409"/>
    <w:rsid w:val="00E24071"/>
    <w:rsid w:val="00E24EBC"/>
    <w:rsid w:val="00E2522C"/>
    <w:rsid w:val="00E2552F"/>
    <w:rsid w:val="00E2599B"/>
    <w:rsid w:val="00E2710C"/>
    <w:rsid w:val="00E27428"/>
    <w:rsid w:val="00E305B4"/>
    <w:rsid w:val="00E31182"/>
    <w:rsid w:val="00E3197A"/>
    <w:rsid w:val="00E31AFA"/>
    <w:rsid w:val="00E31CB7"/>
    <w:rsid w:val="00E324EE"/>
    <w:rsid w:val="00E32990"/>
    <w:rsid w:val="00E34DB1"/>
    <w:rsid w:val="00E35931"/>
    <w:rsid w:val="00E359FF"/>
    <w:rsid w:val="00E36BD1"/>
    <w:rsid w:val="00E402C5"/>
    <w:rsid w:val="00E402F4"/>
    <w:rsid w:val="00E405F1"/>
    <w:rsid w:val="00E4178B"/>
    <w:rsid w:val="00E417DB"/>
    <w:rsid w:val="00E43054"/>
    <w:rsid w:val="00E43655"/>
    <w:rsid w:val="00E44440"/>
    <w:rsid w:val="00E46013"/>
    <w:rsid w:val="00E47099"/>
    <w:rsid w:val="00E47284"/>
    <w:rsid w:val="00E4730A"/>
    <w:rsid w:val="00E477C3"/>
    <w:rsid w:val="00E47E23"/>
    <w:rsid w:val="00E517A5"/>
    <w:rsid w:val="00E51E16"/>
    <w:rsid w:val="00E53730"/>
    <w:rsid w:val="00E5438D"/>
    <w:rsid w:val="00E54511"/>
    <w:rsid w:val="00E54E50"/>
    <w:rsid w:val="00E55288"/>
    <w:rsid w:val="00E57577"/>
    <w:rsid w:val="00E62043"/>
    <w:rsid w:val="00E626B9"/>
    <w:rsid w:val="00E627C9"/>
    <w:rsid w:val="00E630F3"/>
    <w:rsid w:val="00E6332F"/>
    <w:rsid w:val="00E637C9"/>
    <w:rsid w:val="00E6402D"/>
    <w:rsid w:val="00E6680A"/>
    <w:rsid w:val="00E66F0D"/>
    <w:rsid w:val="00E70615"/>
    <w:rsid w:val="00E7161E"/>
    <w:rsid w:val="00E7207B"/>
    <w:rsid w:val="00E7347A"/>
    <w:rsid w:val="00E75A47"/>
    <w:rsid w:val="00E75BB6"/>
    <w:rsid w:val="00E75D8C"/>
    <w:rsid w:val="00E777F2"/>
    <w:rsid w:val="00E802C9"/>
    <w:rsid w:val="00E80BFB"/>
    <w:rsid w:val="00E80F0A"/>
    <w:rsid w:val="00E815D4"/>
    <w:rsid w:val="00E8291B"/>
    <w:rsid w:val="00E82E70"/>
    <w:rsid w:val="00E82F92"/>
    <w:rsid w:val="00E8395F"/>
    <w:rsid w:val="00E8410F"/>
    <w:rsid w:val="00E849D7"/>
    <w:rsid w:val="00E85E41"/>
    <w:rsid w:val="00E85EA1"/>
    <w:rsid w:val="00E86703"/>
    <w:rsid w:val="00E91044"/>
    <w:rsid w:val="00E910D3"/>
    <w:rsid w:val="00E91257"/>
    <w:rsid w:val="00E92154"/>
    <w:rsid w:val="00E923CF"/>
    <w:rsid w:val="00E93685"/>
    <w:rsid w:val="00E93B65"/>
    <w:rsid w:val="00E93C8C"/>
    <w:rsid w:val="00E95111"/>
    <w:rsid w:val="00E95FDF"/>
    <w:rsid w:val="00EA14C8"/>
    <w:rsid w:val="00EA2110"/>
    <w:rsid w:val="00EA283A"/>
    <w:rsid w:val="00EA2C90"/>
    <w:rsid w:val="00EA2E07"/>
    <w:rsid w:val="00EA383B"/>
    <w:rsid w:val="00EA41E6"/>
    <w:rsid w:val="00EA48F3"/>
    <w:rsid w:val="00EA60BF"/>
    <w:rsid w:val="00EA7365"/>
    <w:rsid w:val="00EA763F"/>
    <w:rsid w:val="00EA77E9"/>
    <w:rsid w:val="00EA7875"/>
    <w:rsid w:val="00EB05D0"/>
    <w:rsid w:val="00EB1151"/>
    <w:rsid w:val="00EB1D49"/>
    <w:rsid w:val="00EB23D9"/>
    <w:rsid w:val="00EB39A0"/>
    <w:rsid w:val="00EB559F"/>
    <w:rsid w:val="00EB566C"/>
    <w:rsid w:val="00EB5F3D"/>
    <w:rsid w:val="00EB77E5"/>
    <w:rsid w:val="00EC1CEB"/>
    <w:rsid w:val="00EC1DC0"/>
    <w:rsid w:val="00EC1DC2"/>
    <w:rsid w:val="00EC21EC"/>
    <w:rsid w:val="00EC24B8"/>
    <w:rsid w:val="00EC268C"/>
    <w:rsid w:val="00EC3753"/>
    <w:rsid w:val="00EC4E71"/>
    <w:rsid w:val="00EC5F1C"/>
    <w:rsid w:val="00ED0365"/>
    <w:rsid w:val="00ED0865"/>
    <w:rsid w:val="00ED1C60"/>
    <w:rsid w:val="00ED2057"/>
    <w:rsid w:val="00ED2EB9"/>
    <w:rsid w:val="00ED32D5"/>
    <w:rsid w:val="00ED3722"/>
    <w:rsid w:val="00ED3A31"/>
    <w:rsid w:val="00ED4469"/>
    <w:rsid w:val="00ED5424"/>
    <w:rsid w:val="00ED5F23"/>
    <w:rsid w:val="00ED6DC0"/>
    <w:rsid w:val="00ED7A7A"/>
    <w:rsid w:val="00EE0327"/>
    <w:rsid w:val="00EE038C"/>
    <w:rsid w:val="00EE28C5"/>
    <w:rsid w:val="00EE2F09"/>
    <w:rsid w:val="00EE47C5"/>
    <w:rsid w:val="00EE4885"/>
    <w:rsid w:val="00EE490C"/>
    <w:rsid w:val="00EE4E57"/>
    <w:rsid w:val="00EE5738"/>
    <w:rsid w:val="00EE58BD"/>
    <w:rsid w:val="00EE5E59"/>
    <w:rsid w:val="00EE6549"/>
    <w:rsid w:val="00EE73D0"/>
    <w:rsid w:val="00EE7CB0"/>
    <w:rsid w:val="00EF08A8"/>
    <w:rsid w:val="00EF08FA"/>
    <w:rsid w:val="00EF167B"/>
    <w:rsid w:val="00EF41A8"/>
    <w:rsid w:val="00EF44FB"/>
    <w:rsid w:val="00EF5122"/>
    <w:rsid w:val="00EF5554"/>
    <w:rsid w:val="00EF5AD8"/>
    <w:rsid w:val="00EF6B90"/>
    <w:rsid w:val="00EF7807"/>
    <w:rsid w:val="00EF79F7"/>
    <w:rsid w:val="00F006C0"/>
    <w:rsid w:val="00F0125F"/>
    <w:rsid w:val="00F019AA"/>
    <w:rsid w:val="00F0267E"/>
    <w:rsid w:val="00F02686"/>
    <w:rsid w:val="00F030C0"/>
    <w:rsid w:val="00F03291"/>
    <w:rsid w:val="00F0459B"/>
    <w:rsid w:val="00F04E15"/>
    <w:rsid w:val="00F05DF3"/>
    <w:rsid w:val="00F0692C"/>
    <w:rsid w:val="00F069EA"/>
    <w:rsid w:val="00F070E5"/>
    <w:rsid w:val="00F07DDE"/>
    <w:rsid w:val="00F11675"/>
    <w:rsid w:val="00F12557"/>
    <w:rsid w:val="00F1291D"/>
    <w:rsid w:val="00F13599"/>
    <w:rsid w:val="00F13B28"/>
    <w:rsid w:val="00F14E01"/>
    <w:rsid w:val="00F156A0"/>
    <w:rsid w:val="00F15730"/>
    <w:rsid w:val="00F16CE3"/>
    <w:rsid w:val="00F176A6"/>
    <w:rsid w:val="00F202C2"/>
    <w:rsid w:val="00F212F6"/>
    <w:rsid w:val="00F22756"/>
    <w:rsid w:val="00F23248"/>
    <w:rsid w:val="00F23890"/>
    <w:rsid w:val="00F2504D"/>
    <w:rsid w:val="00F2637F"/>
    <w:rsid w:val="00F268F7"/>
    <w:rsid w:val="00F30B83"/>
    <w:rsid w:val="00F30BDB"/>
    <w:rsid w:val="00F30CF8"/>
    <w:rsid w:val="00F31EDF"/>
    <w:rsid w:val="00F32CDE"/>
    <w:rsid w:val="00F32D4C"/>
    <w:rsid w:val="00F3327E"/>
    <w:rsid w:val="00F338C3"/>
    <w:rsid w:val="00F34B14"/>
    <w:rsid w:val="00F34F58"/>
    <w:rsid w:val="00F35DA7"/>
    <w:rsid w:val="00F369F8"/>
    <w:rsid w:val="00F36A6A"/>
    <w:rsid w:val="00F40101"/>
    <w:rsid w:val="00F404F7"/>
    <w:rsid w:val="00F40CCA"/>
    <w:rsid w:val="00F42D97"/>
    <w:rsid w:val="00F436B2"/>
    <w:rsid w:val="00F43813"/>
    <w:rsid w:val="00F43FEE"/>
    <w:rsid w:val="00F45A72"/>
    <w:rsid w:val="00F46723"/>
    <w:rsid w:val="00F4706D"/>
    <w:rsid w:val="00F476E1"/>
    <w:rsid w:val="00F47D1D"/>
    <w:rsid w:val="00F47F29"/>
    <w:rsid w:val="00F50016"/>
    <w:rsid w:val="00F50058"/>
    <w:rsid w:val="00F5088F"/>
    <w:rsid w:val="00F5118A"/>
    <w:rsid w:val="00F51A21"/>
    <w:rsid w:val="00F52614"/>
    <w:rsid w:val="00F5276E"/>
    <w:rsid w:val="00F52E9F"/>
    <w:rsid w:val="00F53304"/>
    <w:rsid w:val="00F53B81"/>
    <w:rsid w:val="00F540FE"/>
    <w:rsid w:val="00F556FF"/>
    <w:rsid w:val="00F55D12"/>
    <w:rsid w:val="00F5687F"/>
    <w:rsid w:val="00F56D3F"/>
    <w:rsid w:val="00F575C7"/>
    <w:rsid w:val="00F57FD0"/>
    <w:rsid w:val="00F60305"/>
    <w:rsid w:val="00F61B12"/>
    <w:rsid w:val="00F63264"/>
    <w:rsid w:val="00F634E4"/>
    <w:rsid w:val="00F6379E"/>
    <w:rsid w:val="00F64047"/>
    <w:rsid w:val="00F65171"/>
    <w:rsid w:val="00F6560D"/>
    <w:rsid w:val="00F65C23"/>
    <w:rsid w:val="00F67844"/>
    <w:rsid w:val="00F70799"/>
    <w:rsid w:val="00F70A8B"/>
    <w:rsid w:val="00F70B8D"/>
    <w:rsid w:val="00F71936"/>
    <w:rsid w:val="00F724FB"/>
    <w:rsid w:val="00F726B8"/>
    <w:rsid w:val="00F72A26"/>
    <w:rsid w:val="00F733C3"/>
    <w:rsid w:val="00F746A1"/>
    <w:rsid w:val="00F74820"/>
    <w:rsid w:val="00F756DD"/>
    <w:rsid w:val="00F77F4E"/>
    <w:rsid w:val="00F80047"/>
    <w:rsid w:val="00F800C7"/>
    <w:rsid w:val="00F8104D"/>
    <w:rsid w:val="00F81587"/>
    <w:rsid w:val="00F8288F"/>
    <w:rsid w:val="00F84033"/>
    <w:rsid w:val="00F84802"/>
    <w:rsid w:val="00F84E4F"/>
    <w:rsid w:val="00F85B72"/>
    <w:rsid w:val="00F86540"/>
    <w:rsid w:val="00F865CE"/>
    <w:rsid w:val="00F8766F"/>
    <w:rsid w:val="00F91082"/>
    <w:rsid w:val="00F9116D"/>
    <w:rsid w:val="00F91A9A"/>
    <w:rsid w:val="00F9203B"/>
    <w:rsid w:val="00F93ABB"/>
    <w:rsid w:val="00F94D79"/>
    <w:rsid w:val="00F963A2"/>
    <w:rsid w:val="00F9658C"/>
    <w:rsid w:val="00F97A7F"/>
    <w:rsid w:val="00FA0889"/>
    <w:rsid w:val="00FA16E7"/>
    <w:rsid w:val="00FA2505"/>
    <w:rsid w:val="00FA31C7"/>
    <w:rsid w:val="00FA3E7F"/>
    <w:rsid w:val="00FA472D"/>
    <w:rsid w:val="00FA6283"/>
    <w:rsid w:val="00FB0CBF"/>
    <w:rsid w:val="00FB18F6"/>
    <w:rsid w:val="00FB2A52"/>
    <w:rsid w:val="00FB3F92"/>
    <w:rsid w:val="00FB4C2B"/>
    <w:rsid w:val="00FB52C7"/>
    <w:rsid w:val="00FB57DC"/>
    <w:rsid w:val="00FB6E19"/>
    <w:rsid w:val="00FB71F6"/>
    <w:rsid w:val="00FC0AF8"/>
    <w:rsid w:val="00FC1483"/>
    <w:rsid w:val="00FC1C47"/>
    <w:rsid w:val="00FC3102"/>
    <w:rsid w:val="00FC3493"/>
    <w:rsid w:val="00FC39ED"/>
    <w:rsid w:val="00FC4419"/>
    <w:rsid w:val="00FC47E2"/>
    <w:rsid w:val="00FC4AA5"/>
    <w:rsid w:val="00FC4B88"/>
    <w:rsid w:val="00FC4BB8"/>
    <w:rsid w:val="00FC5148"/>
    <w:rsid w:val="00FC623A"/>
    <w:rsid w:val="00FC6524"/>
    <w:rsid w:val="00FC708F"/>
    <w:rsid w:val="00FC75AC"/>
    <w:rsid w:val="00FD01BF"/>
    <w:rsid w:val="00FD0525"/>
    <w:rsid w:val="00FD0AB7"/>
    <w:rsid w:val="00FD297D"/>
    <w:rsid w:val="00FD2D13"/>
    <w:rsid w:val="00FD374D"/>
    <w:rsid w:val="00FD6071"/>
    <w:rsid w:val="00FD633B"/>
    <w:rsid w:val="00FE0794"/>
    <w:rsid w:val="00FE1041"/>
    <w:rsid w:val="00FE24CB"/>
    <w:rsid w:val="00FE323F"/>
    <w:rsid w:val="00FE3473"/>
    <w:rsid w:val="00FE4049"/>
    <w:rsid w:val="00FE4794"/>
    <w:rsid w:val="00FE480F"/>
    <w:rsid w:val="00FE4998"/>
    <w:rsid w:val="00FE57DE"/>
    <w:rsid w:val="00FE770B"/>
    <w:rsid w:val="00FE7A68"/>
    <w:rsid w:val="00FE7D72"/>
    <w:rsid w:val="00FF0231"/>
    <w:rsid w:val="00FF1C9B"/>
    <w:rsid w:val="00FF1D49"/>
    <w:rsid w:val="00FF203B"/>
    <w:rsid w:val="00FF2562"/>
    <w:rsid w:val="00FF3A41"/>
    <w:rsid w:val="00FF3E5B"/>
    <w:rsid w:val="00FF57E4"/>
    <w:rsid w:val="00FF78E5"/>
    <w:rsid w:val="0103398B"/>
    <w:rsid w:val="011E1F3A"/>
    <w:rsid w:val="012D0F5C"/>
    <w:rsid w:val="014C1D05"/>
    <w:rsid w:val="01563B7D"/>
    <w:rsid w:val="015C7AD5"/>
    <w:rsid w:val="0168437B"/>
    <w:rsid w:val="01907316"/>
    <w:rsid w:val="01A433EB"/>
    <w:rsid w:val="01AF3D99"/>
    <w:rsid w:val="01B90B97"/>
    <w:rsid w:val="01C628D4"/>
    <w:rsid w:val="01E3453D"/>
    <w:rsid w:val="01FF3BC3"/>
    <w:rsid w:val="01FF4BEC"/>
    <w:rsid w:val="021741B2"/>
    <w:rsid w:val="02204683"/>
    <w:rsid w:val="022E44A8"/>
    <w:rsid w:val="02511F9D"/>
    <w:rsid w:val="025F06CD"/>
    <w:rsid w:val="026954E1"/>
    <w:rsid w:val="02827C52"/>
    <w:rsid w:val="028C24AD"/>
    <w:rsid w:val="029F225D"/>
    <w:rsid w:val="02A57908"/>
    <w:rsid w:val="02B0089B"/>
    <w:rsid w:val="02C76111"/>
    <w:rsid w:val="02D6235F"/>
    <w:rsid w:val="02D81256"/>
    <w:rsid w:val="030532A9"/>
    <w:rsid w:val="03286A1E"/>
    <w:rsid w:val="032B79A4"/>
    <w:rsid w:val="03305A68"/>
    <w:rsid w:val="033F12EC"/>
    <w:rsid w:val="03407951"/>
    <w:rsid w:val="03535D6B"/>
    <w:rsid w:val="039A08B0"/>
    <w:rsid w:val="03A314B8"/>
    <w:rsid w:val="03B1713F"/>
    <w:rsid w:val="03C8711A"/>
    <w:rsid w:val="03D25887"/>
    <w:rsid w:val="03D82B98"/>
    <w:rsid w:val="03D964F4"/>
    <w:rsid w:val="03F83E8B"/>
    <w:rsid w:val="047C2586"/>
    <w:rsid w:val="04902A30"/>
    <w:rsid w:val="049570A7"/>
    <w:rsid w:val="04B74446"/>
    <w:rsid w:val="04BA414C"/>
    <w:rsid w:val="04C505BB"/>
    <w:rsid w:val="04CD2CEE"/>
    <w:rsid w:val="04E87914"/>
    <w:rsid w:val="04FA60EF"/>
    <w:rsid w:val="04FC24D4"/>
    <w:rsid w:val="05023BEB"/>
    <w:rsid w:val="05096B07"/>
    <w:rsid w:val="050E5E84"/>
    <w:rsid w:val="05102192"/>
    <w:rsid w:val="054F7686"/>
    <w:rsid w:val="05557587"/>
    <w:rsid w:val="05681A7F"/>
    <w:rsid w:val="057F4E2B"/>
    <w:rsid w:val="0585008B"/>
    <w:rsid w:val="058F6224"/>
    <w:rsid w:val="05C56868"/>
    <w:rsid w:val="05D74547"/>
    <w:rsid w:val="06040198"/>
    <w:rsid w:val="060774EA"/>
    <w:rsid w:val="06083B9D"/>
    <w:rsid w:val="06211C5A"/>
    <w:rsid w:val="06737835"/>
    <w:rsid w:val="06B25549"/>
    <w:rsid w:val="06B96E5F"/>
    <w:rsid w:val="06C91C0B"/>
    <w:rsid w:val="06D86BC4"/>
    <w:rsid w:val="072940AD"/>
    <w:rsid w:val="072E4C95"/>
    <w:rsid w:val="07325DEE"/>
    <w:rsid w:val="07633118"/>
    <w:rsid w:val="07736840"/>
    <w:rsid w:val="078132CC"/>
    <w:rsid w:val="078627A3"/>
    <w:rsid w:val="07966D78"/>
    <w:rsid w:val="07A5201F"/>
    <w:rsid w:val="07B72767"/>
    <w:rsid w:val="07C23DE6"/>
    <w:rsid w:val="08077E72"/>
    <w:rsid w:val="080E162A"/>
    <w:rsid w:val="08203C28"/>
    <w:rsid w:val="083B22F1"/>
    <w:rsid w:val="083C419B"/>
    <w:rsid w:val="083C4C73"/>
    <w:rsid w:val="084C5E23"/>
    <w:rsid w:val="0886060D"/>
    <w:rsid w:val="08882DD0"/>
    <w:rsid w:val="08BE34E2"/>
    <w:rsid w:val="08F821C8"/>
    <w:rsid w:val="09006769"/>
    <w:rsid w:val="091A48F3"/>
    <w:rsid w:val="09495EB8"/>
    <w:rsid w:val="094D5CF7"/>
    <w:rsid w:val="09783845"/>
    <w:rsid w:val="097E7AC3"/>
    <w:rsid w:val="09860032"/>
    <w:rsid w:val="09921955"/>
    <w:rsid w:val="09CC2259"/>
    <w:rsid w:val="09CC2AAC"/>
    <w:rsid w:val="09D26E76"/>
    <w:rsid w:val="09DE2A8F"/>
    <w:rsid w:val="0A171D19"/>
    <w:rsid w:val="0A331AD7"/>
    <w:rsid w:val="0A3A3B56"/>
    <w:rsid w:val="0A4412A4"/>
    <w:rsid w:val="0A477589"/>
    <w:rsid w:val="0A5C3ECC"/>
    <w:rsid w:val="0A652D3E"/>
    <w:rsid w:val="0A6A1AA6"/>
    <w:rsid w:val="0A767E3E"/>
    <w:rsid w:val="0A9D4A5C"/>
    <w:rsid w:val="0AAB5F5D"/>
    <w:rsid w:val="0AB6063D"/>
    <w:rsid w:val="0ADA366D"/>
    <w:rsid w:val="0B193B77"/>
    <w:rsid w:val="0B325243"/>
    <w:rsid w:val="0B326F2A"/>
    <w:rsid w:val="0B3D510B"/>
    <w:rsid w:val="0B475F57"/>
    <w:rsid w:val="0B5B05C2"/>
    <w:rsid w:val="0B5E289E"/>
    <w:rsid w:val="0B623221"/>
    <w:rsid w:val="0BA40399"/>
    <w:rsid w:val="0BB40771"/>
    <w:rsid w:val="0BE93715"/>
    <w:rsid w:val="0BEA3C78"/>
    <w:rsid w:val="0C11238F"/>
    <w:rsid w:val="0C1E2888"/>
    <w:rsid w:val="0C2D753D"/>
    <w:rsid w:val="0C2E225D"/>
    <w:rsid w:val="0C4502C0"/>
    <w:rsid w:val="0C530F2E"/>
    <w:rsid w:val="0C5361CC"/>
    <w:rsid w:val="0C6A764E"/>
    <w:rsid w:val="0C6F29D6"/>
    <w:rsid w:val="0C92213C"/>
    <w:rsid w:val="0C9F5D63"/>
    <w:rsid w:val="0CA737D5"/>
    <w:rsid w:val="0CAB5D64"/>
    <w:rsid w:val="0CB33F28"/>
    <w:rsid w:val="0CD304AC"/>
    <w:rsid w:val="0D0114AE"/>
    <w:rsid w:val="0D29001E"/>
    <w:rsid w:val="0D325EDF"/>
    <w:rsid w:val="0D445D4C"/>
    <w:rsid w:val="0D535069"/>
    <w:rsid w:val="0D6D5644"/>
    <w:rsid w:val="0D84032B"/>
    <w:rsid w:val="0D953396"/>
    <w:rsid w:val="0D994191"/>
    <w:rsid w:val="0DA2594C"/>
    <w:rsid w:val="0DBD35C9"/>
    <w:rsid w:val="0DD17D5D"/>
    <w:rsid w:val="0DE53B38"/>
    <w:rsid w:val="0DF4443C"/>
    <w:rsid w:val="0E071437"/>
    <w:rsid w:val="0E0E7C56"/>
    <w:rsid w:val="0E2B3D03"/>
    <w:rsid w:val="0E556B89"/>
    <w:rsid w:val="0E5B282E"/>
    <w:rsid w:val="0E5F47DD"/>
    <w:rsid w:val="0E6772B0"/>
    <w:rsid w:val="0E6B66E8"/>
    <w:rsid w:val="0E76345F"/>
    <w:rsid w:val="0E7C4E7B"/>
    <w:rsid w:val="0E8F2DCE"/>
    <w:rsid w:val="0E9434CC"/>
    <w:rsid w:val="0E96743F"/>
    <w:rsid w:val="0EB36C82"/>
    <w:rsid w:val="0ED45624"/>
    <w:rsid w:val="0EE04BDF"/>
    <w:rsid w:val="0EE44AEB"/>
    <w:rsid w:val="0F150F54"/>
    <w:rsid w:val="0F2A74C4"/>
    <w:rsid w:val="0F377C68"/>
    <w:rsid w:val="0F553015"/>
    <w:rsid w:val="0F620A17"/>
    <w:rsid w:val="0F7543D3"/>
    <w:rsid w:val="0F7A6CDB"/>
    <w:rsid w:val="0FE030CE"/>
    <w:rsid w:val="0FEE5277"/>
    <w:rsid w:val="10136B03"/>
    <w:rsid w:val="10202CC1"/>
    <w:rsid w:val="103B47DC"/>
    <w:rsid w:val="10730C95"/>
    <w:rsid w:val="10A27F31"/>
    <w:rsid w:val="10A753AB"/>
    <w:rsid w:val="10AA5CB1"/>
    <w:rsid w:val="10B54EB2"/>
    <w:rsid w:val="10BF682C"/>
    <w:rsid w:val="10CB29C5"/>
    <w:rsid w:val="10CC3A02"/>
    <w:rsid w:val="10CC6281"/>
    <w:rsid w:val="10D20B24"/>
    <w:rsid w:val="10D87300"/>
    <w:rsid w:val="10DA48AD"/>
    <w:rsid w:val="10E33AF2"/>
    <w:rsid w:val="110B438A"/>
    <w:rsid w:val="111C09F4"/>
    <w:rsid w:val="1167339E"/>
    <w:rsid w:val="11785740"/>
    <w:rsid w:val="118E435A"/>
    <w:rsid w:val="11927058"/>
    <w:rsid w:val="119423C1"/>
    <w:rsid w:val="11A02DC7"/>
    <w:rsid w:val="11AB0C22"/>
    <w:rsid w:val="11B50F78"/>
    <w:rsid w:val="11B5291B"/>
    <w:rsid w:val="11C1301D"/>
    <w:rsid w:val="11EE4343"/>
    <w:rsid w:val="11EF6FB9"/>
    <w:rsid w:val="12086E43"/>
    <w:rsid w:val="120D4199"/>
    <w:rsid w:val="120F3D85"/>
    <w:rsid w:val="12171B57"/>
    <w:rsid w:val="12573688"/>
    <w:rsid w:val="127F4FEA"/>
    <w:rsid w:val="12AA40AD"/>
    <w:rsid w:val="12BC14E9"/>
    <w:rsid w:val="12D720A5"/>
    <w:rsid w:val="12EF08E6"/>
    <w:rsid w:val="133E327C"/>
    <w:rsid w:val="13467E71"/>
    <w:rsid w:val="134E47DC"/>
    <w:rsid w:val="13542B43"/>
    <w:rsid w:val="138C43DE"/>
    <w:rsid w:val="139C5DE4"/>
    <w:rsid w:val="139D71F2"/>
    <w:rsid w:val="13AC3968"/>
    <w:rsid w:val="13AF4F03"/>
    <w:rsid w:val="13F75519"/>
    <w:rsid w:val="13FD47FE"/>
    <w:rsid w:val="140A4F68"/>
    <w:rsid w:val="140F2E16"/>
    <w:rsid w:val="141C2DA0"/>
    <w:rsid w:val="144401A2"/>
    <w:rsid w:val="14670F31"/>
    <w:rsid w:val="14736E66"/>
    <w:rsid w:val="147F458F"/>
    <w:rsid w:val="148954D3"/>
    <w:rsid w:val="14911257"/>
    <w:rsid w:val="14D43C93"/>
    <w:rsid w:val="14D958EC"/>
    <w:rsid w:val="14FA3E00"/>
    <w:rsid w:val="1531036E"/>
    <w:rsid w:val="1534169A"/>
    <w:rsid w:val="156D25A1"/>
    <w:rsid w:val="15812F88"/>
    <w:rsid w:val="158D0E46"/>
    <w:rsid w:val="158E1BEE"/>
    <w:rsid w:val="15911585"/>
    <w:rsid w:val="159513FB"/>
    <w:rsid w:val="159C0EE7"/>
    <w:rsid w:val="15A27358"/>
    <w:rsid w:val="15B14FA7"/>
    <w:rsid w:val="15C03E03"/>
    <w:rsid w:val="15C3785B"/>
    <w:rsid w:val="15D26520"/>
    <w:rsid w:val="15E70153"/>
    <w:rsid w:val="15EE508B"/>
    <w:rsid w:val="160F4148"/>
    <w:rsid w:val="162A25EB"/>
    <w:rsid w:val="16473933"/>
    <w:rsid w:val="168B7C8B"/>
    <w:rsid w:val="169F56FE"/>
    <w:rsid w:val="16A267A7"/>
    <w:rsid w:val="16A528DC"/>
    <w:rsid w:val="16BD6398"/>
    <w:rsid w:val="16BD6B43"/>
    <w:rsid w:val="16D31DF9"/>
    <w:rsid w:val="16D67838"/>
    <w:rsid w:val="16FD2A55"/>
    <w:rsid w:val="17067C1A"/>
    <w:rsid w:val="172045B4"/>
    <w:rsid w:val="172F08F7"/>
    <w:rsid w:val="17366761"/>
    <w:rsid w:val="17393A34"/>
    <w:rsid w:val="173A76F6"/>
    <w:rsid w:val="175A043F"/>
    <w:rsid w:val="17672074"/>
    <w:rsid w:val="177C01F0"/>
    <w:rsid w:val="177E17B7"/>
    <w:rsid w:val="17A1706E"/>
    <w:rsid w:val="17C50D78"/>
    <w:rsid w:val="17C94C73"/>
    <w:rsid w:val="17CE6630"/>
    <w:rsid w:val="17D32A08"/>
    <w:rsid w:val="17EB3722"/>
    <w:rsid w:val="17EF65A5"/>
    <w:rsid w:val="17FA1D25"/>
    <w:rsid w:val="180E6351"/>
    <w:rsid w:val="1810355D"/>
    <w:rsid w:val="181235D5"/>
    <w:rsid w:val="18750DB1"/>
    <w:rsid w:val="187B48A5"/>
    <w:rsid w:val="187C2A7B"/>
    <w:rsid w:val="18A419CD"/>
    <w:rsid w:val="18EE2472"/>
    <w:rsid w:val="19002335"/>
    <w:rsid w:val="19206078"/>
    <w:rsid w:val="19314F92"/>
    <w:rsid w:val="193F68F3"/>
    <w:rsid w:val="19434380"/>
    <w:rsid w:val="19491239"/>
    <w:rsid w:val="19537014"/>
    <w:rsid w:val="19621891"/>
    <w:rsid w:val="197A7D49"/>
    <w:rsid w:val="19915DD8"/>
    <w:rsid w:val="19934424"/>
    <w:rsid w:val="19A5109C"/>
    <w:rsid w:val="19AD5CB2"/>
    <w:rsid w:val="19BD66DD"/>
    <w:rsid w:val="19C607E7"/>
    <w:rsid w:val="19F6165F"/>
    <w:rsid w:val="1A0B68A8"/>
    <w:rsid w:val="1A1B0F5C"/>
    <w:rsid w:val="1A232551"/>
    <w:rsid w:val="1A614813"/>
    <w:rsid w:val="1A782658"/>
    <w:rsid w:val="1A7D68F1"/>
    <w:rsid w:val="1A8573D4"/>
    <w:rsid w:val="1A867FDC"/>
    <w:rsid w:val="1AB74F63"/>
    <w:rsid w:val="1AC3132A"/>
    <w:rsid w:val="1AE94689"/>
    <w:rsid w:val="1AF65A4C"/>
    <w:rsid w:val="1AFF0AFE"/>
    <w:rsid w:val="1B34103B"/>
    <w:rsid w:val="1B39650C"/>
    <w:rsid w:val="1B4F19F8"/>
    <w:rsid w:val="1B5C2F75"/>
    <w:rsid w:val="1B6B7470"/>
    <w:rsid w:val="1BAE3D4C"/>
    <w:rsid w:val="1BC81E14"/>
    <w:rsid w:val="1BEE7729"/>
    <w:rsid w:val="1C100CC6"/>
    <w:rsid w:val="1C1A42E7"/>
    <w:rsid w:val="1C1F28DB"/>
    <w:rsid w:val="1C226F03"/>
    <w:rsid w:val="1C3F670D"/>
    <w:rsid w:val="1C55025E"/>
    <w:rsid w:val="1C9A50D4"/>
    <w:rsid w:val="1CA823CD"/>
    <w:rsid w:val="1CB515F6"/>
    <w:rsid w:val="1CDE1F2F"/>
    <w:rsid w:val="1CE61E5F"/>
    <w:rsid w:val="1CF93E51"/>
    <w:rsid w:val="1D1C46B8"/>
    <w:rsid w:val="1D3943AC"/>
    <w:rsid w:val="1D7C700E"/>
    <w:rsid w:val="1D805CF0"/>
    <w:rsid w:val="1D8F637F"/>
    <w:rsid w:val="1D996796"/>
    <w:rsid w:val="1DA07F2F"/>
    <w:rsid w:val="1DD106A3"/>
    <w:rsid w:val="1DE75398"/>
    <w:rsid w:val="1E0450B5"/>
    <w:rsid w:val="1E2734BD"/>
    <w:rsid w:val="1E375346"/>
    <w:rsid w:val="1E657FE9"/>
    <w:rsid w:val="1E6B39C7"/>
    <w:rsid w:val="1E72152A"/>
    <w:rsid w:val="1E842C7C"/>
    <w:rsid w:val="1E8C24F9"/>
    <w:rsid w:val="1EA7798B"/>
    <w:rsid w:val="1ECC44FA"/>
    <w:rsid w:val="1ECE7147"/>
    <w:rsid w:val="1EE53F41"/>
    <w:rsid w:val="1F002542"/>
    <w:rsid w:val="1F063325"/>
    <w:rsid w:val="1F066139"/>
    <w:rsid w:val="1F206483"/>
    <w:rsid w:val="1F4D240C"/>
    <w:rsid w:val="1F50678E"/>
    <w:rsid w:val="1F6A3BA7"/>
    <w:rsid w:val="1F756896"/>
    <w:rsid w:val="1F80168B"/>
    <w:rsid w:val="1F843156"/>
    <w:rsid w:val="1F885ACE"/>
    <w:rsid w:val="1F91158B"/>
    <w:rsid w:val="1FBC5DF5"/>
    <w:rsid w:val="1FC16863"/>
    <w:rsid w:val="1FEA075F"/>
    <w:rsid w:val="1FEF662C"/>
    <w:rsid w:val="1FF26E0D"/>
    <w:rsid w:val="1FF90588"/>
    <w:rsid w:val="201167D2"/>
    <w:rsid w:val="20134907"/>
    <w:rsid w:val="201474B7"/>
    <w:rsid w:val="20213923"/>
    <w:rsid w:val="20233DBF"/>
    <w:rsid w:val="20245062"/>
    <w:rsid w:val="204D2ACD"/>
    <w:rsid w:val="20914128"/>
    <w:rsid w:val="20BB6724"/>
    <w:rsid w:val="20BF7883"/>
    <w:rsid w:val="20C3623F"/>
    <w:rsid w:val="20D84C09"/>
    <w:rsid w:val="20F25B07"/>
    <w:rsid w:val="211041C1"/>
    <w:rsid w:val="212B4272"/>
    <w:rsid w:val="21781212"/>
    <w:rsid w:val="21833156"/>
    <w:rsid w:val="21A63A77"/>
    <w:rsid w:val="21AB0864"/>
    <w:rsid w:val="21B47737"/>
    <w:rsid w:val="21B83F86"/>
    <w:rsid w:val="21E069CE"/>
    <w:rsid w:val="22106A4D"/>
    <w:rsid w:val="221178A8"/>
    <w:rsid w:val="221213CF"/>
    <w:rsid w:val="22195517"/>
    <w:rsid w:val="22327A92"/>
    <w:rsid w:val="226E5BFE"/>
    <w:rsid w:val="22A84DFE"/>
    <w:rsid w:val="22BB3EC7"/>
    <w:rsid w:val="22DB129D"/>
    <w:rsid w:val="22F47D51"/>
    <w:rsid w:val="22FA4C94"/>
    <w:rsid w:val="230436F8"/>
    <w:rsid w:val="231D53A2"/>
    <w:rsid w:val="23435214"/>
    <w:rsid w:val="234401DF"/>
    <w:rsid w:val="235477BA"/>
    <w:rsid w:val="236D5383"/>
    <w:rsid w:val="23811F5D"/>
    <w:rsid w:val="23A41B75"/>
    <w:rsid w:val="23AB1FDF"/>
    <w:rsid w:val="23B134E6"/>
    <w:rsid w:val="23B74A16"/>
    <w:rsid w:val="23B7504C"/>
    <w:rsid w:val="23BA654A"/>
    <w:rsid w:val="23C509CD"/>
    <w:rsid w:val="240D25B5"/>
    <w:rsid w:val="241E5A1E"/>
    <w:rsid w:val="24205BC8"/>
    <w:rsid w:val="242C0CB6"/>
    <w:rsid w:val="24354590"/>
    <w:rsid w:val="24571307"/>
    <w:rsid w:val="247C7D19"/>
    <w:rsid w:val="24B34021"/>
    <w:rsid w:val="24BE0ABD"/>
    <w:rsid w:val="24CB4B0D"/>
    <w:rsid w:val="24E91BBE"/>
    <w:rsid w:val="25110A2A"/>
    <w:rsid w:val="251513DA"/>
    <w:rsid w:val="251569DF"/>
    <w:rsid w:val="252F3220"/>
    <w:rsid w:val="25647DF0"/>
    <w:rsid w:val="256C0944"/>
    <w:rsid w:val="25773D5F"/>
    <w:rsid w:val="257E73F2"/>
    <w:rsid w:val="25A979D1"/>
    <w:rsid w:val="25BE7679"/>
    <w:rsid w:val="25C00F8A"/>
    <w:rsid w:val="25D53DA4"/>
    <w:rsid w:val="25E410EC"/>
    <w:rsid w:val="25EC2CF7"/>
    <w:rsid w:val="261F4447"/>
    <w:rsid w:val="26282716"/>
    <w:rsid w:val="263050F1"/>
    <w:rsid w:val="26381F9B"/>
    <w:rsid w:val="26446DE3"/>
    <w:rsid w:val="267B0CDC"/>
    <w:rsid w:val="269669E7"/>
    <w:rsid w:val="26A744DB"/>
    <w:rsid w:val="26D4005A"/>
    <w:rsid w:val="26D7699F"/>
    <w:rsid w:val="26DA3B4A"/>
    <w:rsid w:val="26E26183"/>
    <w:rsid w:val="26E36ACC"/>
    <w:rsid w:val="26F73A2A"/>
    <w:rsid w:val="26FF2BB8"/>
    <w:rsid w:val="270417B7"/>
    <w:rsid w:val="27084155"/>
    <w:rsid w:val="27102C21"/>
    <w:rsid w:val="271B034D"/>
    <w:rsid w:val="27227C57"/>
    <w:rsid w:val="2750171F"/>
    <w:rsid w:val="275122E4"/>
    <w:rsid w:val="2769156F"/>
    <w:rsid w:val="27793F5D"/>
    <w:rsid w:val="27A2622E"/>
    <w:rsid w:val="27A60F83"/>
    <w:rsid w:val="27C12412"/>
    <w:rsid w:val="27D24FCB"/>
    <w:rsid w:val="27F92009"/>
    <w:rsid w:val="28124EAE"/>
    <w:rsid w:val="282B45DC"/>
    <w:rsid w:val="28785F5E"/>
    <w:rsid w:val="289257A9"/>
    <w:rsid w:val="2895115B"/>
    <w:rsid w:val="28BA46FA"/>
    <w:rsid w:val="28BE38E2"/>
    <w:rsid w:val="28F14595"/>
    <w:rsid w:val="28F416F8"/>
    <w:rsid w:val="29063629"/>
    <w:rsid w:val="291137B2"/>
    <w:rsid w:val="2913753A"/>
    <w:rsid w:val="293D6B2E"/>
    <w:rsid w:val="29462E61"/>
    <w:rsid w:val="295E2317"/>
    <w:rsid w:val="296B020D"/>
    <w:rsid w:val="297D3FFE"/>
    <w:rsid w:val="29802F8C"/>
    <w:rsid w:val="29AD0C8B"/>
    <w:rsid w:val="29BB39AC"/>
    <w:rsid w:val="29C5574F"/>
    <w:rsid w:val="29C67FA0"/>
    <w:rsid w:val="29D00278"/>
    <w:rsid w:val="29DC3BA0"/>
    <w:rsid w:val="29E346A6"/>
    <w:rsid w:val="29E509C9"/>
    <w:rsid w:val="29EF6C45"/>
    <w:rsid w:val="2A007C29"/>
    <w:rsid w:val="2A1769A3"/>
    <w:rsid w:val="2A4D3396"/>
    <w:rsid w:val="2A504970"/>
    <w:rsid w:val="2A541720"/>
    <w:rsid w:val="2A83619E"/>
    <w:rsid w:val="2AC53F93"/>
    <w:rsid w:val="2ACF406E"/>
    <w:rsid w:val="2AD53D69"/>
    <w:rsid w:val="2AD830F7"/>
    <w:rsid w:val="2AE241C5"/>
    <w:rsid w:val="2AFD0BD9"/>
    <w:rsid w:val="2B253E47"/>
    <w:rsid w:val="2B6A0459"/>
    <w:rsid w:val="2B774624"/>
    <w:rsid w:val="2B8A5BDD"/>
    <w:rsid w:val="2B8C3FB1"/>
    <w:rsid w:val="2B9D1BD3"/>
    <w:rsid w:val="2BC83AB9"/>
    <w:rsid w:val="2BEA293F"/>
    <w:rsid w:val="2BF5056F"/>
    <w:rsid w:val="2C1B56AB"/>
    <w:rsid w:val="2C4402A1"/>
    <w:rsid w:val="2C534988"/>
    <w:rsid w:val="2C796B75"/>
    <w:rsid w:val="2C7A72BE"/>
    <w:rsid w:val="2C890BCA"/>
    <w:rsid w:val="2C8A7A52"/>
    <w:rsid w:val="2C9A7D75"/>
    <w:rsid w:val="2CB734DA"/>
    <w:rsid w:val="2CBC587B"/>
    <w:rsid w:val="2CBF4377"/>
    <w:rsid w:val="2CC17412"/>
    <w:rsid w:val="2CCB04B9"/>
    <w:rsid w:val="2CD40732"/>
    <w:rsid w:val="2CEA1907"/>
    <w:rsid w:val="2CF26A4B"/>
    <w:rsid w:val="2CF350E3"/>
    <w:rsid w:val="2CFE48F4"/>
    <w:rsid w:val="2CFF7BB9"/>
    <w:rsid w:val="2D04594C"/>
    <w:rsid w:val="2D0C5851"/>
    <w:rsid w:val="2D1C1975"/>
    <w:rsid w:val="2D1F543F"/>
    <w:rsid w:val="2D3D012B"/>
    <w:rsid w:val="2D3E4B0D"/>
    <w:rsid w:val="2D446A9B"/>
    <w:rsid w:val="2D863EDD"/>
    <w:rsid w:val="2DA120C4"/>
    <w:rsid w:val="2DAC6336"/>
    <w:rsid w:val="2DC65BA0"/>
    <w:rsid w:val="2DD85E2E"/>
    <w:rsid w:val="2E41718B"/>
    <w:rsid w:val="2E554EA6"/>
    <w:rsid w:val="2E5F03A4"/>
    <w:rsid w:val="2E6A1892"/>
    <w:rsid w:val="2E717F8B"/>
    <w:rsid w:val="2E88190D"/>
    <w:rsid w:val="2E8E1E30"/>
    <w:rsid w:val="2E9976CE"/>
    <w:rsid w:val="2EB72848"/>
    <w:rsid w:val="2EDE539C"/>
    <w:rsid w:val="2F134027"/>
    <w:rsid w:val="2F330F99"/>
    <w:rsid w:val="2F401D3C"/>
    <w:rsid w:val="2F562EC0"/>
    <w:rsid w:val="2F572D25"/>
    <w:rsid w:val="2F5B24E1"/>
    <w:rsid w:val="2F704EEA"/>
    <w:rsid w:val="2F7E1D1C"/>
    <w:rsid w:val="2F7F4483"/>
    <w:rsid w:val="2F8026D7"/>
    <w:rsid w:val="2F8F65C7"/>
    <w:rsid w:val="2FA95C88"/>
    <w:rsid w:val="2FC97926"/>
    <w:rsid w:val="2FD471C0"/>
    <w:rsid w:val="2FF9770A"/>
    <w:rsid w:val="300833DF"/>
    <w:rsid w:val="3019031A"/>
    <w:rsid w:val="301C38BE"/>
    <w:rsid w:val="30242658"/>
    <w:rsid w:val="302F4907"/>
    <w:rsid w:val="303B3107"/>
    <w:rsid w:val="3041370F"/>
    <w:rsid w:val="30506D05"/>
    <w:rsid w:val="306D5836"/>
    <w:rsid w:val="3097349C"/>
    <w:rsid w:val="30A03F6A"/>
    <w:rsid w:val="30AD7887"/>
    <w:rsid w:val="30BF083E"/>
    <w:rsid w:val="30D32298"/>
    <w:rsid w:val="30EC5E2A"/>
    <w:rsid w:val="30ED1946"/>
    <w:rsid w:val="311B0A1E"/>
    <w:rsid w:val="31216B3F"/>
    <w:rsid w:val="31295B5B"/>
    <w:rsid w:val="312B50A3"/>
    <w:rsid w:val="317172BB"/>
    <w:rsid w:val="318E6873"/>
    <w:rsid w:val="31B46ACE"/>
    <w:rsid w:val="31F51115"/>
    <w:rsid w:val="32003808"/>
    <w:rsid w:val="32172470"/>
    <w:rsid w:val="321A6930"/>
    <w:rsid w:val="32432DA9"/>
    <w:rsid w:val="32453A27"/>
    <w:rsid w:val="324A7048"/>
    <w:rsid w:val="3263064A"/>
    <w:rsid w:val="3265766A"/>
    <w:rsid w:val="327D2533"/>
    <w:rsid w:val="329842A9"/>
    <w:rsid w:val="329B7A68"/>
    <w:rsid w:val="32A43132"/>
    <w:rsid w:val="32AB00DA"/>
    <w:rsid w:val="32AC0C06"/>
    <w:rsid w:val="32AD0CCA"/>
    <w:rsid w:val="32C33CD3"/>
    <w:rsid w:val="32E04E37"/>
    <w:rsid w:val="32E15130"/>
    <w:rsid w:val="33027836"/>
    <w:rsid w:val="3331060D"/>
    <w:rsid w:val="33344EF5"/>
    <w:rsid w:val="33496CCF"/>
    <w:rsid w:val="3378161D"/>
    <w:rsid w:val="339C3B02"/>
    <w:rsid w:val="33A05880"/>
    <w:rsid w:val="33A35F1E"/>
    <w:rsid w:val="33B22505"/>
    <w:rsid w:val="33C51EB6"/>
    <w:rsid w:val="33D36651"/>
    <w:rsid w:val="33E85CE2"/>
    <w:rsid w:val="341D0201"/>
    <w:rsid w:val="34246B9F"/>
    <w:rsid w:val="342A2472"/>
    <w:rsid w:val="342B0F4F"/>
    <w:rsid w:val="344D3742"/>
    <w:rsid w:val="347B2D6D"/>
    <w:rsid w:val="34AB2475"/>
    <w:rsid w:val="34B52163"/>
    <w:rsid w:val="34D72013"/>
    <w:rsid w:val="34EB7D5F"/>
    <w:rsid w:val="34EE1C44"/>
    <w:rsid w:val="35293FD9"/>
    <w:rsid w:val="352C24DC"/>
    <w:rsid w:val="3537750C"/>
    <w:rsid w:val="3537798C"/>
    <w:rsid w:val="357005A7"/>
    <w:rsid w:val="357A579A"/>
    <w:rsid w:val="358E312C"/>
    <w:rsid w:val="35C13FC9"/>
    <w:rsid w:val="35E07056"/>
    <w:rsid w:val="35E91989"/>
    <w:rsid w:val="35EF4FE4"/>
    <w:rsid w:val="35F2040C"/>
    <w:rsid w:val="35F9471D"/>
    <w:rsid w:val="36085EA6"/>
    <w:rsid w:val="36101C06"/>
    <w:rsid w:val="36266D8A"/>
    <w:rsid w:val="364257B6"/>
    <w:rsid w:val="36636B8E"/>
    <w:rsid w:val="36741335"/>
    <w:rsid w:val="369E4AB8"/>
    <w:rsid w:val="36AC6498"/>
    <w:rsid w:val="3705788F"/>
    <w:rsid w:val="3724059E"/>
    <w:rsid w:val="3729538A"/>
    <w:rsid w:val="374E4FB2"/>
    <w:rsid w:val="376462CF"/>
    <w:rsid w:val="37720396"/>
    <w:rsid w:val="37725F65"/>
    <w:rsid w:val="37734E19"/>
    <w:rsid w:val="377868E8"/>
    <w:rsid w:val="379C5435"/>
    <w:rsid w:val="37DE378C"/>
    <w:rsid w:val="37EA5922"/>
    <w:rsid w:val="38045D85"/>
    <w:rsid w:val="380C2E7F"/>
    <w:rsid w:val="38134D6C"/>
    <w:rsid w:val="381C20D2"/>
    <w:rsid w:val="38205CA3"/>
    <w:rsid w:val="38236F73"/>
    <w:rsid w:val="38276B93"/>
    <w:rsid w:val="38336FC4"/>
    <w:rsid w:val="384D3BF2"/>
    <w:rsid w:val="386A2AA2"/>
    <w:rsid w:val="389430F0"/>
    <w:rsid w:val="38AC3431"/>
    <w:rsid w:val="38B9690B"/>
    <w:rsid w:val="38C26745"/>
    <w:rsid w:val="38CD0AA7"/>
    <w:rsid w:val="38E67108"/>
    <w:rsid w:val="38F06097"/>
    <w:rsid w:val="38FE35D2"/>
    <w:rsid w:val="3914040E"/>
    <w:rsid w:val="39226DE8"/>
    <w:rsid w:val="392F2E16"/>
    <w:rsid w:val="39406F09"/>
    <w:rsid w:val="396554F4"/>
    <w:rsid w:val="39791C92"/>
    <w:rsid w:val="398147FC"/>
    <w:rsid w:val="39854459"/>
    <w:rsid w:val="39A85265"/>
    <w:rsid w:val="39B614C9"/>
    <w:rsid w:val="39BE755C"/>
    <w:rsid w:val="39D678CC"/>
    <w:rsid w:val="39D94185"/>
    <w:rsid w:val="39E00529"/>
    <w:rsid w:val="39E359C2"/>
    <w:rsid w:val="39E9733C"/>
    <w:rsid w:val="3A0B6254"/>
    <w:rsid w:val="3A0B64A7"/>
    <w:rsid w:val="3A1C7B1C"/>
    <w:rsid w:val="3A271BC8"/>
    <w:rsid w:val="3A2F182B"/>
    <w:rsid w:val="3A36312B"/>
    <w:rsid w:val="3A3B5CDC"/>
    <w:rsid w:val="3A520B7E"/>
    <w:rsid w:val="3A574DDA"/>
    <w:rsid w:val="3A7C0B25"/>
    <w:rsid w:val="3A952A43"/>
    <w:rsid w:val="3A9C7769"/>
    <w:rsid w:val="3AA73CF1"/>
    <w:rsid w:val="3AAA5A75"/>
    <w:rsid w:val="3AAC6D90"/>
    <w:rsid w:val="3AD3075A"/>
    <w:rsid w:val="3AD5142D"/>
    <w:rsid w:val="3AD71232"/>
    <w:rsid w:val="3AF74C02"/>
    <w:rsid w:val="3B0754C5"/>
    <w:rsid w:val="3B761717"/>
    <w:rsid w:val="3B831369"/>
    <w:rsid w:val="3B8B5350"/>
    <w:rsid w:val="3B954BE0"/>
    <w:rsid w:val="3B9F1620"/>
    <w:rsid w:val="3BB84161"/>
    <w:rsid w:val="3BD53F3C"/>
    <w:rsid w:val="3BFB4A65"/>
    <w:rsid w:val="3C0059A5"/>
    <w:rsid w:val="3C024506"/>
    <w:rsid w:val="3C07120D"/>
    <w:rsid w:val="3C134E78"/>
    <w:rsid w:val="3C15518D"/>
    <w:rsid w:val="3C2528F1"/>
    <w:rsid w:val="3C2A0F17"/>
    <w:rsid w:val="3C33057E"/>
    <w:rsid w:val="3C334EAF"/>
    <w:rsid w:val="3C3D49BD"/>
    <w:rsid w:val="3C6D16C6"/>
    <w:rsid w:val="3C921FB2"/>
    <w:rsid w:val="3C9333AF"/>
    <w:rsid w:val="3C9E1EBC"/>
    <w:rsid w:val="3CD21D29"/>
    <w:rsid w:val="3CF52957"/>
    <w:rsid w:val="3D147205"/>
    <w:rsid w:val="3D187F39"/>
    <w:rsid w:val="3D2E6923"/>
    <w:rsid w:val="3D33169F"/>
    <w:rsid w:val="3D506996"/>
    <w:rsid w:val="3D614B55"/>
    <w:rsid w:val="3D67163F"/>
    <w:rsid w:val="3D6871A7"/>
    <w:rsid w:val="3D817764"/>
    <w:rsid w:val="3D873FCE"/>
    <w:rsid w:val="3DB17E6C"/>
    <w:rsid w:val="3DCE1FF5"/>
    <w:rsid w:val="3DE61DFF"/>
    <w:rsid w:val="3DEC7285"/>
    <w:rsid w:val="3DF6345D"/>
    <w:rsid w:val="3E2B5515"/>
    <w:rsid w:val="3E3E5EF1"/>
    <w:rsid w:val="3E4D4F28"/>
    <w:rsid w:val="3E5325C6"/>
    <w:rsid w:val="3E5840E2"/>
    <w:rsid w:val="3E706639"/>
    <w:rsid w:val="3E7F32DC"/>
    <w:rsid w:val="3E956A07"/>
    <w:rsid w:val="3EB11AC7"/>
    <w:rsid w:val="3EBF3622"/>
    <w:rsid w:val="3EC9706E"/>
    <w:rsid w:val="3ED818CD"/>
    <w:rsid w:val="3EE13701"/>
    <w:rsid w:val="3EE25742"/>
    <w:rsid w:val="3F0C5D2F"/>
    <w:rsid w:val="3F144FB4"/>
    <w:rsid w:val="3F1A4BB3"/>
    <w:rsid w:val="3F1B30E3"/>
    <w:rsid w:val="3F372168"/>
    <w:rsid w:val="3F4A64D9"/>
    <w:rsid w:val="3F571CFE"/>
    <w:rsid w:val="3F5C6943"/>
    <w:rsid w:val="3F60225A"/>
    <w:rsid w:val="3F79605C"/>
    <w:rsid w:val="3F934E86"/>
    <w:rsid w:val="3FD921B4"/>
    <w:rsid w:val="3FF317AE"/>
    <w:rsid w:val="3FFA2455"/>
    <w:rsid w:val="40010575"/>
    <w:rsid w:val="400E712D"/>
    <w:rsid w:val="40192BA6"/>
    <w:rsid w:val="401D2E8B"/>
    <w:rsid w:val="402C58F5"/>
    <w:rsid w:val="40484D68"/>
    <w:rsid w:val="40761BDC"/>
    <w:rsid w:val="408D092B"/>
    <w:rsid w:val="40963BF6"/>
    <w:rsid w:val="40991CAB"/>
    <w:rsid w:val="40B15F11"/>
    <w:rsid w:val="40BE68D5"/>
    <w:rsid w:val="40D43427"/>
    <w:rsid w:val="41071387"/>
    <w:rsid w:val="41184017"/>
    <w:rsid w:val="411D2299"/>
    <w:rsid w:val="413D6CFA"/>
    <w:rsid w:val="4144773B"/>
    <w:rsid w:val="414E40BA"/>
    <w:rsid w:val="4151394D"/>
    <w:rsid w:val="415560AD"/>
    <w:rsid w:val="41766EA9"/>
    <w:rsid w:val="41906B0F"/>
    <w:rsid w:val="4192330C"/>
    <w:rsid w:val="41F6509D"/>
    <w:rsid w:val="42145CCA"/>
    <w:rsid w:val="42241EB7"/>
    <w:rsid w:val="423035D9"/>
    <w:rsid w:val="42550A18"/>
    <w:rsid w:val="425A4BD1"/>
    <w:rsid w:val="427B1BBB"/>
    <w:rsid w:val="429C7597"/>
    <w:rsid w:val="429D496A"/>
    <w:rsid w:val="42B81FA5"/>
    <w:rsid w:val="42CC751E"/>
    <w:rsid w:val="42E0276A"/>
    <w:rsid w:val="42EB6093"/>
    <w:rsid w:val="42F473A1"/>
    <w:rsid w:val="42F61AFB"/>
    <w:rsid w:val="42F80FA5"/>
    <w:rsid w:val="4305361D"/>
    <w:rsid w:val="431C26D3"/>
    <w:rsid w:val="431F637C"/>
    <w:rsid w:val="434E3AB8"/>
    <w:rsid w:val="43537F8A"/>
    <w:rsid w:val="43805D73"/>
    <w:rsid w:val="43D02D4A"/>
    <w:rsid w:val="43D83C99"/>
    <w:rsid w:val="43DD4E0B"/>
    <w:rsid w:val="44107EE3"/>
    <w:rsid w:val="441E62C0"/>
    <w:rsid w:val="442A7246"/>
    <w:rsid w:val="44380293"/>
    <w:rsid w:val="443E50E2"/>
    <w:rsid w:val="44406167"/>
    <w:rsid w:val="44967985"/>
    <w:rsid w:val="44974521"/>
    <w:rsid w:val="44FA0E0B"/>
    <w:rsid w:val="44FB65C3"/>
    <w:rsid w:val="45097E82"/>
    <w:rsid w:val="45147341"/>
    <w:rsid w:val="45192471"/>
    <w:rsid w:val="452802B4"/>
    <w:rsid w:val="452F1A92"/>
    <w:rsid w:val="45325D14"/>
    <w:rsid w:val="453A5298"/>
    <w:rsid w:val="454F4D0B"/>
    <w:rsid w:val="456A5852"/>
    <w:rsid w:val="456B6447"/>
    <w:rsid w:val="457D0B54"/>
    <w:rsid w:val="45811C7C"/>
    <w:rsid w:val="45906116"/>
    <w:rsid w:val="45A0305D"/>
    <w:rsid w:val="45A03571"/>
    <w:rsid w:val="45B44292"/>
    <w:rsid w:val="45B72BF8"/>
    <w:rsid w:val="45C96298"/>
    <w:rsid w:val="45E356FB"/>
    <w:rsid w:val="45F51AEF"/>
    <w:rsid w:val="460B016C"/>
    <w:rsid w:val="46263C87"/>
    <w:rsid w:val="465219D4"/>
    <w:rsid w:val="465716AD"/>
    <w:rsid w:val="46745ABF"/>
    <w:rsid w:val="46830E83"/>
    <w:rsid w:val="468563F2"/>
    <w:rsid w:val="468B3EFB"/>
    <w:rsid w:val="46AE3D43"/>
    <w:rsid w:val="46C44510"/>
    <w:rsid w:val="46CC1041"/>
    <w:rsid w:val="46CD455E"/>
    <w:rsid w:val="46D5130D"/>
    <w:rsid w:val="46E15B1B"/>
    <w:rsid w:val="46FF778E"/>
    <w:rsid w:val="470A6193"/>
    <w:rsid w:val="471B4E2C"/>
    <w:rsid w:val="47385210"/>
    <w:rsid w:val="474C2DD7"/>
    <w:rsid w:val="474D5830"/>
    <w:rsid w:val="47543636"/>
    <w:rsid w:val="475C3001"/>
    <w:rsid w:val="47625066"/>
    <w:rsid w:val="47690E29"/>
    <w:rsid w:val="47767EAB"/>
    <w:rsid w:val="47864E13"/>
    <w:rsid w:val="478F1033"/>
    <w:rsid w:val="479A5F27"/>
    <w:rsid w:val="47A837E0"/>
    <w:rsid w:val="47BC567F"/>
    <w:rsid w:val="47D31E5D"/>
    <w:rsid w:val="47DC4F5C"/>
    <w:rsid w:val="47DD36B3"/>
    <w:rsid w:val="47F32E64"/>
    <w:rsid w:val="481C7304"/>
    <w:rsid w:val="482C6A5C"/>
    <w:rsid w:val="485C15EC"/>
    <w:rsid w:val="48783354"/>
    <w:rsid w:val="488D3FC9"/>
    <w:rsid w:val="48992B03"/>
    <w:rsid w:val="48B40671"/>
    <w:rsid w:val="48D30AEF"/>
    <w:rsid w:val="48D8429F"/>
    <w:rsid w:val="48E34F9B"/>
    <w:rsid w:val="48F52BF7"/>
    <w:rsid w:val="48F73DFC"/>
    <w:rsid w:val="490D112E"/>
    <w:rsid w:val="493C2711"/>
    <w:rsid w:val="495664BB"/>
    <w:rsid w:val="49751310"/>
    <w:rsid w:val="49973F6B"/>
    <w:rsid w:val="499B5738"/>
    <w:rsid w:val="499F244D"/>
    <w:rsid w:val="4A105051"/>
    <w:rsid w:val="4A280204"/>
    <w:rsid w:val="4A2D0198"/>
    <w:rsid w:val="4A420EE7"/>
    <w:rsid w:val="4A973F3F"/>
    <w:rsid w:val="4AD83371"/>
    <w:rsid w:val="4AE6282E"/>
    <w:rsid w:val="4AED2A70"/>
    <w:rsid w:val="4AF4108E"/>
    <w:rsid w:val="4AF50338"/>
    <w:rsid w:val="4AF96BC7"/>
    <w:rsid w:val="4B136101"/>
    <w:rsid w:val="4B1C090F"/>
    <w:rsid w:val="4B203103"/>
    <w:rsid w:val="4B32607A"/>
    <w:rsid w:val="4B464533"/>
    <w:rsid w:val="4B496045"/>
    <w:rsid w:val="4B545C08"/>
    <w:rsid w:val="4B55797D"/>
    <w:rsid w:val="4B5A416B"/>
    <w:rsid w:val="4B5D14C2"/>
    <w:rsid w:val="4B662EDE"/>
    <w:rsid w:val="4B667F55"/>
    <w:rsid w:val="4B6A63A2"/>
    <w:rsid w:val="4B6E0A3F"/>
    <w:rsid w:val="4B7C6990"/>
    <w:rsid w:val="4B7F00CA"/>
    <w:rsid w:val="4B8273D5"/>
    <w:rsid w:val="4B862A85"/>
    <w:rsid w:val="4B8B200B"/>
    <w:rsid w:val="4B98008D"/>
    <w:rsid w:val="4BAC4867"/>
    <w:rsid w:val="4BF16188"/>
    <w:rsid w:val="4BF417D4"/>
    <w:rsid w:val="4BF92147"/>
    <w:rsid w:val="4C01654C"/>
    <w:rsid w:val="4C3A28DD"/>
    <w:rsid w:val="4C8018E7"/>
    <w:rsid w:val="4C8624FC"/>
    <w:rsid w:val="4C8A38D4"/>
    <w:rsid w:val="4C9C27CC"/>
    <w:rsid w:val="4CA20A24"/>
    <w:rsid w:val="4CAA5B23"/>
    <w:rsid w:val="4CB755B1"/>
    <w:rsid w:val="4CEF36E2"/>
    <w:rsid w:val="4CEF4DC5"/>
    <w:rsid w:val="4CF23DD6"/>
    <w:rsid w:val="4CF25996"/>
    <w:rsid w:val="4D171C3B"/>
    <w:rsid w:val="4D353E59"/>
    <w:rsid w:val="4D3D7D51"/>
    <w:rsid w:val="4D411D80"/>
    <w:rsid w:val="4D482BAA"/>
    <w:rsid w:val="4D4873F2"/>
    <w:rsid w:val="4D54264D"/>
    <w:rsid w:val="4D6A5813"/>
    <w:rsid w:val="4D922FBD"/>
    <w:rsid w:val="4D9A766C"/>
    <w:rsid w:val="4DA62246"/>
    <w:rsid w:val="4DB54B95"/>
    <w:rsid w:val="4DC17B81"/>
    <w:rsid w:val="4DC23F1C"/>
    <w:rsid w:val="4DEE41E3"/>
    <w:rsid w:val="4DF21879"/>
    <w:rsid w:val="4DF71805"/>
    <w:rsid w:val="4E0A3FBD"/>
    <w:rsid w:val="4E17231F"/>
    <w:rsid w:val="4E257655"/>
    <w:rsid w:val="4E2670DE"/>
    <w:rsid w:val="4E352A01"/>
    <w:rsid w:val="4E8E7871"/>
    <w:rsid w:val="4EA85542"/>
    <w:rsid w:val="4EC4406A"/>
    <w:rsid w:val="4EC455C1"/>
    <w:rsid w:val="4EF86E3C"/>
    <w:rsid w:val="4F06496B"/>
    <w:rsid w:val="4F0C1AC6"/>
    <w:rsid w:val="4F127C58"/>
    <w:rsid w:val="4F365F84"/>
    <w:rsid w:val="4F367AC5"/>
    <w:rsid w:val="4F372380"/>
    <w:rsid w:val="4F372FFB"/>
    <w:rsid w:val="4F4B5D83"/>
    <w:rsid w:val="4F71142E"/>
    <w:rsid w:val="4F7A6CA5"/>
    <w:rsid w:val="4F9C17F9"/>
    <w:rsid w:val="4FA7341A"/>
    <w:rsid w:val="4FC66A35"/>
    <w:rsid w:val="4FE34F88"/>
    <w:rsid w:val="4FEF4AC6"/>
    <w:rsid w:val="5025116D"/>
    <w:rsid w:val="50310AE7"/>
    <w:rsid w:val="503D7DBA"/>
    <w:rsid w:val="504125FA"/>
    <w:rsid w:val="507725C3"/>
    <w:rsid w:val="50811214"/>
    <w:rsid w:val="508A158E"/>
    <w:rsid w:val="50BF67C9"/>
    <w:rsid w:val="50C85235"/>
    <w:rsid w:val="50CA0599"/>
    <w:rsid w:val="50ED7CC8"/>
    <w:rsid w:val="50FB62A0"/>
    <w:rsid w:val="511E0283"/>
    <w:rsid w:val="515158DB"/>
    <w:rsid w:val="515A7AB7"/>
    <w:rsid w:val="516623C4"/>
    <w:rsid w:val="51B05107"/>
    <w:rsid w:val="51DA39DC"/>
    <w:rsid w:val="51E0241A"/>
    <w:rsid w:val="51F1394A"/>
    <w:rsid w:val="5201085F"/>
    <w:rsid w:val="522024E6"/>
    <w:rsid w:val="52314419"/>
    <w:rsid w:val="52395ECD"/>
    <w:rsid w:val="526D1B33"/>
    <w:rsid w:val="526D4E29"/>
    <w:rsid w:val="52735E8B"/>
    <w:rsid w:val="52B44696"/>
    <w:rsid w:val="52BB5DFD"/>
    <w:rsid w:val="52C00FCB"/>
    <w:rsid w:val="52C10D75"/>
    <w:rsid w:val="52D55821"/>
    <w:rsid w:val="52EB2FB5"/>
    <w:rsid w:val="53376E09"/>
    <w:rsid w:val="53655BA8"/>
    <w:rsid w:val="53A303CC"/>
    <w:rsid w:val="53C27FF8"/>
    <w:rsid w:val="53D0274A"/>
    <w:rsid w:val="53D94F3D"/>
    <w:rsid w:val="53EA1FF6"/>
    <w:rsid w:val="53EC03B2"/>
    <w:rsid w:val="540B5AE5"/>
    <w:rsid w:val="54167271"/>
    <w:rsid w:val="54457E2A"/>
    <w:rsid w:val="544A1D81"/>
    <w:rsid w:val="544E00F4"/>
    <w:rsid w:val="5475679C"/>
    <w:rsid w:val="548850A3"/>
    <w:rsid w:val="548E3F00"/>
    <w:rsid w:val="548E485C"/>
    <w:rsid w:val="549E1A80"/>
    <w:rsid w:val="54AB108A"/>
    <w:rsid w:val="54BA25DB"/>
    <w:rsid w:val="54C658F4"/>
    <w:rsid w:val="54CB45B1"/>
    <w:rsid w:val="54CF22DF"/>
    <w:rsid w:val="54E0494C"/>
    <w:rsid w:val="54E171CD"/>
    <w:rsid w:val="54E7784F"/>
    <w:rsid w:val="550C4BD7"/>
    <w:rsid w:val="55322669"/>
    <w:rsid w:val="5539470A"/>
    <w:rsid w:val="554C1D56"/>
    <w:rsid w:val="55572986"/>
    <w:rsid w:val="555761AA"/>
    <w:rsid w:val="555E236D"/>
    <w:rsid w:val="55805785"/>
    <w:rsid w:val="55A82C22"/>
    <w:rsid w:val="55C062DD"/>
    <w:rsid w:val="55C84FE2"/>
    <w:rsid w:val="55E50B6E"/>
    <w:rsid w:val="55E822CC"/>
    <w:rsid w:val="55F25A29"/>
    <w:rsid w:val="5607446A"/>
    <w:rsid w:val="56081243"/>
    <w:rsid w:val="56182C00"/>
    <w:rsid w:val="56245CC2"/>
    <w:rsid w:val="56330E85"/>
    <w:rsid w:val="56405665"/>
    <w:rsid w:val="565340FA"/>
    <w:rsid w:val="565C3ECA"/>
    <w:rsid w:val="56636EEC"/>
    <w:rsid w:val="56790914"/>
    <w:rsid w:val="567D64C6"/>
    <w:rsid w:val="568E01E7"/>
    <w:rsid w:val="569A7860"/>
    <w:rsid w:val="56B25952"/>
    <w:rsid w:val="56FC519F"/>
    <w:rsid w:val="571B3688"/>
    <w:rsid w:val="571F4860"/>
    <w:rsid w:val="5723343E"/>
    <w:rsid w:val="573D7EAB"/>
    <w:rsid w:val="57580904"/>
    <w:rsid w:val="578057C8"/>
    <w:rsid w:val="578231ED"/>
    <w:rsid w:val="57856002"/>
    <w:rsid w:val="57893184"/>
    <w:rsid w:val="57A66BAB"/>
    <w:rsid w:val="57AA18F7"/>
    <w:rsid w:val="57D21B1D"/>
    <w:rsid w:val="57DD34B9"/>
    <w:rsid w:val="57E6392C"/>
    <w:rsid w:val="57F706C9"/>
    <w:rsid w:val="58017793"/>
    <w:rsid w:val="58244E5C"/>
    <w:rsid w:val="58685C59"/>
    <w:rsid w:val="58697500"/>
    <w:rsid w:val="5874230E"/>
    <w:rsid w:val="58843841"/>
    <w:rsid w:val="5891308F"/>
    <w:rsid w:val="589236B1"/>
    <w:rsid w:val="58C86B99"/>
    <w:rsid w:val="58DB0E48"/>
    <w:rsid w:val="5904102E"/>
    <w:rsid w:val="590A564B"/>
    <w:rsid w:val="59240441"/>
    <w:rsid w:val="59415D84"/>
    <w:rsid w:val="5944577D"/>
    <w:rsid w:val="594D2B53"/>
    <w:rsid w:val="59771602"/>
    <w:rsid w:val="598813E0"/>
    <w:rsid w:val="59914276"/>
    <w:rsid w:val="5999679A"/>
    <w:rsid w:val="599B7268"/>
    <w:rsid w:val="599C38F2"/>
    <w:rsid w:val="59A03BB4"/>
    <w:rsid w:val="59AA0FB1"/>
    <w:rsid w:val="59B91F8C"/>
    <w:rsid w:val="59EF6A42"/>
    <w:rsid w:val="59F20EF7"/>
    <w:rsid w:val="5A1030D6"/>
    <w:rsid w:val="5A2F2CC8"/>
    <w:rsid w:val="5A337E52"/>
    <w:rsid w:val="5A6059E2"/>
    <w:rsid w:val="5A673F93"/>
    <w:rsid w:val="5A723722"/>
    <w:rsid w:val="5A7D02BC"/>
    <w:rsid w:val="5A84088B"/>
    <w:rsid w:val="5A8C2C8F"/>
    <w:rsid w:val="5AAA4EE2"/>
    <w:rsid w:val="5AC95C92"/>
    <w:rsid w:val="5B436D5A"/>
    <w:rsid w:val="5B487697"/>
    <w:rsid w:val="5B570637"/>
    <w:rsid w:val="5B7213D8"/>
    <w:rsid w:val="5B79092D"/>
    <w:rsid w:val="5B7D33AD"/>
    <w:rsid w:val="5B7F28A2"/>
    <w:rsid w:val="5B8E36FB"/>
    <w:rsid w:val="5B9C3F03"/>
    <w:rsid w:val="5BA26962"/>
    <w:rsid w:val="5BA85879"/>
    <w:rsid w:val="5BAF1477"/>
    <w:rsid w:val="5BAF6C35"/>
    <w:rsid w:val="5BB978F4"/>
    <w:rsid w:val="5BC1259B"/>
    <w:rsid w:val="5C10702D"/>
    <w:rsid w:val="5C14136F"/>
    <w:rsid w:val="5C152601"/>
    <w:rsid w:val="5C20614F"/>
    <w:rsid w:val="5C591F03"/>
    <w:rsid w:val="5C697AAA"/>
    <w:rsid w:val="5C8A1B2F"/>
    <w:rsid w:val="5C9257B9"/>
    <w:rsid w:val="5C96399E"/>
    <w:rsid w:val="5CAF3DCD"/>
    <w:rsid w:val="5CEA4062"/>
    <w:rsid w:val="5CFD769F"/>
    <w:rsid w:val="5D2C1215"/>
    <w:rsid w:val="5D4D4133"/>
    <w:rsid w:val="5D857790"/>
    <w:rsid w:val="5D861815"/>
    <w:rsid w:val="5D8936D2"/>
    <w:rsid w:val="5D8A140E"/>
    <w:rsid w:val="5D914004"/>
    <w:rsid w:val="5DCA41FA"/>
    <w:rsid w:val="5DD80331"/>
    <w:rsid w:val="5DD95E29"/>
    <w:rsid w:val="5DDD16DD"/>
    <w:rsid w:val="5DF41766"/>
    <w:rsid w:val="5E015F08"/>
    <w:rsid w:val="5E4F64AE"/>
    <w:rsid w:val="5E615889"/>
    <w:rsid w:val="5E727AB0"/>
    <w:rsid w:val="5E847BF7"/>
    <w:rsid w:val="5E936FAE"/>
    <w:rsid w:val="5EAA1124"/>
    <w:rsid w:val="5EC8520A"/>
    <w:rsid w:val="5ED25050"/>
    <w:rsid w:val="5F0341A4"/>
    <w:rsid w:val="5F0A7504"/>
    <w:rsid w:val="5F114CB9"/>
    <w:rsid w:val="5F174D94"/>
    <w:rsid w:val="5F4F5E24"/>
    <w:rsid w:val="5F561B72"/>
    <w:rsid w:val="5F811AD3"/>
    <w:rsid w:val="5F8E3288"/>
    <w:rsid w:val="5F92448C"/>
    <w:rsid w:val="5FA13309"/>
    <w:rsid w:val="5FB646B2"/>
    <w:rsid w:val="5FBB0ADC"/>
    <w:rsid w:val="5FC2179D"/>
    <w:rsid w:val="5FE00927"/>
    <w:rsid w:val="5FE24EDD"/>
    <w:rsid w:val="5FE437FC"/>
    <w:rsid w:val="5FED0446"/>
    <w:rsid w:val="5FF87C07"/>
    <w:rsid w:val="60014470"/>
    <w:rsid w:val="602A626F"/>
    <w:rsid w:val="603E60FC"/>
    <w:rsid w:val="60504C82"/>
    <w:rsid w:val="606007BB"/>
    <w:rsid w:val="606163EC"/>
    <w:rsid w:val="608E10F9"/>
    <w:rsid w:val="6095423F"/>
    <w:rsid w:val="60AC7F66"/>
    <w:rsid w:val="60C13070"/>
    <w:rsid w:val="611E12A8"/>
    <w:rsid w:val="61226064"/>
    <w:rsid w:val="61497909"/>
    <w:rsid w:val="614E0C9F"/>
    <w:rsid w:val="614F0CAD"/>
    <w:rsid w:val="6182423A"/>
    <w:rsid w:val="6189448A"/>
    <w:rsid w:val="61A475B0"/>
    <w:rsid w:val="61A66546"/>
    <w:rsid w:val="61BD42A4"/>
    <w:rsid w:val="61BF10D9"/>
    <w:rsid w:val="61BF1193"/>
    <w:rsid w:val="61DA3D4C"/>
    <w:rsid w:val="61F215C9"/>
    <w:rsid w:val="62052E11"/>
    <w:rsid w:val="6265481D"/>
    <w:rsid w:val="626A5412"/>
    <w:rsid w:val="62AC22DC"/>
    <w:rsid w:val="62B22B31"/>
    <w:rsid w:val="62BF2D76"/>
    <w:rsid w:val="62FA4283"/>
    <w:rsid w:val="630871F9"/>
    <w:rsid w:val="630A6917"/>
    <w:rsid w:val="63177FBC"/>
    <w:rsid w:val="632630D2"/>
    <w:rsid w:val="633575E4"/>
    <w:rsid w:val="633E67A6"/>
    <w:rsid w:val="63493F8F"/>
    <w:rsid w:val="635251C8"/>
    <w:rsid w:val="6354469B"/>
    <w:rsid w:val="635A3E88"/>
    <w:rsid w:val="635C1FFD"/>
    <w:rsid w:val="63606311"/>
    <w:rsid w:val="63607FA4"/>
    <w:rsid w:val="63724593"/>
    <w:rsid w:val="637833E8"/>
    <w:rsid w:val="63DE0947"/>
    <w:rsid w:val="63F14628"/>
    <w:rsid w:val="63F30799"/>
    <w:rsid w:val="64481274"/>
    <w:rsid w:val="648743E5"/>
    <w:rsid w:val="64941CD4"/>
    <w:rsid w:val="64B10E28"/>
    <w:rsid w:val="64BB10E5"/>
    <w:rsid w:val="64C0006E"/>
    <w:rsid w:val="64C210FC"/>
    <w:rsid w:val="64D8014C"/>
    <w:rsid w:val="64E45EF7"/>
    <w:rsid w:val="64E536C8"/>
    <w:rsid w:val="650D635E"/>
    <w:rsid w:val="651240A3"/>
    <w:rsid w:val="6528541A"/>
    <w:rsid w:val="6544472C"/>
    <w:rsid w:val="65465871"/>
    <w:rsid w:val="654866C3"/>
    <w:rsid w:val="654E2D83"/>
    <w:rsid w:val="6555098E"/>
    <w:rsid w:val="65826BA0"/>
    <w:rsid w:val="65D06BA5"/>
    <w:rsid w:val="65F12154"/>
    <w:rsid w:val="661D63AD"/>
    <w:rsid w:val="6630196A"/>
    <w:rsid w:val="664457C3"/>
    <w:rsid w:val="665253D0"/>
    <w:rsid w:val="66815672"/>
    <w:rsid w:val="66873275"/>
    <w:rsid w:val="6691014E"/>
    <w:rsid w:val="66C1066D"/>
    <w:rsid w:val="66C87CCE"/>
    <w:rsid w:val="66D23840"/>
    <w:rsid w:val="66E1028C"/>
    <w:rsid w:val="66E73D86"/>
    <w:rsid w:val="66FB490A"/>
    <w:rsid w:val="670006DA"/>
    <w:rsid w:val="67193D5A"/>
    <w:rsid w:val="67592253"/>
    <w:rsid w:val="677435B2"/>
    <w:rsid w:val="6779688C"/>
    <w:rsid w:val="67814D8C"/>
    <w:rsid w:val="678801E7"/>
    <w:rsid w:val="678D2EAE"/>
    <w:rsid w:val="67AC1EB3"/>
    <w:rsid w:val="67E35B9E"/>
    <w:rsid w:val="67EF26F9"/>
    <w:rsid w:val="67EF75F1"/>
    <w:rsid w:val="67F323FA"/>
    <w:rsid w:val="680A28C9"/>
    <w:rsid w:val="682062DD"/>
    <w:rsid w:val="6828218F"/>
    <w:rsid w:val="68327BBE"/>
    <w:rsid w:val="68836ACA"/>
    <w:rsid w:val="688D5804"/>
    <w:rsid w:val="689736F8"/>
    <w:rsid w:val="68B35F15"/>
    <w:rsid w:val="69124F16"/>
    <w:rsid w:val="692556B9"/>
    <w:rsid w:val="69280117"/>
    <w:rsid w:val="693022D8"/>
    <w:rsid w:val="694A5205"/>
    <w:rsid w:val="694C59EB"/>
    <w:rsid w:val="69874AA4"/>
    <w:rsid w:val="69AD518D"/>
    <w:rsid w:val="69CD5C14"/>
    <w:rsid w:val="69CF0D33"/>
    <w:rsid w:val="69D8686C"/>
    <w:rsid w:val="69D96AC3"/>
    <w:rsid w:val="69DD764A"/>
    <w:rsid w:val="69F567A0"/>
    <w:rsid w:val="6A145FA6"/>
    <w:rsid w:val="6A1A7186"/>
    <w:rsid w:val="6A2D3C19"/>
    <w:rsid w:val="6A36068B"/>
    <w:rsid w:val="6A434A35"/>
    <w:rsid w:val="6A4B2209"/>
    <w:rsid w:val="6A5066CB"/>
    <w:rsid w:val="6A512713"/>
    <w:rsid w:val="6A542D51"/>
    <w:rsid w:val="6A5F0F50"/>
    <w:rsid w:val="6A6030C4"/>
    <w:rsid w:val="6A767148"/>
    <w:rsid w:val="6A7F05D0"/>
    <w:rsid w:val="6AAB324D"/>
    <w:rsid w:val="6AB235AF"/>
    <w:rsid w:val="6ABD719F"/>
    <w:rsid w:val="6AC13E4D"/>
    <w:rsid w:val="6ADA17F5"/>
    <w:rsid w:val="6AE644C3"/>
    <w:rsid w:val="6AE71A96"/>
    <w:rsid w:val="6AF64E0B"/>
    <w:rsid w:val="6AFD4928"/>
    <w:rsid w:val="6B14078A"/>
    <w:rsid w:val="6B175FBC"/>
    <w:rsid w:val="6B297797"/>
    <w:rsid w:val="6B2F4D3E"/>
    <w:rsid w:val="6B303F71"/>
    <w:rsid w:val="6B374E7A"/>
    <w:rsid w:val="6B4317B4"/>
    <w:rsid w:val="6B4A10E4"/>
    <w:rsid w:val="6B5C4B71"/>
    <w:rsid w:val="6B614E02"/>
    <w:rsid w:val="6B623CC4"/>
    <w:rsid w:val="6B7E2908"/>
    <w:rsid w:val="6B9946B3"/>
    <w:rsid w:val="6BF5106A"/>
    <w:rsid w:val="6C211E68"/>
    <w:rsid w:val="6C241930"/>
    <w:rsid w:val="6C291981"/>
    <w:rsid w:val="6C2D0A9C"/>
    <w:rsid w:val="6C372961"/>
    <w:rsid w:val="6C4052D5"/>
    <w:rsid w:val="6C431EF3"/>
    <w:rsid w:val="6C4B0DE1"/>
    <w:rsid w:val="6C4E6902"/>
    <w:rsid w:val="6C5B59F4"/>
    <w:rsid w:val="6C662189"/>
    <w:rsid w:val="6C6B22D7"/>
    <w:rsid w:val="6C6C2F38"/>
    <w:rsid w:val="6C7007C7"/>
    <w:rsid w:val="6C8C2B67"/>
    <w:rsid w:val="6C8D38AF"/>
    <w:rsid w:val="6C8D7684"/>
    <w:rsid w:val="6CA13443"/>
    <w:rsid w:val="6CA83959"/>
    <w:rsid w:val="6CB04275"/>
    <w:rsid w:val="6CDC07DA"/>
    <w:rsid w:val="6CDF720B"/>
    <w:rsid w:val="6CF92C55"/>
    <w:rsid w:val="6D21360D"/>
    <w:rsid w:val="6D3A3B10"/>
    <w:rsid w:val="6D415399"/>
    <w:rsid w:val="6D4C7D54"/>
    <w:rsid w:val="6D5E0131"/>
    <w:rsid w:val="6D60703C"/>
    <w:rsid w:val="6D616805"/>
    <w:rsid w:val="6D68310A"/>
    <w:rsid w:val="6D6D4330"/>
    <w:rsid w:val="6D8B0FD6"/>
    <w:rsid w:val="6D915D95"/>
    <w:rsid w:val="6D94625C"/>
    <w:rsid w:val="6D9B53CB"/>
    <w:rsid w:val="6DB63374"/>
    <w:rsid w:val="6DC64092"/>
    <w:rsid w:val="6DE76850"/>
    <w:rsid w:val="6DF8337B"/>
    <w:rsid w:val="6E030A47"/>
    <w:rsid w:val="6E1A3980"/>
    <w:rsid w:val="6E2B50E3"/>
    <w:rsid w:val="6E506EFF"/>
    <w:rsid w:val="6E8059E4"/>
    <w:rsid w:val="6E930639"/>
    <w:rsid w:val="6E9E45BF"/>
    <w:rsid w:val="6EA34CC4"/>
    <w:rsid w:val="6EC00BE3"/>
    <w:rsid w:val="6EE14809"/>
    <w:rsid w:val="6EE54F57"/>
    <w:rsid w:val="6EF528DD"/>
    <w:rsid w:val="6F055DD7"/>
    <w:rsid w:val="6F2E0D5F"/>
    <w:rsid w:val="6F395B8B"/>
    <w:rsid w:val="6F4A6530"/>
    <w:rsid w:val="6F6B76CB"/>
    <w:rsid w:val="6F6E0ACF"/>
    <w:rsid w:val="6F753C1F"/>
    <w:rsid w:val="6F964F3B"/>
    <w:rsid w:val="6FB20BD4"/>
    <w:rsid w:val="6FB650F7"/>
    <w:rsid w:val="6FB75277"/>
    <w:rsid w:val="6FBA59BE"/>
    <w:rsid w:val="6FD64135"/>
    <w:rsid w:val="6FF16C9A"/>
    <w:rsid w:val="6FF2418B"/>
    <w:rsid w:val="6FF3192C"/>
    <w:rsid w:val="702726F0"/>
    <w:rsid w:val="70296B3E"/>
    <w:rsid w:val="704255C1"/>
    <w:rsid w:val="704751B9"/>
    <w:rsid w:val="70497291"/>
    <w:rsid w:val="705B357E"/>
    <w:rsid w:val="70611204"/>
    <w:rsid w:val="70BF0EE0"/>
    <w:rsid w:val="70C20C9C"/>
    <w:rsid w:val="70C57C29"/>
    <w:rsid w:val="70D01410"/>
    <w:rsid w:val="70D036E5"/>
    <w:rsid w:val="70D32204"/>
    <w:rsid w:val="70F15847"/>
    <w:rsid w:val="70F71F2B"/>
    <w:rsid w:val="710A582E"/>
    <w:rsid w:val="71147BFE"/>
    <w:rsid w:val="713116FD"/>
    <w:rsid w:val="71370AC8"/>
    <w:rsid w:val="713D46C5"/>
    <w:rsid w:val="71434E47"/>
    <w:rsid w:val="71486F7F"/>
    <w:rsid w:val="715F2A54"/>
    <w:rsid w:val="71662A10"/>
    <w:rsid w:val="71926986"/>
    <w:rsid w:val="71982A8B"/>
    <w:rsid w:val="71A17BB2"/>
    <w:rsid w:val="72204649"/>
    <w:rsid w:val="722C5869"/>
    <w:rsid w:val="72450FB0"/>
    <w:rsid w:val="72487743"/>
    <w:rsid w:val="725E1213"/>
    <w:rsid w:val="727D6954"/>
    <w:rsid w:val="72844D41"/>
    <w:rsid w:val="72862C7E"/>
    <w:rsid w:val="728976DF"/>
    <w:rsid w:val="72936E2F"/>
    <w:rsid w:val="72CF4F19"/>
    <w:rsid w:val="72EA7F26"/>
    <w:rsid w:val="72EC79FB"/>
    <w:rsid w:val="72F67BF9"/>
    <w:rsid w:val="731178E3"/>
    <w:rsid w:val="73240DF9"/>
    <w:rsid w:val="732C6F33"/>
    <w:rsid w:val="733D16A9"/>
    <w:rsid w:val="73425548"/>
    <w:rsid w:val="73445350"/>
    <w:rsid w:val="73514DB1"/>
    <w:rsid w:val="736A73D7"/>
    <w:rsid w:val="737C5261"/>
    <w:rsid w:val="738A77D2"/>
    <w:rsid w:val="73A553FF"/>
    <w:rsid w:val="73AC15DC"/>
    <w:rsid w:val="73F27930"/>
    <w:rsid w:val="74121260"/>
    <w:rsid w:val="743462D3"/>
    <w:rsid w:val="74365CEE"/>
    <w:rsid w:val="743E7D5E"/>
    <w:rsid w:val="7441374C"/>
    <w:rsid w:val="744149C3"/>
    <w:rsid w:val="74474E71"/>
    <w:rsid w:val="74A93E5A"/>
    <w:rsid w:val="74B64688"/>
    <w:rsid w:val="74C633BB"/>
    <w:rsid w:val="74DD3342"/>
    <w:rsid w:val="74FA2C30"/>
    <w:rsid w:val="751D1A0B"/>
    <w:rsid w:val="753B09F7"/>
    <w:rsid w:val="754D5C4B"/>
    <w:rsid w:val="756C78B0"/>
    <w:rsid w:val="757939B3"/>
    <w:rsid w:val="757E50F6"/>
    <w:rsid w:val="75855224"/>
    <w:rsid w:val="75A05064"/>
    <w:rsid w:val="75A85DA3"/>
    <w:rsid w:val="75AB5440"/>
    <w:rsid w:val="75CB60C0"/>
    <w:rsid w:val="75D562C9"/>
    <w:rsid w:val="75E76F6F"/>
    <w:rsid w:val="75EC127C"/>
    <w:rsid w:val="75F142DB"/>
    <w:rsid w:val="75F23E97"/>
    <w:rsid w:val="760B3F34"/>
    <w:rsid w:val="76334397"/>
    <w:rsid w:val="7642733C"/>
    <w:rsid w:val="765B4F30"/>
    <w:rsid w:val="766C4E79"/>
    <w:rsid w:val="766D6FAF"/>
    <w:rsid w:val="767D07C6"/>
    <w:rsid w:val="768F7316"/>
    <w:rsid w:val="769757DC"/>
    <w:rsid w:val="76A143E8"/>
    <w:rsid w:val="76BF1D66"/>
    <w:rsid w:val="76C240A7"/>
    <w:rsid w:val="76C8773D"/>
    <w:rsid w:val="76F263F7"/>
    <w:rsid w:val="770F3331"/>
    <w:rsid w:val="77285125"/>
    <w:rsid w:val="77315AC4"/>
    <w:rsid w:val="775246B7"/>
    <w:rsid w:val="77583C37"/>
    <w:rsid w:val="775974AF"/>
    <w:rsid w:val="778264A7"/>
    <w:rsid w:val="77977DAD"/>
    <w:rsid w:val="77CA234A"/>
    <w:rsid w:val="78110666"/>
    <w:rsid w:val="781E69D1"/>
    <w:rsid w:val="782A2DF7"/>
    <w:rsid w:val="78970D25"/>
    <w:rsid w:val="78DE4305"/>
    <w:rsid w:val="79210E38"/>
    <w:rsid w:val="797F0359"/>
    <w:rsid w:val="7988495F"/>
    <w:rsid w:val="79962040"/>
    <w:rsid w:val="799A2861"/>
    <w:rsid w:val="79A4105F"/>
    <w:rsid w:val="79BC014A"/>
    <w:rsid w:val="79BC34FC"/>
    <w:rsid w:val="79C95D86"/>
    <w:rsid w:val="79D042C8"/>
    <w:rsid w:val="79D90DD4"/>
    <w:rsid w:val="7A263B6B"/>
    <w:rsid w:val="7A2A6E84"/>
    <w:rsid w:val="7A2D01BD"/>
    <w:rsid w:val="7A447E0C"/>
    <w:rsid w:val="7A573C85"/>
    <w:rsid w:val="7A6D67DD"/>
    <w:rsid w:val="7A7106D0"/>
    <w:rsid w:val="7A8E7E6B"/>
    <w:rsid w:val="7A9F3904"/>
    <w:rsid w:val="7AF46346"/>
    <w:rsid w:val="7AF753E6"/>
    <w:rsid w:val="7B0F5EBF"/>
    <w:rsid w:val="7B125252"/>
    <w:rsid w:val="7B130FB9"/>
    <w:rsid w:val="7B14483E"/>
    <w:rsid w:val="7B1C0A25"/>
    <w:rsid w:val="7B2611AB"/>
    <w:rsid w:val="7B4E6A0D"/>
    <w:rsid w:val="7B641BCE"/>
    <w:rsid w:val="7B697C1A"/>
    <w:rsid w:val="7B770612"/>
    <w:rsid w:val="7B875F34"/>
    <w:rsid w:val="7BDD6F19"/>
    <w:rsid w:val="7BF64EDE"/>
    <w:rsid w:val="7C10151B"/>
    <w:rsid w:val="7C141428"/>
    <w:rsid w:val="7C221C6B"/>
    <w:rsid w:val="7C370186"/>
    <w:rsid w:val="7C400C1E"/>
    <w:rsid w:val="7C7B3325"/>
    <w:rsid w:val="7C99714C"/>
    <w:rsid w:val="7CA07DE8"/>
    <w:rsid w:val="7CA53FD5"/>
    <w:rsid w:val="7CB50883"/>
    <w:rsid w:val="7CBE6D5D"/>
    <w:rsid w:val="7CCF481C"/>
    <w:rsid w:val="7CDA0F2A"/>
    <w:rsid w:val="7CDD1808"/>
    <w:rsid w:val="7CF57CC1"/>
    <w:rsid w:val="7D0B5456"/>
    <w:rsid w:val="7D2B12B1"/>
    <w:rsid w:val="7D352792"/>
    <w:rsid w:val="7D4C2B66"/>
    <w:rsid w:val="7D563551"/>
    <w:rsid w:val="7D6F6791"/>
    <w:rsid w:val="7D7558BB"/>
    <w:rsid w:val="7D830B9D"/>
    <w:rsid w:val="7D905E8D"/>
    <w:rsid w:val="7D9F216A"/>
    <w:rsid w:val="7DB23C3E"/>
    <w:rsid w:val="7DD11708"/>
    <w:rsid w:val="7DE5430C"/>
    <w:rsid w:val="7DE64899"/>
    <w:rsid w:val="7DF813B2"/>
    <w:rsid w:val="7DFC32D8"/>
    <w:rsid w:val="7DFD7978"/>
    <w:rsid w:val="7E0763E6"/>
    <w:rsid w:val="7E1202A7"/>
    <w:rsid w:val="7E156055"/>
    <w:rsid w:val="7E2D7872"/>
    <w:rsid w:val="7E522C19"/>
    <w:rsid w:val="7E5C0F61"/>
    <w:rsid w:val="7E786F03"/>
    <w:rsid w:val="7E7B37EB"/>
    <w:rsid w:val="7E8E6EBF"/>
    <w:rsid w:val="7EAA7A04"/>
    <w:rsid w:val="7EAD21C3"/>
    <w:rsid w:val="7EBB28C5"/>
    <w:rsid w:val="7EBD579E"/>
    <w:rsid w:val="7EC167BD"/>
    <w:rsid w:val="7ED56D33"/>
    <w:rsid w:val="7EFC345C"/>
    <w:rsid w:val="7F1A6960"/>
    <w:rsid w:val="7F272D9E"/>
    <w:rsid w:val="7F397426"/>
    <w:rsid w:val="7F507488"/>
    <w:rsid w:val="7F657C66"/>
    <w:rsid w:val="7F687D9B"/>
    <w:rsid w:val="7F7848F6"/>
    <w:rsid w:val="7FF54CAF"/>
    <w:rsid w:val="7FFD53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 w:semiHidden="0" w:name="heading 2"/>
    <w:lsdException w:qFormat="1" w:unhideWhenUsed="0" w:uiPriority="9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nhideWhenUsed="0" w:uiPriority="9" w:semiHidden="0"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qFormat="1" w:unhideWhenUsed="0" w:uiPriority="0" w:semiHidden="0"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qFormat="1" w:unhideWhenUsed="0" w:uiPriority="0" w:semiHidden="0" w:name="page number"/>
    <w:lsdException w:qFormat="1" w:uiPriority="99" w:semiHidden="0" w:name="endnote reference"/>
    <w:lsdException w:uiPriority="99" w:name="endnote text"/>
    <w:lsdException w:qFormat="1" w:unhideWhenUsed="0" w:uiPriority="99" w:semiHidden="0" w:name="table of authorities"/>
    <w:lsdException w:uiPriority="99" w:name="macro"/>
    <w:lsdException w:uiPriority="99" w:name="toa heading"/>
    <w:lsdException w:qFormat="1" w:uiPriority="99" w:semiHidden="0" w:name="List"/>
    <w:lsdException w:uiPriority="99" w:name="List Bullet"/>
    <w:lsdException w:qFormat="1" w:unhideWhenUsed="0" w:uiPriority="0" w:semiHidden="0" w:name="List Number"/>
    <w:lsdException w:qFormat="1" w:uiPriority="99"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nhideWhenUsed="0" w:uiPriority="0" w:semiHidden="0" w:name="Body Text First Indent"/>
    <w:lsdException w:qFormat="1" w:unhideWhenUsed="0" w:uiPriority="99" w:semiHidden="0" w:name="Body Text First Indent 2"/>
    <w:lsdException w:uiPriority="99" w:name="Note Heading"/>
    <w:lsdException w:uiPriority="99"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9"/>
    <w:pPr>
      <w:keepNext/>
      <w:keepLines/>
      <w:spacing w:before="260" w:after="260" w:line="416" w:lineRule="auto"/>
      <w:outlineLvl w:val="1"/>
    </w:pPr>
    <w:rPr>
      <w:rFonts w:ascii="Cambria" w:hAnsi="Cambria"/>
      <w:b/>
      <w:bCs/>
      <w:sz w:val="32"/>
      <w:szCs w:val="32"/>
    </w:rPr>
  </w:style>
  <w:style w:type="paragraph" w:styleId="4">
    <w:name w:val="heading 3"/>
    <w:basedOn w:val="1"/>
    <w:next w:val="1"/>
    <w:link w:val="47"/>
    <w:autoRedefine/>
    <w:qFormat/>
    <w:uiPriority w:val="99"/>
    <w:pPr>
      <w:keepNext/>
      <w:keepLines/>
      <w:spacing w:before="260" w:after="260" w:line="416" w:lineRule="auto"/>
      <w:outlineLvl w:val="2"/>
    </w:pPr>
    <w:rPr>
      <w:b/>
      <w:bCs/>
      <w:sz w:val="32"/>
      <w:szCs w:val="32"/>
    </w:rPr>
  </w:style>
  <w:style w:type="paragraph" w:styleId="5">
    <w:name w:val="heading 4"/>
    <w:basedOn w:val="1"/>
    <w:next w:val="1"/>
    <w:link w:val="48"/>
    <w:autoRedefine/>
    <w:qFormat/>
    <w:uiPriority w:val="9"/>
    <w:pPr>
      <w:keepNext/>
      <w:keepLines/>
      <w:spacing w:before="280" w:after="290" w:line="372" w:lineRule="auto"/>
      <w:outlineLvl w:val="3"/>
    </w:pPr>
    <w:rPr>
      <w:rFonts w:ascii="Arial" w:hAnsi="Arial" w:eastAsia="黑体"/>
      <w:b/>
      <w:sz w:val="28"/>
    </w:rPr>
  </w:style>
  <w:style w:type="paragraph" w:styleId="6">
    <w:name w:val="heading 5"/>
    <w:basedOn w:val="1"/>
    <w:next w:val="7"/>
    <w:link w:val="49"/>
    <w:autoRedefine/>
    <w:qFormat/>
    <w:uiPriority w:val="9"/>
    <w:pPr>
      <w:keepNext/>
      <w:keepLines/>
      <w:spacing w:before="280" w:after="290" w:line="376" w:lineRule="auto"/>
      <w:outlineLvl w:val="4"/>
    </w:pPr>
    <w:rPr>
      <w:b/>
      <w:bCs/>
      <w:sz w:val="28"/>
      <w:szCs w:val="28"/>
    </w:rPr>
  </w:style>
  <w:style w:type="paragraph" w:styleId="8">
    <w:name w:val="heading 8"/>
    <w:basedOn w:val="1"/>
    <w:next w:val="1"/>
    <w:link w:val="50"/>
    <w:autoRedefine/>
    <w:qFormat/>
    <w:uiPriority w:val="9"/>
    <w:pPr>
      <w:keepNext/>
      <w:keepLines/>
      <w:spacing w:before="240" w:after="64" w:line="320" w:lineRule="auto"/>
      <w:outlineLvl w:val="7"/>
    </w:pPr>
    <w:rPr>
      <w:rFonts w:ascii="等线 Light" w:hAnsi="等线 Light" w:eastAsia="等线 Light"/>
      <w:sz w:val="24"/>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7">
    <w:name w:val="Normal Indent"/>
    <w:basedOn w:val="1"/>
    <w:autoRedefine/>
    <w:qFormat/>
    <w:uiPriority w:val="99"/>
    <w:pPr>
      <w:ind w:firstLine="420"/>
    </w:pPr>
    <w:rPr>
      <w:szCs w:val="20"/>
    </w:rPr>
  </w:style>
  <w:style w:type="paragraph" w:styleId="9">
    <w:name w:val="table of authorities"/>
    <w:basedOn w:val="1"/>
    <w:next w:val="1"/>
    <w:autoRedefine/>
    <w:qFormat/>
    <w:uiPriority w:val="99"/>
    <w:pPr>
      <w:ind w:left="420" w:leftChars="200"/>
    </w:pPr>
    <w:rPr>
      <w:rFonts w:ascii="Calibri" w:hAnsi="Calibri"/>
    </w:rPr>
  </w:style>
  <w:style w:type="paragraph" w:styleId="10">
    <w:name w:val="index 8"/>
    <w:basedOn w:val="1"/>
    <w:next w:val="1"/>
    <w:autoRedefine/>
    <w:qFormat/>
    <w:uiPriority w:val="0"/>
    <w:pPr>
      <w:ind w:left="2940"/>
    </w:pPr>
  </w:style>
  <w:style w:type="paragraph" w:styleId="11">
    <w:name w:val="List Number"/>
    <w:basedOn w:val="1"/>
    <w:autoRedefine/>
    <w:qFormat/>
    <w:uiPriority w:val="0"/>
    <w:pPr>
      <w:widowControl/>
      <w:tabs>
        <w:tab w:val="left" w:pos="454"/>
        <w:tab w:val="left" w:pos="720"/>
        <w:tab w:val="left" w:pos="840"/>
      </w:tabs>
      <w:spacing w:after="50" w:afterLines="50"/>
      <w:ind w:left="454" w:hanging="284"/>
      <w:jc w:val="left"/>
    </w:pPr>
    <w:rPr>
      <w:kern w:val="0"/>
      <w:sz w:val="24"/>
      <w:szCs w:val="20"/>
    </w:rPr>
  </w:style>
  <w:style w:type="paragraph" w:styleId="12">
    <w:name w:val="caption"/>
    <w:basedOn w:val="1"/>
    <w:next w:val="1"/>
    <w:autoRedefine/>
    <w:qFormat/>
    <w:uiPriority w:val="0"/>
    <w:rPr>
      <w:rFonts w:ascii="DejaVu Sans" w:hAnsi="DejaVu Sans" w:eastAsia="方正黑体_GBK"/>
      <w:sz w:val="20"/>
    </w:rPr>
  </w:style>
  <w:style w:type="paragraph" w:styleId="13">
    <w:name w:val="annotation text"/>
    <w:basedOn w:val="1"/>
    <w:link w:val="42"/>
    <w:autoRedefine/>
    <w:qFormat/>
    <w:uiPriority w:val="99"/>
    <w:pPr>
      <w:jc w:val="left"/>
    </w:pPr>
  </w:style>
  <w:style w:type="paragraph" w:styleId="14">
    <w:name w:val="Body Text 3"/>
    <w:basedOn w:val="1"/>
    <w:link w:val="51"/>
    <w:autoRedefine/>
    <w:unhideWhenUsed/>
    <w:qFormat/>
    <w:uiPriority w:val="99"/>
    <w:pPr>
      <w:spacing w:after="120"/>
    </w:pPr>
    <w:rPr>
      <w:sz w:val="16"/>
      <w:szCs w:val="16"/>
    </w:rPr>
  </w:style>
  <w:style w:type="paragraph" w:styleId="15">
    <w:name w:val="Body Text"/>
    <w:basedOn w:val="1"/>
    <w:next w:val="1"/>
    <w:link w:val="52"/>
    <w:autoRedefine/>
    <w:unhideWhenUsed/>
    <w:qFormat/>
    <w:uiPriority w:val="0"/>
    <w:pPr>
      <w:spacing w:after="120"/>
    </w:pPr>
  </w:style>
  <w:style w:type="paragraph" w:styleId="16">
    <w:name w:val="Body Text Indent"/>
    <w:basedOn w:val="1"/>
    <w:next w:val="17"/>
    <w:link w:val="41"/>
    <w:autoRedefine/>
    <w:qFormat/>
    <w:uiPriority w:val="99"/>
    <w:pPr>
      <w:ind w:firstLine="830" w:firstLineChars="352"/>
    </w:pPr>
    <w:rPr>
      <w:rFonts w:ascii="仿宋_GB2312" w:eastAsia="仿宋_GB2312"/>
      <w:kern w:val="0"/>
      <w:sz w:val="32"/>
      <w:szCs w:val="20"/>
    </w:rPr>
  </w:style>
  <w:style w:type="paragraph" w:styleId="17">
    <w:name w:val="annotation subject"/>
    <w:basedOn w:val="13"/>
    <w:next w:val="1"/>
    <w:link w:val="43"/>
    <w:autoRedefine/>
    <w:qFormat/>
    <w:uiPriority w:val="99"/>
    <w:rPr>
      <w:b/>
      <w:bCs/>
    </w:rPr>
  </w:style>
  <w:style w:type="paragraph" w:styleId="18">
    <w:name w:val="List 2"/>
    <w:basedOn w:val="1"/>
    <w:autoRedefine/>
    <w:unhideWhenUsed/>
    <w:qFormat/>
    <w:uiPriority w:val="99"/>
    <w:pPr>
      <w:ind w:left="100" w:leftChars="200" w:hanging="200" w:hangingChars="200"/>
      <w:contextualSpacing/>
    </w:pPr>
  </w:style>
  <w:style w:type="paragraph" w:styleId="19">
    <w:name w:val="toc 3"/>
    <w:basedOn w:val="1"/>
    <w:next w:val="1"/>
    <w:autoRedefine/>
    <w:unhideWhenUsed/>
    <w:qFormat/>
    <w:uiPriority w:val="39"/>
    <w:pPr>
      <w:ind w:left="840" w:leftChars="400"/>
    </w:pPr>
  </w:style>
  <w:style w:type="paragraph" w:styleId="20">
    <w:name w:val="Plain Text"/>
    <w:basedOn w:val="1"/>
    <w:next w:val="5"/>
    <w:link w:val="53"/>
    <w:autoRedefine/>
    <w:qFormat/>
    <w:uiPriority w:val="0"/>
    <w:rPr>
      <w:rFonts w:ascii="宋体" w:hAnsi="Courier New"/>
      <w:kern w:val="0"/>
      <w:sz w:val="20"/>
      <w:szCs w:val="21"/>
    </w:rPr>
  </w:style>
  <w:style w:type="paragraph" w:styleId="21">
    <w:name w:val="Date"/>
    <w:basedOn w:val="1"/>
    <w:next w:val="1"/>
    <w:link w:val="54"/>
    <w:autoRedefine/>
    <w:unhideWhenUsed/>
    <w:qFormat/>
    <w:uiPriority w:val="99"/>
    <w:pPr>
      <w:ind w:left="100" w:leftChars="2500"/>
    </w:pPr>
  </w:style>
  <w:style w:type="paragraph" w:styleId="22">
    <w:name w:val="Balloon Text"/>
    <w:basedOn w:val="1"/>
    <w:autoRedefine/>
    <w:semiHidden/>
    <w:qFormat/>
    <w:uiPriority w:val="0"/>
    <w:rPr>
      <w:sz w:val="18"/>
      <w:szCs w:val="18"/>
    </w:rPr>
  </w:style>
  <w:style w:type="paragraph" w:styleId="23">
    <w:name w:val="footer"/>
    <w:basedOn w:val="1"/>
    <w:next w:val="1"/>
    <w:link w:val="55"/>
    <w:autoRedefine/>
    <w:unhideWhenUsed/>
    <w:qFormat/>
    <w:uiPriority w:val="99"/>
    <w:pPr>
      <w:tabs>
        <w:tab w:val="center" w:pos="4153"/>
        <w:tab w:val="right" w:pos="8306"/>
      </w:tabs>
      <w:snapToGrid w:val="0"/>
      <w:jc w:val="left"/>
    </w:pPr>
    <w:rPr>
      <w:kern w:val="0"/>
      <w:sz w:val="18"/>
      <w:szCs w:val="18"/>
    </w:rPr>
  </w:style>
  <w:style w:type="paragraph" w:styleId="24">
    <w:name w:val="header"/>
    <w:basedOn w:val="1"/>
    <w:link w:val="56"/>
    <w:autoRedefine/>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5">
    <w:name w:val="toc 1"/>
    <w:basedOn w:val="1"/>
    <w:next w:val="1"/>
    <w:autoRedefine/>
    <w:unhideWhenUsed/>
    <w:qFormat/>
    <w:uiPriority w:val="39"/>
  </w:style>
  <w:style w:type="paragraph" w:styleId="26">
    <w:name w:val="List"/>
    <w:basedOn w:val="1"/>
    <w:autoRedefine/>
    <w:unhideWhenUsed/>
    <w:qFormat/>
    <w:uiPriority w:val="99"/>
    <w:pPr>
      <w:ind w:left="200" w:hanging="200" w:hangingChars="200"/>
      <w:contextualSpacing/>
    </w:pPr>
  </w:style>
  <w:style w:type="paragraph" w:styleId="27">
    <w:name w:val="toc 2"/>
    <w:basedOn w:val="1"/>
    <w:next w:val="1"/>
    <w:autoRedefine/>
    <w:unhideWhenUsed/>
    <w:qFormat/>
    <w:uiPriority w:val="39"/>
    <w:pPr>
      <w:tabs>
        <w:tab w:val="right" w:leader="dot" w:pos="8296"/>
      </w:tabs>
      <w:ind w:left="420" w:leftChars="200"/>
    </w:pPr>
  </w:style>
  <w:style w:type="paragraph" w:styleId="28">
    <w:name w:val="Normal (Web)"/>
    <w:basedOn w:val="1"/>
    <w:autoRedefine/>
    <w:unhideWhenUsed/>
    <w:qFormat/>
    <w:uiPriority w:val="99"/>
    <w:rPr>
      <w:rFonts w:ascii="Calibri" w:hAnsi="Calibri"/>
      <w:kern w:val="0"/>
      <w:sz w:val="24"/>
    </w:rPr>
  </w:style>
  <w:style w:type="paragraph" w:styleId="29">
    <w:name w:val="Body Text First Indent"/>
    <w:basedOn w:val="15"/>
    <w:autoRedefine/>
    <w:qFormat/>
    <w:uiPriority w:val="0"/>
    <w:pPr>
      <w:ind w:firstLine="420" w:firstLineChars="100"/>
    </w:pPr>
  </w:style>
  <w:style w:type="paragraph" w:styleId="30">
    <w:name w:val="Body Text First Indent 2"/>
    <w:basedOn w:val="16"/>
    <w:link w:val="44"/>
    <w:autoRedefine/>
    <w:qFormat/>
    <w:uiPriority w:val="99"/>
    <w:pPr>
      <w:autoSpaceDE w:val="0"/>
      <w:autoSpaceDN w:val="0"/>
      <w:spacing w:after="120" w:line="360" w:lineRule="auto"/>
      <w:ind w:left="420" w:leftChars="200" w:firstLine="420" w:firstLineChars="200"/>
    </w:pPr>
    <w:rPr>
      <w:sz w:val="21"/>
      <w:szCs w:val="24"/>
    </w:rPr>
  </w:style>
  <w:style w:type="table" w:styleId="32">
    <w:name w:val="Table Grid"/>
    <w:basedOn w:val="31"/>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4">
    <w:name w:val="endnote reference"/>
    <w:autoRedefine/>
    <w:unhideWhenUsed/>
    <w:qFormat/>
    <w:uiPriority w:val="99"/>
    <w:rPr>
      <w:vertAlign w:val="superscript"/>
    </w:rPr>
  </w:style>
  <w:style w:type="character" w:styleId="35">
    <w:name w:val="page number"/>
    <w:autoRedefine/>
    <w:qFormat/>
    <w:uiPriority w:val="0"/>
  </w:style>
  <w:style w:type="character" w:styleId="36">
    <w:name w:val="FollowedHyperlink"/>
    <w:autoRedefine/>
    <w:unhideWhenUsed/>
    <w:qFormat/>
    <w:uiPriority w:val="99"/>
    <w:rPr>
      <w:color w:val="800080"/>
      <w:u w:val="single"/>
    </w:rPr>
  </w:style>
  <w:style w:type="character" w:styleId="37">
    <w:name w:val="Emphasis"/>
    <w:basedOn w:val="33"/>
    <w:autoRedefine/>
    <w:qFormat/>
    <w:uiPriority w:val="20"/>
    <w:rPr>
      <w:i/>
    </w:rPr>
  </w:style>
  <w:style w:type="character" w:styleId="38">
    <w:name w:val="Hyperlink"/>
    <w:autoRedefine/>
    <w:unhideWhenUsed/>
    <w:qFormat/>
    <w:uiPriority w:val="99"/>
    <w:rPr>
      <w:color w:val="0000FF"/>
      <w:u w:val="single"/>
    </w:rPr>
  </w:style>
  <w:style w:type="character" w:styleId="39">
    <w:name w:val="annotation reference"/>
    <w:autoRedefine/>
    <w:qFormat/>
    <w:uiPriority w:val="99"/>
    <w:rPr>
      <w:sz w:val="21"/>
      <w:szCs w:val="21"/>
    </w:rPr>
  </w:style>
  <w:style w:type="paragraph" w:customStyle="1" w:styleId="40">
    <w:name w:val="Heading2"/>
    <w:basedOn w:val="1"/>
    <w:next w:val="1"/>
    <w:autoRedefine/>
    <w:qFormat/>
    <w:uiPriority w:val="0"/>
    <w:pPr>
      <w:keepNext/>
      <w:keepLines/>
      <w:spacing w:before="260" w:after="260" w:line="416" w:lineRule="auto"/>
    </w:pPr>
    <w:rPr>
      <w:rFonts w:ascii="Arial" w:hAnsi="Arial" w:eastAsia="黑体"/>
      <w:b/>
      <w:bCs/>
      <w:kern w:val="0"/>
      <w:sz w:val="32"/>
      <w:szCs w:val="32"/>
    </w:rPr>
  </w:style>
  <w:style w:type="character" w:customStyle="1" w:styleId="41">
    <w:name w:val="正文文本缩进 Char"/>
    <w:link w:val="16"/>
    <w:autoRedefine/>
    <w:qFormat/>
    <w:uiPriority w:val="99"/>
    <w:rPr>
      <w:rFonts w:ascii="仿宋_GB2312" w:hAnsi="Times New Roman" w:eastAsia="仿宋_GB2312" w:cs="Times New Roman"/>
      <w:sz w:val="32"/>
      <w:szCs w:val="20"/>
    </w:rPr>
  </w:style>
  <w:style w:type="character" w:customStyle="1" w:styleId="42">
    <w:name w:val="批注文字 Char1"/>
    <w:link w:val="13"/>
    <w:autoRedefine/>
    <w:qFormat/>
    <w:uiPriority w:val="99"/>
    <w:rPr>
      <w:rFonts w:ascii="Times New Roman" w:hAnsi="Times New Roman"/>
      <w:kern w:val="2"/>
      <w:sz w:val="21"/>
      <w:szCs w:val="24"/>
    </w:rPr>
  </w:style>
  <w:style w:type="character" w:customStyle="1" w:styleId="43">
    <w:name w:val="批注主题 Char"/>
    <w:link w:val="17"/>
    <w:autoRedefine/>
    <w:qFormat/>
    <w:uiPriority w:val="99"/>
    <w:rPr>
      <w:rFonts w:ascii="Times New Roman" w:hAnsi="Times New Roman"/>
      <w:b/>
      <w:bCs/>
      <w:kern w:val="2"/>
      <w:sz w:val="21"/>
      <w:szCs w:val="24"/>
    </w:rPr>
  </w:style>
  <w:style w:type="character" w:customStyle="1" w:styleId="44">
    <w:name w:val="正文首行缩进 2 Char"/>
    <w:link w:val="30"/>
    <w:autoRedefine/>
    <w:qFormat/>
    <w:uiPriority w:val="99"/>
    <w:rPr>
      <w:kern w:val="2"/>
      <w:sz w:val="21"/>
      <w:szCs w:val="24"/>
    </w:rPr>
  </w:style>
  <w:style w:type="character" w:customStyle="1" w:styleId="45">
    <w:name w:val="标题 1 Char"/>
    <w:link w:val="2"/>
    <w:autoRedefine/>
    <w:qFormat/>
    <w:uiPriority w:val="99"/>
    <w:rPr>
      <w:b/>
      <w:bCs/>
      <w:kern w:val="44"/>
      <w:sz w:val="44"/>
      <w:szCs w:val="44"/>
    </w:rPr>
  </w:style>
  <w:style w:type="character" w:customStyle="1" w:styleId="46">
    <w:name w:val="标题 2 Char1"/>
    <w:link w:val="3"/>
    <w:autoRedefine/>
    <w:qFormat/>
    <w:uiPriority w:val="9"/>
    <w:rPr>
      <w:rFonts w:ascii="Cambria" w:hAnsi="Cambria" w:eastAsia="宋体" w:cs="Times New Roman"/>
      <w:b/>
      <w:bCs/>
      <w:kern w:val="2"/>
      <w:sz w:val="32"/>
      <w:szCs w:val="32"/>
    </w:rPr>
  </w:style>
  <w:style w:type="character" w:customStyle="1" w:styleId="47">
    <w:name w:val="标题 3 Char"/>
    <w:link w:val="4"/>
    <w:autoRedefine/>
    <w:qFormat/>
    <w:uiPriority w:val="99"/>
    <w:rPr>
      <w:b/>
      <w:bCs/>
      <w:kern w:val="2"/>
      <w:sz w:val="32"/>
      <w:szCs w:val="32"/>
    </w:rPr>
  </w:style>
  <w:style w:type="character" w:customStyle="1" w:styleId="48">
    <w:name w:val="标题 4 Char"/>
    <w:link w:val="5"/>
    <w:autoRedefine/>
    <w:qFormat/>
    <w:uiPriority w:val="9"/>
    <w:rPr>
      <w:rFonts w:ascii="Arial" w:hAnsi="Arial" w:eastAsia="黑体"/>
      <w:b/>
      <w:kern w:val="2"/>
      <w:sz w:val="28"/>
      <w:szCs w:val="24"/>
    </w:rPr>
  </w:style>
  <w:style w:type="character" w:customStyle="1" w:styleId="49">
    <w:name w:val="标题 5 Char"/>
    <w:link w:val="6"/>
    <w:autoRedefine/>
    <w:qFormat/>
    <w:uiPriority w:val="9"/>
    <w:rPr>
      <w:rFonts w:ascii="Times New Roman" w:hAnsi="Times New Roman"/>
      <w:b/>
      <w:bCs/>
      <w:kern w:val="2"/>
      <w:sz w:val="28"/>
      <w:szCs w:val="28"/>
    </w:rPr>
  </w:style>
  <w:style w:type="character" w:customStyle="1" w:styleId="50">
    <w:name w:val="标题 8 Char1"/>
    <w:link w:val="8"/>
    <w:autoRedefine/>
    <w:semiHidden/>
    <w:qFormat/>
    <w:uiPriority w:val="9"/>
    <w:rPr>
      <w:rFonts w:ascii="等线 Light" w:hAnsi="等线 Light" w:eastAsia="等线 Light" w:cs="Times New Roman"/>
      <w:kern w:val="2"/>
      <w:sz w:val="24"/>
      <w:szCs w:val="24"/>
    </w:rPr>
  </w:style>
  <w:style w:type="character" w:customStyle="1" w:styleId="51">
    <w:name w:val="正文文本 3 Char"/>
    <w:link w:val="14"/>
    <w:autoRedefine/>
    <w:semiHidden/>
    <w:qFormat/>
    <w:uiPriority w:val="99"/>
    <w:rPr>
      <w:kern w:val="2"/>
      <w:sz w:val="16"/>
      <w:szCs w:val="16"/>
    </w:rPr>
  </w:style>
  <w:style w:type="character" w:customStyle="1" w:styleId="52">
    <w:name w:val="正文文本 Char1"/>
    <w:link w:val="15"/>
    <w:autoRedefine/>
    <w:qFormat/>
    <w:uiPriority w:val="0"/>
    <w:rPr>
      <w:rFonts w:ascii="Times New Roman" w:hAnsi="Times New Roman"/>
      <w:kern w:val="2"/>
      <w:sz w:val="21"/>
      <w:szCs w:val="24"/>
    </w:rPr>
  </w:style>
  <w:style w:type="character" w:customStyle="1" w:styleId="53">
    <w:name w:val="纯文本 Char1"/>
    <w:link w:val="20"/>
    <w:autoRedefine/>
    <w:qFormat/>
    <w:uiPriority w:val="0"/>
    <w:rPr>
      <w:rFonts w:ascii="宋体" w:hAnsi="Courier New" w:eastAsia="宋体" w:cs="Courier New"/>
      <w:szCs w:val="21"/>
    </w:rPr>
  </w:style>
  <w:style w:type="character" w:customStyle="1" w:styleId="54">
    <w:name w:val="日期 Char"/>
    <w:link w:val="21"/>
    <w:autoRedefine/>
    <w:semiHidden/>
    <w:qFormat/>
    <w:uiPriority w:val="99"/>
    <w:rPr>
      <w:rFonts w:ascii="Times New Roman" w:hAnsi="Times New Roman"/>
      <w:kern w:val="2"/>
      <w:sz w:val="21"/>
      <w:szCs w:val="24"/>
    </w:rPr>
  </w:style>
  <w:style w:type="character" w:customStyle="1" w:styleId="55">
    <w:name w:val="页脚 Char"/>
    <w:link w:val="23"/>
    <w:autoRedefine/>
    <w:qFormat/>
    <w:uiPriority w:val="99"/>
    <w:rPr>
      <w:sz w:val="18"/>
      <w:szCs w:val="18"/>
    </w:rPr>
  </w:style>
  <w:style w:type="character" w:customStyle="1" w:styleId="56">
    <w:name w:val="页眉 Char"/>
    <w:link w:val="24"/>
    <w:autoRedefine/>
    <w:qFormat/>
    <w:uiPriority w:val="99"/>
    <w:rPr>
      <w:sz w:val="18"/>
      <w:szCs w:val="18"/>
    </w:rPr>
  </w:style>
  <w:style w:type="character" w:customStyle="1" w:styleId="57">
    <w:name w:val="textcontents"/>
    <w:autoRedefine/>
    <w:qFormat/>
    <w:uiPriority w:val="0"/>
  </w:style>
  <w:style w:type="character" w:customStyle="1" w:styleId="58">
    <w:name w:val="标题 2 Char"/>
    <w:autoRedefine/>
    <w:qFormat/>
    <w:uiPriority w:val="99"/>
    <w:rPr>
      <w:rFonts w:ascii="Cambria" w:hAnsi="Cambria" w:eastAsia="宋体" w:cs="Times New Roman"/>
      <w:b/>
      <w:bCs/>
      <w:kern w:val="2"/>
      <w:sz w:val="32"/>
      <w:szCs w:val="32"/>
    </w:rPr>
  </w:style>
  <w:style w:type="character" w:customStyle="1" w:styleId="59">
    <w:name w:val="正文文本 (26) + 间距 0 pt"/>
    <w:autoRedefine/>
    <w:qFormat/>
    <w:uiPriority w:val="0"/>
    <w:rPr>
      <w:rFonts w:ascii="宋体" w:hAnsi="宋体" w:eastAsia="宋体" w:cs="宋体"/>
      <w:color w:val="000000"/>
      <w:spacing w:val="0"/>
      <w:w w:val="100"/>
      <w:position w:val="0"/>
      <w:sz w:val="22"/>
      <w:szCs w:val="22"/>
      <w:u w:val="none"/>
      <w:lang w:val="zh-CN" w:eastAsia="zh-CN" w:bidi="zh-CN"/>
    </w:rPr>
  </w:style>
  <w:style w:type="character" w:customStyle="1" w:styleId="60">
    <w:name w:val="纯文本 字符2"/>
    <w:autoRedefine/>
    <w:qFormat/>
    <w:uiPriority w:val="0"/>
    <w:rPr>
      <w:rFonts w:ascii="宋体" w:hAnsi="Courier New" w:eastAsia="宋体" w:cs="Courier New"/>
      <w:szCs w:val="21"/>
    </w:rPr>
  </w:style>
  <w:style w:type="character" w:customStyle="1" w:styleId="61">
    <w:name w:val="正文文本 字符"/>
    <w:autoRedefine/>
    <w:qFormat/>
    <w:uiPriority w:val="0"/>
    <w:rPr>
      <w:rFonts w:ascii="Times New Roman" w:hAnsi="Times New Roman"/>
      <w:kern w:val="2"/>
      <w:sz w:val="21"/>
      <w:szCs w:val="24"/>
    </w:rPr>
  </w:style>
  <w:style w:type="character" w:customStyle="1" w:styleId="62">
    <w:name w:val="批注文字 字符1"/>
    <w:autoRedefine/>
    <w:qFormat/>
    <w:uiPriority w:val="0"/>
    <w:rPr>
      <w:rFonts w:ascii="Times New Roman" w:hAnsi="Times New Roman"/>
      <w:kern w:val="2"/>
      <w:sz w:val="21"/>
      <w:szCs w:val="24"/>
    </w:rPr>
  </w:style>
  <w:style w:type="character" w:customStyle="1" w:styleId="63">
    <w:name w:val="正文文本 Char"/>
    <w:autoRedefine/>
    <w:qFormat/>
    <w:uiPriority w:val="99"/>
    <w:rPr>
      <w:rFonts w:ascii="Times New Roman" w:hAnsi="Times New Roman"/>
      <w:kern w:val="2"/>
      <w:sz w:val="21"/>
      <w:szCs w:val="24"/>
    </w:rPr>
  </w:style>
  <w:style w:type="character" w:customStyle="1" w:styleId="64">
    <w:name w:val="纯文本 字符"/>
    <w:autoRedefine/>
    <w:qFormat/>
    <w:uiPriority w:val="0"/>
    <w:rPr>
      <w:rFonts w:ascii="宋体" w:hAnsi="Courier New" w:eastAsia="宋体" w:cs="Courier New"/>
      <w:szCs w:val="21"/>
    </w:rPr>
  </w:style>
  <w:style w:type="character" w:customStyle="1" w:styleId="65">
    <w:name w:val="标题 1 字符1"/>
    <w:autoRedefine/>
    <w:qFormat/>
    <w:uiPriority w:val="0"/>
    <w:rPr>
      <w:b/>
      <w:bCs/>
      <w:kern w:val="44"/>
      <w:sz w:val="44"/>
      <w:szCs w:val="44"/>
    </w:rPr>
  </w:style>
  <w:style w:type="character" w:customStyle="1" w:styleId="66">
    <w:name w:val="正文2 Char Char"/>
    <w:link w:val="67"/>
    <w:autoRedefine/>
    <w:qFormat/>
    <w:uiPriority w:val="0"/>
    <w:rPr>
      <w:sz w:val="24"/>
    </w:rPr>
  </w:style>
  <w:style w:type="paragraph" w:customStyle="1" w:styleId="67">
    <w:name w:val="正文2"/>
    <w:basedOn w:val="1"/>
    <w:link w:val="66"/>
    <w:autoRedefine/>
    <w:qFormat/>
    <w:uiPriority w:val="0"/>
    <w:pPr>
      <w:adjustRightInd w:val="0"/>
      <w:spacing w:before="156" w:line="360" w:lineRule="auto"/>
      <w:ind w:firstLine="510" w:firstLineChars="200"/>
    </w:pPr>
    <w:rPr>
      <w:kern w:val="0"/>
      <w:sz w:val="24"/>
      <w:szCs w:val="20"/>
    </w:rPr>
  </w:style>
  <w:style w:type="character" w:customStyle="1" w:styleId="68">
    <w:name w:val="标题 8 Char"/>
    <w:autoRedefine/>
    <w:qFormat/>
    <w:uiPriority w:val="0"/>
    <w:rPr>
      <w:rFonts w:ascii="Arial" w:hAnsi="Arial" w:eastAsia="黑体"/>
      <w:kern w:val="2"/>
      <w:sz w:val="24"/>
      <w:szCs w:val="24"/>
    </w:rPr>
  </w:style>
  <w:style w:type="character" w:customStyle="1" w:styleId="69">
    <w:name w:val="纯文本 Char"/>
    <w:autoRedefine/>
    <w:qFormat/>
    <w:uiPriority w:val="99"/>
    <w:rPr>
      <w:rFonts w:ascii="宋体" w:hAnsi="Courier New" w:eastAsia="宋体" w:cs="Courier New"/>
      <w:szCs w:val="21"/>
    </w:rPr>
  </w:style>
  <w:style w:type="character" w:customStyle="1" w:styleId="70">
    <w:name w:val="批注文字 Char"/>
    <w:autoRedefine/>
    <w:qFormat/>
    <w:uiPriority w:val="99"/>
    <w:rPr>
      <w:rFonts w:ascii="Times New Roman" w:hAnsi="Times New Roman"/>
      <w:kern w:val="2"/>
      <w:sz w:val="21"/>
      <w:szCs w:val="24"/>
    </w:rPr>
  </w:style>
  <w:style w:type="character" w:customStyle="1" w:styleId="71">
    <w:name w:val="纯文本 字符1"/>
    <w:autoRedefine/>
    <w:qFormat/>
    <w:uiPriority w:val="0"/>
    <w:rPr>
      <w:rFonts w:ascii="宋体" w:hAnsi="Courier New"/>
    </w:rPr>
  </w:style>
  <w:style w:type="character" w:customStyle="1" w:styleId="72">
    <w:name w:val="未处理的提及"/>
    <w:autoRedefine/>
    <w:unhideWhenUsed/>
    <w:qFormat/>
    <w:uiPriority w:val="99"/>
    <w:rPr>
      <w:color w:val="605E5C"/>
      <w:shd w:val="clear" w:color="auto" w:fill="E1DFDD"/>
    </w:rPr>
  </w:style>
  <w:style w:type="character" w:customStyle="1" w:styleId="73">
    <w:name w:val="apple-style-span"/>
    <w:autoRedefine/>
    <w:qFormat/>
    <w:uiPriority w:val="0"/>
  </w:style>
  <w:style w:type="character" w:customStyle="1" w:styleId="74">
    <w:name w:val="批注文字 字符"/>
    <w:autoRedefine/>
    <w:qFormat/>
    <w:uiPriority w:val="0"/>
    <w:rPr>
      <w:rFonts w:ascii="Times New Roman" w:hAnsi="Times New Roman"/>
      <w:kern w:val="2"/>
      <w:sz w:val="21"/>
      <w:szCs w:val="24"/>
    </w:rPr>
  </w:style>
  <w:style w:type="paragraph" w:customStyle="1" w:styleId="75">
    <w:name w:val="正文 A"/>
    <w:autoRedefine/>
    <w:qFormat/>
    <w:uiPriority w:val="99"/>
    <w:pPr>
      <w:widowControl w:val="0"/>
      <w:jc w:val="both"/>
    </w:pPr>
    <w:rPr>
      <w:rFonts w:hint="eastAsia" w:ascii="Arial Unicode MS" w:hAnsi="Arial Unicode MS" w:eastAsia="Arial Unicode MS" w:cs="Arial Unicode MS"/>
      <w:color w:val="000000"/>
      <w:kern w:val="2"/>
      <w:sz w:val="21"/>
      <w:szCs w:val="21"/>
      <w:lang w:val="en-US" w:eastAsia="zh-CN" w:bidi="ar-SA"/>
    </w:rPr>
  </w:style>
  <w:style w:type="paragraph" w:customStyle="1" w:styleId="76">
    <w:name w:val="表头"/>
    <w:basedOn w:val="1"/>
    <w:autoRedefine/>
    <w:qFormat/>
    <w:uiPriority w:val="0"/>
    <w:pPr>
      <w:widowControl/>
      <w:jc w:val="center"/>
    </w:pPr>
    <w:rPr>
      <w:rFonts w:ascii="仿宋_GB2312" w:hAnsi="宋体" w:eastAsia="仿宋_GB2312" w:cs="等线"/>
      <w:b/>
      <w:bCs/>
      <w:kern w:val="0"/>
      <w:sz w:val="24"/>
    </w:rPr>
  </w:style>
  <w:style w:type="paragraph" w:customStyle="1" w:styleId="77">
    <w:name w:val="TOC 标题1"/>
    <w:basedOn w:val="2"/>
    <w:next w:val="1"/>
    <w:autoRedefine/>
    <w:qFormat/>
    <w:uiPriority w:val="39"/>
    <w:pPr>
      <w:widowControl/>
      <w:spacing w:before="240" w:after="0" w:line="259" w:lineRule="auto"/>
      <w:jc w:val="left"/>
      <w:outlineLvl w:val="9"/>
    </w:pPr>
    <w:rPr>
      <w:rFonts w:ascii="等线 Light" w:hAnsi="等线 Light" w:eastAsia="等线 Light"/>
      <w:b w:val="0"/>
      <w:bCs w:val="0"/>
      <w:color w:val="2F5496"/>
      <w:kern w:val="0"/>
      <w:sz w:val="32"/>
      <w:szCs w:val="32"/>
    </w:rPr>
  </w:style>
  <w:style w:type="paragraph" w:customStyle="1" w:styleId="78">
    <w:name w:val="_Style 3"/>
    <w:next w:val="1"/>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9">
    <w:name w:val="表内文字"/>
    <w:basedOn w:val="1"/>
    <w:autoRedefine/>
    <w:qFormat/>
    <w:uiPriority w:val="0"/>
    <w:pPr>
      <w:snapToGrid w:val="0"/>
      <w:spacing w:before="50" w:after="50"/>
      <w:jc w:val="center"/>
    </w:pPr>
    <w:rPr>
      <w:rFonts w:ascii="仿宋_GB2312" w:hAnsi="宋体" w:eastAsia="仿宋_GB2312"/>
      <w:b/>
      <w:color w:val="000000"/>
      <w:sz w:val="32"/>
      <w:szCs w:val="32"/>
    </w:rPr>
  </w:style>
  <w:style w:type="paragraph" w:customStyle="1" w:styleId="80">
    <w:name w:val="Char Char Char Char"/>
    <w:basedOn w:val="1"/>
    <w:autoRedefine/>
    <w:qFormat/>
    <w:uiPriority w:val="0"/>
    <w:pPr>
      <w:widowControl/>
      <w:spacing w:after="160" w:line="240" w:lineRule="exact"/>
      <w:jc w:val="left"/>
    </w:pPr>
  </w:style>
  <w:style w:type="paragraph" w:customStyle="1" w:styleId="81">
    <w:name w:val="样式5"/>
    <w:basedOn w:val="1"/>
    <w:autoRedefine/>
    <w:qFormat/>
    <w:uiPriority w:val="0"/>
    <w:pPr>
      <w:adjustRightInd w:val="0"/>
      <w:spacing w:line="440" w:lineRule="exact"/>
      <w:ind w:left="2" w:firstLine="480" w:firstLineChars="200"/>
    </w:pPr>
    <w:rPr>
      <w:rFonts w:ascii="仿宋_GB2312" w:hAnsi="仿宋" w:eastAsia="仿宋_GB2312"/>
      <w:sz w:val="24"/>
    </w:rPr>
  </w:style>
  <w:style w:type="paragraph" w:customStyle="1" w:styleId="82">
    <w:name w:val="列出段落3"/>
    <w:basedOn w:val="1"/>
    <w:autoRedefine/>
    <w:unhideWhenUsed/>
    <w:qFormat/>
    <w:uiPriority w:val="99"/>
    <w:pPr>
      <w:ind w:firstLine="420"/>
    </w:pPr>
  </w:style>
  <w:style w:type="paragraph" w:customStyle="1" w:styleId="83">
    <w:name w:val="Table Paragraph"/>
    <w:basedOn w:val="1"/>
    <w:autoRedefine/>
    <w:qFormat/>
    <w:uiPriority w:val="1"/>
    <w:pPr>
      <w:jc w:val="left"/>
    </w:pPr>
    <w:rPr>
      <w:rFonts w:ascii="Calibri" w:hAnsi="Calibri"/>
      <w:kern w:val="0"/>
      <w:sz w:val="22"/>
      <w:szCs w:val="22"/>
      <w:lang w:eastAsia="en-US"/>
    </w:rPr>
  </w:style>
  <w:style w:type="paragraph" w:customStyle="1" w:styleId="84">
    <w:name w:val="列出段落2"/>
    <w:basedOn w:val="1"/>
    <w:autoRedefine/>
    <w:unhideWhenUsed/>
    <w:qFormat/>
    <w:uiPriority w:val="99"/>
    <w:pPr>
      <w:spacing w:line="360" w:lineRule="auto"/>
      <w:ind w:firstLine="420" w:firstLineChars="200"/>
    </w:pPr>
    <w:rPr>
      <w:rFonts w:ascii="Calibri" w:hAnsi="Calibri" w:eastAsia="仿宋"/>
      <w:sz w:val="28"/>
      <w:szCs w:val="22"/>
    </w:rPr>
  </w:style>
  <w:style w:type="paragraph" w:customStyle="1" w:styleId="85">
    <w:name w:val="Default"/>
    <w:autoRedefine/>
    <w:qFormat/>
    <w:uiPriority w:val="0"/>
    <w:pPr>
      <w:widowControl w:val="0"/>
      <w:autoSpaceDE w:val="0"/>
      <w:autoSpaceDN w:val="0"/>
      <w:adjustRightInd w:val="0"/>
    </w:pPr>
    <w:rPr>
      <w:rFonts w:ascii="Arial" w:hAnsi="Arial" w:eastAsia="宋体" w:cs="Arial"/>
      <w:color w:val="000000"/>
      <w:sz w:val="24"/>
      <w:szCs w:val="24"/>
      <w:lang w:val="en-US" w:eastAsia="zh-CN" w:bidi="ar-SA"/>
    </w:rPr>
  </w:style>
  <w:style w:type="paragraph" w:customStyle="1" w:styleId="86">
    <w:name w:val="表格内容"/>
    <w:basedOn w:val="1"/>
    <w:autoRedefine/>
    <w:qFormat/>
    <w:uiPriority w:val="0"/>
    <w:pPr>
      <w:widowControl/>
      <w:jc w:val="left"/>
    </w:pPr>
    <w:rPr>
      <w:rFonts w:ascii="仿宋_GB2312" w:hAnsi="宋体" w:cs="等线"/>
      <w:kern w:val="0"/>
      <w:sz w:val="24"/>
    </w:rPr>
  </w:style>
  <w:style w:type="paragraph" w:styleId="87">
    <w:name w:val="List Paragraph"/>
    <w:basedOn w:val="1"/>
    <w:autoRedefine/>
    <w:qFormat/>
    <w:uiPriority w:val="34"/>
    <w:pPr>
      <w:ind w:firstLine="420" w:firstLineChars="200"/>
    </w:pPr>
  </w:style>
  <w:style w:type="paragraph" w:customStyle="1" w:styleId="88">
    <w:name w:val="默认段落字体 Para Char Char Char Char Char Char Char Char Char1 Char Char Char Char"/>
    <w:basedOn w:val="1"/>
    <w:autoRedefine/>
    <w:qFormat/>
    <w:uiPriority w:val="0"/>
    <w:rPr>
      <w:rFonts w:ascii="Tahoma" w:hAnsi="Tahoma"/>
      <w:sz w:val="24"/>
      <w:szCs w:val="20"/>
    </w:rPr>
  </w:style>
  <w:style w:type="paragraph" w:customStyle="1" w:styleId="89">
    <w:name w:val="正文缩进1"/>
    <w:basedOn w:val="1"/>
    <w:next w:val="16"/>
    <w:autoRedefine/>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90">
    <w:name w:val="正文-2字符首行缩进"/>
    <w:basedOn w:val="1"/>
    <w:autoRedefine/>
    <w:qFormat/>
    <w:uiPriority w:val="0"/>
    <w:pPr>
      <w:spacing w:line="360" w:lineRule="auto"/>
      <w:ind w:firstLine="200" w:firstLineChars="200"/>
    </w:pPr>
    <w:rPr>
      <w:rFonts w:ascii="仿宋_GB2312" w:hAnsi="宋体" w:eastAsia="仿宋_GB2312"/>
      <w:sz w:val="28"/>
      <w:szCs w:val="22"/>
    </w:rPr>
  </w:style>
  <w:style w:type="paragraph" w:customStyle="1" w:styleId="91">
    <w:name w:val="样式1"/>
    <w:basedOn w:val="1"/>
    <w:autoRedefine/>
    <w:qFormat/>
    <w:uiPriority w:val="0"/>
    <w:pPr>
      <w:numPr>
        <w:ilvl w:val="2"/>
        <w:numId w:val="1"/>
      </w:numPr>
    </w:pPr>
  </w:style>
  <w:style w:type="paragraph" w:customStyle="1" w:styleId="92">
    <w:name w:val="样式 0正文 + 首行缩进:  2 字符1"/>
    <w:autoRedefine/>
    <w:qFormat/>
    <w:uiPriority w:val="99"/>
    <w:pPr>
      <w:widowControl w:val="0"/>
      <w:spacing w:line="360" w:lineRule="auto"/>
      <w:ind w:firstLine="200" w:firstLineChars="200"/>
      <w:jc w:val="both"/>
    </w:pPr>
    <w:rPr>
      <w:rFonts w:ascii="Times New Roman" w:hAnsi="Times New Roman" w:eastAsia="宋体" w:cs="Times New Roman"/>
      <w:kern w:val="2"/>
      <w:sz w:val="21"/>
      <w:lang w:val="en-US" w:eastAsia="zh-CN" w:bidi="ar-SA"/>
    </w:rPr>
  </w:style>
  <w:style w:type="paragraph" w:customStyle="1" w:styleId="93">
    <w:name w:val="正文首行缩进两字"/>
    <w:autoRedefine/>
    <w:qFormat/>
    <w:uiPriority w:val="0"/>
    <w:pPr>
      <w:widowControl w:val="0"/>
      <w:spacing w:line="360" w:lineRule="auto"/>
      <w:ind w:right="245"/>
      <w:jc w:val="center"/>
    </w:pPr>
    <w:rPr>
      <w:rFonts w:ascii="Arial" w:hAnsi="Arial" w:eastAsia="宋体" w:cs="Arial"/>
      <w:bCs/>
      <w:sz w:val="24"/>
      <w:szCs w:val="24"/>
      <w:lang w:val="en-US" w:eastAsia="zh-CN" w:bidi="ar-SA"/>
    </w:rPr>
  </w:style>
  <w:style w:type="paragraph" w:customStyle="1" w:styleId="94">
    <w:name w:val="修订1"/>
    <w:autoRedefine/>
    <w:unhideWhenUsed/>
    <w:qFormat/>
    <w:uiPriority w:val="99"/>
    <w:rPr>
      <w:rFonts w:ascii="Times New Roman" w:hAnsi="Times New Roman" w:eastAsia="宋体" w:cs="Times New Roman"/>
      <w:kern w:val="2"/>
      <w:sz w:val="21"/>
      <w:szCs w:val="24"/>
      <w:lang w:val="en-US" w:eastAsia="zh-CN" w:bidi="ar-SA"/>
    </w:rPr>
  </w:style>
  <w:style w:type="paragraph" w:customStyle="1" w:styleId="95">
    <w:name w:val="列出段落1"/>
    <w:basedOn w:val="1"/>
    <w:autoRedefine/>
    <w:qFormat/>
    <w:uiPriority w:val="34"/>
    <w:pPr>
      <w:ind w:firstLine="420"/>
    </w:pPr>
  </w:style>
  <w:style w:type="paragraph" w:customStyle="1" w:styleId="96">
    <w:name w:val="null3"/>
    <w:hidden/>
    <w:qFormat/>
    <w:uiPriority w:val="0"/>
    <w:rPr>
      <w:rFonts w:hint="eastAsia" w:asciiTheme="minorHAnsi" w:hAnsiTheme="minorHAnsi" w:eastAsiaTheme="minorEastAsia" w:cstheme="minorBidi"/>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2.xml><?xml version="1.0" encoding="utf-8"?>
<contractReview xmlns="http://schemas.wps.cn/vas-ai-hub/contract-review">
  <reviewItems>
    <reviewItem>
      <errorID>8af8cfe9-5600-405a-aa89-8792b667b6e4</errorID>
      <errorWord>:</errorWord>
      <group>L1_Format</group>
      <groupName>格式问题</groupName>
      <ability>L2_HalfPunc</ability>
      <abilityName>全半角检查</abilityName>
      <candidateList>
        <item>：</item>
      </candidateList>
      <explain>文本全半角错误。</explain>
      <paraID>33B57F84</paraID>
      <start>4</start>
      <end>5</end>
      <status>modified</status>
      <modifiedWord>：</modifiedWord>
      <trackRevisions>false</trackRevisions>
    </reviewItem>
    <reviewItem>
      <errorID>4d01eae4-44b1-4369-95fe-f708eecba438</errorID>
      <errorWord>:</errorWord>
      <group>L1_Format</group>
      <groupName>格式问题</groupName>
      <ability>L2_HalfPunc</ability>
      <abilityName>全半角检查</abilityName>
      <candidateList>
        <item>：</item>
      </candidateList>
      <explain>文本全半角错误。</explain>
      <paraID>30863B14</paraID>
      <start>2</start>
      <end>3</end>
      <status>modified</status>
      <modifiedWord>：</modifiedWord>
      <trackRevisions>false</trackRevisions>
    </reviewItem>
    <reviewItem>
      <errorID>4c9ac006-1a30-426d-98fd-16b4f7b6e007</errorID>
      <errorWord>:</errorWord>
      <group>L1_Format</group>
      <groupName>格式问题</groupName>
      <ability>L2_HalfPunc</ability>
      <abilityName>全半角检查</abilityName>
      <candidateList>
        <item>：</item>
      </candidateList>
      <explain>文本全半角错误。</explain>
      <paraID>20A4867C</paraID>
      <start>7</start>
      <end>8</end>
      <status>modified</status>
      <modifiedWord>：</modifiedWord>
      <trackRevisions>false</trackRevisions>
    </reviewItem>
    <reviewItem>
      <errorID>551f548f-35ba-4c15-b9f4-b3762add7098</errorID>
      <errorWord>：/</errorWord>
      <group>L1_Punc</group>
      <groupName>标点问题</groupName>
      <ability>L2_Punc</ability>
      <abilityName>标点符号检查</abilityName>
      <candidateList>
        <item>：</item>
      </candidateList>
      <explain/>
      <paraID>61D2323F</paraID>
      <start>8</start>
      <end>10</end>
      <status>ignored</status>
      <modifiedWord/>
      <trackRevisions>false</trackRevisions>
    </reviewItem>
    <reviewItem>
      <errorID>2a85970f-8896-42ab-af68-460a3177d6ed</errorID>
      <errorWord>上午00:00</errorWord>
      <group>L1_Knowledge</group>
      <groupName>知识性问题</groupName>
      <ability>L2_Time</ability>
      <abilityName>日期时间</abilityName>
      <candidateList/>
      <explain>时间与前缀不匹配，可能的时间前缀有“下午、晚上、凌晨、午夜”。</explain>
      <paraID>765EF847</paraID>
      <start>27</start>
      <end>34</end>
      <status>ignored</status>
      <modifiedWord/>
      <trackRevisions>false</trackRevisions>
    </reviewItem>
    <reviewItem>
      <errorID>1e3c7f51-410c-4275-8c5f-e84f2f4cec58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53EB6F7B</paraID>
      <start>0</start>
      <end>2</end>
      <status>modified</status>
      <modifiedWord>1.</modifiedWord>
      <trackRevisions>false</trackRevisions>
    </reviewItem>
    <reviewItem>
      <errorID>7ef97a64-21ea-4c4f-9852-93fdf45d166f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3E0C28EC</paraID>
      <start>0</start>
      <end>2</end>
      <status>modified</status>
      <modifiedWord>2.</modifiedWord>
      <trackRevisions>false</trackRevisions>
    </reviewItem>
    <reviewItem>
      <errorID>0020cd5f-940f-4c54-ab2e-2f847fd10a4a</errorID>
      <errorWord>开户银行：招商银行南宁市金浦路支行</errorWord>
      <group>L1_Other</group>
      <groupName>其他问题</groupName>
      <ability>L2_Consistency</ability>
      <abilityName>一致性检查</abilityName>
      <candidateList>
        <item>开户银行：中国工商银行南宁市高新科技支行</item>
      </candidateList>
      <explain>实体一致性问题，采购代理服务费收取银行账户信息中开户银行与磋商保证金指定账户的开户银行不一致，应以采购代理服务费收取银行账户信息为准</explain>
      <paraID>2C393543</paraID>
      <start>0</start>
      <end>17</end>
      <status>ignored</status>
      <modifiedWord/>
      <trackRevisions>false</trackRevisions>
    </reviewItem>
    <reviewItem>
      <errorID>b24091f6-4431-47a2-8844-67fa8eb3f282</errorID>
      <errorWord>)</errorWord>
      <group>L1_Format</group>
      <groupName>格式问题</groupName>
      <ability>L2_HalfPunc</ability>
      <abilityName>全半角检查</abilityName>
      <candidateList>
        <item>）</item>
      </candidateList>
      <explain>文本全半角错误。</explain>
      <paraID>7EF41033</paraID>
      <start>35</start>
      <end>36</end>
      <status>modified</status>
      <modifiedWord>）</modifiedWord>
      <trackRevisions>false</trackRevisions>
    </reviewItem>
    <reviewItem>
      <errorID>d51ad5a1-09a5-45e6-8719-72435dd5b82b</errorID>
      <errorWord>)</errorWord>
      <group>L1_Format</group>
      <groupName>格式问题</groupName>
      <ability>L2_HalfPunc</ability>
      <abilityName>全半角检查</abilityName>
      <candidateList>
        <item>）</item>
      </candidateList>
      <explain>文本全半角错误。</explain>
      <paraID>7EF41033</paraID>
      <start>61</start>
      <end>62</end>
      <status>modified</status>
      <modifiedWord>）</modifiedWord>
      <trackRevisions>false</trackRevisions>
    </reviewItem>
    <reviewItem>
      <errorID>3b65a9e4-38df-4c9f-bc13-62d4d2f07401</errorID>
      <errorWord>，</errorWord>
      <group>L1_Punc</group>
      <groupName>标点问题</groupName>
      <ability>L2_Punc</ability>
      <abilityName>标点符号检查</abilityName>
      <candidateList>
        <item>。</item>
      </candidateList>
      <explain/>
      <paraID> 790F95A</paraID>
      <start>79</start>
      <end>80</end>
      <status>ignored</status>
      <modifiedWord/>
      <trackRevisions>false</trackRevisions>
    </reviewItem>
    <reviewItem>
      <errorID>13b0ddbb-8a83-488f-9a7a-d324c2a975e5</errorID>
      <errorWord>（</errorWord>
      <group>L1_Punc</group>
      <groupName>标点问题</groupName>
      <ability>L2_Punc</ability>
      <abilityName>标点符号检查</abilityName>
      <candidateList/>
      <explain>同一形式括号套用。</explain>
      <paraID> 790F95A</paraID>
      <start>119</start>
      <end>120</end>
      <status>ignored</status>
      <modifiedWord/>
      <trackRevisions>false</trackRevisions>
    </reviewItem>
    <reviewItem>
      <errorID>08ac2277-a9af-416a-8102-950bb828bc55</errorID>
      <errorWord>http</errorWord>
      <group>L1_Punc</group>
      <groupName>标点问题</groupName>
      <ability>L2_Punc</ability>
      <abilityName>标点符号检查</abilityName>
      <candidateList>
        <item>：http</item>
      </candidateList>
      <explain/>
      <paraID> 790F95A</paraID>
      <start>124</start>
      <end>129</end>
      <status>modified</status>
      <modifiedWord>：http</modifiedWord>
      <trackRevisions>false</trackRevisions>
    </reviewItem>
    <reviewItem>
      <errorID>78c9fa77-f00c-476d-a6ec-156c25ae135c</errorID>
      <errorWord>后</errorWord>
      <group>L1_Grammar</group>
      <groupName>语法问题</groupName>
      <ability>L2_Grammar</ability>
      <abilityName>语法错误</abilityName>
      <candidateList>
        <item>，然后</item>
      </candidateList>
      <explain/>
      <paraID> 790F95A</paraID>
      <start>190</start>
      <end>191</end>
      <status>ignored</status>
      <modifiedWord/>
      <trackRevisions>false</trackRevisions>
    </reviewItem>
    <reviewItem>
      <errorID>d0f5a862-1c9f-4ced-8eaa-9102b1649438</errorID>
      <errorWord>，</errorWord>
      <group>L1_Punc</group>
      <groupName>标点问题</groupName>
      <ability>L2_Punc</ability>
      <abilityName>标点符号检查</abilityName>
      <candidateList>
        <item>。</item>
      </candidateList>
      <explain/>
      <paraID> 790F95A</paraID>
      <start>219</start>
      <end>220</end>
      <status>ignored</status>
      <modifiedWord/>
      <trackRevisions>false</trackRevisions>
    </reviewItem>
    <reviewItem>
      <errorID>30d2031e-63ce-4035-a92a-17abbec8a4e1</errorID>
      <errorWord>，</errorWord>
      <group>L1_Punc</group>
      <groupName>标点问题</groupName>
      <ability>L2_Punc</ability>
      <abilityName>标点符号检查</abilityName>
      <candidateList>
        <item>。</item>
      </candidateList>
      <explain/>
      <paraID>15E921B6</paraID>
      <start>41</start>
      <end>42</end>
      <status>ignored</status>
      <modifiedWord/>
      <trackRevisions>false</trackRevisions>
    </reviewItem>
    <reviewItem>
      <errorID>8d1ce342-6024-426c-9e6a-dc0e5c3a7785</errorID>
      <errorWord>及响应文件的提交</errorWord>
      <group>L1_Word</group>
      <groupName>字词问题</groupName>
      <ability>L2_Typo</ability>
      <abilityName>字词错误</abilityName>
      <candidateList>
        <item>，并提交响应文件</item>
      </candidateList>
      <explain/>
      <paraID>15E921B6</paraID>
      <start>82</start>
      <end>90</end>
      <status>ignored</status>
      <modifiedWord/>
      <trackRevisions>false</trackRevisions>
    </reviewItem>
    <reviewItem>
      <errorID>90106599-af5a-4df9-8423-50da226ef32c</errorID>
      <errorWord>操作合</errorWord>
      <group>L1_Word</group>
      <groupName>字词问题</groupName>
      <ability>L2_Typo</ability>
      <abilityName>字词错误</abilityName>
      <candidateList>
        <item>操作台</item>
      </candidateList>
      <explain/>
      <paraID>6A798ADC</paraID>
      <start>8</start>
      <end>11</end>
      <status>ignored</status>
      <modifiedWord/>
      <trackRevisions>false</trackRevisions>
    </reviewItem>
    <reviewItem>
      <errorID>e796b33f-f8a3-4e66-97f5-f47f5848bc6d</errorID>
      <errorWord>和</errorWord>
      <group>L1_Word</group>
      <groupName>字词问题</groupName>
      <ability>L2_Typo</ability>
      <abilityName>字词错误</abilityName>
      <candidateList>
        <item>并</item>
      </candidateList>
      <explain/>
      <paraID>6A798ADC</paraID>
      <start>46</start>
      <end>47</end>
      <status>ignored</status>
      <modifiedWord/>
      <trackRevisions>false</trackRevisions>
    </reviewItem>
    <reviewItem>
      <errorID>31ed8f98-cfb9-4717-bcc7-3d5090ad9f76</errorID>
      <errorWord>并</errorWord>
      <group>L1_Punc</group>
      <groupName>标点问题</groupName>
      <ability>L2_Punc</ability>
      <abilityName>标点符号检查</abilityName>
      <candidateList>
        <item>，并</item>
      </candidateList>
      <explain/>
      <paraID>6A798ADC</paraID>
      <start>64</start>
      <end>66</end>
      <status>modified</status>
      <modifiedWord>，并</modifiedWord>
      <trackRevisions>false</trackRevisions>
    </reviewItem>
    <reviewItem>
      <errorID>8e999469-23ef-4756-9d0c-845f8b9d405a</errorID>
      <errorWord>、</errorWord>
      <group>L1_Word</group>
      <groupName>字词问题</groupName>
      <ability>L2_Typo</ability>
      <abilityName>字词错误</abilityName>
      <candidateList>
        <item>和</item>
      </candidateList>
      <explain/>
      <paraID>5D282DE0</paraID>
      <start>32</start>
      <end>33</end>
      <status>modified</status>
      <modifiedWord>和</modifiedWord>
      <trackRevisions>false</trackRevisions>
    </reviewItem>
    <reviewItem>
      <errorID>4e4737dc-9b39-402c-8b7e-a448144ceeaa</errorID>
      <errorWord>，</errorWord>
      <group>L1_Word</group>
      <groupName>字词问题</groupName>
      <ability>L2_Typo</ability>
      <abilityName>字词错误</abilityName>
      <candidateList>
        <item>，在</item>
      </candidateList>
      <explain/>
      <paraID>5D282DE0</paraID>
      <start>35</start>
      <end>37</end>
      <status>modified</status>
      <modifiedWord>，在</modifiedWord>
      <trackRevisions>false</trackRevisions>
    </reviewItem>
    <reviewItem>
      <errorID>d697ae11-dd87-46ae-a4f9-526599a6cb4c</errorID>
      <errorWord>可以</errorWord>
      <group>L1_Punc</group>
      <groupName>标点问题</groupName>
      <ability>L2_Punc</ability>
      <abilityName>标点符号检查</abilityName>
      <candidateList>
        <item>，可以</item>
      </candidateList>
      <explain/>
      <paraID>5D282DE0</paraID>
      <start>48</start>
      <end>50</end>
      <status>ignored</status>
      <modifiedWord/>
      <trackRevisions>false</trackRevisions>
    </reviewItem>
    <reviewItem>
      <errorID>80e08dc9-9026-408f-ae2d-c9b69e2ae3cb</errorID>
      <errorWord>、</errorWord>
      <group>L1_Word</group>
      <groupName>字词问题</groupName>
      <ability>L2_Typo</ability>
      <abilityName>字词错误</abilityName>
      <candidateList>
        <item>和</item>
      </candidateList>
      <explain/>
      <paraID>5D282DE0</paraID>
      <start>96</start>
      <end>97</end>
      <status>modified</status>
      <modifiedWord>和</modifiedWord>
      <trackRevisions>false</trackRevisions>
    </reviewItem>
    <reviewItem>
      <errorID>a343524e-4371-46e7-b815-c23b2e0a6eea</errorID>
      <errorWord>响应</errorWord>
      <group>L1_Word</group>
      <groupName>字词问题</groupName>
      <ability>L2_Typo</ability>
      <abilityName>字词错误</abilityName>
      <candidateList>
        <item>在响应</item>
      </candidateList>
      <explain/>
      <paraID>5D282DE0</paraID>
      <start>100</start>
      <end>102</end>
      <status>ignored</status>
      <modifiedWord/>
      <trackRevisions>false</trackRevisions>
    </reviewItem>
    <reviewItem>
      <errorID>b7ad8b21-847a-45e2-ba47-22509f8c944a</errorID>
      <errorWord>、</errorWord>
      <group>L1_Word</group>
      <groupName>字词问题</groupName>
      <ability>L2_Typo</ability>
      <abilityName>字词错误</abilityName>
      <candidateList>
        <item>和</item>
      </candidateList>
      <explain/>
      <paraID>5D282DE0</paraID>
      <start>116</start>
      <end>117</end>
      <status>modified</status>
      <modifiedWord>和</modifiedWord>
      <trackRevisions>false</trackRevisions>
    </reviewItem>
    <reviewItem>
      <errorID>94e83ea6-72fa-49ae-94e6-dde07a2e823f</errorID>
      <errorWord>响应</errorWord>
      <group>L1_Word</group>
      <groupName>字词问题</groupName>
      <ability>L2_Typo</ability>
      <abilityName>字词错误</abilityName>
      <candidateList>
        <item>在响应</item>
      </candidateList>
      <explain/>
      <paraID>5D282DE0</paraID>
      <start>130</start>
      <end>132</end>
      <status>ignored</status>
      <modifiedWord/>
      <trackRevisions>false</trackRevisions>
    </reviewItem>
    <reviewItem>
      <errorID>16d7a4e9-a5b5-4ee3-9d64-c750ad2f8314</errorID>
      <errorWord>提交</errorWord>
      <group>L1_Word</group>
      <groupName>字词问题</groupName>
      <ability>L2_Typo</ability>
      <abilityName>字词错误</abilityName>
      <candidateList>
        <item>和提交</item>
      </candidateList>
      <explain/>
      <paraID>5D282DE0</paraID>
      <start>144</start>
      <end>146</end>
      <status>ignored</status>
      <modifiedWord/>
      <trackRevisions>false</trackRevisions>
    </reviewItem>
    <reviewItem>
      <errorID>1ac51ebb-0d49-4119-b74d-e9be986ddd9c</errorID>
      <errorWord>登录</errorWord>
      <group>L1_Punc</group>
      <groupName>标点问题</groupName>
      <ability>L2_Punc</ability>
      <abilityName>标点符号检查</abilityName>
      <candidateList>
        <item>，登录</item>
      </candidateList>
      <explain/>
      <paraID>28F7359A</paraID>
      <start>53</start>
      <end>55</end>
      <status>ignored</status>
      <modifiedWord/>
      <trackRevisions>false</trackRevisions>
    </reviewItem>
    <reviewItem>
      <errorID>0cb950ac-da43-4144-9575-d0b3fc1b677e</errorID>
      <errorWord>现场</errorWord>
      <group>L1_Punc</group>
      <groupName>标点问题</groupName>
      <ability>L2_Punc</ability>
      <abilityName>标点符号检查</abilityName>
      <candidateList>
        <item>，现场</item>
      </candidateList>
      <explain/>
      <paraID>28F7359A</paraID>
      <start>70</start>
      <end>72</end>
      <status>ignored</status>
      <modifiedWord/>
      <trackRevisions>false</trackRevisions>
    </reviewItem>
    <reviewItem>
      <errorID>51726e37-7f24-4db6-8628-8014908d08c1</errorID>
      <errorWord>具备有</errorWord>
      <group>L1_Word</group>
      <groupName>字词问题</groupName>
      <ability>L2_Typo</ability>
      <abilityName>字词错误</abilityName>
      <candidateList>
        <item>具备</item>
      </candidateList>
      <explain/>
      <paraID>250FCD6E</paraID>
      <start>9</start>
      <end>12</end>
      <status>ignored</status>
      <modifiedWord/>
      <trackRevisions>false</trackRevisions>
    </reviewItem>
    <reviewItem>
      <errorID>bd51dd1b-7fcb-44e5-83ef-72e3537f1582</errorID>
      <errorWord>且</errorWord>
      <group>L1_Punc</group>
      <groupName>标点问题</groupName>
      <ability>L2_Punc</ability>
      <abilityName>标点符号检查</abilityName>
      <candidateList>
        <item>、且</item>
      </candidateList>
      <explain/>
      <paraID>250FCD6E</paraID>
      <start>20</start>
      <end>21</end>
      <status>ignored</status>
      <modifiedWord/>
      <trackRevisions>false</trackRevisions>
    </reviewItem>
    <reviewItem>
      <errorID>9edc4746-8dc1-4c7e-83c8-421aa9656434</errorID>
      <errorWord>登录</errorWord>
      <group>L1_Word</group>
      <groupName>字词问题</groupName>
      <ability>L2_Typo</ability>
      <abilityName>字词错误</abilityName>
      <candidateList>
        <item>上登录</item>
      </candidateList>
      <explain/>
      <paraID>250FCD6E</paraID>
      <start>33</start>
      <end>35</end>
      <status>unmodified</status>
      <modifiedWord/>
      <trackRevisions>false</trackRevisions>
    </reviewItem>
    <reviewItem>
      <errorID>1c637787-f07f-4a9d-962c-9d6d91ac46cc</errorID>
      <errorWord>参与</errorWord>
      <group>L1_Punc</group>
      <groupName>标点问题</groupName>
      <ability>L2_Punc</ability>
      <abilityName>标点符号检查</abilityName>
      <candidateList>
        <item>，参与</item>
      </candidateList>
      <explain/>
      <paraID>250FCD6E</paraID>
      <start>50</start>
      <end>52</end>
      <status>unmodified</status>
      <modifiedWord/>
      <trackRevisions>false</trackRevisions>
    </reviewItem>
    <reviewItem>
      <errorID>cc908c5b-6ddf-4f1b-8fb4-f8987ce68c56</errorID>
      <errorWord>咨询小采</errorWord>
      <group>L1_Punc</group>
      <groupName>标点问题</groupName>
      <ability>L2_Punc</ability>
      <abilityName>标点符号检查</abilityName>
      <candidateList>
        <item>“咨询小采”</item>
      </candidateList>
      <explain/>
      <paraID>516D4D0B</paraID>
      <start>73</start>
      <end>77</end>
      <status>unmodified</status>
      <modifiedWord/>
      <trackRevisions>false</trackRevisions>
    </reviewItem>
    <reviewItem>
      <errorID>3dc99490-4ea2-4037-9b79-3910c0248cfe</errorID>
      <errorWord>采小蜜</errorWord>
      <group>L1_Punc</group>
      <groupName>标点问题</groupName>
      <ability>L2_Punc</ability>
      <abilityName>标点符号检查</abilityName>
      <candidateList>
        <item>“采小蜜”</item>
      </candidateList>
      <explain/>
      <paraID>516D4D0B</paraID>
      <start>80</start>
      <end>83</end>
      <status>unmodified</status>
      <modifiedWord/>
      <trackRevisions>false</trackRevisions>
    </reviewItem>
    <reviewItem>
      <errorID>9b4144b2-44a9-4f7f-872c-84e50871e819</errorID>
      <errorWord>有行业</errorWord>
      <group>L1_Word</group>
      <groupName>字词问题</groupName>
      <ability>L2_Typo</ability>
      <abilityName>字词错误</abilityName>
      <candidateList>
        <item>行业有</item>
      </candidateList>
      <explain/>
      <paraID>477C248A</paraID>
      <start>19</start>
      <end>22</end>
      <status>unmodified</status>
      <modifiedWord/>
      <trackRevisions>false</trackRevisions>
    </reviewItem>
    <reviewItem>
      <errorID>2c6b6c34-c4f8-494d-8d58-9dadcabeff0f</errorID>
      <errorWord>可以</errorWord>
      <group>L1_Punc</group>
      <groupName>标点问题</groupName>
      <ability>L2_Punc</ability>
      <abilityName>标点符号检查</abilityName>
      <candidateList>
        <item>，可以</item>
      </candidateList>
      <explain/>
      <paraID>477C248A</paraID>
      <start>41</start>
      <end>43</end>
      <status>unmodified</status>
      <modifiedWord/>
      <trackRevisions>false</trackRevisions>
    </reviewItem>
    <reviewItem>
      <errorID>f1c9978b-bea2-482f-85a0-4d204262cf44</errorID>
      <errorWord>分支机构的</errorWord>
      <group>L1_Word</group>
      <groupName>字词问题</groupName>
      <ability>L2_Typo</ability>
      <abilityName>字词错误</abilityName>
      <candidateList>
        <item>分支机构</item>
      </candidateList>
      <explain/>
      <paraID>477C248A</paraID>
      <start>62</start>
      <end>67</end>
      <status>unmodified</status>
      <modifiedWord/>
      <trackRevisions>false</trackRevisions>
    </reviewItem>
    <reviewItem>
      <errorID>2a8663a5-d983-4cfe-ada2-a402aa7cbec3</errorID>
      <errorWord>供应商以分支机构名义</errorWord>
      <group>L1_Grammar</group>
      <groupName>语法问题</groupName>
      <ability>L2_Grammar</ability>
      <abilityName>语法错误</abilityName>
      <candidateList>
        <item>该分支机构</item>
      </candidateList>
      <explain/>
      <paraID>477C248A</paraID>
      <start>85</start>
      <end>95</end>
      <status>unmodified</status>
      <modifiedWord/>
      <trackRevisions>false</trackRevisions>
    </reviewItem>
    <reviewItem>
      <errorID>cc9eaffe-7373-480f-8b2a-fcc61ae09738</errorID>
      <errorWord>产品时</errorWord>
      <group>L1_Word</group>
      <groupName>字词问题</groupName>
      <ability>L2_Typo</ability>
      <abilityName>字词错误</abilityName>
      <candidateList>
        <item>产品</item>
      </candidateList>
      <explain/>
      <paraID>350D0F17</paraID>
      <start>239</start>
      <end>242</end>
      <status>unmodified</status>
      <modifiedWord/>
      <trackRevisions>false</trackRevisions>
    </reviewItem>
    <reviewItem>
      <errorID>74002cc0-f7ab-45ca-92a5-bb9874b592ed</errorID>
      <errorWord>中伴随</errorWord>
      <group>L1_Word</group>
      <groupName>字词问题</groupName>
      <ability>L2_Typo</ability>
      <abilityName>字词错误</abilityName>
      <candidateList>
        <item>包含</item>
      </candidateList>
      <explain/>
      <paraID>1079C062</paraID>
      <start>7</start>
      <end>10</end>
      <status>unmodified</status>
      <modifiedWord/>
      <trackRevisions>false</trackRevisions>
    </reviewItem>
    <reviewItem>
      <errorID>31ab8cd9-2969-48aa-9942-8f4c4a7e9f60</errorID>
      <errorWord>：/</errorWord>
      <group>L1_Punc</group>
      <groupName>标点问题</groupName>
      <ability>L2_Punc</ability>
      <abilityName>标点符号检查</abilityName>
      <candidateList>
        <item>：</item>
      </candidateList>
      <explain/>
      <paraID>571C0A6B</paraID>
      <start>2</start>
      <end>4</end>
      <status>unmodified</status>
      <modifiedWord/>
      <trackRevisions>false</trackRevisions>
    </reviewItem>
    <reviewItem>
      <errorID>d801d61f-a249-4725-92c2-e9f3d6ae3f84</errorID>
      <errorWord>科次</errorWord>
      <group>L1_Word</group>
      <groupName>字词问题</groupName>
      <ability>L2_Typo</ability>
      <abilityName>字词错误</abilityName>
      <candidateList>
        <item>科</item>
      </candidateList>
      <explain/>
      <paraID>1E1EBA41</paraID>
      <start>62</start>
      <end>64</end>
      <status>unmodified</status>
      <modifiedWord/>
      <trackRevisions>false</trackRevisions>
    </reviewItem>
    <reviewItem>
      <errorID>c44b91d7-d9ac-495d-ac47-1e24a4bfad79</errorID>
      <errorWord>科次</errorWord>
      <group>L1_Word</group>
      <groupName>字词问题</groupName>
      <ability>L2_Typo</ability>
      <abilityName>字词错误</abilityName>
      <candidateList>
        <item>科</item>
      </candidateList>
      <explain/>
      <paraID>4AAFD2DF</paraID>
      <start>283</start>
      <end>285</end>
      <status>unmodified</status>
      <modifiedWord/>
      <trackRevisions>false</trackRevisions>
    </reviewItem>
    <reviewItem>
      <errorID>5c17db8e-810c-4f9e-9cbc-3bfddc7529c4</errorID>
      <errorWord>科次</errorWord>
      <group>L1_Word</group>
      <groupName>字词问题</groupName>
      <ability>L2_Typo</ability>
      <abilityName>字词错误</abilityName>
      <candidateList>
        <item>科</item>
      </candidateList>
      <explain/>
      <paraID>6135E423</paraID>
      <start>31</start>
      <end>33</end>
      <status>unmodified</status>
      <modifiedWord/>
      <trackRevisions>false</trackRevisions>
    </reviewItem>
    <reviewItem>
      <errorID>0ade23a9-3521-48e0-9ba5-ebfed16632fb</errorID>
      <errorWord>、</errorWord>
      <group>L1_Word</group>
      <groupName>字词问题</groupName>
      <ability>L2_Typo</ability>
      <abilityName>字词错误</abilityName>
      <candidateList>
        <item>和</item>
      </candidateList>
      <explain/>
      <paraID>4ED8C10C</paraID>
      <start>42</start>
      <end>43</end>
      <status>unmodified</status>
      <modifiedWord/>
      <trackRevisions>false</trackRevisions>
    </reviewItem>
    <reviewItem>
      <errorID>aa2432b3-291e-4f13-bdea-8b8c1cdf4400</errorID>
      <errorWord>。</errorWord>
      <group>L1_Grammar</group>
      <groupName>语法问题</groupName>
      <ability>L2_Grammar</ability>
      <abilityName>语法错误</abilityName>
      <candidateList>
        <item>情况。</item>
      </candidateList>
      <explain/>
      <paraID>4ED8C10C</paraID>
      <start>45</start>
      <end>46</end>
      <status>unmodified</status>
      <modifiedWord/>
      <trackRevisions>false</trackRevisions>
    </reviewItem>
    <reviewItem>
      <errorID>006c8787-9b17-42ee-b1ca-af3341d476e8</errorID>
      <errorWord>一部分</errorWord>
      <group>L1_Word</group>
      <groupName>字词问题</groupName>
      <ability>L2_Typo</ability>
      <abilityName>字词错误</abilityName>
      <candidateList>
        <item>的部分</item>
      </candidateList>
      <explain/>
      <paraID>6F190CDC</paraID>
      <start>22</start>
      <end>25</end>
      <status>unmodified</status>
      <modifiedWord/>
      <trackRevisions>false</trackRevisions>
    </reviewItem>
    <reviewItem>
      <errorID>ff8bbebb-4f7e-4513-96e3-3cc8ebcda0ac</errorID>
      <errorWord>以及</errorWord>
      <group>L1_Word</group>
      <groupName>字词问题</groupName>
      <ability>L2_Typo</ability>
      <abilityName>字词错误</abilityName>
      <candidateList>
        <item>，确保</item>
      </candidateList>
      <explain/>
      <paraID>53EA59D9</paraID>
      <start>87</start>
      <end>89</end>
      <status>unmodified</status>
      <modifiedWord/>
      <trackRevisions>false</trackRevisions>
    </reviewItem>
    <reviewItem>
      <errorID>d6235a35-8682-47d2-bb07-ff2b0d8d80f8</errorID>
      <errorWord>8个</errorWord>
      <group>L1_Word</group>
      <groupName>字词问题</groupName>
      <ability>L2_Typo</ability>
      <abilityName>字词错误</abilityName>
      <candidateList>
        <item>8</item>
      </candidateList>
      <explain/>
      <paraID>302436BD</paraID>
      <start>252</start>
      <end>254</end>
      <status>unmodified</status>
      <modifiedWord/>
      <trackRevisions>false</trackRevisions>
    </reviewItem>
    <reviewItem>
      <errorID>73b33251-b0e7-4d48-829b-0e0566bb5745</errorID>
      <errorWord>、</errorWord>
      <group>L1_Grammar</group>
      <groupName>语法问题</groupName>
      <ability>L2_Grammar</ability>
      <abilityName>语法错误</abilityName>
      <candidateList>
        <item>数据、</item>
      </candidateList>
      <explain/>
      <paraID>1307C2BA</paraID>
      <start>44</start>
      <end>45</end>
      <status>unmodified</status>
      <modifiedWord/>
      <trackRevisions>false</trackRevisions>
    </reviewItem>
    <reviewItem>
      <errorID>78730143-c9f7-4300-9337-ff9c74c9e7fe</errorID>
      <errorWord>、</errorWord>
      <group>L1_Punc</group>
      <groupName>标点问题</groupName>
      <ability>L2_Punc</ability>
      <abilityName>标点符号检查</abilityName>
      <candidateList>
        <item>，</item>
      </candidateList>
      <explain/>
      <paraID>3111D2CA</paraID>
      <start>24</start>
      <end>25</end>
      <status>unmodified</status>
      <modifiedWord/>
      <trackRevisions>false</trackRevisions>
    </reviewItem>
    <reviewItem>
      <errorID>539ce18f-465e-495a-93f3-cbf1d80d523c</errorID>
      <errorWord>上报考点</errorWord>
      <group>L1_Word</group>
      <groupName>字词问题</groupName>
      <ability>L2_Typo</ability>
      <abilityName>字词错误</abilityName>
      <candidateList>
        <item>上传考点</item>
      </candidateList>
      <explain/>
      <paraID>3111D2CA</paraID>
      <start>27</start>
      <end>31</end>
      <status>unmodified</status>
      <modifiedWord/>
      <trackRevisions>false</trackRevisions>
    </reviewItem>
    <reviewItem>
      <errorID>1c01c8f3-2d27-4938-91ec-980a1a989341</errorID>
      <errorWord>要求</errorWord>
      <group>L1_Punc</group>
      <groupName>标点问题</groupName>
      <ability>L2_Punc</ability>
      <abilityName>标点符号检查</abilityName>
      <candidateList>
        <item>，要求</item>
      </candidateList>
      <explain/>
      <paraID>45D7A52E</paraID>
      <start>32</start>
      <end>34</end>
      <status>unmodified</status>
      <modifiedWord/>
      <trackRevisions>false</trackRevisions>
    </reviewItem>
    <reviewItem>
      <errorID>9c180015-4f32-428f-891c-034a369e1050</errorID>
      <errorWord>，</errorWord>
      <group>L1_Punc</group>
      <groupName>标点问题</groupName>
      <ability>L2_Punc</ability>
      <abilityName>标点符号检查</abilityName>
      <candidateList>
        <item>；</item>
      </candidateList>
      <explain/>
      <paraID>45D7A52E</paraID>
      <start>41</start>
      <end>42</end>
      <status>unmodified</status>
      <modifiedWord/>
      <trackRevisions>false</trackRevisions>
    </reviewItem>
    <reviewItem>
      <errorID>88abee85-1a8a-446e-9a78-27d934fa30c5</errorID>
      <errorWord>要</errorWord>
      <group>L1_Grammar</group>
      <groupName>语法问题</groupName>
      <ability>L2_Grammar</ability>
      <abilityName>语法错误</abilityName>
      <candidateList>
        <item>的，要</item>
      </candidateList>
      <explain/>
      <paraID>45D7A52E</paraID>
      <start>52</start>
      <end>53</end>
      <status>unmodified</status>
      <modifiedWord/>
      <trackRevisions>false</trackRevisions>
    </reviewItem>
    <reviewItem>
      <errorID>23f6ca76-da1d-48ce-9eab-d7ace18ff7b7</errorID>
      <errorWord>有关人员的</errorWord>
      <group>L1_Grammar</group>
      <groupName>语法问题</groupName>
      <ability>L2_Grammar</ability>
      <abilityName>语法错误</abilityName>
      <candidateList>
        <item>的有关</item>
      </candidateList>
      <explain/>
      <paraID>4AFB44A1</paraID>
      <start>21</start>
      <end>26</end>
      <status>unmodified</status>
      <modifiedWord/>
      <trackRevisions>false</trackRevisions>
    </reviewItem>
    <reviewItem>
      <errorID>411ac66c-e80a-413a-aac5-fbe754100f04</errorID>
      <errorWord>成交</errorWord>
      <group>L1_Punc</group>
      <groupName>标点问题</groupName>
      <ability>L2_Punc</ability>
      <abilityName>标点符号检查</abilityName>
      <candidateList>
        <item>，成交</item>
      </candidateList>
      <explain/>
      <paraID>3D357020</paraID>
      <start>98</start>
      <end>100</end>
      <status>unmodified</status>
      <modifiedWord/>
      <trackRevisions>false</trackRevisions>
    </reviewItem>
    <reviewItem>
      <errorID>75ee922b-8ebc-4353-9d26-677ef34058ef</errorID>
      <errorWord>、</errorWord>
      <group>L1_Punc</group>
      <groupName>标点问题</groupName>
      <ability>L2_Punc</ability>
      <abilityName>标点符号检查</abilityName>
      <candidateList>
        <item>，</item>
      </candidateList>
      <explain/>
      <paraID>3D357020</paraID>
      <start>116</start>
      <end>117</end>
      <status>unmodified</status>
      <modifiedWord/>
      <trackRevisions>false</trackRevisions>
    </reviewItem>
    <reviewItem>
      <errorID>7fc418e4-9e03-4433-86eb-da99fd4fb955</errorID>
      <errorWord>-</errorWord>
      <group>L1_Format</group>
      <groupName>格式问题</groupName>
      <ability>L2_HalfPunc</ability>
      <abilityName>全半角检查</abilityName>
      <candidateList>
        <item>－</item>
      </candidateList>
      <explain>文本全半角错误。</explain>
      <paraID>791D30FD</paraID>
      <start>78</start>
      <end>79</end>
      <status>unmodified</status>
      <modifiedWord/>
      <trackRevisions>false</trackRevisions>
    </reviewItem>
    <reviewItem>
      <errorID>bbe59d40-5873-4a04-acec-7981d0d2f2c1</errorID>
      <errorWord>-</errorWord>
      <group>L1_Format</group>
      <groupName>格式问题</groupName>
      <ability>L2_HalfPunc</ability>
      <abilityName>全半角检查</abilityName>
      <candidateList>
        <item>－</item>
      </candidateList>
      <explain>文本全半角错误。</explain>
      <paraID>791D30FD</paraID>
      <start>97</start>
      <end>98</end>
      <status>unmodified</status>
      <modifiedWord/>
      <trackRevisions>false</trackRevisions>
    </reviewItem>
    <reviewItem>
      <errorID>269d0ce9-8da3-4012-80ae-f14d4c2e2dec</errorID>
      <errorWord>的</errorWord>
      <group>L1_Word</group>
      <groupName>字词问题</groupName>
      <ability>L2_Typo</ability>
      <abilityName>字词错误</abilityName>
      <candidateList>
        <item>，</item>
      </candidateList>
      <explain/>
      <paraID>229954B0</paraID>
      <start>19</start>
      <end>20</end>
      <status>unmodified</status>
      <modifiedWord/>
      <trackRevisions>false</trackRevisions>
    </reviewItem>
    <reviewItem>
      <errorID>605c63a2-e265-4b64-b889-4b5b1a3ac71a</errorID>
      <errorWord>或</errorWord>
      <group>L1_Punc</group>
      <groupName>标点问题</groupName>
      <ability>L2_Punc</ability>
      <abilityName>标点符号检查</abilityName>
      <candidateList>
        <item>，或</item>
      </candidateList>
      <explain/>
      <paraID>229954B0</paraID>
      <start>29</start>
      <end>30</end>
      <status>unmodified</status>
      <modifiedWord/>
      <trackRevisions>false</trackRevisions>
    </reviewItem>
    <reviewItem>
      <errorID>77cecea5-cf89-44ee-8ab2-97549665d109</errorID>
      <errorWord>的</errorWord>
      <group>L1_Word</group>
      <groupName>字词问题</groupName>
      <ability>L2_Typo</ability>
      <abilityName>字词错误</abilityName>
      <candidateList>
        <item>，</item>
      </candidateList>
      <explain/>
      <paraID>229954B0</paraID>
      <start>42</start>
      <end>43</end>
      <status>unmodified</status>
      <modifiedWord/>
      <trackRevisions>false</trackRevisions>
    </reviewItem>
    <reviewItem>
      <errorID>570fb4d9-5b0f-49d9-a7bf-940ea2b33860</errorID>
      <errorWord>报</errorWord>
      <group>L1_Word</group>
      <groupName>字词问题</groupName>
      <ability>L2_Typo</ability>
      <abilityName>字词错误</abilityName>
      <candidateList>
        <item>接受</item>
      </candidateList>
      <explain/>
      <paraID>229954B0</paraID>
      <start>113</start>
      <end>114</end>
      <status>unmodified</status>
      <modifiedWord/>
      <trackRevisions>false</trackRevisions>
    </reviewItem>
    <reviewItem>
      <errorID>23cf134e-0e87-4354-bd51-1e1fff8989da</errorID>
      <errorWord>)</errorWord>
      <group>L1_Format</group>
      <groupName>格式问题</groupName>
      <ability>L2_HalfPunc</ability>
      <abilityName>全半角检查</abilityName>
      <candidateList>
        <item>）</item>
      </candidateList>
      <explain>文本全半角错误。</explain>
      <paraID>5CB5CA6D</paraID>
      <start>22</start>
      <end>23</end>
      <status>unmodified</status>
      <modifiedWord/>
      <trackRevisions>false</trackRevisions>
    </reviewItem>
    <reviewItem>
      <errorID>48aab082-1ba3-472d-8f6c-109dbb8f6aa2</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2C5BE263</paraID>
      <start>71</start>
      <end>72</end>
      <status>unmodified</status>
      <modifiedWord/>
      <trackRevisions>false</trackRevisions>
    </reviewItem>
    <reviewItem>
      <errorID>c1f7b957-749e-4f75-83b8-7cd1dd4c57af</errorID>
      <errorWord>实施</errorWord>
      <group>L1_Punc</group>
      <groupName>标点问题</groupName>
      <ability>L2_Punc</ability>
      <abilityName>标点符号检查</abilityName>
      <candidateList>
        <item>）实施</item>
      </candidateList>
      <explain/>
      <paraID>2C5BE263</paraID>
      <start>84</start>
      <end>87</end>
      <status>modified</status>
      <modifiedWord>）实施</modifiedWord>
      <trackRevisions>false</trackRevisions>
    </reviewItem>
    <reviewItem>
      <errorID>b5c7efc5-5a9e-4dc8-8b71-010b1a2afeb3</errorID>
      <errorWord>)</errorWord>
      <group>L1_Format</group>
      <groupName>格式问题</groupName>
      <ability>L2_HalfPunc</ability>
      <abilityName>全半角检查</abilityName>
      <candidateList>
        <item>）</item>
      </candidateList>
      <explain>文本全半角错误。</explain>
      <paraID>768EBFBF</paraID>
      <start>19</start>
      <end>20</end>
      <status>unmodified</status>
      <modifiedWord/>
      <trackRevisions>false</trackRevisions>
    </reviewItem>
    <reviewItem>
      <errorID>4ca58e62-afd6-4e51-8257-fc12d01f7522</errorID>
      <errorWord>)</errorWord>
      <group>L1_Format</group>
      <groupName>格式问题</groupName>
      <ability>L2_HalfPunc</ability>
      <abilityName>全半角检查</abilityName>
      <candidateList>
        <item>）</item>
      </candidateList>
      <explain>文本全半角错误。</explain>
      <paraID>1AC9D303</paraID>
      <start>6</start>
      <end>7</end>
      <status>unmodified</status>
      <modifiedWord/>
      <trackRevisions>false</trackRevisions>
    </reviewItem>
    <reviewItem>
      <errorID>51849926-9a9a-4afe-ab2a-a23d1e77e387</errorID>
      <errorWord>)</errorWord>
      <group>L1_Format</group>
      <groupName>格式问题</groupName>
      <ability>L2_HalfPunc</ability>
      <abilityName>全半角检查</abilityName>
      <candidateList>
        <item>）</item>
      </candidateList>
      <explain>文本全半角错误。</explain>
      <paraID>1DA97143</paraID>
      <start>6</start>
      <end>7</end>
      <status>unmodified</status>
      <modifiedWord/>
      <trackRevisions>false</trackRevisions>
    </reviewItem>
    <reviewItem>
      <errorID>0e207404-263f-4b0b-9803-949899b9125c</errorID>
      <errorWord>)</errorWord>
      <group>L1_Format</group>
      <groupName>格式问题</groupName>
      <ability>L2_HalfPunc</ability>
      <abilityName>全半角检查</abilityName>
      <candidateList>
        <item>）</item>
      </candidateList>
      <explain>文本全半角错误。</explain>
      <paraID>7B446A42</paraID>
      <start>6</start>
      <end>7</end>
      <status>unmodified</status>
      <modifiedWord/>
      <trackRevisions>false</trackRevisions>
    </reviewItem>
    <reviewItem>
      <errorID>27f056ff-036a-4f4c-a50d-4abcec23caf4</errorID>
      <errorWord>)</errorWord>
      <group>L1_Format</group>
      <groupName>格式问题</groupName>
      <ability>L2_HalfPunc</ability>
      <abilityName>全半角检查</abilityName>
      <candidateList>
        <item>）</item>
      </candidateList>
      <explain>文本全半角错误。</explain>
      <paraID>12059C82</paraID>
      <start>6</start>
      <end>7</end>
      <status>unmodified</status>
      <modifiedWord/>
      <trackRevisions>false</trackRevisions>
    </reviewItem>
    <reviewItem>
      <errorID>3be41a8b-5f21-4c76-972e-a969b3aa0c7a</errorID>
      <errorWord>)</errorWord>
      <group>L1_Format</group>
      <groupName>格式问题</groupName>
      <ability>L2_HalfPunc</ability>
      <abilityName>全半角检查</abilityName>
      <candidateList>
        <item>）</item>
      </candidateList>
      <explain>文本全半角错误。</explain>
      <paraID>61191F31</paraID>
      <start>6</start>
      <end>7</end>
      <status>unmodified</status>
      <modifiedWord/>
      <trackRevisions>false</trackRevisions>
    </reviewItem>
    <reviewItem>
      <errorID>7d89a1f7-f48c-431c-a6f0-bfb77459183c</errorID>
      <errorWord>)</errorWord>
      <group>L1_Format</group>
      <groupName>格式问题</groupName>
      <ability>L2_HalfPunc</ability>
      <abilityName>全半角检查</abilityName>
      <candidateList>
        <item>）</item>
      </candidateList>
      <explain>文本全半角错误。</explain>
      <paraID>3AB99915</paraID>
      <start>6</start>
      <end>7</end>
      <status>unmodified</status>
      <modifiedWord/>
      <trackRevisions>false</trackRevisions>
    </reviewItem>
    <reviewItem>
      <errorID>7633e40f-6ef0-4206-b457-9b24215d9f9f</errorID>
      <errorWord>)</errorWord>
      <group>L1_Format</group>
      <groupName>格式问题</groupName>
      <ability>L2_HalfPunc</ability>
      <abilityName>全半角检查</abilityName>
      <candidateList>
        <item>）</item>
      </candidateList>
      <explain>文本全半角错误。</explain>
      <paraID>5C947234</paraID>
      <start>6</start>
      <end>7</end>
      <status>unmodified</status>
      <modifiedWord/>
      <trackRevisions>false</trackRevisions>
    </reviewItem>
    <reviewItem>
      <errorID>019ba0a6-c418-4594-acaf-78ba14a16b11</errorID>
      <errorWord>)</errorWord>
      <group>L1_Format</group>
      <groupName>格式问题</groupName>
      <ability>L2_HalfPunc</ability>
      <abilityName>全半角检查</abilityName>
      <candidateList>
        <item>）</item>
      </candidateList>
      <explain>文本全半角错误。</explain>
      <paraID>4E281DCD</paraID>
      <start>6</start>
      <end>7</end>
      <status>unmodified</status>
      <modifiedWord/>
      <trackRevisions>false</trackRevisions>
    </reviewItem>
    <reviewItem>
      <errorID>47c894d8-a8d8-4ccf-8454-bea730a9bd54</errorID>
      <errorWord>)</errorWord>
      <group>L1_Format</group>
      <groupName>格式问题</groupName>
      <ability>L2_HalfPunc</ability>
      <abilityName>全半角检查</abilityName>
      <candidateList>
        <item>）</item>
      </candidateList>
      <explain>文本全半角错误。</explain>
      <paraID> 9F14B32</paraID>
      <start>6</start>
      <end>7</end>
      <status>unmodified</status>
      <modifiedWord/>
      <trackRevisions>false</trackRevisions>
    </reviewItem>
    <reviewItem>
      <errorID>24b0ec10-2c83-4058-ae56-5fc071bc3f95</errorID>
      <errorWord>)</errorWord>
      <group>L1_Format</group>
      <groupName>格式问题</groupName>
      <ability>L2_HalfPunc</ability>
      <abilityName>全半角检查</abilityName>
      <candidateList>
        <item>）</item>
      </candidateList>
      <explain>文本全半角错误。</explain>
      <paraID>648D0F95</paraID>
      <start>6</start>
      <end>7</end>
      <status>unmodified</status>
      <modifiedWord/>
      <trackRevisions>false</trackRevisions>
    </reviewItem>
    <reviewItem>
      <errorID>474decfd-aa77-48e0-93f5-4be8f675f9f9</errorID>
      <errorWord>)</errorWord>
      <group>L1_Format</group>
      <groupName>格式问题</groupName>
      <ability>L2_HalfPunc</ability>
      <abilityName>全半角检查</abilityName>
      <candidateList>
        <item>）</item>
      </candidateList>
      <explain>文本全半角错误。</explain>
      <paraID>62289C4E</paraID>
      <start>6</start>
      <end>7</end>
      <status>unmodified</status>
      <modifiedWord/>
      <trackRevisions>false</trackRevisions>
    </reviewItem>
    <reviewItem>
      <errorID>1e439106-3188-4dfa-bc4f-8b3189c995ae</errorID>
      <errorWord>)</errorWord>
      <group>L1_Format</group>
      <groupName>格式问题</groupName>
      <ability>L2_HalfPunc</ability>
      <abilityName>全半角检查</abilityName>
      <candidateList>
        <item>）</item>
      </candidateList>
      <explain>文本全半角错误。</explain>
      <paraID>748C44D5</paraID>
      <start>6</start>
      <end>7</end>
      <status>unmodified</status>
      <modifiedWord/>
      <trackRevisions>false</trackRevisions>
    </reviewItem>
    <reviewItem>
      <errorID>87d29cbe-34e4-496d-a6cf-fdb30f8bbbec</errorID>
      <errorWord>)</errorWord>
      <group>L1_Format</group>
      <groupName>格式问题</groupName>
      <ability>L2_HalfPunc</ability>
      <abilityName>全半角检查</abilityName>
      <candidateList>
        <item>）</item>
      </candidateList>
      <explain>文本全半角错误。</explain>
      <paraID>6560FAA7</paraID>
      <start>6</start>
      <end>7</end>
      <status>unmodified</status>
      <modifiedWord/>
      <trackRevisions>false</trackRevisions>
    </reviewItem>
    <reviewItem>
      <errorID>f2a483ca-3e69-4c06-975b-dd0cd2feb7ef</errorID>
      <errorWord>)</errorWord>
      <group>L1_Format</group>
      <groupName>格式问题</groupName>
      <ability>L2_HalfPunc</ability>
      <abilityName>全半角检查</abilityName>
      <candidateList>
        <item>）</item>
      </candidateList>
      <explain>文本全半角错误。</explain>
      <paraID> 8AB6FCD</paraID>
      <start>6</start>
      <end>7</end>
      <status>unmodified</status>
      <modifiedWord/>
      <trackRevisions>false</trackRevisions>
    </reviewItem>
    <reviewItem>
      <errorID>7ee82ff7-248b-4559-b07b-e2f70e85843a</errorID>
      <errorWord>)</errorWord>
      <group>L1_Format</group>
      <groupName>格式问题</groupName>
      <ability>L2_HalfPunc</ability>
      <abilityName>全半角检查</abilityName>
      <candidateList>
        <item>）</item>
      </candidateList>
      <explain>文本全半角错误。</explain>
      <paraID>35FF6E0F</paraID>
      <start>6</start>
      <end>7</end>
      <status>unmodified</status>
      <modifiedWord/>
      <trackRevisions>false</trackRevisions>
    </reviewItem>
    <reviewItem>
      <errorID>278db1e4-7e64-4f5b-9fa4-f66d358a5a08</errorID>
      <errorWord>)</errorWord>
      <group>L1_Format</group>
      <groupName>格式问题</groupName>
      <ability>L2_HalfPunc</ability>
      <abilityName>全半角检查</abilityName>
      <candidateList>
        <item>）</item>
      </candidateList>
      <explain>文本全半角错误。</explain>
      <paraID>7A81E3FA</paraID>
      <start>6</start>
      <end>7</end>
      <status>unmodified</status>
      <modifiedWord/>
      <trackRevisions>false</trackRevisions>
    </reviewItem>
    <reviewItem>
      <errorID>015aa3ab-41d2-4319-b3af-032cfb3a25d2</errorID>
      <errorWord>)</errorWord>
      <group>L1_Format</group>
      <groupName>格式问题</groupName>
      <ability>L2_HalfPunc</ability>
      <abilityName>全半角检查</abilityName>
      <candidateList>
        <item>）</item>
      </candidateList>
      <explain>文本全半角错误。</explain>
      <paraID> 6589F22</paraID>
      <start>6</start>
      <end>7</end>
      <status>unmodified</status>
      <modifiedWord/>
      <trackRevisions>false</trackRevisions>
    </reviewItem>
    <reviewItem>
      <errorID>1af0671a-2407-4882-b11a-1f95990a6b08</errorID>
      <errorWord>)</errorWord>
      <group>L1_Format</group>
      <groupName>格式问题</groupName>
      <ability>L2_HalfPunc</ability>
      <abilityName>全半角检查</abilityName>
      <candidateList>
        <item>）</item>
      </candidateList>
      <explain>文本全半角错误。</explain>
      <paraID> DA2E26D</paraID>
      <start>6</start>
      <end>7</end>
      <status>unmodified</status>
      <modifiedWord/>
      <trackRevisions>false</trackRevisions>
    </reviewItem>
    <reviewItem>
      <errorID>0b10496b-f847-4da9-899d-f266e7bca16b</errorID>
      <errorWord>)</errorWord>
      <group>L1_Format</group>
      <groupName>格式问题</groupName>
      <ability>L2_HalfPunc</ability>
      <abilityName>全半角检查</abilityName>
      <candidateList>
        <item>）</item>
      </candidateList>
      <explain>文本全半角错误。</explain>
      <paraID>25923C47</paraID>
      <start>6</start>
      <end>7</end>
      <status>unmodified</status>
      <modifiedWord/>
      <trackRevisions>false</trackRevisions>
    </reviewItem>
    <reviewItem>
      <errorID>f1e9a80f-6fbb-4647-a747-86c8b12b91f8</errorID>
      <errorWord>)</errorWord>
      <group>L1_Format</group>
      <groupName>格式问题</groupName>
      <ability>L2_HalfPunc</ability>
      <abilityName>全半角检查</abilityName>
      <candidateList>
        <item>）</item>
      </candidateList>
      <explain>文本全半角错误。</explain>
      <paraID>63FF6979</paraID>
      <start>6</start>
      <end>7</end>
      <status>unmodified</status>
      <modifiedWord/>
      <trackRevisions>false</trackRevisions>
    </reviewItem>
    <reviewItem>
      <errorID>056d2f66-b303-433b-8316-0e19ef47c5fa</errorID>
      <errorWord>)</errorWord>
      <group>L1_Format</group>
      <groupName>格式问题</groupName>
      <ability>L2_HalfPunc</ability>
      <abilityName>全半角检查</abilityName>
      <candidateList>
        <item>）</item>
      </candidateList>
      <explain>文本全半角错误。</explain>
      <paraID> 6BDE5D9</paraID>
      <start>6</start>
      <end>7</end>
      <status>unmodified</status>
      <modifiedWord/>
      <trackRevisions>false</trackRevisions>
    </reviewItem>
    <reviewItem>
      <errorID>07b317a5-89a7-46a0-98bc-ac1417824d7d</errorID>
      <errorWord>)</errorWord>
      <group>L1_Format</group>
      <groupName>格式问题</groupName>
      <ability>L2_HalfPunc</ability>
      <abilityName>全半角检查</abilityName>
      <candidateList>
        <item>）</item>
      </candidateList>
      <explain>文本全半角错误。</explain>
      <paraID>463BAE24</paraID>
      <start>6</start>
      <end>7</end>
      <status>unmodified</status>
      <modifiedWord/>
      <trackRevisions>false</trackRevisions>
    </reviewItem>
    <reviewItem>
      <errorID>28a0e81b-774e-4801-819f-35f8ec788d72</errorID>
      <errorWord>)</errorWord>
      <group>L1_Format</group>
      <groupName>格式问题</groupName>
      <ability>L2_HalfPunc</ability>
      <abilityName>全半角检查</abilityName>
      <candidateList>
        <item>）</item>
      </candidateList>
      <explain>文本全半角错误。</explain>
      <paraID>118EF752</paraID>
      <start>6</start>
      <end>7</end>
      <status>unmodified</status>
      <modifiedWord/>
      <trackRevisions>false</trackRevisions>
    </reviewItem>
    <reviewItem>
      <errorID>4345800b-8bda-4748-b8bd-5f96ab842580</errorID>
      <errorWord>)</errorWord>
      <group>L1_Format</group>
      <groupName>格式问题</groupName>
      <ability>L2_HalfPunc</ability>
      <abilityName>全半角检查</abilityName>
      <candidateList>
        <item>）</item>
      </candidateList>
      <explain>文本全半角错误。</explain>
      <paraID> 7D12236</paraID>
      <start>6</start>
      <end>7</end>
      <status>unmodified</status>
      <modifiedWord/>
      <trackRevisions>false</trackRevisions>
    </reviewItem>
    <reviewItem>
      <errorID>0852f4e8-d0c7-4531-a468-ae3ea7ba22b6</errorID>
      <errorWord>)</errorWord>
      <group>L1_Format</group>
      <groupName>格式问题</groupName>
      <ability>L2_HalfPunc</ability>
      <abilityName>全半角检查</abilityName>
      <candidateList>
        <item>）</item>
      </candidateList>
      <explain>文本全半角错误。</explain>
      <paraID>6E7190BD</paraID>
      <start>6</start>
      <end>7</end>
      <status>unmodified</status>
      <modifiedWord/>
      <trackRevisions>false</trackRevisions>
    </reviewItem>
    <reviewItem>
      <errorID>de8c03e8-5a5e-47bd-9eef-20452e4eeb64</errorID>
      <errorWord>)</errorWord>
      <group>L1_Format</group>
      <groupName>格式问题</groupName>
      <ability>L2_HalfPunc</ability>
      <abilityName>全半角检查</abilityName>
      <candidateList>
        <item>）</item>
      </candidateList>
      <explain>文本全半角错误。</explain>
      <paraID>780119B6</paraID>
      <start>6</start>
      <end>7</end>
      <status>unmodified</status>
      <modifiedWord/>
      <trackRevisions>false</trackRevisions>
    </reviewItem>
    <reviewItem>
      <errorID>39a4084c-5f9b-43a8-ba63-f93b728732fa</errorID>
      <errorWord>)</errorWord>
      <group>L1_Format</group>
      <groupName>格式问题</groupName>
      <ability>L2_HalfPunc</ability>
      <abilityName>全半角检查</abilityName>
      <candidateList>
        <item>）</item>
      </candidateList>
      <explain>文本全半角错误。</explain>
      <paraID>4BD7ACDA</paraID>
      <start>6</start>
      <end>7</end>
      <status>unmodified</status>
      <modifiedWord/>
      <trackRevisions>false</trackRevisions>
    </reviewItem>
    <reviewItem>
      <errorID>0bc25ee8-8ba0-4d00-9ff8-7d566b6b6e4b</errorID>
      <errorWord>)</errorWord>
      <group>L1_Format</group>
      <groupName>格式问题</groupName>
      <ability>L2_HalfPunc</ability>
      <abilityName>全半角检查</abilityName>
      <candidateList>
        <item>）</item>
      </candidateList>
      <explain>文本全半角错误。</explain>
      <paraID>33568F9B</paraID>
      <start>6</start>
      <end>7</end>
      <status>unmodified</status>
      <modifiedWord/>
      <trackRevisions>false</trackRevisions>
    </reviewItem>
    <reviewItem>
      <errorID>15e3db04-7d48-41fa-9346-2680c7c86757</errorID>
      <errorWord>)</errorWord>
      <group>L1_Format</group>
      <groupName>格式问题</groupName>
      <ability>L2_HalfPunc</ability>
      <abilityName>全半角检查</abilityName>
      <candidateList>
        <item>）</item>
      </candidateList>
      <explain>文本全半角错误。</explain>
      <paraID>7B902B87</paraID>
      <start>6</start>
      <end>7</end>
      <status>unmodified</status>
      <modifiedWord/>
      <trackRevisions>false</trackRevisions>
    </reviewItem>
    <reviewItem>
      <errorID>68967807-c2f9-41a9-9063-e630c922ce9b</errorID>
      <errorWord>)</errorWord>
      <group>L1_Format</group>
      <groupName>格式问题</groupName>
      <ability>L2_HalfPunc</ability>
      <abilityName>全半角检查</abilityName>
      <candidateList>
        <item>）</item>
      </candidateList>
      <explain>文本全半角错误。</explain>
      <paraID>2AE3B5AB</paraID>
      <start>6</start>
      <end>7</end>
      <status>unmodified</status>
      <modifiedWord/>
      <trackRevisions>false</trackRevisions>
    </reviewItem>
    <reviewItem>
      <errorID>6e25ee94-14c5-478c-b873-eec6c0b6b941</errorID>
      <errorWord>须</errorWord>
      <group>L1_Word</group>
      <groupName>字词问题</groupName>
      <ability>L2_Typo</ability>
      <abilityName>字词错误</abilityName>
      <candidateList>
        <item>需</item>
      </candidateList>
      <explain>❶〈动〉需要：～求｜按～分配｜完成任务还～五天时间。❷需用的东西：军～。</explain>
      <paraID>2B10AF09</paraID>
      <start>37</start>
      <end>38</end>
      <status>unmodified</status>
      <modifiedWord/>
      <trackRevisions>false</trackRevisions>
    </reviewItem>
    <reviewItem>
      <errorID>3db9040f-505c-481d-ba08-880ebdc822bd</errorID>
      <errorWord>，</errorWord>
      <group>L1_Punc</group>
      <groupName>标点问题</groupName>
      <ability>L2_Punc</ability>
      <abilityName>标点符号检查</abilityName>
      <candidateList>
        <item>、</item>
      </candidateList>
      <explain/>
      <paraID>207DF0EF</paraID>
      <start>62</start>
      <end>63</end>
      <status>unmodified</status>
      <modifiedWord/>
      <trackRevisions>false</trackRevisions>
    </reviewItem>
    <reviewItem>
      <errorID>5c6ace68-35d8-4bae-805d-48c7506546fc</errorID>
      <errorWord>，</errorWord>
      <group>L1_Punc</group>
      <groupName>标点问题</groupName>
      <ability>L2_Punc</ability>
      <abilityName>标点符号检查</abilityName>
      <candidateList>
        <item>、</item>
      </candidateList>
      <explain/>
      <paraID>207DF0EF</paraID>
      <start>66</start>
      <end>67</end>
      <status>unmodified</status>
      <modifiedWord/>
      <trackRevisions>false</trackRevisions>
    </reviewItem>
    <reviewItem>
      <errorID>a1cbf456-d0ca-4f94-8348-1433428c28db</errorID>
      <errorWord>，</errorWord>
      <group>L1_Punc</group>
      <groupName>标点问题</groupName>
      <ability>L2_Punc</ability>
      <abilityName>标点符号检查</abilityName>
      <candidateList>
        <item>、</item>
      </candidateList>
      <explain/>
      <paraID>207DF0EF</paraID>
      <start>96</start>
      <end>97</end>
      <status>unmodified</status>
      <modifiedWord/>
      <trackRevisions>false</trackRevisions>
    </reviewItem>
    <reviewItem>
      <errorID>ce724e23-4711-471d-b6dc-bc52ad088ad5</errorID>
      <errorWord>，</errorWord>
      <group>L1_Punc</group>
      <groupName>标点问题</groupName>
      <ability>L2_Punc</ability>
      <abilityName>标点符号检查</abilityName>
      <candidateList>
        <item>、</item>
      </candidateList>
      <explain/>
      <paraID>207DF0EF</paraID>
      <start>102</start>
      <end>103</end>
      <status>unmodified</status>
      <modifiedWord/>
      <trackRevisions>false</trackRevisions>
    </reviewItem>
    <reviewItem>
      <errorID>09cd8db8-e28c-4735-abe3-749b8fd3b2cd</errorID>
      <errorWord>，</errorWord>
      <group>L1_Punc</group>
      <groupName>标点问题</groupName>
      <ability>L2_Punc</ability>
      <abilityName>标点符号检查</abilityName>
      <candidateList>
        <item>、</item>
      </candidateList>
      <explain/>
      <paraID>207DF0EF</paraID>
      <start>108</start>
      <end>109</end>
      <status>unmodified</status>
      <modifiedWord/>
      <trackRevisions>false</trackRevisions>
    </reviewItem>
    <reviewItem>
      <errorID>9599bf80-f28f-48b8-85c9-4a59f065dc81</errorID>
      <errorWord>，</errorWord>
      <group>L1_Punc</group>
      <groupName>标点问题</groupName>
      <ability>L2_Punc</ability>
      <abilityName>标点符号检查</abilityName>
      <candidateList>
        <item>、</item>
      </candidateList>
      <explain/>
      <paraID>207DF0EF</paraID>
      <start>114</start>
      <end>115</end>
      <status>unmodified</status>
      <modifiedWord/>
      <trackRevisions>false</trackRevisions>
    </reviewItem>
    <reviewItem>
      <errorID>869931ed-f532-4dd7-b324-752a09fbf7e1</errorID>
      <errorWord>，</errorWord>
      <group>L1_Punc</group>
      <groupName>标点问题</groupName>
      <ability>L2_Punc</ability>
      <abilityName>标点符号检查</abilityName>
      <candidateList>
        <item>、</item>
      </candidateList>
      <explain/>
      <paraID>207DF0EF</paraID>
      <start>149</start>
      <end>150</end>
      <status>unmodified</status>
      <modifiedWord/>
      <trackRevisions>false</trackRevisions>
    </reviewItem>
    <reviewItem>
      <errorID>e07a5361-f748-4a7c-84e9-5b118a8ac9bd</errorID>
      <errorWord>，</errorWord>
      <group>L1_Punc</group>
      <groupName>标点问题</groupName>
      <ability>L2_Punc</ability>
      <abilityName>标点符号检查</abilityName>
      <candidateList>
        <item>、</item>
      </candidateList>
      <explain/>
      <paraID>207DF0EF</paraID>
      <start>154</start>
      <end>155</end>
      <status>unmodified</status>
      <modifiedWord/>
      <trackRevisions>false</trackRevisions>
    </reviewItem>
    <reviewItem>
      <errorID>f85a5bce-e745-4264-b506-2aa52370698a</errorID>
      <errorWord>，</errorWord>
      <group>L1_Punc</group>
      <groupName>标点问题</groupName>
      <ability>L2_Punc</ability>
      <abilityName>标点符号检查</abilityName>
      <candidateList>
        <item>、</item>
      </candidateList>
      <explain/>
      <paraID>207DF0EF</paraID>
      <start>160</start>
      <end>161</end>
      <status>unmodified</status>
      <modifiedWord/>
      <trackRevisions>false</trackRevisions>
    </reviewItem>
    <reviewItem>
      <errorID>23ba02de-25b0-4d07-ae40-79a4ba1c282f</errorID>
      <errorWord>，</errorWord>
      <group>L1_Punc</group>
      <groupName>标点问题</groupName>
      <ability>L2_Punc</ability>
      <abilityName>标点符号检查</abilityName>
      <candidateList>
        <item>、</item>
      </candidateList>
      <explain/>
      <paraID>207DF0EF</paraID>
      <start>172</start>
      <end>173</end>
      <status>unmodified</status>
      <modifiedWord/>
      <trackRevisions>false</trackRevisions>
    </reviewItem>
    <reviewItem>
      <errorID>548b0bb3-182c-4501-a316-acda528075e3</errorID>
      <errorWord>，</errorWord>
      <group>L1_Punc</group>
      <groupName>标点问题</groupName>
      <ability>L2_Punc</ability>
      <abilityName>标点符号检查</abilityName>
      <candidateList>
        <item>、</item>
      </candidateList>
      <explain/>
      <paraID>207DF0EF</paraID>
      <start>206</start>
      <end>207</end>
      <status>unmodified</status>
      <modifiedWord/>
      <trackRevisions>false</trackRevisions>
    </reviewItem>
    <reviewItem>
      <errorID>6ef9fced-0411-46c2-8538-58607bfa2f70</errorID>
      <errorWord>，</errorWord>
      <group>L1_Punc</group>
      <groupName>标点问题</groupName>
      <ability>L2_Punc</ability>
      <abilityName>标点符号检查</abilityName>
      <candidateList>
        <item>、</item>
      </candidateList>
      <explain/>
      <paraID>207DF0EF</paraID>
      <start>235</start>
      <end>236</end>
      <status>unmodified</status>
      <modifiedWord/>
      <trackRevisions>false</trackRevisions>
    </reviewItem>
    <reviewItem>
      <errorID>eabea08c-5c44-44aa-b2e4-29191946148d</errorID>
      <errorWord>，</errorWord>
      <group>L1_Punc</group>
      <groupName>标点问题</groupName>
      <ability>L2_Punc</ability>
      <abilityName>标点符号检查</abilityName>
      <candidateList>
        <item>、</item>
      </candidateList>
      <explain/>
      <paraID>207DF0EF</paraID>
      <start>249</start>
      <end>250</end>
      <status>unmodified</status>
      <modifiedWord/>
      <trackRevisions>false</trackRevisions>
    </reviewItem>
    <reviewItem>
      <errorID>3e0705d4-079c-4168-bd7c-810ca2a3ef24</errorID>
      <errorWord>，</errorWord>
      <group>L1_Punc</group>
      <groupName>标点问题</groupName>
      <ability>L2_Punc</ability>
      <abilityName>标点符号检查</abilityName>
      <candidateList>
        <item>、</item>
      </candidateList>
      <explain/>
      <paraID>207DF0EF</paraID>
      <start>263</start>
      <end>264</end>
      <status>unmodified</status>
      <modifiedWord/>
      <trackRevisions>false</trackRevisions>
    </reviewItem>
    <reviewItem>
      <errorID>79cfcb07-ebcb-4dca-9840-b0e69532e879</errorID>
      <errorWord>，</errorWord>
      <group>L1_Punc</group>
      <groupName>标点问题</groupName>
      <ability>L2_Punc</ability>
      <abilityName>标点符号检查</abilityName>
      <candidateList>
        <item>、</item>
      </candidateList>
      <explain/>
      <paraID>207DF0EF</paraID>
      <start>268</start>
      <end>269</end>
      <status>unmodified</status>
      <modifiedWord/>
      <trackRevisions>false</trackRevisions>
    </reviewItem>
    <reviewItem>
      <errorID>eec171f9-cafe-4dd5-b752-4e8d775c301b</errorID>
      <errorWord>，</errorWord>
      <group>L1_Punc</group>
      <groupName>标点问题</groupName>
      <ability>L2_Punc</ability>
      <abilityName>标点符号检查</abilityName>
      <candidateList>
        <item>、</item>
      </candidateList>
      <explain/>
      <paraID>207DF0EF</paraID>
      <start>288</start>
      <end>289</end>
      <status>unmodified</status>
      <modifiedWord/>
      <trackRevisions>false</trackRevisions>
    </reviewItem>
    <reviewItem>
      <errorID>d3be0081-bf68-4f8d-829d-bb44095c0900</errorID>
      <errorWord>属于</errorWord>
      <group>L1_Word</group>
      <groupName>字词问题</groupName>
      <ability>L2_Typo</ability>
      <abilityName>字词错误</abilityName>
      <candidateList>
        <item>，若为</item>
      </candidateList>
      <explain/>
      <paraID>3E3D69EA</paraID>
      <start>15</start>
      <end>17</end>
      <status>unmodified</status>
      <modifiedWord/>
      <trackRevisions>false</trackRevisions>
    </reviewItem>
    <reviewItem>
      <errorID>b14d7a21-9625-4aea-a47c-42d121b1c63e</errorID>
      <errorWord>的</errorWord>
      <group>L1_Word</group>
      <groupName>字词问题</groupName>
      <ability>L2_Typo</ability>
      <abilityName>字词错误</abilityName>
      <candidateList>
        <item>或</item>
      </candidateList>
      <explain/>
      <paraID>3E3D69EA</paraID>
      <start>20</start>
      <end>21</end>
      <status>unmodified</status>
      <modifiedWord/>
      <trackRevisions>false</trackRevisions>
    </reviewItem>
    <reviewItem>
      <errorID>87ef2c3f-cd41-46b5-9f6f-75a8ae0b7be8</errorID>
      <errorWord>件的</errorWord>
      <group>L1_Word</group>
      <groupName>字词问题</groupName>
      <ability>L2_Typo</ability>
      <abilityName>字词错误</abilityName>
      <candidateList>
        <item>件</item>
      </candidateList>
      <explain/>
      <paraID>3E3D69EA</paraID>
      <start>23</start>
      <end>25</end>
      <status>unmodified</status>
      <modifiedWord/>
      <trackRevisions>false</trackRevisions>
    </reviewItem>
    <reviewItem>
      <errorID>ac048e44-f800-4d55-b3d9-346edb831ff0</errorID>
      <errorWord>；</errorWord>
      <group>L1_Punc</group>
      <groupName>标点问题</groupName>
      <ability>L2_Punc</ability>
      <abilityName>标点符号检查</abilityName>
      <candidateList>
        <item/>
      </candidateList>
      <explain/>
      <paraID>3974C1A6</paraID>
      <start>11</start>
      <end>12</end>
      <status>unmodified</status>
      <modifiedWord/>
      <trackRevisions>false</trackRevisions>
    </reviewItem>
    <reviewItem>
      <errorID>88aa7eaa-251b-4164-8bcb-3f77944846b3</errorID>
      <errorWord>；</errorWord>
      <group>L1_Punc</group>
      <groupName>标点问题</groupName>
      <ability>L2_Punc</ability>
      <abilityName>标点符号检查</abilityName>
      <candidateList>
        <item/>
      </candidateList>
      <explain/>
      <paraID>3D4EFB9E</paraID>
      <start>13</start>
      <end>14</end>
      <status>unmodified</status>
      <modifiedWord/>
      <trackRevisions>false</trackRevisions>
    </reviewItem>
    <reviewItem>
      <errorID>46485929-98ff-4b8a-bf57-dddb191ed668</errorID>
      <errorWord>。</errorWord>
      <group>L1_Punc</group>
      <groupName>标点问题</groupName>
      <ability>L2_Punc</ability>
      <abilityName>标点符号检查</abilityName>
      <candidateList>
        <item/>
      </candidateList>
      <explain/>
      <paraID> 4CCF266</paraID>
      <start>27</start>
      <end>28</end>
      <status>unmodified</status>
      <modifiedWord/>
      <trackRevisions>false</trackRevisions>
    </reviewItem>
    <reviewItem>
      <errorID>a9ccb7d4-8362-450b-8b19-f2f9b3a4277e</errorID>
      <errorWord>，</errorWord>
      <group>L1_Punc</group>
      <groupName>标点问题</groupName>
      <ability>L2_Punc</ability>
      <abilityName>标点符号检查</abilityName>
      <candidateList>
        <item>；</item>
      </candidateList>
      <explain/>
      <paraID>28657BF9</paraID>
      <start>36</start>
      <end>37</end>
      <status>unmodified</status>
      <modifiedWord/>
      <trackRevisions>false</trackRevisions>
    </reviewItem>
    <reviewItem>
      <errorID>db1e86aa-0359-40c9-b7b6-c0b367b33a6b</errorID>
      <errorWord>现场时</errorWord>
      <group>L1_Word</group>
      <groupName>字词问题</groupName>
      <ability>L2_Typo</ability>
      <abilityName>字词错误</abilityName>
      <candidateList>
        <item>现场</item>
      </candidateList>
      <explain/>
      <paraID>204AB17B</paraID>
      <start>44</start>
      <end>47</end>
      <status>unmodified</status>
      <modifiedWord/>
      <trackRevisions>false</trackRevisions>
    </reviewItem>
    <reviewItem>
      <errorID>9ccafe97-1ca7-47b9-9663-2cc3e4a28e7e</errorID>
      <errorWord>由</errorWord>
      <group>L1_Punc</group>
      <groupName>标点问题</groupName>
      <ability>L2_Punc</ability>
      <abilityName>标点符号检查</abilityName>
      <candidateList>
        <item>，由</item>
      </candidateList>
      <explain/>
      <paraID>204AB17B</paraID>
      <start>67</start>
      <end>68</end>
      <status>unmodified</status>
      <modifiedWord/>
      <trackRevisions>false</trackRevisions>
    </reviewItem>
    <reviewItem>
      <errorID>98fd6332-b1d5-43c0-a818-fa2525ef24cc</errorID>
      <errorWord>包含</errorWord>
      <group>L1_Word</group>
      <groupName>字词问题</groupName>
      <ability>L2_Typo</ability>
      <abilityName>字词错误</abilityName>
      <candidateList>
        <item>包括</item>
      </candidateList>
      <explain/>
      <paraID> BC12EE9</paraID>
      <start>14</start>
      <end>16</end>
      <status>unmodified</status>
      <modifiedWord/>
      <trackRevisions>false</trackRevisions>
    </reviewItem>
    <reviewItem>
      <errorID>16aefe16-ad0e-47d2-969d-8d3cd203f7c5</errorID>
      <errorWord>按规定提交</errorWord>
      <group>L1_Grammar</group>
      <groupName>语法问题</groupName>
      <ability>L2_Grammar</ability>
      <abilityName>语法错误</abilityName>
      <candidateList>
        <item>按规定</item>
      </candidateList>
      <explain/>
      <paraID> BC12EE9</paraID>
      <start>28</start>
      <end>33</end>
      <status>unmodified</status>
      <modifiedWord/>
      <trackRevisions>false</trackRevisions>
    </reviewItem>
    <reviewItem>
      <errorID>2a90a4c5-942b-4953-bf2c-4326f392af29</errorID>
      <errorWord>的义务</errorWord>
      <group>L1_Grammar</group>
      <groupName>语法问题</groupName>
      <ability>L2_Grammar</ability>
      <abilityName>语法错误</abilityName>
      <candidateList>
        <item>义务的时间界限</item>
      </candidateList>
      <explain/>
      <paraID> BC12EE9</paraID>
      <start>70</start>
      <end>73</end>
      <status>unmodified</status>
      <modifiedWord/>
      <trackRevisions>false</trackRevisions>
    </reviewItem>
    <reviewItem>
      <errorID>dd540021-b990-45be-807c-75c851bc1181</errorID>
      <errorWord>的时间界限）的</errorWord>
      <group>L1_Grammar</group>
      <groupName>语法问题</groupName>
      <ability>L2_Grammar</ability>
      <abilityName>语法错误</abilityName>
      <candidateList>
        <item>等）</item>
      </candidateList>
      <explain/>
      <paraID> BC12EE9</paraID>
      <start>97</start>
      <end>104</end>
      <status>unmodified</status>
      <modifiedWord/>
      <trackRevisions>false</trackRevisions>
    </reviewItem>
    <reviewItem>
      <errorID>3941a379-4719-468d-961c-533d47b269c9</errorID>
      <errorWord>提交的履约保证金</errorWord>
      <group>L1_Grammar</group>
      <groupName>语法问题</groupName>
      <ability>L2_Grammar</ability>
      <abilityName>语法错误</abilityName>
      <candidateList>
        <item>提交</item>
      </candidateList>
      <explain/>
      <paraID>3E91077E</paraID>
      <start>29</start>
      <end>37</end>
      <status>unmodified</status>
      <modifiedWord/>
      <trackRevisions>false</trackRevisions>
    </reviewItem>
    <reviewItem>
      <errorID>b79555bb-dd1e-4ed2-8f2d-fc7cc0376ca5</errorID>
      <errorWord>下午15时00</errorWord>
      <group>L1_Knowledge</group>
      <groupName>知识性问题</groupName>
      <ability>L2_Time</ability>
      <abilityName>日期时间</abilityName>
      <candidateList>
        <item>15时00</item>
      </candidateList>
      <explain>24小时制的时间，不需要强调“下午”。</explain>
      <paraID>4518B79E</paraID>
      <start>30</start>
      <end>37</end>
      <status>unmodified</status>
      <modifiedWord/>
      <trackRevisions>false</trackRevisions>
    </reviewItem>
    <reviewItem>
      <errorID>dd9a662b-bf47-4bae-a242-7b942617eb03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12BFC595</paraID>
      <start>0</start>
      <end>2</end>
      <status>unmodified</status>
      <modifiedWord/>
      <trackRevisions>false</trackRevisions>
    </reviewItem>
    <reviewItem>
      <errorID>cd1ad248-d76a-40ca-84b8-c6cd8c861e19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6E8B564E</paraID>
      <start>0</start>
      <end>2</end>
      <status>unmodified</status>
      <modifiedWord/>
      <trackRevisions>false</trackRevisions>
    </reviewItem>
    <reviewItem>
      <errorID>07402d07-8aec-45a9-8ee3-7952b19b8f72</errorID>
      <errorWord>通讯</errorWord>
      <group>L1_Word</group>
      <groupName>字词问题</groupName>
      <ability>L2_Typo</ability>
      <abilityName>字词错误</abilityName>
      <candidateList>
        <item>通信</item>
      </candidateList>
      <explain/>
      <paraID>6E8B564E</paraID>
      <start>2</start>
      <end>4</end>
      <status>unmodified</status>
      <modifiedWord/>
      <trackRevisions>false</trackRevisions>
    </reviewItem>
    <reviewItem>
      <errorID>5357ac9a-090c-4bb3-8e46-f2673e680aea</errorID>
      <errorWord>法律、法规</errorWord>
      <group>L1_Word</group>
      <groupName>字词问题</groupName>
      <ability>L2_Typo</ability>
      <abilityName>字词错误</abilityName>
      <candidateList>
        <item>法律法规</item>
      </candidateList>
      <explain/>
      <paraID>6BBA63F8</paraID>
      <start>75</start>
      <end>80</end>
      <status>unmodified</status>
      <modifiedWord/>
      <trackRevisions>false</trackRevisions>
    </reviewItem>
    <reviewItem>
      <errorID>8fb2d1ed-4a76-46f6-9258-74d7536f6933</errorID>
      <errorWord>，</errorWord>
      <group>L1_Word</group>
      <groupName>字词问题</groupName>
      <ability>L2_Typo</ability>
      <abilityName>字词错误</abilityName>
      <candidateList>
        <item>，使</item>
      </candidateList>
      <explain/>
      <paraID>5BDE347F</paraID>
      <start>35</start>
      <end>36</end>
      <status>unmodified</status>
      <modifiedWord/>
      <trackRevisions>false</trackRevisions>
    </reviewItem>
    <reviewItem>
      <errorID>e54dc6b6-8470-4f44-a877-41f4e5b855d2</errorID>
      <errorWord>摁</errorWord>
      <group>L1_Word</group>
      <groupName>字词问题</groupName>
      <ability>L2_Typo</ability>
      <abilityName>字词错误</abilityName>
      <candidateList>
        <item>按</item>
      </candidateList>
      <explain/>
      <paraID>49DD4B84</paraID>
      <start>26</start>
      <end>27</end>
      <status>unmodified</status>
      <modifiedWord/>
      <trackRevisions>false</trackRevisions>
    </reviewItem>
    <reviewItem>
      <errorID>a3136313-dee2-4164-bcd9-2143badac626</errorID>
      <errorWord>指印</errorWord>
      <group>L1_Word</group>
      <groupName>字词问题</groupName>
      <ability>L2_Typo</ability>
      <abilityName>字词错误</abilityName>
      <candidateList>
        <item>印</item>
      </candidateList>
      <explain/>
      <paraID>49DD4B84</paraID>
      <start>29</start>
      <end>31</end>
      <status>unmodified</status>
      <modifiedWord/>
      <trackRevisions>false</trackRevisions>
    </reviewItem>
    <reviewItem>
      <errorID>c6fb251c-1f74-4019-971c-30ae74d61436</errorID>
      <errorWord>法律、法规</errorWord>
      <group>L1_Word</group>
      <groupName>字词问题</groupName>
      <ability>L2_Typo</ability>
      <abilityName>字词错误</abilityName>
      <candidateList>
        <item>法律法规</item>
      </candidateList>
      <explain/>
      <paraID> 9E55835</paraID>
      <start>38</start>
      <end>43</end>
      <status>unmodified</status>
      <modifiedWord/>
      <trackRevisions>false</trackRevisions>
    </reviewItem>
    <reviewItem>
      <errorID>5fd70a68-a1ef-4b63-8800-22386881c02d</errorID>
      <errorWord>“</errorWord>
      <group>L1_Punc</group>
      <groupName>标点问题</groupName>
      <ability>L2_Punc</ability>
      <abilityName>标点符号检查</abilityName>
      <candidateList/>
      <explain>此处标点可能未正确匹配，请检查句子中是否存在标点冗余、缺失或使用错误的情况。</explain>
      <paraID>2EFAC8F5</paraID>
      <start>3</start>
      <end>4</end>
      <status>unmodified</status>
      <modifiedWord/>
      <trackRevisions>false</trackRevisions>
    </reviewItem>
    <reviewItem>
      <errorID>db455225-e3f8-48ca-a546-5c4d4b150e36</errorID>
      <errorWord>：</errorWord>
      <group>L1_Punc</group>
      <groupName>标点问题</groupName>
      <ability>L2_Punc</ability>
      <abilityName>标点符号检查</abilityName>
      <candidateList>
        <item>”：</item>
      </candidateList>
      <explain/>
      <paraID>2EFAC8F5</paraID>
      <start>9</start>
      <end>10</end>
      <status>unmodified</status>
      <modifiedWord/>
      <trackRevisions>false</trackRevisions>
    </reviewItem>
    <reviewItem>
      <errorID>eaf7cc95-cb7e-4839-aaba-a2164629c5be</errorID>
      <errorWord>勘查</errorWord>
      <group>L1_Word</group>
      <groupName>字词问题</groupName>
      <ability>L2_Typo</ability>
      <abilityName>字词错误</abilityName>
      <candidateList>
        <item>考察</item>
      </candidateList>
      <explain/>
      <paraID>5D596B8D</paraID>
      <start>28</start>
      <end>30</end>
      <status>unmodified</status>
      <modifiedWord/>
      <trackRevisions>false</trackRevisions>
    </reviewItem>
    <reviewItem>
      <errorID>47ab71d1-c1e5-4b41-b98c-06c5f738944a</errorID>
      <errorWord>材料的</errorWord>
      <group>L1_Word</group>
      <groupName>字词问题</groupName>
      <ability>L2_Typo</ability>
      <abilityName>字词错误</abilityName>
      <candidateList>
        <item>材料</item>
      </candidateList>
      <explain/>
      <paraID>721F69E4</paraID>
      <start>39</start>
      <end>42</end>
      <status>unmodified</status>
      <modifiedWord/>
      <trackRevisions>false</trackRevisions>
    </reviewItem>
    <reviewItem>
      <errorID>a404dee9-7685-4ed8-bd00-a3d41bddfa1b</errorID>
      <errorWord> </errorWord>
      <group>L1_Punc</group>
      <groupName>标点问题</groupName>
      <ability>L2_Punc</ability>
      <abilityName>标点符号检查</abilityName>
      <candidateList>
        <item/>
      </candidateList>
      <explain>此处空格冗余，建议删除。</explain>
      <paraID>721F69E4</paraID>
      <start>79</start>
      <end>80</end>
      <status>unmodified</status>
      <modifiedWord/>
      <trackRevisions>false</trackRevisions>
    </reviewItem>
    <reviewItem>
      <errorID>c2ab9965-0ef0-4431-b89f-67aac3d05379</errorID>
      <errorWord>；</errorWord>
      <group>L1_Punc</group>
      <groupName>标点问题</groupName>
      <ability>L2_Punc</ability>
      <abilityName>标点符号检查</abilityName>
      <candidateList>
        <item>，</item>
      </candidateList>
      <explain/>
      <paraID>47E3A568</paraID>
      <start>24</start>
      <end>25</end>
      <status>unmodified</status>
      <modifiedWord/>
      <trackRevisions>false</trackRevisions>
    </reviewItem>
    <reviewItem>
      <errorID>2c3a667e-d747-4941-9b51-0e47459d3569</errorID>
      <errorWord>一致的</errorWord>
      <group>L1_Word</group>
      <groupName>字词问题</groupName>
      <ability>L2_Typo</ability>
      <abilityName>字词错误</abilityName>
      <candidateList>
        <item>一致</item>
      </candidateList>
      <explain/>
      <paraID>47E3A568</paraID>
      <start>38</start>
      <end>41</end>
      <status>unmodified</status>
      <modifiedWord/>
      <trackRevisions>false</trackRevisions>
    </reviewItem>
    <reviewItem>
      <errorID>a38038dd-1005-46f2-9783-e32efb805271</errorID>
      <errorWord>竞标</errorWord>
      <group>L1_Word</group>
      <groupName>字词问题</groupName>
      <ability>L2_Typo</ability>
      <abilityName>字词错误</abilityName>
      <candidateList>
        <item>投标</item>
      </candidateList>
      <explain/>
      <paraID> 581C301</paraID>
      <start>73</start>
      <end>75</end>
      <status>unmodified</status>
      <modifiedWord/>
      <trackRevisions>false</trackRevisions>
    </reviewItem>
    <reviewItem>
      <errorID>077946e8-3363-44bd-839f-34f5f0b013ca</errorID>
      <errorWord>，</errorWord>
      <group>L1_Punc</group>
      <groupName>标点问题</groupName>
      <ability>L2_Punc</ability>
      <abilityName>标点符号检查</abilityName>
      <candidateList>
        <item>。</item>
      </candidateList>
      <explain/>
      <paraID>  BFEDFB</paraID>
      <start>17</start>
      <end>18</end>
      <status>unmodified</status>
      <modifiedWord/>
      <trackRevisions>false</trackRevisions>
    </reviewItem>
    <reviewItem>
      <errorID>bcc98d36-6d7a-4d59-ad52-e6c6131a3b00</errorID>
      <errorWord>供应商尽</errorWord>
      <group>L1_Word</group>
      <groupName>字词问题</groupName>
      <ability>L2_Typo</ability>
      <abilityName>字词错误</abilityName>
      <candidateList>
        <item>供应商</item>
      </candidateList>
      <explain/>
      <paraID>  BFEDFB</paraID>
      <start>48</start>
      <end>52</end>
      <status>unmodified</status>
      <modifiedWord/>
      <trackRevisions>false</trackRevisions>
    </reviewItem>
    <reviewItem>
      <errorID>a65f1fd8-5ffd-456d-8187-70e0c243a007</errorID>
      <errorWord>应标</errorWord>
      <group>L1_Word</group>
      <groupName>字词问题</groupName>
      <ability>L2_Typo</ability>
      <abilityName>字词错误</abilityName>
      <candidateList>
        <item>投标</item>
      </candidateList>
      <explain/>
      <paraID>7ECB046A</paraID>
      <start>29</start>
      <end>31</end>
      <status>unmodified</status>
      <modifiedWord/>
      <trackRevisions>false</trackRevisions>
    </reviewItem>
    <reviewItem>
      <errorID>46f1b7ee-5b3e-4cfc-b70e-2fabb4e528a5</errorID>
      <errorWord>，</errorWord>
      <group>L1_Punc</group>
      <groupName>标点问题</groupName>
      <ability>L2_Punc</ability>
      <abilityName>标点符号检查</abilityName>
      <candidateList>
        <item>。</item>
      </candidateList>
      <explain/>
      <paraID>7ECB046A</paraID>
      <start>51</start>
      <end>52</end>
      <status>unmodified</status>
      <modifiedWord/>
      <trackRevisions>false</trackRevisions>
    </reviewItem>
    <reviewItem>
      <errorID>1f3ded99-6369-4492-a1fa-4a85343e67fa</errorID>
      <errorWord>，将</errorWord>
      <group>L1_Word</group>
      <groupName>字词问题</groupName>
      <ability>L2_Typo</ability>
      <abilityName>字词错误</abilityName>
      <candidateList>
        <item>，</item>
      </candidateList>
      <explain/>
      <paraID>6AFDF8D2</paraID>
      <start>45</start>
      <end>47</end>
      <status>unmodified</status>
      <modifiedWord/>
      <trackRevisions>false</trackRevisions>
    </reviewItem>
    <reviewItem>
      <errorID>f4b2e1a6-e55e-48bf-9654-ea437db5f471</errorID>
      <errorWord>时间将</errorWord>
      <group>L1_Word</group>
      <groupName>字词问题</groupName>
      <ability>L2_Typo</ability>
      <abilityName>字词错误</abilityName>
      <candidateList>
        <item>时间</item>
      </candidateList>
      <explain/>
      <paraID>6AFDF8D2</paraID>
      <start>49</start>
      <end>52</end>
      <status>unmodified</status>
      <modifiedWord/>
      <trackRevisions>false</trackRevisions>
    </reviewItem>
    <reviewItem>
      <errorID>d78d1085-f444-4871-a1a4-b852e2df834c</errorID>
      <errorWord>资格</errorWord>
      <group>L1_Word</group>
      <groupName>字词问题</groupName>
      <ability>L2_Typo</ability>
      <abilityName>字词错误</abilityName>
      <candidateList>
        <item> 资格</item>
      </candidateList>
      <explain/>
      <paraID>17783B55</paraID>
      <start>6</start>
      <end>8</end>
      <status>unmodified</status>
      <modifiedWord/>
      <trackRevisions>false</trackRevisions>
    </reviewItem>
    <reviewItem>
      <errorID>5d6e1139-7392-4001-a58a-7097e2f4b90e</errorID>
      <errorWord>附表</errorWord>
      <group>L1_Punc</group>
      <groupName>标点问题</groupName>
      <ability>L2_Punc</ability>
      <abilityName>标点符号检查</abilityName>
      <candidateList>
        <item>附表。</item>
      </candidateList>
      <explain/>
      <paraID>17783B55</paraID>
      <start>19</start>
      <end>21</end>
      <status>unmodified</status>
      <modifiedWord/>
      <trackRevisions>false</trackRevisions>
    </reviewItem>
    <reviewItem>
      <errorID>d24e10eb-8a7c-4aa0-a124-71cf4e69bb38</errorID>
      <errorWord>商务</errorWord>
      <group>L1_Word</group>
      <groupName>字词问题</groupName>
      <ability>L2_Typo</ability>
      <abilityName>字词错误</abilityName>
      <candidateList>
        <item> 商务</item>
      </candidateList>
      <explain/>
      <paraID>6CE075D2</paraID>
      <start>6</start>
      <end>8</end>
      <status>unmodified</status>
      <modifiedWord/>
      <trackRevisions>false</trackRevisions>
    </reviewItem>
    <reviewItem>
      <errorID>f0469f21-4e13-435c-8a56-91a8545d76a0</errorID>
      <errorWord>附表</errorWord>
      <group>L1_Punc</group>
      <groupName>标点问题</groupName>
      <ability>L2_Punc</ability>
      <abilityName>标点符号检查</abilityName>
      <candidateList>
        <item>附表。</item>
      </candidateList>
      <explain/>
      <paraID>6CE075D2</paraID>
      <start>21</start>
      <end>23</end>
      <status>unmodified</status>
      <modifiedWord/>
      <trackRevisions>false</trackRevisions>
    </reviewItem>
    <reviewItem>
      <errorID>85fa1001-a35b-400f-8142-fa04081fc9f7</errorID>
      <errorWord>报价</errorWord>
      <group>L1_Word</group>
      <groupName>字词问题</groupName>
      <ability>L2_Typo</ability>
      <abilityName>字词错误</abilityName>
      <candidateList>
        <item> 报价</item>
      </candidateList>
      <explain/>
      <paraID>72EA23B6</paraID>
      <start>6</start>
      <end>8</end>
      <status>unmodified</status>
      <modifiedWord/>
      <trackRevisions>false</trackRevisions>
    </reviewItem>
    <reviewItem>
      <errorID>c76307c4-6361-4876-9f3f-c5308b158a0e</errorID>
      <errorWord>附表</errorWord>
      <group>L1_Punc</group>
      <groupName>标点问题</groupName>
      <ability>L2_Punc</ability>
      <abilityName>标点符号检查</abilityName>
      <candidateList>
        <item>附表。</item>
      </candidateList>
      <explain/>
      <paraID>72EA23B6</paraID>
      <start>19</start>
      <end>21</end>
      <status>unmodified</status>
      <modifiedWord/>
      <trackRevisions>false</trackRevisions>
    </reviewItem>
    <reviewItem>
      <errorID>cf698e93-55a6-4ae0-8e01-e425202398d3</errorID>
      <errorWord>响应</errorWord>
      <group>L1_Word</group>
      <groupName>字词问题</groupName>
      <ability>L2_Typo</ability>
      <abilityName>字词错误</abilityName>
      <candidateList>
        <item> 响应</item>
      </candidateList>
      <explain/>
      <paraID>38ECCF05</paraID>
      <start>4</start>
      <end>6</end>
      <status>unmodified</status>
      <modifiedWord/>
      <trackRevisions>false</trackRevisions>
    </reviewItem>
    <reviewItem>
      <errorID>612fe10c-abc6-402b-9624-9d602f64baca</errorID>
      <errorWord>附表</errorWord>
      <group>L1_Punc</group>
      <groupName>标点问题</groupName>
      <ability>L2_Punc</ability>
      <abilityName>标点符号检查</abilityName>
      <candidateList>
        <item>附表。</item>
      </candidateList>
      <explain/>
      <paraID>38ECCF05</paraID>
      <start>20</start>
      <end>22</end>
      <status>unmodified</status>
      <modifiedWord/>
      <trackRevisions>false</trackRevisions>
    </reviewItem>
    <reviewItem>
      <errorID>dd862f79-e5ae-41c4-a075-b1c9e54de7aa</errorID>
      <errorWord>作出响应</errorWord>
      <group>L1_Grammar</group>
      <groupName>语法问题</groupName>
      <ability>L2_Grammar</ability>
      <abilityName>语法错误</abilityName>
      <candidateList>
        <item>确定</item>
      </candidateList>
      <explain/>
      <paraID>7785957E</paraID>
      <start>31</start>
      <end>35</end>
      <status>unmodified</status>
      <modifiedWord/>
      <trackRevisions>false</trackRevisions>
    </reviewItem>
    <reviewItem>
      <errorID>2688971c-86bd-42e7-87bf-b4a0f49554e0</errorID>
      <errorWord>响应</errorWord>
      <group>L1_Word</group>
      <groupName>字词问题</groupName>
      <ability>L2_Typo</ability>
      <abilityName>字词错误</abilityName>
      <candidateList>
        <item> 响应</item>
      </candidateList>
      <explain/>
      <paraID>136259C8</paraID>
      <start>4</start>
      <end>6</end>
      <status>unmodified</status>
      <modifiedWord/>
      <trackRevisions>false</trackRevisions>
    </reviewItem>
    <reviewItem>
      <errorID>bf157f22-e543-48ef-83ae-35af76ef744c</errorID>
      <errorWord>，</errorWord>
      <group>L1_Punc</group>
      <groupName>标点问题</groupName>
      <ability>L2_Punc</ability>
      <abilityName>标点符号检查</abilityName>
      <candidateList>
        <item>。</item>
      </candidateList>
      <explain/>
      <paraID>136259C8</paraID>
      <start>37</start>
      <end>38</end>
      <status>unmodified</status>
      <modifiedWord/>
      <trackRevisions>false</trackRevisions>
    </reviewItem>
    <reviewItem>
      <errorID>ad6e2007-2431-446a-aaa8-d40ecbed37f5</errorID>
      <errorWord>响应</errorWord>
      <group>L1_Word</group>
      <groupName>字词问题</groupName>
      <ability>L2_Typo</ability>
      <abilityName>字词错误</abilityName>
      <candidateList>
        <item> 响应</item>
      </candidateList>
      <explain/>
      <paraID>136259C8</paraID>
      <start>62</start>
      <end>64</end>
      <status>unmodified</status>
      <modifiedWord/>
      <trackRevisions>false</trackRevisions>
    </reviewItem>
    <reviewItem>
      <errorID>d3f403a8-ae86-4810-9e2e-4e4fa7191247</errorID>
      <errorWord>操作合</errorWord>
      <group>L1_Word</group>
      <groupName>字词问题</groupName>
      <ability>L2_Typo</ability>
      <abilityName>字词错误</abilityName>
      <candidateList>
        <item>操作台</item>
      </candidateList>
      <explain/>
      <paraID> 745437F</paraID>
      <start>9</start>
      <end>12</end>
      <status>unmodified</status>
      <modifiedWord/>
      <trackRevisions>false</trackRevisions>
    </reviewItem>
    <reviewItem>
      <errorID>bd7067d2-82d8-4405-8edd-a196a1e3f052</errorID>
      <errorWord>不可视</errorWord>
      <group>L1_Word</group>
      <groupName>字词问题</groupName>
      <ability>L2_Typo</ability>
      <abilityName>字词错误</abilityName>
      <candidateList>
        <item>可视</item>
      </candidateList>
      <explain/>
      <paraID>204B0750</paraID>
      <start>9</start>
      <end>12</end>
      <status>unmodified</status>
      <modifiedWord/>
      <trackRevisions>false</trackRevisions>
    </reviewItem>
    <reviewItem>
      <errorID>8d4f6b10-e6e6-4709-8e38-fd7586758f95</errorID>
      <errorWord>备份</errorWord>
      <group>L1_Word</group>
      <groupName>字词问题</groupName>
      <ability>L2_Typo</ability>
      <abilityName>字词错误</abilityName>
      <candidateList>
        <item> 备份</item>
      </candidateList>
      <explain/>
      <paraID>6F898061</paraID>
      <start>4</start>
      <end>6</end>
      <status>unmodified</status>
      <modifiedWord/>
      <trackRevisions>false</trackRevisions>
    </reviewItem>
    <reviewItem>
      <errorID>d1c4f3df-ca00-4619-b5ab-cd1b2b4ceb2b</errorID>
      <errorWord>。</errorWord>
      <group>L1_Punc</group>
      <groupName>标点问题</groupName>
      <ability>L2_Punc</ability>
      <abilityName>标点符号检查</abilityName>
      <candidateList>
        <item>，</item>
      </candidateList>
      <explain/>
      <paraID>6F898061</paraID>
      <start>10</start>
      <end>11</end>
      <status>unmodified</status>
      <modifiedWord/>
      <trackRevisions>false</trackRevisions>
    </reviewItem>
    <reviewItem>
      <errorID>f255f5e8-fcd2-4941-be04-8470c1c26871</errorID>
      <errorWord>间</errorWord>
      <group>L1_Word</group>
      <groupName>字词问题</groupName>
      <ability>L2_Typo</ability>
      <abilityName>字词错误</abilityName>
      <candidateList>
        <item>间之</item>
      </candidateList>
      <explain/>
      <paraID>4EF63213</paraID>
      <start>90</start>
      <end>91</end>
      <status>unmodified</status>
      <modifiedWord/>
      <trackRevisions>false</trackRevisions>
    </reviewItem>
    <reviewItem>
      <errorID>f753b680-3064-4e36-bce7-3883ec14b08f</errorID>
      <errorWord>止</errorWord>
      <group>L1_Word</group>
      <groupName>字词问题</groupName>
      <ability>L2_Typo</ability>
      <abilityName>字词错误</abilityName>
      <candidateList>
        <item>后</item>
      </candidateList>
      <explain/>
      <paraID>2A8804AF</paraID>
      <start>13</start>
      <end>14</end>
      <status>unmodified</status>
      <modifiedWord/>
      <trackRevisions>false</trackRevisions>
    </reviewItem>
    <reviewItem>
      <errorID>5e048127-e8f8-479d-be40-402435294290</errorID>
      <errorWord>电子</errorWord>
      <group>L1_Word</group>
      <groupName>字词问题</groupName>
      <ability>L2_Typo</ability>
      <abilityName>字词错误</abilityName>
      <candidateList>
        <item> 电子</item>
      </candidateList>
      <explain/>
      <paraID>6A17B26B</paraID>
      <start>182</start>
      <end>184</end>
      <status>unmodified</status>
      <modifiedWord/>
      <trackRevisions>false</trackRevisions>
    </reviewItem>
    <reviewItem>
      <errorID>dd010662-9da7-4608-ba51-5ff532e474fe</errorID>
      <errorWord>排序由高到低的</errorWord>
      <group>L1_Word</group>
      <groupName>字词问题</groupName>
      <ability>L2_Typo</ability>
      <abilityName>字词错误</abilityName>
      <candidateList>
        <item>由高到低的排序</item>
      </candidateList>
      <explain/>
      <paraID>1E0D6FA2</paraID>
      <start>83</start>
      <end>90</end>
      <status>unmodified</status>
      <modifiedWord/>
      <trackRevisions>false</trackRevisions>
    </reviewItem>
    <reviewItem>
      <errorID>7537bce1-85e9-474b-99a4-ef4efad5a57c</errorID>
      <errorWord>发出</errorWord>
      <group>L1_Word</group>
      <groupName>字词问题</groupName>
      <ability>L2_Typo</ability>
      <abilityName>字词错误</abilityName>
      <candidateList>
        <item>在发出</item>
      </candidateList>
      <explain/>
      <paraID> 8509E1A</paraID>
      <start>15</start>
      <end>17</end>
      <status>unmodified</status>
      <modifiedWord/>
      <trackRevisions>false</trackRevisions>
    </reviewItem>
    <reviewItem>
      <errorID>1cbbe2d2-4a42-4410-a108-565d72ba9b90</errorID>
      <errorWord>，</errorWord>
      <group>L1_Punc</group>
      <groupName>标点问题</groupName>
      <ability>L2_Punc</ability>
      <abilityName>标点符号检查</abilityName>
      <candidateList>
        <item>。</item>
      </candidateList>
      <explain/>
      <paraID> 8509E1A</paraID>
      <start>40</start>
      <end>41</end>
      <status>unmodified</status>
      <modifiedWord/>
      <trackRevisions>false</trackRevisions>
    </reviewItem>
    <reviewItem>
      <errorID>c9d132e8-5127-449d-9597-b43387d694af</errorID>
      <errorWord>及其他</errorWord>
      <group>L1_Grammar</group>
      <groupName>语法问题</groupName>
      <ability>L2_Grammar</ability>
      <abilityName>语法错误</abilityName>
      <candidateList>
        <item>，以及其他</item>
      </candidateList>
      <explain/>
      <paraID> 8509E1A</paraID>
      <start>78</start>
      <end>81</end>
      <status>unmodified</status>
      <modifiedWord/>
      <trackRevisions>false</trackRevisions>
    </reviewItem>
    <reviewItem>
      <errorID>ee63fa8f-83d1-47ca-98d1-38dc2fef1c8a</errorID>
      <errorWord>与</errorWord>
      <group>L1_Word</group>
      <groupName>字词问题</groupName>
      <ability>L2_Typo</ability>
      <abilityName>字词错误</abilityName>
      <candidateList>
        <item>应与</item>
      </candidateList>
      <explain/>
      <paraID> 8509E1A</paraID>
      <start>215</start>
      <end>216</end>
      <status>unmodified</status>
      <modifiedWord/>
      <trackRevisions>false</trackRevisions>
    </reviewItem>
    <reviewItem>
      <errorID>93ec7a17-0b88-496a-9f16-f70395ff1180</errorID>
      <errorWord>合格</errorWord>
      <group>L1_Word</group>
      <groupName>字词问题</groupName>
      <ability>L2_Typo</ability>
      <abilityName>字词错误</abilityName>
      <candidateList>
        <item>在合格</item>
      </candidateList>
      <explain/>
      <paraID>2BC1A65F</paraID>
      <start>51</start>
      <end>53</end>
      <status>unmodified</status>
      <modifiedWord/>
      <trackRevisions>false</trackRevisions>
    </reviewItem>
    <reviewItem>
      <errorID>605731d2-6092-427b-b2d7-98a3ce61f234</errorID>
      <errorWord>供应商的</errorWord>
      <group>L1_Word</group>
      <groupName>字词问题</groupName>
      <ability>L2_Typo</ability>
      <abilityName>字词错误</abilityName>
      <candidateList>
        <item>供应商</item>
      </candidateList>
      <explain/>
      <paraID>2BC1A65F</paraID>
      <start>82</start>
      <end>86</end>
      <status>unmodified</status>
      <modifiedWord/>
      <trackRevisions>false</trackRevisions>
    </reviewItem>
    <reviewItem>
      <errorID>93c6ed8d-0941-4783-ad68-3cd320adf0b6</errorID>
      <errorWord> </errorWord>
      <group>L1_Punc</group>
      <groupName>标点问题</groupName>
      <ability>L2_Punc</ability>
      <abilityName>标点符号检查</abilityName>
      <candidateList>
        <item/>
      </candidateList>
      <explain>此处空格冗余，建议删除。</explain>
      <paraID>4DB99A34</paraID>
      <start>4</start>
      <end>5</end>
      <status>unmodified</status>
      <modifiedWord/>
      <trackRevisions>false</trackRevisions>
    </reviewItem>
    <reviewItem>
      <errorID>5d8a64c7-265e-4856-9cf4-f864a486d3d9</errorID>
      <errorWord> </errorWord>
      <group>L1_Punc</group>
      <groupName>标点问题</groupName>
      <ability>L2_Punc</ability>
      <abilityName>标点符号检查</abilityName>
      <candidateList>
        <item/>
      </candidateList>
      <explain>此处空格冗余，建议删除。</explain>
      <paraID>4DB99A34</paraID>
      <start>29</start>
      <end>30</end>
      <status>unmodified</status>
      <modifiedWord/>
      <trackRevisions>false</trackRevisions>
    </reviewItem>
    <reviewItem>
      <errorID>c4ce6099-277f-4a52-8023-df20111137d1</errorID>
      <errorWord>文件以外</errorWord>
      <group>L1_Grammar</group>
      <groupName>语法问题</groupName>
      <ability>L2_Grammar</ability>
      <abilityName>语法错误</abilityName>
      <candidateList>
        <item>文件</item>
      </candidateList>
      <explain/>
      <paraID>512E1EF8</paraID>
      <start>21</start>
      <end>25</end>
      <status>unmodified</status>
      <modifiedWord/>
      <trackRevisions>false</trackRevisions>
    </reviewItem>
    <reviewItem>
      <errorID>35712d09-a780-46be-bbf8-b758823b9107</errorID>
      <errorWord>签订合同</errorWord>
      <group>L1_Word</group>
      <groupName>字词问题</groupName>
      <ability>L2_Typo</ability>
      <abilityName>字词错误</abilityName>
      <candidateList>
        <item>合同签订</item>
      </candidateList>
      <explain/>
      <paraID>34962ECF</paraID>
      <start>5</start>
      <end>9</end>
      <status>unmodified</status>
      <modifiedWord/>
      <trackRevisions>false</trackRevisions>
    </reviewItem>
    <reviewItem>
      <errorID>5b02edbb-820b-4ce5-9e25-baf4daf81e2f</errorID>
      <errorWord>，</errorWord>
      <group>L1_Grammar</group>
      <groupName>语法问题</groupName>
      <ability>L2_Grammar</ability>
      <abilityName>语法错误</abilityName>
      <candidateList>
        <item>履约，</item>
      </candidateList>
      <explain/>
      <paraID>34962ECF</paraID>
      <start>24</start>
      <end>25</end>
      <status>unmodified</status>
      <modifiedWord/>
      <trackRevisions>false</trackRevisions>
    </reviewItem>
    <reviewItem>
      <errorID>c6484e2f-2d3f-41c8-984e-62ba755935dd</errorID>
      <errorWord>100～500万</errorWord>
      <group>L1_Knowledge</group>
      <groupName>知识性问题</groupName>
      <ability>L2_Knowledge</ability>
      <abilityName>其他知识</abilityName>
      <candidateList>
        <item>100万～500万</item>
      </candidateList>
      <explain>1. “100～500万”中的单位“万”仅出现在后一个数字上，容易引起歧义；根据《现代汉语标点符号数字用法规范手册》，数字表示范围两边需要使用统一的格式。2.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5B5E17C4</paraID>
      <start>0</start>
      <end>8</end>
      <status>unmodified</status>
      <modifiedWord/>
      <trackRevisions>false</trackRevisions>
    </reviewItem>
    <reviewItem>
      <errorID>2034540c-04fb-4105-8385-fee83c202009</errorID>
      <errorWord>500～1000万</errorWord>
      <group>L1_Knowledge</group>
      <groupName>知识性问题</groupName>
      <ability>L2_Knowledge</ability>
      <abilityName>其他知识</abilityName>
      <candidateList>
        <item>500万～1000万</item>
      </candidateList>
      <explain>1. “500～1000万”中的单位“万”仅出现在后一个数字上，容易引起歧义；根据《现代汉语标点符号数字用法规范手册》，数字表示范围两边需要使用统一的格式。2.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775E8F76</paraID>
      <start>0</start>
      <end>9</end>
      <status>unmodified</status>
      <modifiedWord/>
      <trackRevisions>false</trackRevisions>
    </reviewItem>
    <reviewItem>
      <errorID>d51d807c-c7e8-4f25-a954-fb41c57b2a40</errorID>
      <errorWord>1000～5000万</errorWord>
      <group>L1_Knowledge</group>
      <groupName>知识性问题</groupName>
      <ability>L2_Knowledge</ability>
      <abilityName>其他知识</abilityName>
      <candidateList>
        <item>1000万～5000万</item>
      </candidateList>
      <explain>1. “1000～5000万”中的单位“万”仅出现在后一个数字上，容易引起歧义；根据《现代汉语标点符号数字用法规范手册》，数字表示范围两边需要使用统一的格式。2. 根据标点国标 4.13 中的规则，数字、时间或地域连接符应使用（视觉上更长的）“—”或“～”。</explain>
      <paraID>2BE4C554</paraID>
      <start>0</start>
      <end>10</end>
      <status>unmodified</status>
      <modifiedWord/>
      <trackRevisions>false</trackRevisions>
    </reviewItem>
    <reviewItem>
      <errorID>b64b64a5-d8cb-4b17-a903-159c0dce1b55</errorID>
      <errorWord>1～5亿</errorWord>
      <group>L1_Knowledge</group>
      <groupName>知识性问题</groupName>
      <ability>L2_Knowledge</ability>
      <abilityName>其他知识</abilityName>
      <candidateList>
        <item>1亿～5亿</item>
      </candidateList>
      <explain>1. “1～5亿”中的单位“亿”仅出现在后一个数字上，容易引起歧义；根据《现代汉语标点符号数字用法规范手册》，数字表示范围两边需要使用统一的格式。2.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5E9C639F</paraID>
      <start>0</start>
      <end>4</end>
      <status>unmodified</status>
      <modifiedWord/>
      <trackRevisions>false</trackRevisions>
    </reviewItem>
    <reviewItem>
      <errorID>0a7031f7-d507-4392-a07b-6d092a0440a8</errorID>
      <errorWord>5～10亿</errorWord>
      <group>L1_Knowledge</group>
      <groupName>知识性问题</groupName>
      <ability>L2_Knowledge</ability>
      <abilityName>其他知识</abilityName>
      <candidateList>
        <item>5亿～10亿</item>
      </candidateList>
      <explain>1. “5～10亿”中的单位“亿”仅出现在后一个数字上，容易引起歧义；根据《现代汉语标点符号数字用法规范手册》，数字表示范围两边需要使用统一的格式。2.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4FE6B934</paraID>
      <start>0</start>
      <end>5</end>
      <status>unmodified</status>
      <modifiedWord/>
      <trackRevisions>false</trackRevisions>
    </reviewItem>
    <reviewItem>
      <errorID>c0c4cfd8-94b0-48d1-9ff7-e8cbd4de1aff</errorID>
      <errorWord>10～50亿</errorWord>
      <group>L1_Knowledge</group>
      <groupName>知识性问题</groupName>
      <ability>L2_Knowledge</ability>
      <abilityName>其他知识</abilityName>
      <candidateList>
        <item>10亿～50亿</item>
      </candidateList>
      <explain>1. “10～50亿”中的单位“亿”仅出现在后一个数字上，容易引起歧义；根据《现代汉语标点符号数字用法规范手册》，数字表示范围两边需要使用统一的格式。2.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3877DB81</paraID>
      <start>0</start>
      <end>6</end>
      <status>unmodified</status>
      <modifiedWord/>
      <trackRevisions>false</trackRevisions>
    </reviewItem>
    <reviewItem>
      <errorID>73b708ae-7965-4625-a910-a44a8ba84b10</errorID>
      <errorWord>50～100亿</errorWord>
      <group>L1_Knowledge</group>
      <groupName>知识性问题</groupName>
      <ability>L2_Knowledge</ability>
      <abilityName>其他知识</abilityName>
      <candidateList>
        <item>50亿～100亿</item>
      </candidateList>
      <explain>1. “50～100亿”中的单位“亿”仅出现在后一个数字上，容易引起歧义；根据《现代汉语标点符号数字用法规范手册》，数字表示范围两边需要使用统一的格式。2. 根据标点国标 4.13 中的规则，数字、时间或地域连接符应使用（视觉上更长的）“—”或“～”。</explain>
      <paraID>78D38353</paraID>
      <start>0</start>
      <end>7</end>
      <status>unmodified</status>
      <modifiedWord/>
      <trackRevisions>false</trackRevisions>
    </reviewItem>
    <reviewItem>
      <errorID>d741c3bc-42f3-4f69-89ea-c908c918350e</errorID>
      <errorWord>)</errorWord>
      <group>L1_Format</group>
      <groupName>格式问题</groupName>
      <ability>L2_HalfPunc</ability>
      <abilityName>全半角检查</abilityName>
      <candidateList>
        <item>）</item>
      </candidateList>
      <explain>文本全半角错误。</explain>
      <paraID>7250267B</paraID>
      <start>93</start>
      <end>94</end>
      <status>unmodified</status>
      <modifiedWord/>
      <trackRevisions>false</trackRevisions>
    </reviewItem>
    <reviewItem>
      <errorID>8b4548e0-6315-4395-a05f-296fec0fbbd4</errorID>
      <errorWord>)</errorWord>
      <group>L1_Format</group>
      <groupName>格式问题</groupName>
      <ability>L2_HalfPunc</ability>
      <abilityName>全半角检查</abilityName>
      <candidateList>
        <item>）</item>
      </candidateList>
      <explain>文本全半角错误。</explain>
      <paraID>7250267B</paraID>
      <start>157</start>
      <end>158</end>
      <status>unmodified</status>
      <modifiedWord/>
      <trackRevisions>false</trackRevisions>
    </reviewItem>
    <reviewItem>
      <errorID>1ee4e101-01fc-4961-a43f-2cd5ef3751fe</errorID>
      <errorWord>)</errorWord>
      <group>L1_Format</group>
      <groupName>格式问题</groupName>
      <ability>L2_HalfPunc</ability>
      <abilityName>全半角检查</abilityName>
      <candidateList>
        <item>）</item>
      </candidateList>
      <explain>文本全半角错误。</explain>
      <paraID> 3EF3114</paraID>
      <start>45</start>
      <end>46</end>
      <status>unmodified</status>
      <modifiedWord/>
      <trackRevisions>false</trackRevisions>
    </reviewItem>
    <reviewItem>
      <errorID>73a7d1cb-f2c5-4d57-a2f2-cf98559f1aeb</errorID>
      <errorWord>)</errorWord>
      <group>L1_Format</group>
      <groupName>格式问题</groupName>
      <ability>L2_HalfPunc</ability>
      <abilityName>全半角检查</abilityName>
      <candidateList>
        <item>）</item>
      </candidateList>
      <explain>文本全半角错误。</explain>
      <paraID> 3EF3114</paraID>
      <start>71</start>
      <end>72</end>
      <status>unmodified</status>
      <modifiedWord/>
      <trackRevisions>false</trackRevisions>
    </reviewItem>
    <reviewItem>
      <errorID>1b3d50a9-b2a4-4fe4-a04b-59ac01fd301a</errorID>
      <errorWord>相应</errorWord>
      <group>L1_Word</group>
      <groupName>字词问题</groupName>
      <ability>L2_Typo</ability>
      <abilityName>字词错误</abilityName>
      <candidateList>
        <item>响应</item>
      </candidateList>
      <explain>〈动〉回声相应，比喻用言语行动表示赞同、支持某种号召或倡议：～号召。</explain>
      <paraID>2164666A</paraID>
      <start>21</start>
      <end>23</end>
      <status>unmodified</status>
      <modifiedWord/>
      <trackRevisions>false</trackRevisions>
    </reviewItem>
    <reviewItem>
      <errorID>23a90be2-ffeb-4bd8-9d11-9ef44485310a</errorID>
      <errorWord>法律、法规</errorWord>
      <group>L1_Word</group>
      <groupName>字词问题</groupName>
      <ability>L2_Typo</ability>
      <abilityName>字词错误</abilityName>
      <candidateList>
        <item>法律法规</item>
      </candidateList>
      <explain/>
      <paraID>2D1573C6</paraID>
      <start>3</start>
      <end>8</end>
      <status>unmodified</status>
      <modifiedWord/>
      <trackRevisions>false</trackRevisions>
    </reviewItem>
    <reviewItem>
      <errorID>7eea1d12-341d-4399-9ca0-7e27e1639556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2A4E3F3E</paraID>
      <start>0</start>
      <end>2</end>
      <status>unmodified</status>
      <modifiedWord/>
      <trackRevisions>false</trackRevisions>
    </reviewItem>
    <reviewItem>
      <errorID>4d5e6735-81fb-4e13-8445-dbdceb688ad9</errorID>
      <errorWord>的</errorWord>
      <group>L1_Word</group>
      <groupName>字词问题</groupName>
      <ability>L2_DDD</ability>
      <abilityName>的地得用法</abilityName>
      <candidateList>
        <item>地</item>
      </candidateList>
      <explain>“地”常用于连接修饰语与动词性中心语，表示动作的方式、状态或程度。</explain>
      <paraID>7BF6FBD8</paraID>
      <start>43</start>
      <end>44</end>
      <status>unmodified</status>
      <modifiedWord/>
      <trackRevisions>false</trackRevisions>
    </reviewItem>
    <reviewItem>
      <errorID>66e80847-8767-4ac9-a792-f59b76169b54</errorID>
      <errorWord>。】</errorWord>
      <group>L1_Punc</group>
      <groupName>标点问题</groupName>
      <ability>L2_Punc</ability>
      <abilityName>标点符号检查</abilityName>
      <candidateList>
        <item>】</item>
      </candidateList>
      <explain/>
      <paraID>4325B405</paraID>
      <start>96</start>
      <end>98</end>
      <status>unmodified</status>
      <modifiedWord/>
      <trackRevisions>false</trackRevisions>
    </reviewItem>
    <reviewItem>
      <errorID>7367000f-4af5-47d7-bef8-b7f55db08c4b</errorID>
      <errorWord>,</errorWord>
      <group>L1_Format</group>
      <groupName>格式问题</groupName>
      <ability>L2_HalfPunc</ability>
      <abilityName>全半角检查</abilityName>
      <candidateList>
        <item>，</item>
      </candidateList>
      <explain>文本全半角错误。</explain>
      <paraID>4C29C1E7</paraID>
      <start>39</start>
      <end>40</end>
      <status>unmodified</status>
      <modifiedWord/>
      <trackRevisions>false</trackRevisions>
    </reviewItem>
    <reviewItem>
      <errorID>f22f5cf1-a258-43f8-afce-6682633e18ed</errorID>
      <errorWord>股东大会</errorWord>
      <group>L1_Word</group>
      <groupName>字词问题</groupName>
      <ability>L2_Typo</ability>
      <abilityName>字词错误</abilityName>
      <candidateList>
        <item>股东会</item>
      </candidateList>
      <explain/>
      <paraID>2467A479</paraID>
      <start>113</start>
      <end>117</end>
      <status>unmodified</status>
      <modifiedWord/>
      <trackRevisions>false</trackRevisions>
    </reviewItem>
    <reviewItem>
      <errorID>ade10ef6-5065-4004-9bbb-7517d686fd84</errorID>
      <errorWord>（</errorWord>
      <group>L1_Punc</group>
      <groupName>标点问题</groupName>
      <ability>L2_Punc</ability>
      <abilityName>标点符号检查</abilityName>
      <candidateList/>
      <explain>同一形式括号套用。</explain>
      <paraID> CFFCE63</paraID>
      <start>124</start>
      <end>125</end>
      <status>unmodified</status>
      <modifiedWord/>
      <trackRevisions>false</trackRevisions>
    </reviewItem>
    <reviewItem>
      <errorID>a96f8c67-3ddb-4e31-89bc-7e9ea9d63c2d</errorID>
      <errorWord>）</errorWord>
      <group>L1_Punc</group>
      <groupName>标点问题</groupName>
      <ability>L2_Punc</ability>
      <abilityName>标点符号检查</abilityName>
      <candidateList/>
      <explain>同一形式括号套用。</explain>
      <paraID> CFFCE63</paraID>
      <start>129</start>
      <end>130</end>
      <status>unmodified</status>
      <modifiedWord/>
      <trackRevisions>false</trackRevisions>
    </reviewItem>
    <reviewItem>
      <errorID>5aa69112-6ba9-498f-8fe6-cb417fb4fb6c</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20BC5BDF</paraID>
      <start>0</start>
      <end>2</end>
      <status>unmodified</status>
      <modifiedWord/>
      <trackRevisions>false</trackRevisions>
    </reviewItem>
    <reviewItem>
      <errorID>622e8a8d-e290-4c72-b312-7cb637b969e7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49FA1F26</paraID>
      <start>0</start>
      <end>2</end>
      <status>unmodified</status>
      <modifiedWord/>
      <trackRevisions>false</trackRevisions>
    </reviewItem>
    <reviewItem>
      <errorID>8b41e57e-d5ca-45c0-a8d1-be3fe24ef8c0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77E7040B</paraID>
      <start>0</start>
      <end>2</end>
      <status>unmodified</status>
      <modifiedWord/>
      <trackRevisions>false</trackRevisions>
    </reviewItem>
    <reviewItem>
      <errorID>f2bc2cc1-a390-45a8-9b2c-1f745be61b1f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22E0193B</paraID>
      <start>0</start>
      <end>2</end>
      <status>unmodified</status>
      <modifiedWord/>
      <trackRevisions>false</trackRevisions>
    </reviewItem>
    <reviewItem>
      <errorID>a17b32ef-106f-41a2-baa9-5969ecd52b8a</errorID>
      <errorWord>。】</errorWord>
      <group>L1_Punc</group>
      <groupName>标点问题</groupName>
      <ability>L2_Punc</ability>
      <abilityName>标点符号检查</abilityName>
      <candidateList>
        <item>】</item>
      </candidateList>
      <explain/>
      <paraID>22E0193B</paraID>
      <start>150</start>
      <end>152</end>
      <status>unmodified</status>
      <modifiedWord/>
      <trackRevisions>false</trackRevisions>
    </reviewItem>
    <reviewItem>
      <errorID>6618dd67-b25a-4a18-8828-e5c81f04232a</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67FDF07E</paraID>
      <start>0</start>
      <end>2</end>
      <status>unmodified</status>
      <modifiedWord/>
      <trackRevisions>false</trackRevisions>
    </reviewItem>
    <reviewItem>
      <errorID>ac689b26-28d1-484e-ac79-9e2a3fa32abc</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4B4784F7</paraID>
      <start>0</start>
      <end>2</end>
      <status>unmodified</status>
      <modifiedWord/>
      <trackRevisions>false</trackRevisions>
    </reviewItem>
    <reviewItem>
      <errorID>e503611b-2790-48c1-b17a-f2c3efb2c1ed</errorID>
      <errorWord>......</errorWord>
      <group>L1_Punc</group>
      <groupName>标点问题</groupName>
      <ability>L2_Punc</ability>
      <abilityName>标点符号检查</abilityName>
      <candidateList>
        <item>……</item>
      </candidateList>
      <explain/>
      <paraID>64A58941</paraID>
      <start>0</start>
      <end>6</end>
      <status>unmodified</status>
      <modifiedWord/>
      <trackRevisions>false</trackRevisions>
    </reviewItem>
    <reviewItem>
      <errorID>d2f17ad3-6c97-4a7f-a15d-1242e6a4746f</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75B12BE5</paraID>
      <start>1</start>
      <end>3</end>
      <status>unmodified</status>
      <modifiedWord/>
      <trackRevisions>false</trackRevisions>
    </reviewItem>
    <reviewItem>
      <errorID>18b5b0f4-6271-42fb-a349-c5c68369bddd</errorID>
      <errorWord>)</errorWord>
      <group>L1_Format</group>
      <groupName>格式问题</groupName>
      <ability>L2_HalfPunc</ability>
      <abilityName>全半角检查</abilityName>
      <candidateList>
        <item>）</item>
      </candidateList>
      <explain>文本全半角错误。</explain>
      <paraID>70BC1CCC</paraID>
      <start>74</start>
      <end>75</end>
      <status>unmodified</status>
      <modifiedWord/>
      <trackRevisions>false</trackRevisions>
    </reviewItem>
    <reviewItem>
      <errorID>2d1fd47f-f431-49a9-9bc8-2ea136b89fa1</errorID>
      <errorWord>并</errorWord>
      <group>L1_Word</group>
      <groupName>字词问题</groupName>
      <ability>L2_Typo</ability>
      <abilityName>字词错误</abilityName>
      <candidateList>
        <item>并加</item>
      </candidateList>
      <explain/>
      <paraID>54100AB0</paraID>
      <start>13</start>
      <end>14</end>
      <status>unmodified</status>
      <modifiedWord/>
      <trackRevisions>false</trackRevisions>
    </reviewItem>
    <reviewItem>
      <errorID>545566e9-92bb-4a0f-904a-35ca70508ea3</errorID>
      <errorWord>:</errorWord>
      <group>L1_Format</group>
      <groupName>格式问题</groupName>
      <ability>L2_HalfPunc</ability>
      <abilityName>全半角检查</abilityName>
      <candidateList>
        <item>：</item>
      </candidateList>
      <explain>文本全半角错误。</explain>
      <paraID>2FB004A6</paraID>
      <start>3</start>
      <end>4</end>
      <status>unmodified</status>
      <modifiedWord/>
      <trackRevisions>false</trackRevisions>
    </reviewItem>
    <reviewItem>
      <errorID>3a47177e-c51c-4ae6-9624-d5f9d11925c1</errorID>
      <errorWord>上述的</errorWord>
      <group>L1_Word</group>
      <groupName>字词问题</groupName>
      <ability>L2_Typo</ability>
      <abilityName>字词错误</abilityName>
      <candidateList>
        <item>上述</item>
      </candidateList>
      <explain>〈形〉属性词。上面所说的：～各条，望切实执行。</explain>
      <paraID>60D0069C</paraID>
      <start>8</start>
      <end>11</end>
      <status>unmodified</status>
      <modifiedWord/>
      <trackRevisions>false</trackRevisions>
    </reviewItem>
    <reviewItem>
      <errorID>c24e5122-1a81-444f-a747-23ccd4c5db48</errorID>
      <errorWord>:</errorWord>
      <group>L1_Format</group>
      <groupName>格式问题</groupName>
      <ability>L2_HalfPunc</ability>
      <abilityName>全半角检查</abilityName>
      <candidateList>
        <item>：</item>
      </candidateList>
      <explain>文本全半角错误。</explain>
      <paraID>6FBB5C29</paraID>
      <start>3</start>
      <end>4</end>
      <status>unmodified</status>
      <modifiedWord/>
      <trackRevisions>false</trackRevisions>
    </reviewItem>
    <reviewItem>
      <errorID>5dae515d-bc2d-4762-80e3-507025ecee4c</errorID>
      <errorWord>)</errorWord>
      <group>L1_Format</group>
      <groupName>格式问题</groupName>
      <ability>L2_HalfPunc</ability>
      <abilityName>全半角检查</abilityName>
      <candidateList>
        <item>）</item>
      </candidateList>
      <explain>文本全半角错误。</explain>
      <paraID>5871838B</paraID>
      <start>3</start>
      <end>4</end>
      <status>unmodified</status>
      <modifiedWord/>
      <trackRevisions>false</trackRevisions>
    </reviewItem>
    <reviewItem>
      <errorID>d0b7170d-40dc-4796-8d0e-c2be8cfb4469</errorID>
      <errorWord>)</errorWord>
      <group>L1_Format</group>
      <groupName>格式问题</groupName>
      <ability>L2_HalfPunc</ability>
      <abilityName>全半角检查</abilityName>
      <candidateList>
        <item>）</item>
      </candidateList>
      <explain>文本全半角错误。</explain>
      <paraID>3DCCB166</paraID>
      <start>3</start>
      <end>4</end>
      <status>unmodified</status>
      <modifiedWord/>
      <trackRevisions>false</trackRevisions>
    </reviewItem>
    <reviewItem>
      <errorID>a6fb4c79-da80-481c-aa8a-6f9364cb0d27</errorID>
      <errorWord>上述的</errorWord>
      <group>L1_Word</group>
      <groupName>字词问题</groupName>
      <ability>L2_Typo</ability>
      <abilityName>字词错误</abilityName>
      <candidateList>
        <item>上述</item>
      </candidateList>
      <explain>〈形〉属性词。上面所说的：～各条，望切实执行。</explain>
      <paraID>1AD9A1F2</paraID>
      <start>8</start>
      <end>11</end>
      <status>unmodified</status>
      <modifiedWord/>
      <trackRevisions>false</trackRevisions>
    </reviewItem>
    <reviewItem>
      <errorID>9d6ae2f6-3fb0-4a97-aaff-5a44200fbe06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3DFC384E</paraID>
      <start>0</start>
      <end>2</end>
      <status>unmodified</status>
      <modifiedWord/>
      <trackRevisions>false</trackRevisions>
    </reviewItem>
    <reviewItem>
      <errorID>48b3c1a5-5ab4-4374-92fa-7a111b216d59</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59528AA8</paraID>
      <start>0</start>
      <end>2</end>
      <status>unmodified</status>
      <modifiedWord/>
      <trackRevisions>false</trackRevisions>
    </reviewItem>
    <reviewItem>
      <errorID>1ae2dc58-ccff-4d4f-a7d4-b04ba22587bd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533CC88E</paraID>
      <start>0</start>
      <end>2</end>
      <status>unmodified</status>
      <modifiedWord/>
      <trackRevisions>false</trackRevisions>
    </reviewItem>
    <reviewItem>
      <errorID>74c308f6-6957-41e8-a101-1642db80ef7e</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76415D9E</paraID>
      <start>0</start>
      <end>2</end>
      <status>unmodified</status>
      <modifiedWord/>
      <trackRevisions>false</trackRevisions>
    </reviewItem>
    <reviewItem>
      <errorID>0b31cadb-43cb-428b-8b1e-d018c8490a64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FB23028</paraID>
      <start>0</start>
      <end>2</end>
      <status>unmodified</status>
      <modifiedWord/>
      <trackRevisions>false</trackRevisions>
    </reviewItem>
    <reviewItem>
      <errorID>978ff5e0-7339-4535-9fa6-84addc1d8a77</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230391B5</paraID>
      <start>0</start>
      <end>2</end>
      <status>unmodified</status>
      <modifiedWord/>
      <trackRevisions>false</trackRevisions>
    </reviewItem>
    <reviewItem>
      <errorID>f24dadaf-619b-44de-8637-de0e053982d0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182BEB4F</paraID>
      <start>0</start>
      <end>2</end>
      <status>unmodified</status>
      <modifiedWord/>
      <trackRevisions>false</trackRevisions>
    </reviewItem>
    <reviewItem>
      <errorID>998ca264-d8a9-42da-856e-28f5a8019133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4148ACC1</paraID>
      <start>0</start>
      <end>2</end>
      <status>unmodified</status>
      <modifiedWord/>
      <trackRevisions>false</trackRevisions>
    </reviewItem>
    <reviewItem>
      <errorID>13ea8e94-225b-4b9f-92fe-7e7115eeb8c3</errorID>
      <errorWord>本</errorWord>
      <group>L1_Word</group>
      <groupName>字词问题</groupName>
      <ability>L2_Typo</ability>
      <abilityName>字词错误</abilityName>
      <candidateList>
        <item>本次</item>
      </candidateList>
      <explain/>
      <paraID>4148ACC1</paraID>
      <start>14</start>
      <end>15</end>
      <status>unmodified</status>
      <modifiedWord/>
      <trackRevisions>false</trackRevisions>
    </reviewItem>
    <reviewItem>
      <errorID>87100c23-8355-4380-b646-8ae5e6bdda2f</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3D66E822</paraID>
      <start>0</start>
      <end>2</end>
      <status>unmodified</status>
      <modifiedWord/>
      <trackRevisions>false</trackRevisions>
    </reviewItem>
    <reviewItem>
      <errorID>f6e05714-2cac-4a2d-80bb-ed748fa55a68</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56D8D58D</paraID>
      <start>0</start>
      <end>3</end>
      <status>unmodified</status>
      <modifiedWord/>
      <trackRevisions>false</trackRevisions>
    </reviewItem>
    <reviewItem>
      <errorID>047eef76-fa67-48a0-b874-cce18e3af739</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615B7BE7</paraID>
      <start>0</start>
      <end>3</end>
      <status>unmodified</status>
      <modifiedWord/>
      <trackRevisions>false</trackRevisions>
    </reviewItem>
    <reviewItem>
      <errorID>f646b656-ccf7-4b3d-916e-d60c18fde46e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14C6CF89</paraID>
      <start>0</start>
      <end>3</end>
      <status>unmodified</status>
      <modifiedWord/>
      <trackRevisions>false</trackRevisions>
    </reviewItem>
    <reviewItem>
      <errorID>ef002ae5-42f0-42e4-a03d-ccaf4ef965a4</errorID>
      <errorWord>)</errorWord>
      <group>L1_Format</group>
      <groupName>格式问题</groupName>
      <ability>L2_HalfPunc</ability>
      <abilityName>全半角检查</abilityName>
      <candidateList>
        <item>）</item>
      </candidateList>
      <explain>文本全半角错误。</explain>
      <paraID>63307AD0</paraID>
      <start>5</start>
      <end>6</end>
      <status>unmodified</status>
      <modifiedWord/>
      <trackRevisions>false</trackRevisions>
    </reviewItem>
    <reviewItem>
      <errorID>ba737faf-f8a7-4a60-a7cd-c94329024e81</errorID>
      <errorWord>:</errorWord>
      <group>L1_Format</group>
      <groupName>格式问题</groupName>
      <ability>L2_HalfPunc</ability>
      <abilityName>全半角检查</abilityName>
      <candidateList>
        <item>：</item>
      </candidateList>
      <explain>文本全半角错误。</explain>
      <paraID>7C179B56</paraID>
      <start>4</start>
      <end>5</end>
      <status>unmodified</status>
      <modifiedWord/>
      <trackRevisions>false</trackRevisions>
    </reviewItem>
    <reviewItem>
      <errorID>5eae2459-f0c2-4f48-a43b-0f19815dd148</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7FC8B84F</paraID>
      <start>0</start>
      <end>2</end>
      <status>unmodified</status>
      <modifiedWord/>
      <trackRevisions>false</trackRevisions>
    </reviewItem>
    <reviewItem>
      <errorID>024a15e0-a432-4023-a2dc-a5e9dd2e4a45</errorID>
      <errorWord>,</errorWord>
      <group>L1_Format</group>
      <groupName>格式问题</groupName>
      <ability>L2_HalfPunc</ability>
      <abilityName>全半角检查</abilityName>
      <candidateList>
        <item>，</item>
      </candidateList>
      <explain>文本全半角错误。</explain>
      <paraID>7FC8B84F</paraID>
      <start>32</start>
      <end>33</end>
      <status>unmodified</status>
      <modifiedWord/>
      <trackRevisions>false</trackRevisions>
    </reviewItem>
    <reviewItem>
      <errorID>d410a882-7f71-48ab-834b-ac8d716a73a0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FEA84A3</paraID>
      <start>0</start>
      <end>2</end>
      <status>unmodified</status>
      <modifiedWord/>
      <trackRevisions>false</trackRevisions>
    </reviewItem>
    <reviewItem>
      <errorID>293bf4f9-8f04-4efb-bffc-231f119ca029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3695C07B</paraID>
      <start>0</start>
      <end>2</end>
      <status>unmodified</status>
      <modifiedWord/>
      <trackRevisions>false</trackRevisions>
    </reviewItem>
    <reviewItem>
      <errorID>7330fdbe-479f-423c-84c6-284b2ce01f47</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383C1399</paraID>
      <start>0</start>
      <end>2</end>
      <status>unmodified</status>
      <modifiedWord/>
      <trackRevisions>false</trackRevisions>
    </reviewItem>
    <reviewItem>
      <errorID>18132c86-6f8c-45a6-b395-ffa4418ba091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127DCCEB</paraID>
      <start>0</start>
      <end>2</end>
      <status>unmodified</status>
      <modifiedWord/>
      <trackRevisions>false</trackRevisions>
    </reviewItem>
    <reviewItem>
      <errorID>af528184-da7b-4b51-a3da-05f250ab52a6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76FFCDFC</paraID>
      <start>0</start>
      <end>2</end>
      <status>unmodified</status>
      <modifiedWord/>
      <trackRevisions>false</trackRevisions>
    </reviewItem>
    <reviewItem>
      <errorID>35a01d52-cbca-4f69-8713-0db1c2187dc0</errorID>
      <errorWord>)</errorWord>
      <group>L1_Format</group>
      <groupName>格式问题</groupName>
      <ability>L2_HalfPunc</ability>
      <abilityName>全半角检查</abilityName>
      <candidateList>
        <item>）</item>
      </candidateList>
      <explain>文本全半角错误。</explain>
      <paraID>66CCC8BB</paraID>
      <start>5</start>
      <end>6</end>
      <status>unmodified</status>
      <modifiedWord/>
      <trackRevisions>false</trackRevisions>
    </reviewItem>
    <reviewItem>
      <errorID>1608f49d-b221-4dab-a275-aa7c9e2bac29</errorID>
      <errorWord>:</errorWord>
      <group>L1_Format</group>
      <groupName>格式问题</groupName>
      <ability>L2_HalfPunc</ability>
      <abilityName>全半角检查</abilityName>
      <candidateList>
        <item>：</item>
      </candidateList>
      <explain>文本全半角错误。</explain>
      <paraID>782FD3F0</paraID>
      <start>4</start>
      <end>5</end>
      <status>unmodified</status>
      <modifiedWord/>
      <trackRevisions>false</trackRevisions>
    </reviewItem>
    <reviewItem>
      <errorID>35c34e81-c0fa-4232-abab-8fee81113f04</errorID>
      <errorWord>可附件</errorWord>
      <group>L1_Word</group>
      <groupName>字词问题</groupName>
      <ability>L2_Typo</ability>
      <abilityName>字词错误</abilityName>
      <candidateList>
        <item>见附件</item>
      </candidateList>
      <explain/>
      <paraID>7FDF7F93</paraID>
      <start>97</start>
      <end>100</end>
      <status>unmodified</status>
      <modifiedWord/>
      <trackRevisions>false</trackRevisions>
    </reviewItem>
    <reviewItem>
      <errorID>de14047c-a009-4f31-84da-707a0c432407</errorID>
      <errorWord>)</errorWord>
      <group>L1_Format</group>
      <groupName>格式问题</groupName>
      <ability>L2_HalfPunc</ability>
      <abilityName>全半角检查</abilityName>
      <candidateList>
        <item>）</item>
      </candidateList>
      <explain>文本全半角错误。</explain>
      <paraID>7FDF7F93</paraID>
      <start>100</start>
      <end>101</end>
      <status>unmodified</status>
      <modifiedWord/>
      <trackRevisions>false</trackRevisions>
    </reviewItem>
    <reviewItem>
      <errorID>f31beb6b-c1f9-4ae3-9527-35f5ce584684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1A35653B</paraID>
      <start>15</start>
      <end>18</end>
      <status>unmodified</status>
      <modifiedWord/>
      <trackRevisions>false</trackRevisions>
    </reviewItem>
    <reviewItem>
      <errorID>c5ef6b47-cacd-41a1-93b1-8cdabceb65f8</errorID>
      <errorWord>法律、法规</errorWord>
      <group>L1_Word</group>
      <groupName>字词问题</groupName>
      <ability>L2_Typo</ability>
      <abilityName>字词错误</abilityName>
      <candidateList>
        <item>法律法规</item>
      </candidateList>
      <explain/>
      <paraID>1A35653B</paraID>
      <start>30</start>
      <end>35</end>
      <status>unmodified</status>
      <modifiedWord/>
      <trackRevisions>false</trackRevisions>
    </reviewItem>
    <reviewItem>
      <errorID>2d1a17f3-53ba-43d2-a8f1-4781d8f2dbfd</errorID>
      <errorWord>因为</errorWord>
      <group>L1_Word</group>
      <groupName>字词问题</groupName>
      <ability>L2_Typo</ability>
      <abilityName>字词错误</abilityName>
      <candidateList>
        <item>因</item>
      </candidateList>
      <explain/>
      <paraID>50C20729</paraID>
      <start>147</start>
      <end>149</end>
      <status>unmodified</status>
      <modifiedWord/>
      <trackRevisions>false</trackRevisions>
    </reviewItem>
    <reviewItem>
      <errorID>e49a9bd8-8124-45bc-bd62-c17b7bc1c531</errorID>
      <errorWord>按按</errorWord>
      <group>L1_Word</group>
      <groupName>字词问题</groupName>
      <ability>L2_Typo</ability>
      <abilityName>字词错误</abilityName>
      <candidateList>
        <item>按</item>
      </candidateList>
      <explain>（案）àn❶〈书〉考查；核对：有原文可～。❷（编者、作者等）加按语：编者～。</explain>
      <paraID>112CA62F</paraID>
      <start>5</start>
      <end>7</end>
      <status>unmodified</status>
      <modifiedWord/>
      <trackRevisions>false</trackRevisions>
    </reviewItem>
    <reviewItem>
      <errorID>785e0aef-4cc4-4773-ba37-6fb600a296fb</errorID>
      <errorWord>-</errorWord>
      <group>L1_Format</group>
      <groupName>格式问题</groupName>
      <ability>L2_HalfPunc</ability>
      <abilityName>全半角检查</abilityName>
      <candidateList>
        <item>－</item>
      </candidateList>
      <explain>文本全半角错误。</explain>
      <paraID>5599E18E</paraID>
      <start>78</start>
      <end>79</end>
      <status>unmodified</status>
      <modifiedWord/>
      <trackRevisions>false</trackRevisions>
    </reviewItem>
    <reviewItem>
      <errorID>293d52ef-6f12-466d-85b8-c853c7729415</errorID>
      <errorWord>-</errorWord>
      <group>L1_Format</group>
      <groupName>格式问题</groupName>
      <ability>L2_HalfPunc</ability>
      <abilityName>全半角检查</abilityName>
      <candidateList>
        <item>－</item>
      </candidateList>
      <explain>文本全半角错误。</explain>
      <paraID>5599E18E</paraID>
      <start>97</start>
      <end>98</end>
      <status>unmodified</status>
      <modifiedWord/>
      <trackRevisions>false</trackRevisions>
    </reviewItem>
    <reviewItem>
      <errorID>a8ec9a24-73e5-4ce9-acd8-e4424a5889c5</errorID>
      <errorWord>),</errorWord>
      <group>L1_Format</group>
      <groupName>格式问题</groupName>
      <ability>L2_HalfPunc</ability>
      <abilityName>全半角检查</abilityName>
      <candidateList>
        <item>），</item>
      </candidateList>
      <explain>文本全半角错误。</explain>
      <paraID>19BE611C</paraID>
      <start>147</start>
      <end>149</end>
      <status>unmodified</status>
      <modifiedWord/>
      <trackRevisions>false</trackRevisions>
    </reviewItem>
    <reviewItem>
      <errorID>4fc3ca12-e552-4023-bbbe-955e3cb4a3c3</errorID>
      <errorWord>签</errorWord>
      <group>L1_Word</group>
      <groupName>字词问题</groupName>
      <ability>L2_Typo</ability>
      <abilityName>字词错误</abilityName>
      <candidateList>
        <item>签订</item>
      </candidateList>
      <explain>〈动〉订立条约或合同并签字：两国～了贸易议定书和支付协定。</explain>
      <paraID>729EE91C</paraID>
      <start>35</start>
      <end>36</end>
      <status>unmodified</status>
      <modifiedWord/>
      <trackRevisions>false</trackRevisions>
    </reviewItem>
    <reviewItem>
      <errorID>75c6ef33-b37e-4153-8c79-27aaedd2b233</errorID>
      <errorWord>提出质疑</errorWord>
      <group>L1_Grammar</group>
      <groupName>语法问题</groupName>
      <ability>L2_Grammar</ability>
      <abilityName>语法错误</abilityName>
      <candidateList>
        <item>质疑</item>
      </candidateList>
      <explain>〈动〉提出疑问：～问难。</explain>
      <paraID>65AF5EA9</paraID>
      <start>53</start>
      <end>57</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ae24e25-aebc-4610-aed2-ac98cffa7360}">
  <ds:schemaRefs/>
</ds:datastoreItem>
</file>

<file path=docProps/app.xml><?xml version="1.0" encoding="utf-8"?>
<Properties xmlns="http://schemas.openxmlformats.org/officeDocument/2006/extended-properties" xmlns:vt="http://schemas.openxmlformats.org/officeDocument/2006/docPropsVTypes">
  <Template>Normal.dotm</Template>
  <Company>广西云龙招标有限公司</Company>
  <Pages>85</Pages>
  <Words>11094</Words>
  <Characters>12577</Characters>
  <Lines>94</Lines>
  <Paragraphs>110</Paragraphs>
  <TotalTime>23</TotalTime>
  <ScaleCrop>false</ScaleCrop>
  <LinksUpToDate>false</LinksUpToDate>
  <CharactersWithSpaces>12650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2023-11-01T08:20:00Z</dcterms:created>
  <dc:creator>唐冰</dc:creator>
  <cp:lastModifiedBy>科联招标韦毅锋</cp:lastModifiedBy>
  <cp:lastPrinted>2021-08-26T02:26:00Z</cp:lastPrinted>
  <dcterms:modified xsi:type="dcterms:W3CDTF">2026-04-13T00:47:52Z</dcterms:modified>
  <dc:title>竞争性谈判文件规范</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1CEBCC11FB424BDEA7D884CABFD9312A_13</vt:lpwstr>
  </property>
  <property fmtid="{D5CDD505-2E9C-101B-9397-08002B2CF9AE}" pid="4" name="KSOTemplateDocerSaveRecord">
    <vt:lpwstr>eyJoZGlkIjoiNjIxYjVlZjBiYTRlN2Y3YTNhNzAyNGNjMTRjNWNhZWYiLCJ1c2VySWQiOiIxNTkyMzIxODc0In0=</vt:lpwstr>
  </property>
</Properties>
</file>