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D5BB4">
      <w:pPr>
        <w:spacing w:before="120" w:beforeLines="50" w:line="360" w:lineRule="auto"/>
        <w:jc w:val="center"/>
        <w:rPr>
          <w:rFonts w:hint="eastAsia" w:ascii="宋体" w:hAnsi="宋体" w:eastAsia="宋体" w:cs="宋体"/>
          <w:color w:val="auto"/>
          <w:sz w:val="52"/>
          <w:szCs w:val="52"/>
          <w:highlight w:val="none"/>
        </w:rPr>
      </w:pPr>
    </w:p>
    <w:p w14:paraId="4FC8A1BF">
      <w:pPr>
        <w:spacing w:before="120" w:beforeLines="50" w:line="360" w:lineRule="auto"/>
        <w:jc w:val="center"/>
        <w:rPr>
          <w:rFonts w:hint="eastAsia" w:ascii="宋体" w:hAnsi="宋体" w:eastAsia="宋体" w:cs="宋体"/>
          <w:color w:val="auto"/>
          <w:sz w:val="36"/>
          <w:szCs w:val="36"/>
          <w:highlight w:val="none"/>
        </w:rPr>
      </w:pPr>
      <w:r>
        <w:rPr>
          <w:rFonts w:hint="eastAsia" w:ascii="宋体" w:hAnsi="宋体" w:eastAsia="宋体" w:cs="宋体"/>
          <w:color w:val="auto"/>
          <w:sz w:val="72"/>
          <w:szCs w:val="72"/>
          <w:highlight w:val="none"/>
        </w:rPr>
        <w:t>广西科联招标中心有限公司</w:t>
      </w:r>
    </w:p>
    <w:p w14:paraId="7BC1B253">
      <w:pPr>
        <w:spacing w:before="120" w:beforeLines="50" w:line="360" w:lineRule="auto"/>
        <w:jc w:val="center"/>
        <w:rPr>
          <w:rFonts w:hint="eastAsia" w:ascii="宋体" w:hAnsi="宋体" w:eastAsia="宋体" w:cs="宋体"/>
          <w:color w:val="auto"/>
          <w:sz w:val="36"/>
          <w:szCs w:val="36"/>
          <w:highlight w:val="none"/>
        </w:rPr>
      </w:pPr>
    </w:p>
    <w:p w14:paraId="0949CD4F">
      <w:pPr>
        <w:snapToGrid w:val="0"/>
        <w:spacing w:before="120" w:beforeLines="50"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72"/>
          <w:szCs w:val="72"/>
          <w:highlight w:val="none"/>
        </w:rPr>
        <w:t>竞争性磋商文件</w:t>
      </w:r>
    </w:p>
    <w:p w14:paraId="664B35F3">
      <w:pPr>
        <w:spacing w:before="240" w:beforeLines="100" w:after="120"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 w:val="30"/>
          <w:szCs w:val="30"/>
          <w:highlight w:val="none"/>
        </w:rPr>
        <w:t>（全流程电子化评标）</w:t>
      </w:r>
    </w:p>
    <w:p w14:paraId="1D5563B3">
      <w:pPr>
        <w:spacing w:line="360" w:lineRule="auto"/>
        <w:rPr>
          <w:rFonts w:hint="eastAsia" w:ascii="宋体" w:hAnsi="宋体" w:eastAsia="宋体" w:cs="宋体"/>
          <w:b/>
          <w:color w:val="auto"/>
          <w:sz w:val="32"/>
          <w:szCs w:val="32"/>
          <w:highlight w:val="none"/>
        </w:rPr>
      </w:pPr>
    </w:p>
    <w:p w14:paraId="627C0523">
      <w:pPr>
        <w:spacing w:line="360" w:lineRule="auto"/>
        <w:jc w:val="center"/>
        <w:rPr>
          <w:rFonts w:hint="eastAsia" w:ascii="宋体" w:hAnsi="宋体" w:eastAsia="宋体" w:cs="宋体"/>
          <w:b/>
          <w:color w:val="auto"/>
          <w:sz w:val="32"/>
          <w:szCs w:val="32"/>
          <w:highlight w:val="none"/>
        </w:rPr>
      </w:pPr>
    </w:p>
    <w:p w14:paraId="63485D2E">
      <w:pPr>
        <w:snapToGrid w:val="0"/>
        <w:spacing w:before="50" w:after="120" w:line="360" w:lineRule="auto"/>
        <w:ind w:firstLine="1684" w:firstLineChars="559"/>
        <w:rPr>
          <w:rFonts w:hint="eastAsia" w:ascii="宋体" w:hAnsi="宋体" w:eastAsia="宋体" w:cs="宋体"/>
          <w:b/>
          <w:bCs/>
          <w:color w:val="auto"/>
          <w:kern w:val="0"/>
          <w:sz w:val="30"/>
          <w:szCs w:val="30"/>
          <w:highlight w:val="none"/>
        </w:rPr>
      </w:pPr>
    </w:p>
    <w:p w14:paraId="4BAB6F83">
      <w:pPr>
        <w:snapToGrid w:val="0"/>
        <w:spacing w:before="50" w:after="120" w:line="360" w:lineRule="auto"/>
        <w:ind w:firstLine="1684" w:firstLineChars="559"/>
        <w:rPr>
          <w:rFonts w:hint="eastAsia" w:ascii="宋体" w:hAnsi="宋体" w:eastAsia="宋体" w:cs="宋体"/>
          <w:b/>
          <w:bCs/>
          <w:color w:val="auto"/>
          <w:kern w:val="0"/>
          <w:sz w:val="30"/>
          <w:szCs w:val="30"/>
          <w:highlight w:val="none"/>
          <w:lang w:eastAsia="zh-CN"/>
        </w:rPr>
      </w:pPr>
      <w:r>
        <w:rPr>
          <w:rFonts w:hint="eastAsia" w:ascii="宋体" w:hAnsi="宋体" w:eastAsia="宋体" w:cs="宋体"/>
          <w:b/>
          <w:bCs/>
          <w:color w:val="auto"/>
          <w:kern w:val="0"/>
          <w:sz w:val="30"/>
          <w:szCs w:val="30"/>
          <w:highlight w:val="none"/>
        </w:rPr>
        <w:t>项目</w:t>
      </w:r>
      <w:r>
        <w:rPr>
          <w:rFonts w:hint="eastAsia" w:ascii="宋体" w:hAnsi="宋体" w:eastAsia="宋体" w:cs="宋体"/>
          <w:b/>
          <w:bCs/>
          <w:color w:val="auto"/>
          <w:w w:val="95"/>
          <w:kern w:val="0"/>
          <w:sz w:val="30"/>
          <w:szCs w:val="30"/>
          <w:highlight w:val="none"/>
        </w:rPr>
        <w:t>名称</w:t>
      </w:r>
      <w:r>
        <w:rPr>
          <w:rFonts w:hint="eastAsia" w:ascii="宋体" w:hAnsi="宋体" w:eastAsia="宋体" w:cs="宋体"/>
          <w:b/>
          <w:bCs/>
          <w:color w:val="auto"/>
          <w:kern w:val="0"/>
          <w:sz w:val="30"/>
          <w:szCs w:val="30"/>
          <w:highlight w:val="none"/>
        </w:rPr>
        <w:t>：</w:t>
      </w:r>
      <w:r>
        <w:rPr>
          <w:rFonts w:hint="eastAsia" w:ascii="宋体" w:hAnsi="宋体" w:eastAsia="宋体" w:cs="宋体"/>
          <w:b/>
          <w:bCs/>
          <w:color w:val="auto"/>
          <w:kern w:val="0"/>
          <w:sz w:val="30"/>
          <w:szCs w:val="30"/>
          <w:highlight w:val="none"/>
          <w:lang w:eastAsia="zh-CN"/>
        </w:rPr>
        <w:t>广西医科大学武鸣教师公寓服务采购项目</w:t>
      </w:r>
    </w:p>
    <w:p w14:paraId="31682A91">
      <w:pPr>
        <w:snapToGrid w:val="0"/>
        <w:spacing w:before="50" w:after="120" w:line="360" w:lineRule="auto"/>
        <w:ind w:firstLine="1684" w:firstLineChars="559"/>
        <w:rPr>
          <w:rFonts w:hint="eastAsia" w:ascii="宋体" w:hAnsi="宋体" w:eastAsia="宋体" w:cs="宋体"/>
          <w:b/>
          <w:bCs/>
          <w:color w:val="auto"/>
          <w:kern w:val="0"/>
          <w:sz w:val="30"/>
          <w:szCs w:val="30"/>
          <w:highlight w:val="none"/>
          <w:lang w:val="en-US" w:eastAsia="zh-CN"/>
        </w:rPr>
      </w:pPr>
      <w:r>
        <w:rPr>
          <w:rFonts w:hint="eastAsia" w:ascii="宋体" w:hAnsi="宋体" w:eastAsia="宋体" w:cs="宋体"/>
          <w:b/>
          <w:bCs/>
          <w:color w:val="auto"/>
          <w:kern w:val="0"/>
          <w:sz w:val="30"/>
          <w:szCs w:val="30"/>
          <w:highlight w:val="none"/>
        </w:rPr>
        <w:t>项目编号：</w:t>
      </w:r>
      <w:r>
        <w:rPr>
          <w:rFonts w:hint="eastAsia" w:ascii="宋体" w:hAnsi="宋体" w:cs="宋体"/>
          <w:b/>
          <w:bCs/>
          <w:color w:val="auto"/>
          <w:kern w:val="0"/>
          <w:sz w:val="30"/>
          <w:szCs w:val="30"/>
          <w:highlight w:val="none"/>
          <w:lang w:val="en-US" w:eastAsia="zh-CN"/>
        </w:rPr>
        <w:t>GXZC2026-C3-000783-GXKL</w:t>
      </w:r>
    </w:p>
    <w:p w14:paraId="38EB5D22">
      <w:pPr>
        <w:snapToGrid w:val="0"/>
        <w:spacing w:before="50" w:after="120" w:line="360" w:lineRule="auto"/>
        <w:ind w:firstLine="1684" w:firstLineChars="559"/>
        <w:rPr>
          <w:rFonts w:hint="eastAsia" w:ascii="宋体" w:hAnsi="宋体" w:eastAsia="宋体" w:cs="宋体"/>
          <w:b/>
          <w:bCs/>
          <w:color w:val="auto"/>
          <w:kern w:val="0"/>
          <w:sz w:val="30"/>
          <w:szCs w:val="30"/>
          <w:highlight w:val="none"/>
        </w:rPr>
      </w:pPr>
    </w:p>
    <w:p w14:paraId="7F531CFE">
      <w:pPr>
        <w:snapToGrid w:val="0"/>
        <w:spacing w:before="50" w:after="120" w:line="360" w:lineRule="auto"/>
        <w:ind w:firstLine="1807" w:firstLineChars="600"/>
        <w:rPr>
          <w:rFonts w:hint="eastAsia" w:ascii="宋体" w:hAnsi="宋体" w:eastAsia="宋体" w:cs="宋体"/>
          <w:b/>
          <w:bCs/>
          <w:color w:val="auto"/>
          <w:kern w:val="0"/>
          <w:sz w:val="30"/>
          <w:szCs w:val="30"/>
          <w:highlight w:val="none"/>
          <w:lang w:eastAsia="zh-CN"/>
        </w:rPr>
      </w:pPr>
      <w:r>
        <w:rPr>
          <w:rFonts w:hint="eastAsia" w:ascii="宋体" w:hAnsi="宋体" w:eastAsia="宋体" w:cs="宋体"/>
          <w:b/>
          <w:bCs/>
          <w:color w:val="auto"/>
          <w:kern w:val="0"/>
          <w:sz w:val="30"/>
          <w:szCs w:val="30"/>
          <w:highlight w:val="none"/>
        </w:rPr>
        <w:t>采购人：</w:t>
      </w:r>
      <w:r>
        <w:rPr>
          <w:rFonts w:hint="eastAsia" w:ascii="宋体" w:hAnsi="宋体" w:eastAsia="宋体" w:cs="宋体"/>
          <w:b/>
          <w:bCs/>
          <w:color w:val="auto"/>
          <w:kern w:val="0"/>
          <w:sz w:val="30"/>
          <w:szCs w:val="30"/>
          <w:highlight w:val="none"/>
          <w:lang w:eastAsia="zh-CN"/>
        </w:rPr>
        <w:t>广西医科大学</w:t>
      </w:r>
    </w:p>
    <w:p w14:paraId="77AD89D1">
      <w:pPr>
        <w:snapToGrid w:val="0"/>
        <w:spacing w:before="50" w:after="120" w:line="360" w:lineRule="auto"/>
        <w:ind w:firstLine="1807" w:firstLineChars="600"/>
        <w:rPr>
          <w:rFonts w:hint="eastAsia"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rPr>
        <w:t>采购代理机构：</w:t>
      </w:r>
      <w:bookmarkStart w:id="0" w:name="PO_3000001866_PM031"/>
      <w:r>
        <w:rPr>
          <w:rFonts w:hint="eastAsia" w:ascii="宋体" w:hAnsi="宋体" w:eastAsia="宋体" w:cs="宋体"/>
          <w:b/>
          <w:bCs/>
          <w:color w:val="auto"/>
          <w:kern w:val="0"/>
          <w:sz w:val="30"/>
          <w:szCs w:val="30"/>
          <w:highlight w:val="none"/>
        </w:rPr>
        <w:t>广西科联招标中心有限公司</w:t>
      </w:r>
      <w:bookmarkEnd w:id="0"/>
    </w:p>
    <w:p w14:paraId="74DF678C">
      <w:pPr>
        <w:snapToGrid w:val="0"/>
        <w:spacing w:before="50" w:after="120" w:line="360" w:lineRule="auto"/>
        <w:jc w:val="center"/>
        <w:rPr>
          <w:rFonts w:hint="eastAsia" w:ascii="宋体" w:hAnsi="宋体" w:eastAsia="宋体" w:cs="宋体"/>
          <w:b/>
          <w:bCs/>
          <w:color w:val="auto"/>
          <w:w w:val="95"/>
          <w:kern w:val="0"/>
          <w:sz w:val="30"/>
          <w:szCs w:val="30"/>
          <w:highlight w:val="none"/>
        </w:rPr>
      </w:pPr>
      <w:r>
        <w:rPr>
          <w:rFonts w:hint="eastAsia" w:ascii="宋体" w:hAnsi="宋体" w:eastAsia="宋体" w:cs="宋体"/>
          <w:b/>
          <w:bCs/>
          <w:color w:val="auto"/>
          <w:w w:val="95"/>
          <w:kern w:val="0"/>
          <w:sz w:val="30"/>
          <w:szCs w:val="30"/>
          <w:highlight w:val="none"/>
          <w:lang w:val="en-US" w:eastAsia="zh-CN"/>
        </w:rPr>
        <w:t xml:space="preserve"> 2026</w:t>
      </w:r>
      <w:r>
        <w:rPr>
          <w:rFonts w:hint="eastAsia" w:ascii="宋体" w:hAnsi="宋体" w:eastAsia="宋体" w:cs="宋体"/>
          <w:b/>
          <w:bCs/>
          <w:color w:val="auto"/>
          <w:w w:val="95"/>
          <w:kern w:val="0"/>
          <w:sz w:val="30"/>
          <w:szCs w:val="30"/>
          <w:highlight w:val="none"/>
        </w:rPr>
        <w:t>年</w:t>
      </w:r>
      <w:r>
        <w:rPr>
          <w:rFonts w:hint="eastAsia" w:ascii="宋体" w:hAnsi="宋体" w:cs="宋体"/>
          <w:b/>
          <w:bCs/>
          <w:color w:val="auto"/>
          <w:w w:val="95"/>
          <w:kern w:val="0"/>
          <w:sz w:val="30"/>
          <w:szCs w:val="30"/>
          <w:highlight w:val="none"/>
          <w:lang w:val="en-US" w:eastAsia="zh-CN"/>
        </w:rPr>
        <w:t>4</w:t>
      </w:r>
      <w:r>
        <w:rPr>
          <w:rFonts w:hint="eastAsia" w:ascii="宋体" w:hAnsi="宋体" w:eastAsia="宋体" w:cs="宋体"/>
          <w:b/>
          <w:bCs/>
          <w:color w:val="auto"/>
          <w:w w:val="95"/>
          <w:kern w:val="0"/>
          <w:sz w:val="30"/>
          <w:szCs w:val="30"/>
          <w:highlight w:val="none"/>
        </w:rPr>
        <w:t>月</w:t>
      </w:r>
      <w:r>
        <w:rPr>
          <w:rFonts w:hint="eastAsia" w:ascii="宋体" w:hAnsi="宋体" w:cs="宋体"/>
          <w:b/>
          <w:bCs/>
          <w:color w:val="auto"/>
          <w:w w:val="95"/>
          <w:kern w:val="0"/>
          <w:sz w:val="30"/>
          <w:szCs w:val="30"/>
          <w:highlight w:val="none"/>
          <w:lang w:val="en-US" w:eastAsia="zh-CN"/>
        </w:rPr>
        <w:t>8</w:t>
      </w:r>
      <w:r>
        <w:rPr>
          <w:rFonts w:hint="eastAsia" w:ascii="宋体" w:hAnsi="宋体" w:eastAsia="宋体" w:cs="宋体"/>
          <w:b/>
          <w:bCs/>
          <w:color w:val="auto"/>
          <w:w w:val="95"/>
          <w:kern w:val="0"/>
          <w:sz w:val="30"/>
          <w:szCs w:val="30"/>
          <w:highlight w:val="none"/>
        </w:rPr>
        <w:t>日</w:t>
      </w:r>
    </w:p>
    <w:p w14:paraId="3B881459">
      <w:pPr>
        <w:pStyle w:val="10"/>
        <w:ind w:firstLine="803"/>
        <w:jc w:val="center"/>
        <w:rPr>
          <w:rFonts w:hint="eastAsia" w:ascii="宋体" w:hAnsi="宋体" w:eastAsia="宋体" w:cs="宋体"/>
          <w:b/>
          <w:bCs/>
          <w:color w:val="auto"/>
          <w:w w:val="95"/>
          <w:sz w:val="30"/>
          <w:szCs w:val="30"/>
          <w:highlight w:val="none"/>
        </w:rPr>
        <w:sectPr>
          <w:footerReference r:id="rId6" w:type="first"/>
          <w:headerReference r:id="rId3" w:type="default"/>
          <w:footerReference r:id="rId4" w:type="default"/>
          <w:footerReference r:id="rId5" w:type="even"/>
          <w:pgSz w:w="11911" w:h="16838"/>
          <w:pgMar w:top="1134" w:right="1134" w:bottom="1134" w:left="1134" w:header="720" w:footer="720" w:gutter="0"/>
          <w:pgNumType w:fmt="decimal" w:start="0"/>
          <w:cols w:space="720" w:num="1"/>
          <w:titlePg/>
          <w:docGrid w:linePitch="331" w:charSpace="0"/>
        </w:sectPr>
      </w:pPr>
    </w:p>
    <w:p w14:paraId="05EC0034">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3E668C9D">
      <w:pPr>
        <w:spacing w:line="400" w:lineRule="exact"/>
        <w:jc w:val="center"/>
        <w:rPr>
          <w:rFonts w:hint="eastAsia" w:ascii="宋体" w:hAnsi="宋体" w:eastAsia="宋体" w:cs="宋体"/>
          <w:b/>
          <w:color w:val="auto"/>
          <w:sz w:val="44"/>
          <w:szCs w:val="44"/>
          <w:highlight w:val="none"/>
        </w:rPr>
      </w:pPr>
    </w:p>
    <w:p w14:paraId="5FD36C43">
      <w:pPr>
        <w:pStyle w:val="23"/>
        <w:keepNext w:val="0"/>
        <w:keepLines w:val="0"/>
        <w:pageBreakBefore w:val="0"/>
        <w:widowControl w:val="0"/>
        <w:tabs>
          <w:tab w:val="right" w:leader="dot" w:pos="9643"/>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TOC \o "1-1" \h \u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_Toc32264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xml:space="preserve">第一章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竞争性磋商公告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_Toc32264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5514840">
      <w:pPr>
        <w:pStyle w:val="23"/>
        <w:keepNext w:val="0"/>
        <w:keepLines w:val="0"/>
        <w:pageBreakBefore w:val="0"/>
        <w:widowControl w:val="0"/>
        <w:tabs>
          <w:tab w:val="right" w:leader="dot" w:pos="9643"/>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_Toc26836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 xml:space="preserve">第二章 </w:t>
      </w:r>
      <w:r>
        <w:rPr>
          <w:rFonts w:hint="eastAsia" w:ascii="宋体" w:hAnsi="宋体" w:eastAsia="宋体" w:cs="宋体"/>
          <w:bCs/>
          <w:color w:val="auto"/>
          <w:sz w:val="28"/>
          <w:szCs w:val="28"/>
          <w:highlight w:val="none"/>
          <w:lang w:val="en-US" w:eastAsia="zh-CN"/>
        </w:rPr>
        <w:t xml:space="preserve"> </w:t>
      </w:r>
      <w:r>
        <w:rPr>
          <w:rFonts w:hint="eastAsia" w:ascii="宋体" w:hAnsi="宋体" w:eastAsia="宋体" w:cs="宋体"/>
          <w:bCs/>
          <w:color w:val="auto"/>
          <w:sz w:val="28"/>
          <w:szCs w:val="28"/>
          <w:highlight w:val="none"/>
        </w:rPr>
        <w:t>采购需求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_Toc26836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718906A">
      <w:pPr>
        <w:pStyle w:val="23"/>
        <w:keepNext w:val="0"/>
        <w:keepLines w:val="0"/>
        <w:pageBreakBefore w:val="0"/>
        <w:widowControl w:val="0"/>
        <w:tabs>
          <w:tab w:val="right" w:leader="dot" w:pos="9643"/>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_Toc2072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 xml:space="preserve">第三章 </w:t>
      </w:r>
      <w:r>
        <w:rPr>
          <w:rFonts w:hint="eastAsia" w:ascii="宋体" w:hAnsi="宋体" w:eastAsia="宋体" w:cs="宋体"/>
          <w:bCs/>
          <w:color w:val="auto"/>
          <w:sz w:val="28"/>
          <w:szCs w:val="28"/>
          <w:highlight w:val="none"/>
          <w:lang w:val="en-US" w:eastAsia="zh-CN"/>
        </w:rPr>
        <w:t xml:space="preserve"> </w:t>
      </w:r>
      <w:r>
        <w:rPr>
          <w:rFonts w:hint="eastAsia" w:ascii="宋体" w:hAnsi="宋体" w:eastAsia="宋体" w:cs="宋体"/>
          <w:bCs/>
          <w:color w:val="auto"/>
          <w:sz w:val="28"/>
          <w:szCs w:val="28"/>
          <w:highlight w:val="none"/>
        </w:rPr>
        <w:t>供应商须知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_Toc2072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17</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3D833096">
      <w:pPr>
        <w:pStyle w:val="23"/>
        <w:keepNext w:val="0"/>
        <w:keepLines w:val="0"/>
        <w:pageBreakBefore w:val="0"/>
        <w:widowControl w:val="0"/>
        <w:tabs>
          <w:tab w:val="right" w:leader="dot" w:pos="9643"/>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_Toc1088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第四章  评审程序、评审方法和评审标准</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_Toc1088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36</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4AE0D30">
      <w:pPr>
        <w:pStyle w:val="23"/>
        <w:keepNext w:val="0"/>
        <w:keepLines w:val="0"/>
        <w:pageBreakBefore w:val="0"/>
        <w:widowControl w:val="0"/>
        <w:tabs>
          <w:tab w:val="right" w:leader="dot" w:pos="9643"/>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_Toc22302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xml:space="preserve">第五章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响应文件格式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_Toc22302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46</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F7FF826">
      <w:pPr>
        <w:pStyle w:val="23"/>
        <w:keepNext w:val="0"/>
        <w:keepLines w:val="0"/>
        <w:pageBreakBefore w:val="0"/>
        <w:widowControl w:val="0"/>
        <w:tabs>
          <w:tab w:val="right" w:leader="dot" w:pos="9643"/>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_Toc18676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第六章  合同文本</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_Toc18676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75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38D32583">
      <w:pPr>
        <w:pStyle w:val="23"/>
        <w:keepNext w:val="0"/>
        <w:keepLines w:val="0"/>
        <w:pageBreakBefore w:val="0"/>
        <w:widowControl w:val="0"/>
        <w:tabs>
          <w:tab w:val="right" w:leader="dot" w:pos="9643"/>
        </w:tabs>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_Toc13011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xml:space="preserve">第七章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质疑、投诉材料格式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_Toc13011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80</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4E117A37">
      <w:pPr>
        <w:pStyle w:val="25"/>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p>
    <w:p w14:paraId="2973565C">
      <w:pPr>
        <w:spacing w:line="400" w:lineRule="exact"/>
        <w:jc w:val="left"/>
        <w:rPr>
          <w:rFonts w:hint="eastAsia" w:ascii="宋体" w:hAnsi="宋体" w:eastAsia="宋体" w:cs="宋体"/>
          <w:b/>
          <w:color w:val="auto"/>
          <w:sz w:val="32"/>
          <w:szCs w:val="32"/>
          <w:highlight w:val="none"/>
        </w:rPr>
      </w:pPr>
    </w:p>
    <w:p w14:paraId="09C305D6">
      <w:pPr>
        <w:spacing w:line="400" w:lineRule="exact"/>
        <w:jc w:val="center"/>
        <w:rPr>
          <w:rFonts w:hint="eastAsia" w:ascii="宋体" w:hAnsi="宋体" w:eastAsia="宋体" w:cs="宋体"/>
          <w:b/>
          <w:color w:val="auto"/>
          <w:sz w:val="32"/>
          <w:szCs w:val="32"/>
          <w:highlight w:val="none"/>
        </w:rPr>
      </w:pPr>
    </w:p>
    <w:p w14:paraId="363AC705">
      <w:pPr>
        <w:spacing w:line="400" w:lineRule="exact"/>
        <w:jc w:val="center"/>
        <w:rPr>
          <w:rFonts w:hint="eastAsia" w:ascii="宋体" w:hAnsi="宋体" w:eastAsia="宋体" w:cs="宋体"/>
          <w:b/>
          <w:color w:val="auto"/>
          <w:sz w:val="32"/>
          <w:szCs w:val="32"/>
          <w:highlight w:val="none"/>
        </w:rPr>
      </w:pPr>
    </w:p>
    <w:p w14:paraId="71FB1633">
      <w:pPr>
        <w:spacing w:line="400" w:lineRule="exact"/>
        <w:jc w:val="center"/>
        <w:rPr>
          <w:rFonts w:hint="eastAsia" w:ascii="宋体" w:hAnsi="宋体" w:eastAsia="宋体" w:cs="宋体"/>
          <w:b/>
          <w:color w:val="auto"/>
          <w:sz w:val="32"/>
          <w:szCs w:val="32"/>
          <w:highlight w:val="none"/>
        </w:rPr>
      </w:pPr>
    </w:p>
    <w:p w14:paraId="4268D3B0">
      <w:pPr>
        <w:spacing w:line="400" w:lineRule="exact"/>
        <w:jc w:val="center"/>
        <w:rPr>
          <w:rFonts w:hint="eastAsia" w:ascii="宋体" w:hAnsi="宋体" w:eastAsia="宋体" w:cs="宋体"/>
          <w:b/>
          <w:color w:val="auto"/>
          <w:sz w:val="32"/>
          <w:szCs w:val="32"/>
          <w:highlight w:val="none"/>
        </w:rPr>
      </w:pPr>
    </w:p>
    <w:p w14:paraId="5231A289">
      <w:pPr>
        <w:spacing w:line="400" w:lineRule="exact"/>
        <w:rPr>
          <w:rFonts w:hint="eastAsia" w:ascii="宋体" w:hAnsi="宋体" w:eastAsia="宋体" w:cs="宋体"/>
          <w:b/>
          <w:color w:val="auto"/>
          <w:sz w:val="32"/>
          <w:szCs w:val="32"/>
          <w:highlight w:val="none"/>
        </w:rPr>
        <w:sectPr>
          <w:headerReference r:id="rId8" w:type="first"/>
          <w:footerReference r:id="rId10" w:type="first"/>
          <w:headerReference r:id="rId7" w:type="default"/>
          <w:footerReference r:id="rId9" w:type="default"/>
          <w:pgSz w:w="11911" w:h="16838"/>
          <w:pgMar w:top="1134" w:right="1134" w:bottom="1134" w:left="1134" w:header="720" w:footer="720" w:gutter="0"/>
          <w:pgNumType w:fmt="decimal"/>
          <w:cols w:space="720" w:num="1"/>
          <w:docGrid w:linePitch="312" w:charSpace="0"/>
        </w:sectPr>
      </w:pPr>
    </w:p>
    <w:p w14:paraId="4042E7E7">
      <w:pPr>
        <w:pStyle w:val="2"/>
        <w:spacing w:line="400" w:lineRule="exact"/>
        <w:jc w:val="center"/>
        <w:rPr>
          <w:rFonts w:hint="eastAsia" w:ascii="宋体" w:hAnsi="宋体" w:eastAsia="宋体" w:cs="宋体"/>
          <w:color w:val="auto"/>
          <w:highlight w:val="none"/>
        </w:rPr>
      </w:pPr>
      <w:bookmarkStart w:id="1" w:name="_Toc15624"/>
      <w:bookmarkStart w:id="2" w:name="_Toc18838"/>
      <w:bookmarkStart w:id="3" w:name="_Toc80886925"/>
      <w:bookmarkStart w:id="4" w:name="_Toc11382"/>
      <w:bookmarkStart w:id="5" w:name="_Toc32264"/>
      <w:bookmarkStart w:id="6" w:name="_Toc12242"/>
      <w:bookmarkStart w:id="7" w:name="_Toc27000"/>
      <w:bookmarkStart w:id="8" w:name="_Toc11989"/>
      <w:r>
        <w:rPr>
          <w:rFonts w:hint="eastAsia" w:ascii="宋体" w:hAnsi="宋体" w:eastAsia="宋体" w:cs="宋体"/>
          <w:color w:val="auto"/>
          <w:highlight w:val="none"/>
        </w:rPr>
        <w:t>第一章 竞争性磋商公告</w:t>
      </w:r>
      <w:bookmarkEnd w:id="1"/>
      <w:bookmarkEnd w:id="2"/>
      <w:bookmarkEnd w:id="3"/>
      <w:bookmarkEnd w:id="4"/>
      <w:bookmarkEnd w:id="5"/>
      <w:bookmarkEnd w:id="6"/>
      <w:bookmarkEnd w:id="7"/>
      <w:bookmarkEnd w:id="8"/>
      <w:bookmarkStart w:id="9" w:name="_Toc44229878"/>
      <w:bookmarkStart w:id="10" w:name="_Toc28359089"/>
      <w:bookmarkStart w:id="11" w:name="_Toc28359012"/>
      <w:bookmarkStart w:id="12" w:name="_Toc35393798"/>
      <w:bookmarkStart w:id="13" w:name="_Toc35393629"/>
      <w:bookmarkStart w:id="14" w:name="_Toc35393792"/>
      <w:bookmarkStart w:id="15" w:name="_Toc28359004"/>
      <w:bookmarkStart w:id="16" w:name="_Toc35393623"/>
      <w:bookmarkStart w:id="17" w:name="_Toc28359081"/>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9"/>
      </w:tblGrid>
      <w:tr w14:paraId="0BA30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9" w:type="dxa"/>
            <w:noWrap w:val="0"/>
            <w:vAlign w:val="top"/>
          </w:tcPr>
          <w:p w14:paraId="02A1E29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项目概况</w:t>
            </w:r>
          </w:p>
          <w:p w14:paraId="60A5CD08">
            <w:pPr>
              <w:spacing w:line="360" w:lineRule="auto"/>
              <w:ind w:firstLine="420" w:firstLineChars="200"/>
              <w:rPr>
                <w:rFonts w:hint="eastAsia" w:ascii="宋体" w:hAnsi="宋体" w:eastAsia="宋体" w:cs="宋体"/>
                <w:bCs/>
                <w:color w:val="auto"/>
                <w:sz w:val="24"/>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广西医科大学武鸣教师公寓服务采购项目</w:t>
            </w:r>
            <w:r>
              <w:rPr>
                <w:rFonts w:hint="eastAsia" w:ascii="宋体" w:hAnsi="宋体" w:eastAsia="宋体" w:cs="宋体"/>
                <w:color w:val="auto"/>
                <w:szCs w:val="21"/>
                <w:highlight w:val="none"/>
              </w:rPr>
              <w:t>的潜在供应商应在</w:t>
            </w:r>
            <w:r>
              <w:rPr>
                <w:rFonts w:hint="eastAsia" w:ascii="宋体" w:hAnsi="宋体" w:eastAsia="宋体" w:cs="宋体"/>
                <w:b w:val="0"/>
                <w:bCs w:val="0"/>
                <w:color w:val="auto"/>
                <w:sz w:val="21"/>
                <w:szCs w:val="21"/>
                <w:highlight w:val="none"/>
                <w:lang w:val="en-US" w:eastAsia="zh-CN"/>
              </w:rPr>
              <w:t>广西政府采购云平台（https://www.gcy.zfcg.gxzf.gov.cn/）</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文件，并于</w:t>
            </w:r>
            <w:r>
              <w:rPr>
                <w:rFonts w:hint="eastAsia" w:ascii="宋体" w:hAnsi="宋体" w:eastAsia="宋体" w:cs="宋体"/>
                <w:color w:val="auto"/>
                <w:szCs w:val="21"/>
                <w:highlight w:val="none"/>
                <w:lang w:val="en-US" w:eastAsia="zh-CN"/>
              </w:rPr>
              <w:t>2026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23</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eastAsia="zh-CN"/>
              </w:rPr>
              <w:t>点</w:t>
            </w:r>
            <w:r>
              <w:rPr>
                <w:rFonts w:hint="eastAsia" w:ascii="宋体" w:hAnsi="宋体" w:eastAsia="宋体" w:cs="宋体"/>
                <w:color w:val="auto"/>
                <w:szCs w:val="21"/>
                <w:highlight w:val="none"/>
                <w:lang w:val="en-US" w:eastAsia="zh-CN"/>
              </w:rPr>
              <w:t>00分</w:t>
            </w:r>
            <w:r>
              <w:rPr>
                <w:rFonts w:hint="eastAsia" w:ascii="宋体" w:hAnsi="宋体" w:eastAsia="宋体" w:cs="宋体"/>
                <w:color w:val="auto"/>
                <w:szCs w:val="21"/>
                <w:highlight w:val="none"/>
              </w:rPr>
              <w:t>（北京时间）前提交响应文件。</w:t>
            </w:r>
          </w:p>
        </w:tc>
      </w:tr>
    </w:tbl>
    <w:p w14:paraId="1FEF9C99">
      <w:pPr>
        <w:spacing w:line="380" w:lineRule="exact"/>
        <w:ind w:firstLine="482" w:firstLineChars="200"/>
        <w:rPr>
          <w:rFonts w:hint="eastAsia" w:ascii="宋体" w:hAnsi="宋体" w:eastAsia="宋体" w:cs="宋体"/>
          <w:b/>
          <w:bCs w:val="0"/>
          <w:color w:val="auto"/>
          <w:highlight w:val="none"/>
        </w:rPr>
      </w:pPr>
      <w:r>
        <w:rPr>
          <w:rFonts w:hint="eastAsia" w:ascii="宋体" w:hAnsi="宋体" w:eastAsia="宋体" w:cs="宋体"/>
          <w:b/>
          <w:bCs w:val="0"/>
          <w:color w:val="auto"/>
          <w:sz w:val="24"/>
          <w:highlight w:val="none"/>
        </w:rPr>
        <w:t>一、项目基本情况</w:t>
      </w:r>
      <w:bookmarkEnd w:id="9"/>
      <w:bookmarkEnd w:id="10"/>
      <w:bookmarkEnd w:id="11"/>
      <w:bookmarkEnd w:id="12"/>
      <w:bookmarkEnd w:id="13"/>
    </w:p>
    <w:p w14:paraId="17DBD779">
      <w:pPr>
        <w:spacing w:line="38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eastAsia="zh-CN"/>
        </w:rPr>
        <w:t>GXZC2026-C3-000783-GXKL</w:t>
      </w:r>
    </w:p>
    <w:p w14:paraId="1F9646E4">
      <w:pPr>
        <w:spacing w:line="380" w:lineRule="exact"/>
        <w:ind w:firstLine="420" w:firstLineChars="200"/>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lang w:eastAsia="zh-CN"/>
        </w:rPr>
        <w:t>广西医科大学武鸣教师公寓服务采购项目</w:t>
      </w:r>
    </w:p>
    <w:p w14:paraId="13EFB659">
      <w:pPr>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采购方式：</w:t>
      </w:r>
      <w:r>
        <w:rPr>
          <w:rFonts w:hint="eastAsia" w:ascii="宋体" w:hAnsi="宋体" w:eastAsia="宋体" w:cs="宋体"/>
          <w:color w:val="auto"/>
          <w:szCs w:val="21"/>
          <w:highlight w:val="none"/>
        </w:rPr>
        <w:t xml:space="preserve">竞争性磋商 </w:t>
      </w:r>
    </w:p>
    <w:p w14:paraId="0808EBAF">
      <w:pPr>
        <w:spacing w:line="38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预算总金额</w:t>
      </w:r>
      <w:r>
        <w:rPr>
          <w:rFonts w:hint="eastAsia" w:ascii="宋体" w:hAnsi="宋体" w:eastAsia="宋体" w:cs="宋体"/>
          <w:i w:val="0"/>
          <w:iCs w:val="0"/>
          <w:caps w:val="0"/>
          <w:color w:val="auto"/>
          <w:spacing w:val="0"/>
          <w:sz w:val="21"/>
          <w:szCs w:val="21"/>
          <w:highlight w:val="none"/>
        </w:rPr>
        <w:t>（元）：人民币108</w:t>
      </w:r>
      <w:r>
        <w:rPr>
          <w:rFonts w:hint="eastAsia" w:ascii="宋体" w:hAnsi="宋体" w:eastAsia="宋体" w:cs="宋体"/>
          <w:i w:val="0"/>
          <w:iCs w:val="0"/>
          <w:caps w:val="0"/>
          <w:color w:val="auto"/>
          <w:spacing w:val="0"/>
          <w:sz w:val="21"/>
          <w:szCs w:val="21"/>
          <w:highlight w:val="none"/>
          <w:lang w:val="en-US" w:eastAsia="zh-CN"/>
        </w:rPr>
        <w:t>.</w:t>
      </w:r>
      <w:r>
        <w:rPr>
          <w:rFonts w:hint="eastAsia" w:ascii="宋体" w:hAnsi="宋体" w:eastAsia="宋体" w:cs="宋体"/>
          <w:i w:val="0"/>
          <w:iCs w:val="0"/>
          <w:caps w:val="0"/>
          <w:color w:val="auto"/>
          <w:spacing w:val="0"/>
          <w:sz w:val="21"/>
          <w:szCs w:val="21"/>
          <w:highlight w:val="none"/>
        </w:rPr>
        <w:t>222252万元</w:t>
      </w:r>
    </w:p>
    <w:p w14:paraId="250969D0">
      <w:pPr>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采购需求：</w:t>
      </w:r>
    </w:p>
    <w:p w14:paraId="7B61BA6B">
      <w:pPr>
        <w:spacing w:line="380" w:lineRule="exact"/>
        <w:ind w:firstLine="42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标项名称：无</w:t>
      </w:r>
    </w:p>
    <w:p w14:paraId="5DCB75AD">
      <w:pPr>
        <w:spacing w:line="380" w:lineRule="exact"/>
        <w:ind w:firstLine="42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数量：1</w:t>
      </w:r>
    </w:p>
    <w:p w14:paraId="26216AE5">
      <w:pPr>
        <w:spacing w:line="38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预算金额（元）：人民币108.222252万元</w:t>
      </w:r>
    </w:p>
    <w:p w14:paraId="04475F04">
      <w:pPr>
        <w:spacing w:line="38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简要规格描述或项目基本概况介绍、用途：广西医科大学武鸣教师公寓服务1项</w:t>
      </w:r>
    </w:p>
    <w:p w14:paraId="557A0F39">
      <w:pPr>
        <w:spacing w:line="38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最高限价（元）：人民币108.222252万元</w:t>
      </w:r>
    </w:p>
    <w:p w14:paraId="45904816">
      <w:pPr>
        <w:spacing w:line="38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合同履行期限：两年，自合同签订后接到采购人通知之日起算</w:t>
      </w:r>
    </w:p>
    <w:p w14:paraId="55B9D0EE">
      <w:pPr>
        <w:spacing w:line="38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本标项（否）接受联合体竞标</w:t>
      </w:r>
    </w:p>
    <w:p w14:paraId="1FEC11A5">
      <w:pPr>
        <w:spacing w:line="380" w:lineRule="exact"/>
        <w:ind w:firstLine="42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备注：无</w:t>
      </w:r>
      <w:bookmarkStart w:id="154" w:name="_GoBack"/>
      <w:bookmarkEnd w:id="154"/>
    </w:p>
    <w:p w14:paraId="211D35D7">
      <w:pPr>
        <w:spacing w:line="380" w:lineRule="exact"/>
        <w:ind w:firstLine="482" w:firstLineChars="200"/>
        <w:rPr>
          <w:rFonts w:hint="eastAsia" w:ascii="宋体" w:hAnsi="宋体" w:eastAsia="宋体" w:cs="宋体"/>
          <w:b/>
          <w:color w:val="auto"/>
          <w:kern w:val="44"/>
          <w:sz w:val="24"/>
          <w:highlight w:val="none"/>
          <w:lang w:val="en-US" w:eastAsia="zh-CN"/>
        </w:rPr>
      </w:pPr>
      <w:bookmarkStart w:id="18" w:name="_Toc44229879"/>
      <w:bookmarkStart w:id="19" w:name="_Toc35393799"/>
      <w:bookmarkStart w:id="20" w:name="_Toc28359013"/>
      <w:bookmarkStart w:id="21" w:name="_Toc28359090"/>
      <w:bookmarkStart w:id="22" w:name="_Toc35393630"/>
      <w:r>
        <w:rPr>
          <w:rFonts w:hint="eastAsia" w:ascii="宋体" w:hAnsi="宋体" w:eastAsia="宋体" w:cs="宋体"/>
          <w:b/>
          <w:color w:val="auto"/>
          <w:kern w:val="44"/>
          <w:sz w:val="24"/>
          <w:highlight w:val="none"/>
        </w:rPr>
        <w:t>二、</w:t>
      </w:r>
      <w:r>
        <w:rPr>
          <w:rFonts w:hint="eastAsia" w:ascii="宋体" w:hAnsi="宋体" w:eastAsia="宋体" w:cs="宋体"/>
          <w:b/>
          <w:color w:val="auto"/>
          <w:kern w:val="44"/>
          <w:sz w:val="24"/>
          <w:highlight w:val="none"/>
          <w:lang w:eastAsia="zh-CN"/>
        </w:rPr>
        <w:t>申请人</w:t>
      </w:r>
      <w:r>
        <w:rPr>
          <w:rFonts w:hint="eastAsia" w:ascii="宋体" w:hAnsi="宋体" w:eastAsia="宋体" w:cs="宋体"/>
          <w:b/>
          <w:color w:val="auto"/>
          <w:kern w:val="44"/>
          <w:sz w:val="24"/>
          <w:highlight w:val="none"/>
        </w:rPr>
        <w:t>的资格</w:t>
      </w:r>
      <w:bookmarkEnd w:id="18"/>
      <w:bookmarkEnd w:id="19"/>
      <w:bookmarkEnd w:id="20"/>
      <w:bookmarkEnd w:id="21"/>
      <w:bookmarkEnd w:id="22"/>
      <w:r>
        <w:rPr>
          <w:rFonts w:hint="eastAsia" w:ascii="宋体" w:hAnsi="宋体" w:eastAsia="宋体" w:cs="宋体"/>
          <w:b/>
          <w:color w:val="auto"/>
          <w:kern w:val="44"/>
          <w:sz w:val="24"/>
          <w:highlight w:val="none"/>
          <w:lang w:val="en-US" w:eastAsia="zh-CN"/>
        </w:rPr>
        <w:t>要求</w:t>
      </w:r>
    </w:p>
    <w:p w14:paraId="51EFCDF9">
      <w:pPr>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2E730691">
      <w:pPr>
        <w:spacing w:line="380" w:lineRule="exact"/>
        <w:ind w:firstLine="420" w:firstLineChars="200"/>
        <w:rPr>
          <w:rFonts w:hint="eastAsia" w:ascii="宋体" w:hAnsi="宋体" w:eastAsia="宋体" w:cs="宋体"/>
          <w:i w:val="0"/>
          <w:iCs w:val="0"/>
          <w:color w:val="auto"/>
          <w:szCs w:val="21"/>
          <w:highlight w:val="none"/>
          <w:u w:val="single"/>
        </w:rPr>
      </w:pPr>
      <w:r>
        <w:rPr>
          <w:rFonts w:hint="eastAsia" w:ascii="宋体" w:hAnsi="宋体" w:eastAsia="宋体" w:cs="宋体"/>
          <w:color w:val="auto"/>
          <w:szCs w:val="21"/>
          <w:highlight w:val="none"/>
        </w:rPr>
        <w:t>2.落实政府采购政策需满足的资格要求：</w:t>
      </w:r>
      <w:r>
        <w:rPr>
          <w:rFonts w:hint="eastAsia" w:ascii="宋体" w:hAnsi="宋体" w:eastAsia="宋体" w:cs="宋体"/>
          <w:i w:val="0"/>
          <w:iCs w:val="0"/>
          <w:color w:val="auto"/>
          <w:szCs w:val="21"/>
          <w:highlight w:val="none"/>
          <w:u w:val="none"/>
          <w:lang w:val="en-US" w:eastAsia="zh-CN"/>
        </w:rPr>
        <w:t>本项目为专门面向中小企业采购的项目。供应商必须提供中小企业声明函或者残疾人福利性单位声明函（格式后附）或者供应商属于监狱企业的需提供由省级以上监狱管理局、戒毒管理局（含新疆生产建设兵团）出具的属于监狱企业的证明文件。</w:t>
      </w:r>
    </w:p>
    <w:p w14:paraId="7488B118">
      <w:pPr>
        <w:spacing w:line="380" w:lineRule="exact"/>
        <w:ind w:firstLine="420" w:firstLineChars="200"/>
        <w:rPr>
          <w:rFonts w:hint="eastAsia" w:ascii="宋体" w:hAnsi="宋体" w:eastAsia="宋体" w:cs="宋体"/>
          <w:i/>
          <w:iCs/>
          <w:color w:val="auto"/>
          <w:szCs w:val="21"/>
          <w:highlight w:val="none"/>
          <w:u w:val="single"/>
          <w:lang w:eastAsia="zh-CN"/>
        </w:rPr>
      </w:pPr>
      <w:r>
        <w:rPr>
          <w:rFonts w:hint="eastAsia" w:ascii="宋体" w:hAnsi="宋体" w:eastAsia="宋体" w:cs="宋体"/>
          <w:color w:val="auto"/>
          <w:szCs w:val="21"/>
          <w:highlight w:val="none"/>
        </w:rPr>
        <w:t>3.本项目的特定资格要求：</w:t>
      </w:r>
      <w:r>
        <w:rPr>
          <w:rFonts w:hint="eastAsia" w:ascii="宋体" w:hAnsi="宋体" w:eastAsia="宋体" w:cs="宋体"/>
          <w:i w:val="0"/>
          <w:iCs w:val="0"/>
          <w:color w:val="auto"/>
          <w:szCs w:val="21"/>
          <w:highlight w:val="none"/>
          <w:u w:val="none"/>
          <w:lang w:val="en-US" w:eastAsia="zh-CN"/>
        </w:rPr>
        <w:t>无</w:t>
      </w:r>
    </w:p>
    <w:p w14:paraId="49A9BB8C">
      <w:pPr>
        <w:spacing w:line="38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w:t>
      </w:r>
      <w:r>
        <w:rPr>
          <w:rFonts w:hint="eastAsia" w:ascii="宋体" w:hAnsi="宋体" w:eastAsia="宋体" w:cs="宋体"/>
          <w:b/>
          <w:bCs/>
          <w:color w:val="auto"/>
          <w:sz w:val="24"/>
          <w:highlight w:val="none"/>
          <w:lang w:eastAsia="zh-CN"/>
        </w:rPr>
        <w:t>采购</w:t>
      </w:r>
      <w:r>
        <w:rPr>
          <w:rFonts w:hint="eastAsia" w:ascii="宋体" w:hAnsi="宋体" w:eastAsia="宋体" w:cs="宋体"/>
          <w:b/>
          <w:bCs/>
          <w:color w:val="auto"/>
          <w:sz w:val="24"/>
          <w:highlight w:val="none"/>
        </w:rPr>
        <w:t>文件</w:t>
      </w:r>
      <w:bookmarkEnd w:id="14"/>
      <w:bookmarkEnd w:id="15"/>
      <w:bookmarkEnd w:id="16"/>
      <w:bookmarkEnd w:id="17"/>
      <w:bookmarkStart w:id="23" w:name="_Toc28359082"/>
      <w:bookmarkStart w:id="24" w:name="_Toc28359005"/>
      <w:bookmarkStart w:id="25" w:name="_Toc35393624"/>
      <w:bookmarkStart w:id="26" w:name="_Toc35393793"/>
    </w:p>
    <w:p w14:paraId="580FA579">
      <w:pPr>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时间：</w:t>
      </w:r>
      <w:r>
        <w:rPr>
          <w:rFonts w:hint="eastAsia" w:ascii="宋体" w:hAnsi="宋体" w:eastAsia="宋体" w:cs="宋体"/>
          <w:bCs/>
          <w:color w:val="auto"/>
          <w:kern w:val="0"/>
          <w:szCs w:val="21"/>
          <w:highlight w:val="none"/>
          <w:u w:val="single"/>
          <w:lang w:val="en-US" w:eastAsia="zh-CN"/>
        </w:rPr>
        <w:t>2026</w:t>
      </w:r>
      <w:r>
        <w:rPr>
          <w:rFonts w:hint="eastAsia" w:ascii="宋体" w:hAnsi="宋体" w:eastAsia="宋体" w:cs="宋体"/>
          <w:bCs/>
          <w:color w:val="auto"/>
          <w:kern w:val="0"/>
          <w:szCs w:val="21"/>
          <w:highlight w:val="none"/>
          <w:u w:val="single"/>
        </w:rPr>
        <w:t>年</w:t>
      </w:r>
      <w:r>
        <w:rPr>
          <w:rFonts w:hint="eastAsia" w:ascii="宋体" w:hAnsi="宋体" w:cs="宋体"/>
          <w:bCs/>
          <w:color w:val="auto"/>
          <w:kern w:val="0"/>
          <w:szCs w:val="21"/>
          <w:highlight w:val="none"/>
          <w:u w:val="single"/>
          <w:lang w:val="en-US" w:eastAsia="zh-CN"/>
        </w:rPr>
        <w:t>4</w:t>
      </w:r>
      <w:r>
        <w:rPr>
          <w:rFonts w:hint="eastAsia" w:ascii="宋体" w:hAnsi="宋体" w:eastAsia="宋体" w:cs="宋体"/>
          <w:bCs/>
          <w:color w:val="auto"/>
          <w:kern w:val="0"/>
          <w:szCs w:val="21"/>
          <w:highlight w:val="none"/>
          <w:u w:val="single"/>
        </w:rPr>
        <w:t>月</w:t>
      </w:r>
      <w:r>
        <w:rPr>
          <w:rFonts w:hint="eastAsia" w:ascii="宋体" w:hAnsi="宋体" w:cs="宋体"/>
          <w:bCs/>
          <w:color w:val="auto"/>
          <w:kern w:val="0"/>
          <w:szCs w:val="21"/>
          <w:highlight w:val="none"/>
          <w:u w:val="single"/>
          <w:lang w:val="en-US" w:eastAsia="zh-CN"/>
        </w:rPr>
        <w:t>8</w:t>
      </w:r>
      <w:r>
        <w:rPr>
          <w:rFonts w:hint="eastAsia" w:ascii="宋体" w:hAnsi="宋体" w:eastAsia="宋体" w:cs="宋体"/>
          <w:bCs/>
          <w:color w:val="auto"/>
          <w:kern w:val="0"/>
          <w:szCs w:val="21"/>
          <w:highlight w:val="none"/>
          <w:u w:val="single"/>
        </w:rPr>
        <w:t>日</w:t>
      </w:r>
      <w:r>
        <w:rPr>
          <w:rFonts w:hint="eastAsia" w:ascii="宋体" w:hAnsi="宋体" w:eastAsia="宋体" w:cs="宋体"/>
          <w:bCs/>
          <w:color w:val="auto"/>
          <w:kern w:val="0"/>
          <w:szCs w:val="21"/>
          <w:highlight w:val="none"/>
        </w:rPr>
        <w:t>至</w:t>
      </w:r>
      <w:r>
        <w:rPr>
          <w:rFonts w:hint="eastAsia" w:ascii="宋体" w:hAnsi="宋体" w:eastAsia="宋体" w:cs="宋体"/>
          <w:bCs/>
          <w:color w:val="auto"/>
          <w:kern w:val="0"/>
          <w:szCs w:val="21"/>
          <w:highlight w:val="none"/>
          <w:u w:val="single"/>
          <w:lang w:val="en-US" w:eastAsia="zh-CN"/>
        </w:rPr>
        <w:t>2026</w:t>
      </w:r>
      <w:r>
        <w:rPr>
          <w:rFonts w:hint="eastAsia" w:ascii="宋体" w:hAnsi="宋体" w:eastAsia="宋体" w:cs="宋体"/>
          <w:bCs/>
          <w:color w:val="auto"/>
          <w:kern w:val="0"/>
          <w:szCs w:val="21"/>
          <w:highlight w:val="none"/>
          <w:u w:val="single"/>
        </w:rPr>
        <w:t>年</w:t>
      </w:r>
      <w:r>
        <w:rPr>
          <w:rFonts w:hint="eastAsia" w:ascii="宋体" w:hAnsi="宋体" w:cs="宋体"/>
          <w:bCs/>
          <w:color w:val="auto"/>
          <w:kern w:val="0"/>
          <w:szCs w:val="21"/>
          <w:highlight w:val="none"/>
          <w:u w:val="single"/>
          <w:lang w:val="en-US" w:eastAsia="zh-CN"/>
        </w:rPr>
        <w:t>4</w:t>
      </w:r>
      <w:r>
        <w:rPr>
          <w:rFonts w:hint="eastAsia" w:ascii="宋体" w:hAnsi="宋体" w:eastAsia="宋体" w:cs="宋体"/>
          <w:bCs/>
          <w:color w:val="auto"/>
          <w:kern w:val="0"/>
          <w:szCs w:val="21"/>
          <w:highlight w:val="none"/>
          <w:u w:val="single"/>
        </w:rPr>
        <w:t>月</w:t>
      </w:r>
      <w:r>
        <w:rPr>
          <w:rFonts w:hint="eastAsia" w:ascii="宋体" w:hAnsi="宋体" w:cs="宋体"/>
          <w:bCs/>
          <w:color w:val="auto"/>
          <w:kern w:val="0"/>
          <w:szCs w:val="21"/>
          <w:highlight w:val="none"/>
          <w:u w:val="single"/>
          <w:lang w:val="en-US" w:eastAsia="zh-CN"/>
        </w:rPr>
        <w:t>22</w:t>
      </w:r>
      <w:r>
        <w:rPr>
          <w:rFonts w:hint="eastAsia" w:ascii="宋体" w:hAnsi="宋体" w:eastAsia="宋体" w:cs="宋体"/>
          <w:bCs/>
          <w:color w:val="auto"/>
          <w:kern w:val="0"/>
          <w:szCs w:val="21"/>
          <w:highlight w:val="none"/>
          <w:u w:val="single"/>
        </w:rPr>
        <w:t>日</w:t>
      </w:r>
      <w:r>
        <w:rPr>
          <w:rFonts w:hint="eastAsia" w:ascii="宋体" w:hAnsi="宋体" w:eastAsia="宋体" w:cs="宋体"/>
          <w:bCs/>
          <w:color w:val="auto"/>
          <w:kern w:val="0"/>
          <w:szCs w:val="21"/>
          <w:highlight w:val="none"/>
        </w:rPr>
        <w:t>，每天上午</w:t>
      </w:r>
      <w:r>
        <w:rPr>
          <w:rFonts w:hint="eastAsia" w:ascii="宋体" w:hAnsi="宋体" w:eastAsia="宋体" w:cs="宋体"/>
          <w:bCs/>
          <w:color w:val="auto"/>
          <w:kern w:val="0"/>
          <w:szCs w:val="21"/>
          <w:highlight w:val="none"/>
          <w:u w:val="single"/>
          <w:lang w:val="en-US" w:eastAsia="zh-CN"/>
        </w:rPr>
        <w:t>8：00</w:t>
      </w:r>
      <w:r>
        <w:rPr>
          <w:rFonts w:hint="eastAsia" w:ascii="宋体" w:hAnsi="宋体" w:eastAsia="宋体" w:cs="宋体"/>
          <w:bCs/>
          <w:color w:val="auto"/>
          <w:kern w:val="0"/>
          <w:szCs w:val="21"/>
          <w:highlight w:val="none"/>
        </w:rPr>
        <w:t>至</w:t>
      </w:r>
      <w:r>
        <w:rPr>
          <w:rFonts w:hint="eastAsia" w:ascii="宋体" w:hAnsi="宋体" w:eastAsia="宋体" w:cs="宋体"/>
          <w:bCs/>
          <w:color w:val="auto"/>
          <w:kern w:val="0"/>
          <w:szCs w:val="21"/>
          <w:highlight w:val="none"/>
          <w:u w:val="single"/>
          <w:lang w:val="en-US" w:eastAsia="zh-CN"/>
        </w:rPr>
        <w:t>12：00</w:t>
      </w:r>
      <w:r>
        <w:rPr>
          <w:rFonts w:hint="eastAsia" w:ascii="宋体" w:hAnsi="宋体" w:eastAsia="宋体" w:cs="宋体"/>
          <w:bCs/>
          <w:color w:val="auto"/>
          <w:kern w:val="0"/>
          <w:szCs w:val="21"/>
          <w:highlight w:val="none"/>
        </w:rPr>
        <w:t>，下午</w:t>
      </w:r>
      <w:r>
        <w:rPr>
          <w:rFonts w:hint="eastAsia" w:ascii="宋体" w:hAnsi="宋体" w:eastAsia="宋体" w:cs="宋体"/>
          <w:bCs/>
          <w:color w:val="auto"/>
          <w:kern w:val="0"/>
          <w:szCs w:val="21"/>
          <w:highlight w:val="none"/>
          <w:u w:val="single"/>
          <w:lang w:val="en-US" w:eastAsia="zh-CN"/>
        </w:rPr>
        <w:t>15:00</w:t>
      </w:r>
      <w:r>
        <w:rPr>
          <w:rFonts w:hint="eastAsia" w:ascii="宋体" w:hAnsi="宋体" w:eastAsia="宋体" w:cs="宋体"/>
          <w:bCs/>
          <w:color w:val="auto"/>
          <w:kern w:val="0"/>
          <w:szCs w:val="21"/>
          <w:highlight w:val="none"/>
        </w:rPr>
        <w:t>至</w:t>
      </w:r>
      <w:r>
        <w:rPr>
          <w:rFonts w:hint="eastAsia" w:ascii="宋体" w:hAnsi="宋体" w:eastAsia="宋体" w:cs="宋体"/>
          <w:bCs/>
          <w:color w:val="auto"/>
          <w:kern w:val="0"/>
          <w:szCs w:val="21"/>
          <w:highlight w:val="none"/>
          <w:u w:val="single"/>
          <w:lang w:val="en-US" w:eastAsia="zh-CN"/>
        </w:rPr>
        <w:t>18：00</w:t>
      </w:r>
      <w:r>
        <w:rPr>
          <w:rFonts w:hint="eastAsia" w:ascii="宋体" w:hAnsi="宋体" w:eastAsia="宋体" w:cs="宋体"/>
          <w:bCs/>
          <w:color w:val="auto"/>
          <w:kern w:val="0"/>
          <w:szCs w:val="21"/>
          <w:highlight w:val="none"/>
        </w:rPr>
        <w:t>（北京时间，法定节假日除外）</w:t>
      </w:r>
      <w:r>
        <w:rPr>
          <w:rFonts w:hint="eastAsia" w:ascii="宋体" w:hAnsi="宋体" w:eastAsia="宋体" w:cs="宋体"/>
          <w:color w:val="auto"/>
          <w:szCs w:val="21"/>
          <w:highlight w:val="none"/>
        </w:rPr>
        <w:t>。</w:t>
      </w:r>
    </w:p>
    <w:p w14:paraId="27BD103C">
      <w:pPr>
        <w:spacing w:line="38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Cs/>
          <w:color w:val="auto"/>
          <w:kern w:val="0"/>
          <w:szCs w:val="21"/>
          <w:highlight w:val="none"/>
          <w:lang w:val="en-US" w:eastAsia="zh-CN"/>
        </w:rPr>
        <w:t>2.</w:t>
      </w:r>
      <w:r>
        <w:rPr>
          <w:rFonts w:hint="eastAsia" w:ascii="宋体" w:hAnsi="宋体" w:eastAsia="宋体" w:cs="宋体"/>
          <w:bCs/>
          <w:color w:val="auto"/>
          <w:kern w:val="0"/>
          <w:szCs w:val="21"/>
          <w:highlight w:val="none"/>
        </w:rPr>
        <w:t>地点：</w:t>
      </w:r>
      <w:r>
        <w:rPr>
          <w:rFonts w:hint="eastAsia" w:ascii="宋体" w:hAnsi="宋体" w:eastAsia="宋体" w:cs="宋体"/>
          <w:b w:val="0"/>
          <w:bCs w:val="0"/>
          <w:color w:val="auto"/>
          <w:sz w:val="21"/>
          <w:szCs w:val="21"/>
          <w:highlight w:val="none"/>
          <w:lang w:val="en-US" w:eastAsia="zh-CN"/>
        </w:rPr>
        <w:t>广西政府采购云平台（https://www.gcy.zfcg.gxzf.gov.cn/）</w:t>
      </w:r>
    </w:p>
    <w:p w14:paraId="50D97B9E">
      <w:pPr>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方式</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网上下载。本项目不发放纸质采购文件，</w:t>
      </w:r>
      <w:r>
        <w:rPr>
          <w:rFonts w:hint="eastAsia" w:ascii="宋体" w:hAnsi="宋体" w:eastAsia="宋体" w:cs="宋体"/>
          <w:color w:val="auto"/>
          <w:szCs w:val="21"/>
          <w:highlight w:val="none"/>
          <w:lang w:eastAsia="zh-CN"/>
        </w:rPr>
        <w:t>潜在</w:t>
      </w:r>
      <w:r>
        <w:rPr>
          <w:rFonts w:hint="eastAsia" w:ascii="宋体" w:hAnsi="宋体" w:eastAsia="宋体" w:cs="宋体"/>
          <w:color w:val="auto"/>
          <w:szCs w:val="21"/>
          <w:highlight w:val="none"/>
        </w:rPr>
        <w:t>供应商可自行在</w:t>
      </w:r>
      <w:r>
        <w:rPr>
          <w:rFonts w:hint="eastAsia" w:ascii="宋体" w:hAnsi="宋体" w:eastAsia="宋体" w:cs="宋体"/>
          <w:b w:val="0"/>
          <w:bCs w:val="0"/>
          <w:color w:val="auto"/>
          <w:sz w:val="21"/>
          <w:szCs w:val="21"/>
          <w:highlight w:val="none"/>
          <w:lang w:val="en-US" w:eastAsia="zh-CN"/>
        </w:rPr>
        <w:t>广西政府采购云平台（https://www.gcy.zfcg.gxzf.gov.cn/）</w:t>
      </w:r>
      <w:r>
        <w:rPr>
          <w:rFonts w:hint="eastAsia" w:ascii="宋体" w:hAnsi="宋体" w:eastAsia="宋体" w:cs="宋体"/>
          <w:color w:val="auto"/>
          <w:szCs w:val="21"/>
          <w:highlight w:val="none"/>
        </w:rPr>
        <w:t>下载采购文件（操作路径：登录</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-项目采购-获取采购文件-找到本项目-点击“申请获取采购文件”），电子响应文件制作需要基于</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获取的采购文件编制。</w:t>
      </w:r>
    </w:p>
    <w:p w14:paraId="5B23B264">
      <w:pPr>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售价：</w:t>
      </w:r>
      <w:r>
        <w:rPr>
          <w:rFonts w:hint="eastAsia" w:ascii="宋体" w:hAnsi="宋体" w:eastAsia="宋体" w:cs="宋体"/>
          <w:color w:val="auto"/>
          <w:szCs w:val="21"/>
          <w:highlight w:val="none"/>
          <w:lang w:eastAsia="zh-CN"/>
        </w:rPr>
        <w:t>人民币</w:t>
      </w:r>
      <w:r>
        <w:rPr>
          <w:rFonts w:hint="eastAsia" w:ascii="宋体" w:hAnsi="宋体" w:eastAsia="宋体" w:cs="宋体"/>
          <w:color w:val="auto"/>
          <w:szCs w:val="21"/>
          <w:highlight w:val="none"/>
        </w:rPr>
        <w:t>0元。</w:t>
      </w:r>
    </w:p>
    <w:p w14:paraId="35F350B6">
      <w:pPr>
        <w:spacing w:line="38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23"/>
      <w:bookmarkEnd w:id="24"/>
      <w:bookmarkEnd w:id="25"/>
      <w:bookmarkEnd w:id="26"/>
      <w:r>
        <w:rPr>
          <w:rFonts w:hint="eastAsia" w:ascii="宋体" w:hAnsi="宋体" w:eastAsia="宋体" w:cs="宋体"/>
          <w:b/>
          <w:bCs/>
          <w:color w:val="auto"/>
          <w:sz w:val="24"/>
          <w:highlight w:val="none"/>
        </w:rPr>
        <w:t>响应文件提交</w:t>
      </w:r>
    </w:p>
    <w:p w14:paraId="348B5B40">
      <w:pPr>
        <w:spacing w:line="380" w:lineRule="exact"/>
        <w:ind w:firstLine="420" w:firstLineChars="200"/>
        <w:rPr>
          <w:rFonts w:hint="eastAsia" w:ascii="宋体" w:hAnsi="宋体" w:eastAsia="宋体" w:cs="宋体"/>
          <w:i/>
          <w:iCs/>
          <w:color w:val="auto"/>
          <w:szCs w:val="21"/>
          <w:highlight w:val="none"/>
          <w:u w:val="singl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首次响应文件提交截止时间</w:t>
      </w:r>
      <w:r>
        <w:rPr>
          <w:rFonts w:hint="eastAsia" w:ascii="宋体" w:hAnsi="宋体" w:eastAsia="宋体" w:cs="宋体"/>
          <w:bCs/>
          <w:color w:val="auto"/>
          <w:szCs w:val="21"/>
          <w:highlight w:val="none"/>
        </w:rPr>
        <w:t>：</w:t>
      </w:r>
      <w:bookmarkStart w:id="27" w:name="PO_3000001868_PM015"/>
      <w:r>
        <w:rPr>
          <w:rFonts w:hint="eastAsia" w:ascii="宋体" w:hAnsi="宋体" w:eastAsia="宋体" w:cs="宋体"/>
          <w:bCs/>
          <w:color w:val="auto"/>
          <w:szCs w:val="21"/>
          <w:highlight w:val="none"/>
          <w:u w:val="single"/>
          <w:lang w:val="en-US" w:eastAsia="zh-CN"/>
        </w:rPr>
        <w:t>2026</w:t>
      </w:r>
      <w:r>
        <w:rPr>
          <w:rFonts w:hint="eastAsia" w:ascii="宋体" w:hAnsi="宋体" w:eastAsia="宋体" w:cs="宋体"/>
          <w:bCs/>
          <w:color w:val="auto"/>
          <w:szCs w:val="21"/>
          <w:highlight w:val="none"/>
          <w:u w:val="single"/>
        </w:rPr>
        <w:t>年</w:t>
      </w:r>
      <w:r>
        <w:rPr>
          <w:rFonts w:hint="eastAsia" w:ascii="宋体" w:hAnsi="宋体" w:cs="宋体"/>
          <w:bCs/>
          <w:color w:val="auto"/>
          <w:szCs w:val="21"/>
          <w:highlight w:val="none"/>
          <w:u w:val="single"/>
          <w:lang w:val="en-US" w:eastAsia="zh-CN"/>
        </w:rPr>
        <w:t>4</w:t>
      </w:r>
      <w:r>
        <w:rPr>
          <w:rFonts w:hint="eastAsia" w:ascii="宋体" w:hAnsi="宋体" w:eastAsia="宋体" w:cs="宋体"/>
          <w:bCs/>
          <w:color w:val="auto"/>
          <w:szCs w:val="21"/>
          <w:highlight w:val="none"/>
          <w:u w:val="single"/>
        </w:rPr>
        <w:t>月</w:t>
      </w:r>
      <w:r>
        <w:rPr>
          <w:rFonts w:hint="eastAsia" w:ascii="宋体" w:hAnsi="宋体" w:cs="宋体"/>
          <w:bCs/>
          <w:color w:val="auto"/>
          <w:szCs w:val="21"/>
          <w:highlight w:val="none"/>
          <w:u w:val="single"/>
          <w:lang w:val="en-US" w:eastAsia="zh-CN"/>
        </w:rPr>
        <w:t>23</w:t>
      </w:r>
      <w:r>
        <w:rPr>
          <w:rFonts w:hint="eastAsia" w:ascii="宋体" w:hAnsi="宋体" w:eastAsia="宋体" w:cs="宋体"/>
          <w:bCs/>
          <w:color w:val="auto"/>
          <w:szCs w:val="21"/>
          <w:highlight w:val="none"/>
          <w:u w:val="single"/>
        </w:rPr>
        <w:t>日</w:t>
      </w:r>
      <w:r>
        <w:rPr>
          <w:rFonts w:hint="eastAsia" w:ascii="宋体" w:hAnsi="宋体" w:eastAsia="宋体" w:cs="宋体"/>
          <w:bCs/>
          <w:color w:val="auto"/>
          <w:szCs w:val="21"/>
          <w:highlight w:val="none"/>
          <w:u w:val="single"/>
          <w:lang w:val="en-US" w:eastAsia="zh-CN"/>
        </w:rPr>
        <w:t>9</w:t>
      </w:r>
      <w:bookmarkEnd w:id="27"/>
      <w:r>
        <w:rPr>
          <w:rFonts w:hint="eastAsia" w:ascii="宋体" w:hAnsi="宋体" w:eastAsia="宋体" w:cs="宋体"/>
          <w:bCs/>
          <w:color w:val="auto"/>
          <w:szCs w:val="21"/>
          <w:highlight w:val="none"/>
          <w:u w:val="single"/>
          <w:lang w:val="en-US" w:eastAsia="zh-CN"/>
        </w:rPr>
        <w:t>点00分</w:t>
      </w:r>
      <w:r>
        <w:rPr>
          <w:rFonts w:hint="eastAsia" w:ascii="宋体" w:hAnsi="宋体" w:eastAsia="宋体" w:cs="宋体"/>
          <w:bCs/>
          <w:color w:val="auto"/>
          <w:szCs w:val="21"/>
          <w:highlight w:val="none"/>
        </w:rPr>
        <w:t>（北京时间）</w:t>
      </w:r>
    </w:p>
    <w:p w14:paraId="28820ACB">
      <w:pPr>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首次响应文件提交地点：广西政府采购云平台（https://www.gcy.zfcg.gxzf.gov.cn/）</w:t>
      </w:r>
    </w:p>
    <w:p w14:paraId="2B9C7D5A">
      <w:pPr>
        <w:spacing w:line="38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6606A97C">
      <w:pPr>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时间：</w:t>
      </w:r>
      <w:bookmarkStart w:id="28" w:name="PO_3000001868_PM015_1"/>
      <w:r>
        <w:rPr>
          <w:rFonts w:hint="eastAsia" w:ascii="宋体" w:hAnsi="宋体" w:eastAsia="宋体" w:cs="宋体"/>
          <w:color w:val="auto"/>
          <w:szCs w:val="21"/>
          <w:highlight w:val="none"/>
          <w:u w:val="single"/>
          <w:lang w:val="en-US" w:eastAsia="zh-CN"/>
        </w:rPr>
        <w:t>2026</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4</w:t>
      </w:r>
      <w:r>
        <w:rPr>
          <w:rFonts w:hint="eastAsia" w:ascii="宋体" w:hAnsi="宋体" w:eastAsia="宋体" w:cs="宋体"/>
          <w:color w:val="auto"/>
          <w:szCs w:val="21"/>
          <w:highlight w:val="none"/>
          <w:u w:val="single"/>
        </w:rPr>
        <w:t>月</w:t>
      </w:r>
      <w:r>
        <w:rPr>
          <w:rFonts w:hint="eastAsia" w:ascii="宋体" w:hAnsi="宋体" w:cs="宋体"/>
          <w:color w:val="auto"/>
          <w:szCs w:val="21"/>
          <w:highlight w:val="none"/>
          <w:u w:val="single"/>
          <w:lang w:val="en-US" w:eastAsia="zh-CN"/>
        </w:rPr>
        <w:t>23</w:t>
      </w:r>
      <w:r>
        <w:rPr>
          <w:rFonts w:hint="eastAsia" w:ascii="宋体" w:hAnsi="宋体" w:eastAsia="宋体" w:cs="宋体"/>
          <w:color w:val="auto"/>
          <w:szCs w:val="21"/>
          <w:highlight w:val="none"/>
          <w:u w:val="single"/>
        </w:rPr>
        <w:t>日</w:t>
      </w:r>
      <w:bookmarkEnd w:id="28"/>
      <w:r>
        <w:rPr>
          <w:rFonts w:hint="eastAsia" w:ascii="宋体" w:hAnsi="宋体" w:eastAsia="宋体" w:cs="宋体"/>
          <w:color w:val="auto"/>
          <w:szCs w:val="21"/>
          <w:highlight w:val="none"/>
          <w:u w:val="single"/>
          <w:lang w:val="en-US" w:eastAsia="zh-CN"/>
        </w:rPr>
        <w:t>9</w:t>
      </w:r>
      <w:r>
        <w:rPr>
          <w:rFonts w:hint="eastAsia" w:ascii="宋体" w:hAnsi="宋体" w:eastAsia="宋体" w:cs="宋体"/>
          <w:color w:val="auto"/>
          <w:szCs w:val="21"/>
          <w:highlight w:val="none"/>
          <w:u w:val="single"/>
          <w:lang w:eastAsia="zh-CN"/>
        </w:rPr>
        <w:t>点</w:t>
      </w:r>
      <w:r>
        <w:rPr>
          <w:rFonts w:hint="eastAsia" w:ascii="宋体" w:hAnsi="宋体" w:eastAsia="宋体" w:cs="宋体"/>
          <w:color w:val="auto"/>
          <w:szCs w:val="21"/>
          <w:highlight w:val="none"/>
          <w:u w:val="single"/>
          <w:lang w:val="en-US" w:eastAsia="zh-CN"/>
        </w:rPr>
        <w:t>00</w:t>
      </w:r>
      <w:r>
        <w:rPr>
          <w:rFonts w:hint="eastAsia" w:ascii="宋体" w:hAnsi="宋体" w:eastAsia="宋体" w:cs="宋体"/>
          <w:color w:val="auto"/>
          <w:szCs w:val="21"/>
          <w:highlight w:val="none"/>
          <w:u w:val="single"/>
          <w:lang w:eastAsia="zh-CN"/>
        </w:rPr>
        <w:t>分</w:t>
      </w:r>
      <w:r>
        <w:rPr>
          <w:rFonts w:hint="eastAsia" w:ascii="宋体" w:hAnsi="宋体" w:eastAsia="宋体" w:cs="宋体"/>
          <w:bCs/>
          <w:color w:val="auto"/>
          <w:szCs w:val="21"/>
          <w:highlight w:val="none"/>
        </w:rPr>
        <w:t>（北京时间）</w:t>
      </w:r>
      <w:r>
        <w:rPr>
          <w:rFonts w:hint="eastAsia" w:ascii="宋体" w:hAnsi="宋体" w:eastAsia="宋体" w:cs="宋体"/>
          <w:color w:val="auto"/>
          <w:szCs w:val="21"/>
          <w:highlight w:val="none"/>
        </w:rPr>
        <w:t>后</w:t>
      </w:r>
    </w:p>
    <w:p w14:paraId="3795442E">
      <w:pPr>
        <w:spacing w:line="380" w:lineRule="exact"/>
        <w:ind w:firstLine="420" w:firstLineChars="200"/>
        <w:rPr>
          <w:rFonts w:hint="eastAsia" w:ascii="宋体" w:hAnsi="宋体" w:eastAsia="宋体" w:cs="宋体"/>
          <w:bCs/>
          <w:color w:val="auto"/>
          <w:szCs w:val="21"/>
          <w:highlight w:val="none"/>
          <w:u w:val="single"/>
          <w:lang w:eastAsia="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地点：广西政府采购云平台（https://www.gcy.zfcg.gxzf.gov.cn/）</w:t>
      </w:r>
    </w:p>
    <w:p w14:paraId="666FB8F7">
      <w:pPr>
        <w:spacing w:line="380" w:lineRule="exact"/>
        <w:ind w:firstLine="482" w:firstLineChars="200"/>
        <w:rPr>
          <w:rFonts w:hint="eastAsia" w:ascii="宋体" w:hAnsi="宋体" w:eastAsia="宋体" w:cs="宋体"/>
          <w:b/>
          <w:bCs/>
          <w:color w:val="auto"/>
          <w:sz w:val="24"/>
          <w:highlight w:val="none"/>
        </w:rPr>
      </w:pPr>
      <w:bookmarkStart w:id="29" w:name="_Toc35393625"/>
      <w:bookmarkStart w:id="30" w:name="_Toc28359007"/>
      <w:bookmarkStart w:id="31" w:name="_Toc35393794"/>
      <w:bookmarkStart w:id="32" w:name="_Toc28359084"/>
      <w:r>
        <w:rPr>
          <w:rFonts w:hint="eastAsia" w:ascii="宋体" w:hAnsi="宋体" w:eastAsia="宋体" w:cs="宋体"/>
          <w:b/>
          <w:bCs/>
          <w:color w:val="auto"/>
          <w:sz w:val="24"/>
          <w:highlight w:val="none"/>
        </w:rPr>
        <w:t>六、公告期限</w:t>
      </w:r>
      <w:bookmarkEnd w:id="29"/>
      <w:bookmarkEnd w:id="30"/>
      <w:bookmarkEnd w:id="31"/>
      <w:bookmarkEnd w:id="32"/>
    </w:p>
    <w:p w14:paraId="7657BFDB">
      <w:pPr>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个工作日。</w:t>
      </w:r>
    </w:p>
    <w:p w14:paraId="12FE003C">
      <w:pPr>
        <w:spacing w:line="380" w:lineRule="exact"/>
        <w:ind w:firstLine="482" w:firstLineChars="200"/>
        <w:rPr>
          <w:rFonts w:hint="eastAsia" w:ascii="宋体" w:hAnsi="宋体" w:eastAsia="宋体" w:cs="宋体"/>
          <w:b/>
          <w:bCs/>
          <w:color w:val="auto"/>
          <w:sz w:val="24"/>
          <w:highlight w:val="none"/>
        </w:rPr>
      </w:pPr>
      <w:bookmarkStart w:id="33" w:name="_Toc35393795"/>
      <w:bookmarkStart w:id="34" w:name="_Toc35393626"/>
      <w:r>
        <w:rPr>
          <w:rFonts w:hint="eastAsia" w:ascii="宋体" w:hAnsi="宋体" w:eastAsia="宋体" w:cs="宋体"/>
          <w:b/>
          <w:bCs/>
          <w:color w:val="auto"/>
          <w:sz w:val="24"/>
          <w:highlight w:val="none"/>
        </w:rPr>
        <w:t>七、其他补充事宜</w:t>
      </w:r>
      <w:bookmarkEnd w:id="33"/>
      <w:bookmarkEnd w:id="34"/>
    </w:p>
    <w:p w14:paraId="0267CB9B">
      <w:pPr>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1.磋商保证金：</w:t>
      </w:r>
    </w:p>
    <w:p w14:paraId="64B128B0">
      <w:pPr>
        <w:spacing w:line="380" w:lineRule="exact"/>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szCs w:val="21"/>
          <w:highlight w:val="none"/>
          <w:lang w:eastAsia="zh-CN"/>
        </w:rPr>
        <w:t>本项目不需要缴</w:t>
      </w:r>
      <w:r>
        <w:rPr>
          <w:rFonts w:hint="eastAsia" w:ascii="宋体" w:hAnsi="宋体" w:eastAsia="宋体" w:cs="宋体"/>
          <w:b/>
          <w:bCs/>
          <w:color w:val="auto"/>
          <w:kern w:val="0"/>
          <w:szCs w:val="21"/>
          <w:highlight w:val="none"/>
        </w:rPr>
        <w:t>纳</w:t>
      </w:r>
      <w:r>
        <w:rPr>
          <w:rFonts w:hint="eastAsia" w:ascii="宋体" w:hAnsi="宋体" w:eastAsia="宋体" w:cs="宋体"/>
          <w:b/>
          <w:bCs/>
          <w:color w:val="auto"/>
          <w:szCs w:val="21"/>
          <w:highlight w:val="none"/>
          <w:lang w:eastAsia="zh-CN"/>
        </w:rPr>
        <w:t>磋商保证金</w:t>
      </w:r>
      <w:r>
        <w:rPr>
          <w:rFonts w:hint="eastAsia" w:ascii="宋体" w:hAnsi="宋体" w:eastAsia="宋体" w:cs="宋体"/>
          <w:b/>
          <w:bCs/>
          <w:color w:val="auto"/>
          <w:szCs w:val="21"/>
          <w:highlight w:val="none"/>
          <w:lang w:val="en-US" w:eastAsia="zh-CN"/>
        </w:rPr>
        <w:t>。</w:t>
      </w:r>
    </w:p>
    <w:p w14:paraId="1B970307">
      <w:pPr>
        <w:spacing w:line="38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szCs w:val="21"/>
          <w:highlight w:val="none"/>
          <w:lang w:eastAsia="zh-CN"/>
        </w:rPr>
        <w:t>本项目需要缴</w:t>
      </w:r>
      <w:r>
        <w:rPr>
          <w:rFonts w:hint="eastAsia" w:ascii="宋体" w:hAnsi="宋体" w:eastAsia="宋体" w:cs="宋体"/>
          <w:b/>
          <w:bCs/>
          <w:color w:val="auto"/>
          <w:kern w:val="0"/>
          <w:szCs w:val="21"/>
          <w:highlight w:val="none"/>
        </w:rPr>
        <w:t>纳</w:t>
      </w:r>
      <w:r>
        <w:rPr>
          <w:rFonts w:hint="eastAsia" w:ascii="宋体" w:hAnsi="宋体" w:eastAsia="宋体" w:cs="宋体"/>
          <w:b/>
          <w:bCs/>
          <w:color w:val="auto"/>
          <w:szCs w:val="21"/>
          <w:highlight w:val="none"/>
          <w:lang w:eastAsia="zh-CN"/>
        </w:rPr>
        <w:t>磋商保证金，</w:t>
      </w:r>
      <w:r>
        <w:rPr>
          <w:rFonts w:hint="eastAsia" w:ascii="宋体" w:hAnsi="宋体" w:eastAsia="宋体" w:cs="宋体"/>
          <w:b/>
          <w:bCs/>
          <w:color w:val="auto"/>
          <w:szCs w:val="21"/>
          <w:highlight w:val="none"/>
        </w:rPr>
        <w:t>相关要求：</w:t>
      </w:r>
    </w:p>
    <w:p w14:paraId="1B1CD141">
      <w:pPr>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磋商保证金</w:t>
      </w:r>
      <w:r>
        <w:rPr>
          <w:rFonts w:hint="eastAsia" w:ascii="宋体" w:hAnsi="宋体" w:eastAsia="宋体" w:cs="宋体"/>
          <w:color w:val="auto"/>
          <w:kern w:val="0"/>
          <w:szCs w:val="21"/>
          <w:highlight w:val="none"/>
          <w:lang w:eastAsia="zh-CN"/>
        </w:rPr>
        <w:t>金额：</w:t>
      </w:r>
      <w:r>
        <w:rPr>
          <w:rFonts w:hint="eastAsia" w:ascii="宋体" w:hAnsi="宋体" w:eastAsia="宋体" w:cs="宋体"/>
          <w:color w:val="auto"/>
          <w:szCs w:val="21"/>
          <w:highlight w:val="none"/>
          <w:lang w:eastAsia="zh-CN"/>
        </w:rPr>
        <w:t>（大写）</w:t>
      </w:r>
      <w:r>
        <w:rPr>
          <w:rFonts w:hint="eastAsia" w:ascii="宋体" w:hAnsi="宋体" w:eastAsia="宋体" w:cs="宋体"/>
          <w:color w:val="auto"/>
          <w:szCs w:val="21"/>
          <w:highlight w:val="none"/>
          <w:u w:val="single"/>
          <w:lang w:eastAsia="zh-CN"/>
        </w:rPr>
        <w:t>人民币</w:t>
      </w:r>
      <w:r>
        <w:rPr>
          <w:rFonts w:hint="eastAsia" w:ascii="宋体" w:hAnsi="宋体" w:eastAsia="宋体" w:cs="宋体"/>
          <w:color w:val="auto"/>
          <w:szCs w:val="21"/>
          <w:highlight w:val="none"/>
          <w:u w:val="single"/>
          <w:lang w:val="en-US" w:eastAsia="zh-CN"/>
        </w:rPr>
        <w:t>壹万元</w:t>
      </w:r>
      <w:r>
        <w:rPr>
          <w:rFonts w:hint="eastAsia" w:ascii="宋体" w:hAnsi="宋体" w:eastAsia="宋体" w:cs="宋体"/>
          <w:color w:val="auto"/>
          <w:szCs w:val="21"/>
          <w:highlight w:val="none"/>
          <w:u w:val="single"/>
          <w:lang w:eastAsia="zh-CN"/>
        </w:rPr>
        <w:t>（小写）</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10000.00</w:t>
      </w:r>
      <w:r>
        <w:rPr>
          <w:rFonts w:hint="eastAsia" w:ascii="宋体" w:hAnsi="宋体" w:eastAsia="宋体" w:cs="宋体"/>
          <w:color w:val="auto"/>
          <w:kern w:val="0"/>
          <w:szCs w:val="21"/>
          <w:highlight w:val="none"/>
        </w:rPr>
        <w:t>。</w:t>
      </w:r>
    </w:p>
    <w:p w14:paraId="15CE64A4">
      <w:pPr>
        <w:spacing w:line="38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磋商保证金的</w:t>
      </w:r>
      <w:r>
        <w:rPr>
          <w:rFonts w:hint="eastAsia" w:ascii="宋体" w:hAnsi="宋体" w:eastAsia="宋体" w:cs="宋体"/>
          <w:color w:val="auto"/>
          <w:szCs w:val="21"/>
          <w:highlight w:val="none"/>
          <w:lang w:eastAsia="zh-CN"/>
        </w:rPr>
        <w:t>缴</w:t>
      </w:r>
      <w:r>
        <w:rPr>
          <w:rFonts w:hint="eastAsia" w:ascii="宋体" w:hAnsi="宋体" w:eastAsia="宋体" w:cs="宋体"/>
          <w:color w:val="auto"/>
          <w:kern w:val="0"/>
          <w:szCs w:val="21"/>
          <w:highlight w:val="none"/>
        </w:rPr>
        <w:t>纳方式：银行转账、支票、汇票、本票或者金融机构、担保机构出具的保函</w:t>
      </w:r>
      <w:r>
        <w:rPr>
          <w:rFonts w:hint="eastAsia" w:ascii="宋体" w:hAnsi="宋体" w:eastAsia="宋体" w:cs="宋体"/>
          <w:color w:val="auto"/>
          <w:kern w:val="0"/>
          <w:szCs w:val="21"/>
          <w:highlight w:val="none"/>
          <w:lang w:eastAsia="zh-CN"/>
        </w:rPr>
        <w:t>等非现金形式提交</w:t>
      </w:r>
      <w:r>
        <w:rPr>
          <w:rFonts w:hint="eastAsia" w:ascii="宋体" w:hAnsi="宋体" w:eastAsia="宋体" w:cs="宋体"/>
          <w:color w:val="auto"/>
          <w:kern w:val="0"/>
          <w:szCs w:val="21"/>
          <w:highlight w:val="none"/>
        </w:rPr>
        <w:t>。采用银行转账方式的，在首次响应文件提交截止时间前交至采购代理机构指定账户并且到账；</w:t>
      </w:r>
      <w:r>
        <w:rPr>
          <w:rFonts w:hint="eastAsia" w:ascii="宋体" w:hAnsi="宋体" w:eastAsia="宋体" w:cs="宋体"/>
          <w:color w:val="auto"/>
          <w:kern w:val="0"/>
          <w:szCs w:val="21"/>
          <w:highlight w:val="none"/>
          <w:lang w:eastAsia="zh-CN"/>
        </w:rPr>
        <w:t>缴纳</w:t>
      </w:r>
      <w:r>
        <w:rPr>
          <w:rFonts w:hint="eastAsia" w:ascii="宋体" w:hAnsi="宋体" w:eastAsia="宋体" w:cs="宋体"/>
          <w:color w:val="auto"/>
          <w:kern w:val="0"/>
          <w:szCs w:val="21"/>
          <w:highlight w:val="none"/>
        </w:rPr>
        <w:t>磋商保证金指定账户的</w:t>
      </w:r>
      <w:r>
        <w:rPr>
          <w:rFonts w:hint="eastAsia" w:ascii="宋体" w:hAnsi="宋体" w:eastAsia="宋体" w:cs="宋体"/>
          <w:color w:val="auto"/>
          <w:kern w:val="0"/>
          <w:szCs w:val="21"/>
          <w:highlight w:val="none"/>
          <w:lang w:eastAsia="zh-CN"/>
        </w:rPr>
        <w:t>信息：</w:t>
      </w:r>
    </w:p>
    <w:p w14:paraId="7BA6FF08">
      <w:pPr>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开户名称：广西科联招标中心有限公司</w:t>
      </w:r>
    </w:p>
    <w:p w14:paraId="54A2A68D">
      <w:pPr>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开户银行：招商银行南宁市金浦路支行</w:t>
      </w:r>
    </w:p>
    <w:p w14:paraId="05A3A112">
      <w:pPr>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银行账号：7719011969103330000000138</w:t>
      </w:r>
    </w:p>
    <w:p w14:paraId="391CA1F0">
      <w:pPr>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采用支票、汇票、本票或者保函等方式的，</w:t>
      </w:r>
      <w:r>
        <w:rPr>
          <w:rFonts w:hint="eastAsia" w:ascii="宋体" w:hAnsi="宋体" w:eastAsia="宋体" w:cs="宋体"/>
          <w:color w:val="auto"/>
          <w:szCs w:val="21"/>
          <w:highlight w:val="none"/>
        </w:rPr>
        <w:t>供应商必须</w:t>
      </w:r>
      <w:r>
        <w:rPr>
          <w:rFonts w:hint="eastAsia" w:ascii="宋体" w:hAnsi="宋体" w:eastAsia="宋体" w:cs="宋体"/>
          <w:color w:val="auto"/>
          <w:szCs w:val="21"/>
          <w:highlight w:val="none"/>
          <w:lang w:eastAsia="zh-CN"/>
        </w:rPr>
        <w:t>在</w:t>
      </w:r>
      <w:r>
        <w:rPr>
          <w:rFonts w:hint="eastAsia" w:ascii="宋体" w:hAnsi="宋体" w:eastAsia="宋体" w:cs="宋体"/>
          <w:color w:val="auto"/>
          <w:kern w:val="0"/>
          <w:szCs w:val="21"/>
          <w:highlight w:val="none"/>
        </w:rPr>
        <w:t>首次响应文件提交截止时间前</w:t>
      </w:r>
      <w:r>
        <w:rPr>
          <w:rFonts w:hint="eastAsia" w:ascii="宋体" w:hAnsi="宋体" w:eastAsia="宋体" w:cs="宋体"/>
          <w:color w:val="auto"/>
          <w:szCs w:val="21"/>
          <w:highlight w:val="none"/>
        </w:rPr>
        <w:t>将支票、汇票、本票或者金融</w:t>
      </w:r>
      <w:r>
        <w:rPr>
          <w:rFonts w:hint="eastAsia" w:ascii="宋体" w:hAnsi="宋体" w:eastAsia="宋体" w:cs="宋体"/>
          <w:color w:val="auto"/>
          <w:szCs w:val="21"/>
          <w:highlight w:val="none"/>
          <w:lang w:eastAsia="zh-CN"/>
        </w:rPr>
        <w:t>机构</w:t>
      </w:r>
      <w:r>
        <w:rPr>
          <w:rFonts w:hint="eastAsia" w:ascii="宋体" w:hAnsi="宋体" w:eastAsia="宋体" w:cs="宋体"/>
          <w:color w:val="auto"/>
          <w:szCs w:val="21"/>
          <w:highlight w:val="none"/>
        </w:rPr>
        <w:t>、担保机构出具的保函</w:t>
      </w:r>
      <w:r>
        <w:rPr>
          <w:rFonts w:hint="eastAsia" w:ascii="宋体" w:hAnsi="宋体" w:eastAsia="宋体" w:cs="宋体"/>
          <w:color w:val="auto"/>
          <w:szCs w:val="21"/>
          <w:highlight w:val="none"/>
          <w:lang w:eastAsia="zh-CN"/>
        </w:rPr>
        <w:t>（</w:t>
      </w:r>
      <w:r>
        <w:rPr>
          <w:rFonts w:hint="eastAsia" w:ascii="宋体" w:hAnsi="宋体" w:eastAsia="宋体" w:cs="宋体"/>
          <w:color w:val="auto"/>
          <w:kern w:val="0"/>
          <w:szCs w:val="21"/>
          <w:highlight w:val="none"/>
          <w:lang w:val="en-US" w:eastAsia="zh-CN"/>
        </w:rPr>
        <w:t>电子保函除外</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原件提交给采购代理机构</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rPr>
        <w:t>否则视为无效磋商保证金。</w:t>
      </w:r>
    </w:p>
    <w:p w14:paraId="1C6D42E9">
      <w:pPr>
        <w:spacing w:line="380" w:lineRule="exact"/>
        <w:ind w:firstLine="420" w:firstLineChars="200"/>
        <w:rPr>
          <w:rFonts w:hint="eastAsia" w:ascii="宋体" w:hAnsi="宋体" w:eastAsia="宋体" w:cs="宋体"/>
          <w:color w:val="auto"/>
          <w:kern w:val="0"/>
          <w:szCs w:val="21"/>
          <w:highlight w:val="none"/>
        </w:rPr>
      </w:pPr>
      <w:bookmarkStart w:id="35" w:name="_Hlk37429585"/>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w:t>
      </w:r>
      <w:bookmarkStart w:id="36" w:name="_Hlk37429595"/>
      <w:r>
        <w:rPr>
          <w:rFonts w:hint="eastAsia" w:ascii="宋体" w:hAnsi="宋体" w:eastAsia="宋体" w:cs="宋体"/>
          <w:color w:val="auto"/>
          <w:kern w:val="0"/>
          <w:szCs w:val="21"/>
          <w:highlight w:val="none"/>
        </w:rPr>
        <w:t>网上查询地址</w:t>
      </w:r>
    </w:p>
    <w:bookmarkEnd w:id="35"/>
    <w:bookmarkEnd w:id="36"/>
    <w:p w14:paraId="48B8CD77">
      <w:pPr>
        <w:spacing w:line="380" w:lineRule="exact"/>
        <w:ind w:firstLine="420" w:firstLineChars="200"/>
        <w:rPr>
          <w:rFonts w:hint="eastAsia" w:ascii="宋体" w:hAnsi="宋体" w:eastAsia="宋体" w:cs="宋体"/>
          <w:color w:val="auto"/>
          <w:kern w:val="0"/>
          <w:szCs w:val="21"/>
          <w:highlight w:val="none"/>
        </w:rPr>
      </w:pPr>
      <w:bookmarkStart w:id="37" w:name="_Hlk37429674"/>
      <w:r>
        <w:rPr>
          <w:rFonts w:hint="eastAsia" w:ascii="宋体" w:hAnsi="宋体" w:eastAsia="宋体" w:cs="宋体"/>
          <w:color w:val="auto"/>
          <w:kern w:val="0"/>
          <w:szCs w:val="21"/>
          <w:highlight w:val="none"/>
        </w:rPr>
        <w:t>http://www.ccgp.gov.cn/（中国政府采购网）、</w:t>
      </w:r>
      <w:r>
        <w:rPr>
          <w:rFonts w:hint="eastAsia" w:ascii="宋体" w:hAnsi="宋体" w:eastAsia="宋体" w:cs="宋体"/>
          <w:i w:val="0"/>
          <w:caps w:val="0"/>
          <w:color w:val="auto"/>
          <w:spacing w:val="0"/>
          <w:sz w:val="21"/>
          <w:szCs w:val="21"/>
          <w:highlight w:val="none"/>
        </w:rPr>
        <w:t>http://zfcg.gxzf.gov.cn/</w:t>
      </w:r>
      <w:r>
        <w:rPr>
          <w:rFonts w:hint="eastAsia" w:ascii="宋体" w:hAnsi="宋体" w:eastAsia="宋体" w:cs="宋体"/>
          <w:color w:val="auto"/>
          <w:kern w:val="0"/>
          <w:szCs w:val="21"/>
          <w:highlight w:val="none"/>
        </w:rPr>
        <w:t xml:space="preserve"> (广西政府采购网)。</w:t>
      </w:r>
    </w:p>
    <w:p w14:paraId="11C67562">
      <w:pPr>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本项目需要落实的政府采购政策</w:t>
      </w:r>
    </w:p>
    <w:p w14:paraId="75E65A2D">
      <w:pPr>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（1）政府采购促进中小企业发展。</w:t>
      </w:r>
    </w:p>
    <w:p w14:paraId="5F605148">
      <w:pPr>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（2）政府采购支持采用本国产品的政策。</w:t>
      </w:r>
    </w:p>
    <w:p w14:paraId="4C807ACF">
      <w:pPr>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（3）强制采购节能产品；优先采购节能产品、环境标志产品。</w:t>
      </w:r>
    </w:p>
    <w:p w14:paraId="24876CEF">
      <w:pPr>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（4）政府采购促进残疾人就业政策。</w:t>
      </w:r>
    </w:p>
    <w:p w14:paraId="34072277">
      <w:pPr>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（5）政府采购支持监狱企业发展。</w:t>
      </w:r>
      <w:bookmarkEnd w:id="37"/>
    </w:p>
    <w:p w14:paraId="3ED4EE31">
      <w:pPr>
        <w:spacing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（6）在政府采购中实施本国产品标准及相关政策</w:t>
      </w:r>
    </w:p>
    <w:p w14:paraId="4DF7AC54">
      <w:pPr>
        <w:snapToGrid w:val="0"/>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E8BF132">
      <w:pPr>
        <w:snapToGrid w:val="0"/>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.对在“信用中国”网站(www.creditchina.gov.cn) 、中国政府采购网(www.ccgp.gov.cn)被列入失信被执行人、</w:t>
      </w:r>
      <w:r>
        <w:rPr>
          <w:rFonts w:hint="eastAsia" w:ascii="宋体" w:hAnsi="宋体" w:eastAsia="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、政府采购严重违法失信行为记录名单及其他不符合《中华人民共和国政府采购法》第二十二条规定条件的供应商，不得参与政府采购活动。</w:t>
      </w:r>
    </w:p>
    <w:p w14:paraId="2EB3F90F">
      <w:pPr>
        <w:snapToGrid w:val="0"/>
        <w:spacing w:line="380" w:lineRule="exact"/>
        <w:ind w:firstLine="422" w:firstLineChars="20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szCs w:val="21"/>
          <w:highlight w:val="none"/>
        </w:rPr>
        <w:t>在线</w:t>
      </w:r>
      <w:r>
        <w:rPr>
          <w:rFonts w:hint="eastAsia" w:ascii="宋体" w:hAnsi="宋体" w:eastAsia="宋体" w:cs="宋体"/>
          <w:b/>
          <w:bCs/>
          <w:color w:val="auto"/>
          <w:szCs w:val="21"/>
          <w:highlight w:val="none"/>
          <w:lang w:eastAsia="zh-CN"/>
        </w:rPr>
        <w:t>竞</w:t>
      </w:r>
      <w:r>
        <w:rPr>
          <w:rFonts w:hint="eastAsia" w:ascii="宋体" w:hAnsi="宋体" w:eastAsia="宋体" w:cs="宋体"/>
          <w:b/>
          <w:bCs/>
          <w:color w:val="auto"/>
          <w:szCs w:val="21"/>
          <w:highlight w:val="none"/>
        </w:rPr>
        <w:t>标</w:t>
      </w:r>
      <w:r>
        <w:rPr>
          <w:rFonts w:hint="eastAsia" w:ascii="宋体" w:hAnsi="宋体" w:eastAsia="宋体" w:cs="宋体"/>
          <w:b/>
          <w:bCs/>
          <w:color w:val="auto"/>
          <w:szCs w:val="21"/>
          <w:highlight w:val="none"/>
          <w:lang w:eastAsia="zh-CN"/>
        </w:rPr>
        <w:t>的有关</w:t>
      </w:r>
      <w:r>
        <w:rPr>
          <w:rFonts w:hint="eastAsia" w:ascii="宋体" w:hAnsi="宋体" w:eastAsia="宋体" w:cs="宋体"/>
          <w:b/>
          <w:bCs/>
          <w:color w:val="auto"/>
          <w:szCs w:val="21"/>
          <w:highlight w:val="none"/>
        </w:rPr>
        <w:t>说明</w:t>
      </w:r>
      <w:r>
        <w:rPr>
          <w:rFonts w:hint="eastAsia" w:ascii="宋体" w:hAnsi="宋体" w:eastAsia="宋体" w:cs="宋体"/>
          <w:b/>
          <w:bCs/>
          <w:color w:val="auto"/>
          <w:kern w:val="0"/>
          <w:szCs w:val="21"/>
          <w:highlight w:val="none"/>
          <w:lang w:eastAsia="zh-CN"/>
        </w:rPr>
        <w:t>：</w:t>
      </w:r>
    </w:p>
    <w:p w14:paraId="27CD9AF8">
      <w:pPr>
        <w:snapToGrid w:val="0"/>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（1）响应文件提交方式：本项目为全流程电子化项目，通过</w:t>
      </w:r>
      <w:r>
        <w:rPr>
          <w:rFonts w:hint="eastAsia" w:ascii="宋体" w:hAnsi="宋体" w:eastAsia="宋体" w:cs="宋体"/>
          <w:b w:val="0"/>
          <w:bCs w:val="0"/>
          <w:color w:val="auto"/>
          <w:sz w:val="21"/>
          <w:szCs w:val="21"/>
          <w:highlight w:val="none"/>
          <w:lang w:val="en-US" w:eastAsia="zh-CN"/>
        </w:rPr>
        <w:t>广西政府采购云平台（https://www.gcy.zfcg.gxzf.gov.cn/）</w:t>
      </w:r>
      <w:r>
        <w:rPr>
          <w:rFonts w:hint="eastAsia" w:ascii="宋体" w:hAnsi="宋体" w:eastAsia="宋体" w:cs="宋体"/>
          <w:color w:val="auto"/>
          <w:szCs w:val="21"/>
          <w:highlight w:val="none"/>
        </w:rPr>
        <w:t>实行在线电子响应，供应商应先安装</w:t>
      </w:r>
      <w:r>
        <w:rPr>
          <w:rFonts w:hint="eastAsia" w:ascii="宋体" w:hAnsi="宋体" w:eastAsia="宋体" w:cs="宋体"/>
          <w:b w:val="0"/>
          <w:bCs w:val="0"/>
          <w:color w:val="auto"/>
          <w:sz w:val="21"/>
          <w:szCs w:val="21"/>
          <w:highlight w:val="none"/>
          <w:lang w:val="en-US" w:eastAsia="zh-CN"/>
        </w:rPr>
        <w:t>广西政府采购云平台新版客户端</w:t>
      </w:r>
      <w:r>
        <w:rPr>
          <w:rFonts w:hint="eastAsia" w:ascii="宋体" w:hAnsi="宋体" w:eastAsia="宋体" w:cs="宋体"/>
          <w:color w:val="auto"/>
          <w:szCs w:val="21"/>
          <w:highlight w:val="none"/>
        </w:rPr>
        <w:t>（新版</w:t>
      </w:r>
      <w:r>
        <w:rPr>
          <w:rFonts w:hint="eastAsia" w:ascii="宋体" w:hAnsi="宋体" w:eastAsia="宋体" w:cs="宋体"/>
          <w:i w:val="0"/>
          <w:caps w:val="0"/>
          <w:color w:val="auto"/>
          <w:spacing w:val="0"/>
          <w:sz w:val="21"/>
          <w:szCs w:val="21"/>
          <w:highlight w:val="none"/>
        </w:rPr>
        <w:t>客户端下载路径：广西政府采购网（访问地址http://zfcg.gxzf.gov.cn/）—办事服务—下载专区</w:t>
      </w:r>
      <w:r>
        <w:rPr>
          <w:rFonts w:hint="eastAsia" w:ascii="宋体" w:hAnsi="宋体" w:eastAsia="宋体" w:cs="宋体"/>
          <w:color w:val="auto"/>
          <w:szCs w:val="21"/>
          <w:highlight w:val="none"/>
        </w:rPr>
        <w:t>），并按照本项目采购文件和</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的要求编制、加密后在</w:t>
      </w:r>
      <w:r>
        <w:rPr>
          <w:rFonts w:hint="eastAsia" w:ascii="宋体" w:hAnsi="宋体" w:eastAsia="宋体" w:cs="宋体"/>
          <w:color w:val="auto"/>
          <w:szCs w:val="21"/>
          <w:highlight w:val="none"/>
          <w:lang w:eastAsia="zh-CN"/>
        </w:rPr>
        <w:t>响应文件提交</w:t>
      </w:r>
      <w:r>
        <w:rPr>
          <w:rFonts w:hint="eastAsia" w:ascii="宋体" w:hAnsi="宋体" w:eastAsia="宋体" w:cs="宋体"/>
          <w:color w:val="auto"/>
          <w:szCs w:val="21"/>
          <w:highlight w:val="none"/>
        </w:rPr>
        <w:t>截止时间前通过网络上传至</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供应商在</w:t>
      </w:r>
      <w:r>
        <w:rPr>
          <w:rFonts w:hint="eastAsia" w:ascii="宋体" w:hAnsi="宋体" w:eastAsia="宋体" w:cs="宋体"/>
          <w:b/>
          <w:bCs w:val="0"/>
          <w:color w:val="auto"/>
          <w:sz w:val="21"/>
          <w:szCs w:val="21"/>
          <w:highlight w:val="none"/>
          <w:lang w:val="en-US" w:eastAsia="zh-CN"/>
        </w:rPr>
        <w:t>广西政府采购云平台</w:t>
      </w:r>
      <w:r>
        <w:rPr>
          <w:rFonts w:hint="eastAsia" w:ascii="宋体" w:hAnsi="宋体" w:eastAsia="宋体" w:cs="宋体"/>
          <w:b/>
          <w:color w:val="auto"/>
          <w:szCs w:val="21"/>
          <w:highlight w:val="none"/>
        </w:rPr>
        <w:t>提交电子版响应文件时，请填写参加远程</w:t>
      </w:r>
      <w:r>
        <w:rPr>
          <w:rFonts w:hint="eastAsia" w:ascii="宋体" w:hAnsi="宋体" w:eastAsia="宋体" w:cs="宋体"/>
          <w:b/>
          <w:color w:val="auto"/>
          <w:szCs w:val="21"/>
          <w:highlight w:val="none"/>
        </w:rPr>
        <w:t>开标</w:t>
      </w:r>
      <w:r>
        <w:rPr>
          <w:rFonts w:hint="eastAsia" w:ascii="宋体" w:hAnsi="宋体" w:eastAsia="宋体" w:cs="宋体"/>
          <w:b/>
          <w:color w:val="auto"/>
          <w:szCs w:val="21"/>
          <w:highlight w:val="none"/>
        </w:rPr>
        <w:t>活动经办人联系方式</w:t>
      </w:r>
      <w:r>
        <w:rPr>
          <w:rFonts w:hint="eastAsia" w:ascii="宋体" w:hAnsi="宋体" w:eastAsia="宋体" w:cs="宋体"/>
          <w:color w:val="auto"/>
          <w:szCs w:val="21"/>
          <w:highlight w:val="none"/>
        </w:rPr>
        <w:t>。</w:t>
      </w:r>
    </w:p>
    <w:p w14:paraId="43ADCB1F">
      <w:pPr>
        <w:snapToGrid w:val="0"/>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（2）未进行网上注册并办理数字证书（CA认证）的供应商将无法参与本项目政府采购活动，潜在供应商应当在</w:t>
      </w:r>
      <w:r>
        <w:rPr>
          <w:rFonts w:hint="eastAsia" w:ascii="宋体" w:hAnsi="宋体" w:eastAsia="宋体" w:cs="宋体"/>
          <w:color w:val="auto"/>
          <w:szCs w:val="21"/>
          <w:highlight w:val="none"/>
          <w:lang w:eastAsia="zh-CN"/>
        </w:rPr>
        <w:t>首次响应文件提交</w:t>
      </w:r>
      <w:r>
        <w:rPr>
          <w:rFonts w:hint="eastAsia" w:ascii="宋体" w:hAnsi="宋体" w:eastAsia="宋体" w:cs="宋体"/>
          <w:color w:val="auto"/>
          <w:szCs w:val="21"/>
          <w:highlight w:val="none"/>
        </w:rPr>
        <w:t>截止时间前，完成电子交易平台上的CA数字证书办理及响应文件的提交。</w:t>
      </w:r>
    </w:p>
    <w:p w14:paraId="650484C7">
      <w:pPr>
        <w:snapToGrid w:val="0"/>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（3）为确保网上操作合法、有效和安全，请供应商确保在电子响应过程中能够对相关数据电文进行加密和使用电子签章，妥善保管CA数字证书并使用有效的CA数字证书参与整个采购活动。</w:t>
      </w:r>
    </w:p>
    <w:p w14:paraId="1EFFC317">
      <w:pPr>
        <w:snapToGrid w:val="0"/>
        <w:spacing w:line="380" w:lineRule="exact"/>
        <w:ind w:firstLine="422" w:firstLineChars="200"/>
        <w:jc w:val="left"/>
        <w:rPr>
          <w:rFonts w:hint="eastAsia" w:ascii="宋体" w:hAnsi="宋体" w:eastAsia="宋体" w:cs="宋体"/>
          <w:b/>
          <w:bCs w:val="0"/>
          <w:color w:val="auto"/>
          <w:szCs w:val="21"/>
          <w:highlight w:val="none"/>
          <w:u w:val="single"/>
        </w:rPr>
      </w:pPr>
      <w:r>
        <w:rPr>
          <w:rFonts w:hint="eastAsia" w:ascii="宋体" w:hAnsi="宋体" w:eastAsia="宋体" w:cs="宋体"/>
          <w:b/>
          <w:bCs w:val="0"/>
          <w:color w:val="auto"/>
          <w:szCs w:val="21"/>
          <w:highlight w:val="none"/>
          <w:u w:val="single"/>
        </w:rPr>
        <w:t>注：供应商应当在首次响应文件提交截止时间前完成电子响应文件的上传、</w:t>
      </w:r>
      <w:r>
        <w:rPr>
          <w:rFonts w:hint="eastAsia" w:ascii="宋体" w:hAnsi="宋体" w:eastAsia="宋体" w:cs="宋体"/>
          <w:b/>
          <w:bCs w:val="0"/>
          <w:color w:val="auto"/>
          <w:szCs w:val="21"/>
          <w:highlight w:val="none"/>
          <w:u w:val="single"/>
          <w:lang w:eastAsia="zh-CN"/>
        </w:rPr>
        <w:t>提交</w:t>
      </w:r>
      <w:r>
        <w:rPr>
          <w:rFonts w:hint="eastAsia" w:ascii="宋体" w:hAnsi="宋体" w:eastAsia="宋体" w:cs="宋体"/>
          <w:b/>
          <w:bCs w:val="0"/>
          <w:color w:val="auto"/>
          <w:szCs w:val="21"/>
          <w:highlight w:val="none"/>
          <w:u w:val="single"/>
        </w:rPr>
        <w:t>，响应文件提交截止时间前可以补充、修改或者撤回响应文件。补充或者修改响应文件的，应当先行撤回原文件，补充、修改后重新上传、</w:t>
      </w:r>
      <w:r>
        <w:rPr>
          <w:rFonts w:hint="eastAsia" w:ascii="宋体" w:hAnsi="宋体" w:eastAsia="宋体" w:cs="宋体"/>
          <w:b/>
          <w:bCs w:val="0"/>
          <w:color w:val="auto"/>
          <w:szCs w:val="21"/>
          <w:highlight w:val="none"/>
          <w:u w:val="single"/>
          <w:lang w:eastAsia="zh-CN"/>
        </w:rPr>
        <w:t>提交</w:t>
      </w:r>
      <w:r>
        <w:rPr>
          <w:rFonts w:hint="eastAsia" w:ascii="宋体" w:hAnsi="宋体" w:eastAsia="宋体" w:cs="宋体"/>
          <w:b/>
          <w:bCs w:val="0"/>
          <w:color w:val="auto"/>
          <w:szCs w:val="21"/>
          <w:highlight w:val="none"/>
          <w:u w:val="single"/>
        </w:rPr>
        <w:t>。</w:t>
      </w:r>
      <w:r>
        <w:rPr>
          <w:rFonts w:hint="eastAsia" w:ascii="宋体" w:hAnsi="宋体" w:eastAsia="宋体" w:cs="宋体"/>
          <w:b/>
          <w:color w:val="auto"/>
          <w:szCs w:val="21"/>
          <w:highlight w:val="none"/>
          <w:lang w:eastAsia="zh-CN"/>
        </w:rPr>
        <w:t>响应文件提交</w:t>
      </w:r>
      <w:r>
        <w:rPr>
          <w:rFonts w:hint="eastAsia" w:ascii="宋体" w:hAnsi="宋体" w:eastAsia="宋体" w:cs="宋体"/>
          <w:b/>
          <w:bCs w:val="0"/>
          <w:color w:val="auto"/>
          <w:szCs w:val="21"/>
          <w:highlight w:val="none"/>
          <w:u w:val="single"/>
        </w:rPr>
        <w:t>截止时间前未完成上传、</w:t>
      </w:r>
      <w:r>
        <w:rPr>
          <w:rFonts w:hint="eastAsia" w:ascii="宋体" w:hAnsi="宋体" w:eastAsia="宋体" w:cs="宋体"/>
          <w:b/>
          <w:bCs w:val="0"/>
          <w:color w:val="auto"/>
          <w:szCs w:val="21"/>
          <w:highlight w:val="none"/>
          <w:u w:val="single"/>
          <w:lang w:eastAsia="zh-CN"/>
        </w:rPr>
        <w:t>提交</w:t>
      </w:r>
      <w:r>
        <w:rPr>
          <w:rFonts w:hint="eastAsia" w:ascii="宋体" w:hAnsi="宋体" w:eastAsia="宋体" w:cs="宋体"/>
          <w:b/>
          <w:bCs w:val="0"/>
          <w:color w:val="auto"/>
          <w:szCs w:val="21"/>
          <w:highlight w:val="none"/>
          <w:u w:val="single"/>
        </w:rPr>
        <w:t>的，视为撤回响应文件。响应文件提交截止时间以后上传</w:t>
      </w:r>
      <w:r>
        <w:rPr>
          <w:rFonts w:hint="eastAsia" w:ascii="宋体" w:hAnsi="宋体" w:eastAsia="宋体" w:cs="宋体"/>
          <w:b/>
          <w:bCs w:val="0"/>
          <w:color w:val="auto"/>
          <w:szCs w:val="21"/>
          <w:highlight w:val="none"/>
          <w:u w:val="single"/>
          <w:lang w:eastAsia="zh-CN"/>
        </w:rPr>
        <w:t>提交</w:t>
      </w:r>
      <w:r>
        <w:rPr>
          <w:rFonts w:hint="eastAsia" w:ascii="宋体" w:hAnsi="宋体" w:eastAsia="宋体" w:cs="宋体"/>
          <w:b/>
          <w:bCs w:val="0"/>
          <w:color w:val="auto"/>
          <w:szCs w:val="21"/>
          <w:highlight w:val="none"/>
          <w:u w:val="single"/>
        </w:rPr>
        <w:t>的响应文件，</w:t>
      </w:r>
      <w:r>
        <w:rPr>
          <w:rFonts w:hint="eastAsia" w:ascii="宋体" w:hAnsi="宋体" w:eastAsia="宋体" w:cs="宋体"/>
          <w:b/>
          <w:bCs w:val="0"/>
          <w:color w:val="auto"/>
          <w:sz w:val="21"/>
          <w:szCs w:val="21"/>
          <w:highlight w:val="none"/>
          <w:u w:val="single"/>
          <w:lang w:val="en-US" w:eastAsia="zh-CN"/>
        </w:rPr>
        <w:t>广西政府采购云平台</w:t>
      </w:r>
      <w:r>
        <w:rPr>
          <w:rFonts w:hint="eastAsia" w:ascii="宋体" w:hAnsi="宋体" w:eastAsia="宋体" w:cs="宋体"/>
          <w:b/>
          <w:bCs w:val="0"/>
          <w:color w:val="auto"/>
          <w:szCs w:val="21"/>
          <w:highlight w:val="none"/>
          <w:u w:val="single"/>
        </w:rPr>
        <w:t>将予以拒收。</w:t>
      </w:r>
    </w:p>
    <w:p w14:paraId="0DDBF29E">
      <w:pPr>
        <w:snapToGrid w:val="0"/>
        <w:spacing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CA证书在线解密：首次响应文件开启时，需要供应商携带制作响应文件时用来加密的有效数字证书（CA认证）登录</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kern w:val="0"/>
          <w:szCs w:val="21"/>
          <w:highlight w:val="none"/>
        </w:rPr>
        <w:t>电子开标大厅现场按规定时间对加密的响应文件进行解密。</w:t>
      </w:r>
    </w:p>
    <w:p w14:paraId="7B268ADF">
      <w:pPr>
        <w:snapToGrid w:val="0"/>
        <w:spacing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供应商需要在具备有摄像头及语音功能且互联网网络状况良好的电脑登录</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kern w:val="0"/>
          <w:szCs w:val="21"/>
          <w:highlight w:val="none"/>
        </w:rPr>
        <w:t>远程开标大厅参与本次磋商，否则后果自负。</w:t>
      </w:r>
    </w:p>
    <w:p w14:paraId="43C0BD05">
      <w:pPr>
        <w:snapToGrid w:val="0"/>
        <w:spacing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.若对项目采购电子交易系统操作有疑问，可登录</w:t>
      </w:r>
      <w:r>
        <w:rPr>
          <w:rFonts w:hint="eastAsia" w:ascii="宋体" w:hAnsi="宋体" w:eastAsia="宋体" w:cs="宋体"/>
          <w:b w:val="0"/>
          <w:bCs w:val="0"/>
          <w:color w:val="auto"/>
          <w:sz w:val="21"/>
          <w:szCs w:val="21"/>
          <w:highlight w:val="none"/>
          <w:lang w:val="en-US" w:eastAsia="zh-CN"/>
        </w:rPr>
        <w:t>广西政府采购云平台（https://www.gcy.zfcg.gxzf.gov.cn/）</w:t>
      </w:r>
      <w:r>
        <w:rPr>
          <w:rFonts w:hint="eastAsia" w:ascii="宋体" w:hAnsi="宋体" w:eastAsia="宋体" w:cs="宋体"/>
          <w:color w:val="auto"/>
          <w:kern w:val="0"/>
          <w:szCs w:val="21"/>
          <w:highlight w:val="none"/>
        </w:rPr>
        <w:t>，点击右侧咨询小采，获取采小蜜智能服务管家帮助，或拨打</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kern w:val="0"/>
          <w:szCs w:val="21"/>
          <w:highlight w:val="none"/>
        </w:rPr>
        <w:t>服务热线</w:t>
      </w:r>
      <w:r>
        <w:rPr>
          <w:rFonts w:hint="eastAsia" w:ascii="宋体" w:hAnsi="宋体" w:eastAsia="宋体" w:cs="宋体"/>
          <w:color w:val="auto"/>
          <w:kern w:val="0"/>
          <w:szCs w:val="21"/>
          <w:highlight w:val="none"/>
          <w:lang w:val="en-US" w:eastAsia="zh-CN"/>
        </w:rPr>
        <w:t>95763</w:t>
      </w:r>
      <w:r>
        <w:rPr>
          <w:rFonts w:hint="eastAsia" w:ascii="宋体" w:hAnsi="宋体" w:eastAsia="宋体" w:cs="宋体"/>
          <w:color w:val="auto"/>
          <w:kern w:val="0"/>
          <w:szCs w:val="21"/>
          <w:highlight w:val="none"/>
        </w:rPr>
        <w:t xml:space="preserve">获取热线服务帮助。 </w:t>
      </w:r>
    </w:p>
    <w:p w14:paraId="7FA9BD77">
      <w:pPr>
        <w:snapToGrid w:val="0"/>
        <w:spacing w:line="380" w:lineRule="exact"/>
        <w:ind w:firstLine="420" w:firstLineChars="200"/>
        <w:jc w:val="left"/>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sz w:val="21"/>
          <w:szCs w:val="21"/>
          <w:highlight w:val="none"/>
          <w:lang w:val="en-US" w:eastAsia="zh-CN"/>
        </w:rPr>
        <w:t>银行、保险、石油石化、电力、电信等有行业特殊情况的，法人的分支机构经法人授权后可以分支机构的身份参加政府采购。如供应商为分支机构的，必须在</w:t>
      </w:r>
      <w:r>
        <w:rPr>
          <w:rFonts w:hint="eastAsia" w:ascii="宋体" w:hAnsi="宋体" w:eastAsia="宋体" w:cs="宋体"/>
          <w:color w:val="auto"/>
          <w:kern w:val="2"/>
          <w:sz w:val="21"/>
          <w:szCs w:val="21"/>
          <w:highlight w:val="none"/>
          <w:lang w:val="en-US" w:eastAsia="zh-CN"/>
        </w:rPr>
        <w:t>响应文件</w:t>
      </w:r>
      <w:r>
        <w:rPr>
          <w:rFonts w:hint="eastAsia" w:ascii="宋体" w:hAnsi="宋体" w:eastAsia="宋体" w:cs="宋体"/>
          <w:color w:val="auto"/>
          <w:sz w:val="21"/>
          <w:szCs w:val="21"/>
          <w:highlight w:val="none"/>
          <w:lang w:val="en-US" w:eastAsia="zh-CN"/>
        </w:rPr>
        <w:t>中同时提供经法人授权供应商以分支机构名义参加</w:t>
      </w:r>
      <w:r>
        <w:rPr>
          <w:rFonts w:hint="eastAsia" w:ascii="宋体" w:hAnsi="宋体" w:eastAsia="宋体" w:cs="宋体"/>
          <w:color w:val="auto"/>
          <w:kern w:val="2"/>
          <w:sz w:val="21"/>
          <w:szCs w:val="21"/>
          <w:highlight w:val="none"/>
          <w:lang w:val="en-US" w:eastAsia="zh-CN"/>
        </w:rPr>
        <w:t>竞标</w:t>
      </w:r>
      <w:r>
        <w:rPr>
          <w:rFonts w:hint="eastAsia" w:ascii="宋体" w:hAnsi="宋体" w:eastAsia="宋体" w:cs="宋体"/>
          <w:color w:val="auto"/>
          <w:sz w:val="21"/>
          <w:szCs w:val="21"/>
          <w:highlight w:val="none"/>
          <w:lang w:val="en-US" w:eastAsia="zh-CN"/>
        </w:rPr>
        <w:t>的授权委托书、法人营业执照及分支机构营业执照的复印件</w:t>
      </w:r>
      <w:r>
        <w:rPr>
          <w:rFonts w:hint="eastAsia" w:ascii="宋体" w:hAnsi="宋体" w:eastAsia="宋体" w:cs="宋体"/>
          <w:color w:val="auto"/>
          <w:kern w:val="2"/>
          <w:sz w:val="21"/>
          <w:szCs w:val="21"/>
          <w:highlight w:val="none"/>
          <w:lang w:val="en-US" w:eastAsia="zh-CN"/>
        </w:rPr>
        <w:t>。</w:t>
      </w:r>
    </w:p>
    <w:p w14:paraId="29CF6C25">
      <w:pPr>
        <w:snapToGrid w:val="0"/>
        <w:spacing w:line="380" w:lineRule="exact"/>
        <w:ind w:firstLine="482" w:firstLineChars="200"/>
        <w:jc w:val="left"/>
        <w:rPr>
          <w:rFonts w:hint="eastAsia" w:ascii="宋体" w:hAnsi="宋体" w:eastAsia="宋体" w:cs="宋体"/>
          <w:b/>
          <w:color w:val="auto"/>
          <w:kern w:val="44"/>
          <w:sz w:val="24"/>
          <w:highlight w:val="none"/>
          <w:lang w:eastAsia="zh-CN"/>
        </w:rPr>
      </w:pPr>
      <w:r>
        <w:rPr>
          <w:rFonts w:hint="eastAsia" w:ascii="宋体" w:hAnsi="宋体" w:eastAsia="宋体" w:cs="宋体"/>
          <w:b/>
          <w:color w:val="auto"/>
          <w:kern w:val="44"/>
          <w:sz w:val="24"/>
          <w:highlight w:val="none"/>
        </w:rPr>
        <w:t>八、凡对本次采购提出询问，请按以下方式联系</w:t>
      </w:r>
      <w:r>
        <w:rPr>
          <w:rFonts w:hint="eastAsia" w:ascii="宋体" w:hAnsi="宋体" w:eastAsia="宋体" w:cs="宋体"/>
          <w:b/>
          <w:color w:val="auto"/>
          <w:kern w:val="44"/>
          <w:sz w:val="24"/>
          <w:highlight w:val="none"/>
          <w:lang w:eastAsia="zh-CN"/>
        </w:rPr>
        <w:t>。</w:t>
      </w:r>
    </w:p>
    <w:p w14:paraId="57F85627">
      <w:pPr>
        <w:snapToGrid w:val="0"/>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1.采购人信息</w:t>
      </w:r>
    </w:p>
    <w:p w14:paraId="11442E67">
      <w:pPr>
        <w:snapToGrid w:val="0"/>
        <w:spacing w:line="380" w:lineRule="exact"/>
        <w:ind w:firstLine="630" w:firstLineChars="300"/>
        <w:jc w:val="left"/>
        <w:rPr>
          <w:rFonts w:hint="eastAsia" w:ascii="宋体" w:hAnsi="宋体" w:eastAsia="宋体" w:cs="宋体"/>
          <w:color w:val="auto"/>
          <w:kern w:val="0"/>
          <w:szCs w:val="21"/>
          <w:highlight w:val="none"/>
          <w:u w:val="none"/>
          <w:lang w:val="en-US" w:eastAsia="zh-CN"/>
        </w:rPr>
      </w:pPr>
      <w:r>
        <w:rPr>
          <w:rFonts w:hint="eastAsia" w:ascii="宋体" w:hAnsi="宋体" w:eastAsia="宋体" w:cs="宋体"/>
          <w:color w:val="auto"/>
          <w:szCs w:val="21"/>
          <w:highlight w:val="none"/>
          <w:u w:val="none"/>
        </w:rPr>
        <w:t xml:space="preserve">名 </w:t>
      </w: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color w:val="auto"/>
          <w:szCs w:val="21"/>
          <w:highlight w:val="none"/>
          <w:u w:val="none"/>
        </w:rPr>
        <w:t>称</w:t>
      </w:r>
      <w:r>
        <w:rPr>
          <w:rFonts w:hint="eastAsia" w:ascii="宋体" w:hAnsi="宋体" w:eastAsia="宋体" w:cs="宋体"/>
          <w:color w:val="auto"/>
          <w:kern w:val="0"/>
          <w:szCs w:val="21"/>
          <w:highlight w:val="none"/>
          <w:u w:val="none"/>
          <w:lang w:eastAsia="zh-CN"/>
        </w:rPr>
        <w:t xml:space="preserve"> 广西医科大学</w:t>
      </w:r>
    </w:p>
    <w:p w14:paraId="5A53CDEF">
      <w:pPr>
        <w:snapToGrid w:val="0"/>
        <w:spacing w:line="380" w:lineRule="exact"/>
        <w:ind w:firstLine="630" w:firstLineChars="300"/>
        <w:jc w:val="left"/>
        <w:rPr>
          <w:rFonts w:hint="eastAsia" w:ascii="宋体" w:hAnsi="宋体" w:eastAsia="宋体" w:cs="宋体"/>
          <w:color w:val="auto"/>
          <w:kern w:val="0"/>
          <w:szCs w:val="21"/>
          <w:highlight w:val="none"/>
          <w:u w:val="none"/>
          <w:lang w:val="en-US" w:eastAsia="zh-CN"/>
        </w:rPr>
      </w:pPr>
      <w:r>
        <w:rPr>
          <w:rFonts w:hint="eastAsia" w:ascii="宋体" w:hAnsi="宋体" w:eastAsia="宋体" w:cs="宋体"/>
          <w:color w:val="auto"/>
          <w:szCs w:val="21"/>
          <w:highlight w:val="none"/>
          <w:u w:val="none"/>
        </w:rPr>
        <w:t>地</w:t>
      </w: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color w:val="auto"/>
          <w:szCs w:val="21"/>
          <w:highlight w:val="none"/>
          <w:u w:val="none"/>
        </w:rPr>
        <w:t>址：南宁市双拥路22号</w:t>
      </w:r>
      <w:r>
        <w:rPr>
          <w:rFonts w:hint="eastAsia" w:ascii="宋体" w:hAnsi="宋体" w:eastAsia="宋体" w:cs="宋体"/>
          <w:color w:val="auto"/>
          <w:kern w:val="0"/>
          <w:szCs w:val="21"/>
          <w:highlight w:val="none"/>
          <w:u w:val="none"/>
          <w:lang w:eastAsia="zh-CN"/>
        </w:rPr>
        <w:t xml:space="preserve"> </w:t>
      </w:r>
      <w:r>
        <w:rPr>
          <w:rFonts w:hint="eastAsia" w:ascii="宋体" w:hAnsi="宋体" w:eastAsia="宋体" w:cs="宋体"/>
          <w:color w:val="auto"/>
          <w:kern w:val="0"/>
          <w:szCs w:val="21"/>
          <w:highlight w:val="none"/>
          <w:u w:val="none"/>
          <w:lang w:val="en-US" w:eastAsia="zh-CN"/>
        </w:rPr>
        <w:t xml:space="preserve">                           </w:t>
      </w:r>
    </w:p>
    <w:p w14:paraId="5BBA3769">
      <w:pPr>
        <w:snapToGrid w:val="0"/>
        <w:spacing w:line="380" w:lineRule="exact"/>
        <w:ind w:firstLine="630" w:firstLineChars="300"/>
        <w:jc w:val="left"/>
        <w:rPr>
          <w:rFonts w:hint="eastAsia" w:ascii="宋体" w:hAnsi="宋体" w:eastAsia="宋体" w:cs="宋体"/>
          <w:color w:val="auto"/>
          <w:kern w:val="0"/>
          <w:szCs w:val="21"/>
          <w:highlight w:val="none"/>
          <w:u w:val="none"/>
          <w:lang w:val="en-US" w:eastAsia="zh-CN"/>
        </w:rPr>
      </w:pPr>
      <w:r>
        <w:rPr>
          <w:rFonts w:hint="eastAsia" w:ascii="宋体" w:hAnsi="宋体" w:eastAsia="宋体" w:cs="宋体"/>
          <w:color w:val="auto"/>
          <w:szCs w:val="21"/>
          <w:highlight w:val="none"/>
          <w:u w:val="none"/>
          <w:lang w:eastAsia="zh-CN"/>
        </w:rPr>
        <w:t>联系方式：黄老师</w:t>
      </w:r>
      <w:r>
        <w:rPr>
          <w:rFonts w:hint="eastAsia" w:ascii="宋体" w:hAnsi="宋体" w:eastAsia="宋体" w:cs="宋体"/>
          <w:color w:val="auto"/>
          <w:szCs w:val="21"/>
          <w:highlight w:val="none"/>
          <w:u w:val="none"/>
          <w:lang w:val="en-US" w:eastAsia="zh-CN"/>
        </w:rPr>
        <w:t xml:space="preserve">，0771-5358884    </w:t>
      </w:r>
      <w:r>
        <w:rPr>
          <w:rFonts w:hint="eastAsia" w:ascii="宋体" w:hAnsi="宋体" w:eastAsia="宋体" w:cs="宋体"/>
          <w:color w:val="auto"/>
          <w:kern w:val="0"/>
          <w:szCs w:val="21"/>
          <w:highlight w:val="none"/>
          <w:u w:val="none"/>
          <w:lang w:eastAsia="zh-CN"/>
        </w:rPr>
        <w:t xml:space="preserve"> </w:t>
      </w:r>
      <w:r>
        <w:rPr>
          <w:rFonts w:hint="eastAsia" w:ascii="宋体" w:hAnsi="宋体" w:eastAsia="宋体" w:cs="宋体"/>
          <w:color w:val="auto"/>
          <w:kern w:val="0"/>
          <w:szCs w:val="21"/>
          <w:highlight w:val="none"/>
          <w:u w:val="none"/>
          <w:lang w:val="en-US" w:eastAsia="zh-CN"/>
        </w:rPr>
        <w:t xml:space="preserve">                         </w:t>
      </w:r>
    </w:p>
    <w:p w14:paraId="6D8480D4">
      <w:pPr>
        <w:snapToGrid w:val="0"/>
        <w:spacing w:line="380" w:lineRule="exact"/>
        <w:ind w:firstLine="420" w:firstLineChars="200"/>
        <w:jc w:val="lef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2.采购代理机构信息</w:t>
      </w:r>
    </w:p>
    <w:p w14:paraId="15A8D5A4">
      <w:pPr>
        <w:snapToGrid w:val="0"/>
        <w:spacing w:line="380" w:lineRule="exact"/>
        <w:ind w:firstLine="630" w:firstLineChars="300"/>
        <w:jc w:val="left"/>
        <w:rPr>
          <w:rFonts w:hint="eastAsia" w:ascii="宋体" w:hAnsi="宋体" w:eastAsia="宋体" w:cs="宋体"/>
          <w:color w:val="auto"/>
          <w:kern w:val="0"/>
          <w:szCs w:val="21"/>
          <w:highlight w:val="none"/>
          <w:u w:val="none"/>
          <w:lang w:val="en-US" w:eastAsia="zh-CN"/>
        </w:rPr>
      </w:pPr>
      <w:r>
        <w:rPr>
          <w:rFonts w:hint="eastAsia" w:ascii="宋体" w:hAnsi="宋体" w:eastAsia="宋体" w:cs="宋体"/>
          <w:color w:val="auto"/>
          <w:szCs w:val="21"/>
          <w:highlight w:val="none"/>
          <w:u w:val="none"/>
        </w:rPr>
        <w:t xml:space="preserve">名 </w:t>
      </w: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color w:val="auto"/>
          <w:szCs w:val="21"/>
          <w:highlight w:val="none"/>
          <w:u w:val="none"/>
        </w:rPr>
        <w:t>称：广西科联招标中心有限公司</w:t>
      </w:r>
      <w:r>
        <w:rPr>
          <w:rFonts w:hint="eastAsia" w:ascii="宋体" w:hAnsi="宋体" w:eastAsia="宋体" w:cs="宋体"/>
          <w:color w:val="auto"/>
          <w:kern w:val="0"/>
          <w:szCs w:val="21"/>
          <w:highlight w:val="none"/>
          <w:u w:val="none"/>
          <w:lang w:eastAsia="zh-CN"/>
        </w:rPr>
        <w:t xml:space="preserve"> </w:t>
      </w:r>
      <w:r>
        <w:rPr>
          <w:rFonts w:hint="eastAsia" w:ascii="宋体" w:hAnsi="宋体" w:eastAsia="宋体" w:cs="宋体"/>
          <w:color w:val="auto"/>
          <w:kern w:val="0"/>
          <w:szCs w:val="21"/>
          <w:highlight w:val="none"/>
          <w:u w:val="none"/>
          <w:lang w:val="en-US" w:eastAsia="zh-CN"/>
        </w:rPr>
        <w:t xml:space="preserve">                           </w:t>
      </w:r>
    </w:p>
    <w:p w14:paraId="119A3895">
      <w:pPr>
        <w:snapToGrid w:val="0"/>
        <w:spacing w:line="380" w:lineRule="exact"/>
        <w:ind w:firstLine="630" w:firstLineChars="300"/>
        <w:jc w:val="left"/>
        <w:rPr>
          <w:rFonts w:hint="eastAsia" w:ascii="宋体" w:hAnsi="宋体" w:eastAsia="宋体" w:cs="宋体"/>
          <w:color w:val="auto"/>
          <w:kern w:val="0"/>
          <w:szCs w:val="21"/>
          <w:highlight w:val="none"/>
          <w:u w:val="none"/>
          <w:lang w:val="en-US" w:eastAsia="zh-CN"/>
        </w:rPr>
      </w:pPr>
      <w:r>
        <w:rPr>
          <w:rFonts w:hint="eastAsia" w:ascii="宋体" w:hAnsi="宋体" w:eastAsia="宋体" w:cs="宋体"/>
          <w:color w:val="auto"/>
          <w:szCs w:val="21"/>
          <w:highlight w:val="none"/>
          <w:u w:val="none"/>
        </w:rPr>
        <w:t>地　址：</w:t>
      </w:r>
      <w:r>
        <w:rPr>
          <w:rFonts w:hint="eastAsia" w:ascii="宋体" w:hAnsi="宋体" w:eastAsia="宋体" w:cs="宋体"/>
          <w:color w:val="auto"/>
          <w:szCs w:val="21"/>
          <w:highlight w:val="none"/>
          <w:u w:val="none"/>
          <w:lang w:val="en-US" w:eastAsia="zh-CN"/>
        </w:rPr>
        <w:t>广西南宁市大学东路170号</w:t>
      </w:r>
      <w:r>
        <w:rPr>
          <w:rFonts w:hint="eastAsia" w:ascii="宋体" w:hAnsi="宋体" w:eastAsia="宋体" w:cs="宋体"/>
          <w:color w:val="auto"/>
          <w:kern w:val="0"/>
          <w:szCs w:val="21"/>
          <w:highlight w:val="none"/>
          <w:u w:val="none"/>
          <w:lang w:eastAsia="zh-CN"/>
        </w:rPr>
        <w:t xml:space="preserve"> </w:t>
      </w:r>
      <w:r>
        <w:rPr>
          <w:rFonts w:hint="eastAsia" w:ascii="宋体" w:hAnsi="宋体" w:eastAsia="宋体" w:cs="宋体"/>
          <w:color w:val="auto"/>
          <w:kern w:val="0"/>
          <w:szCs w:val="21"/>
          <w:highlight w:val="none"/>
          <w:u w:val="none"/>
          <w:lang w:val="en-US" w:eastAsia="zh-CN"/>
        </w:rPr>
        <w:t xml:space="preserve">                           </w:t>
      </w:r>
    </w:p>
    <w:p w14:paraId="352AC16F">
      <w:pPr>
        <w:snapToGrid w:val="0"/>
        <w:spacing w:line="380" w:lineRule="exact"/>
        <w:ind w:firstLine="630" w:firstLineChars="300"/>
        <w:jc w:val="left"/>
        <w:rPr>
          <w:rFonts w:hint="eastAsia" w:ascii="宋体" w:hAnsi="宋体" w:eastAsia="宋体" w:cs="宋体"/>
          <w:color w:val="auto"/>
          <w:kern w:val="0"/>
          <w:szCs w:val="21"/>
          <w:highlight w:val="none"/>
          <w:u w:val="none"/>
          <w:lang w:val="en-US" w:eastAsia="zh-CN"/>
        </w:rPr>
      </w:pPr>
      <w:r>
        <w:rPr>
          <w:rFonts w:hint="eastAsia" w:ascii="宋体" w:hAnsi="宋体" w:eastAsia="宋体" w:cs="宋体"/>
          <w:color w:val="auto"/>
          <w:szCs w:val="21"/>
          <w:highlight w:val="none"/>
          <w:u w:val="none"/>
        </w:rPr>
        <w:t>联系</w:t>
      </w:r>
      <w:r>
        <w:rPr>
          <w:rFonts w:hint="eastAsia" w:ascii="宋体" w:hAnsi="宋体" w:eastAsia="宋体" w:cs="宋体"/>
          <w:color w:val="auto"/>
          <w:szCs w:val="21"/>
          <w:highlight w:val="none"/>
          <w:u w:val="none"/>
          <w:lang w:eastAsia="zh-CN"/>
        </w:rPr>
        <w:t>方式</w:t>
      </w:r>
      <w:r>
        <w:rPr>
          <w:rFonts w:hint="eastAsia" w:ascii="宋体" w:hAnsi="宋体" w:eastAsia="宋体" w:cs="宋体"/>
          <w:color w:val="auto"/>
          <w:szCs w:val="21"/>
          <w:highlight w:val="none"/>
          <w:u w:val="none"/>
        </w:rPr>
        <w:t>：</w:t>
      </w:r>
      <w:r>
        <w:rPr>
          <w:rFonts w:hint="eastAsia" w:ascii="宋体" w:hAnsi="宋体" w:eastAsia="宋体" w:cs="宋体"/>
          <w:color w:val="auto"/>
          <w:szCs w:val="21"/>
          <w:highlight w:val="none"/>
          <w:u w:val="none"/>
          <w:lang w:val="en-US" w:eastAsia="zh-CN"/>
        </w:rPr>
        <w:t xml:space="preserve">0771-2273829 </w:t>
      </w:r>
      <w:r>
        <w:rPr>
          <w:rFonts w:hint="eastAsia" w:ascii="宋体" w:hAnsi="宋体" w:eastAsia="宋体" w:cs="宋体"/>
          <w:color w:val="auto"/>
          <w:kern w:val="0"/>
          <w:szCs w:val="21"/>
          <w:highlight w:val="none"/>
          <w:u w:val="none"/>
          <w:lang w:eastAsia="zh-CN"/>
        </w:rPr>
        <w:t xml:space="preserve"> </w:t>
      </w:r>
      <w:r>
        <w:rPr>
          <w:rFonts w:hint="eastAsia" w:ascii="宋体" w:hAnsi="宋体" w:eastAsia="宋体" w:cs="宋体"/>
          <w:color w:val="auto"/>
          <w:kern w:val="0"/>
          <w:szCs w:val="21"/>
          <w:highlight w:val="none"/>
          <w:u w:val="none"/>
          <w:lang w:val="en-US" w:eastAsia="zh-CN"/>
        </w:rPr>
        <w:t xml:space="preserve">                           </w:t>
      </w:r>
    </w:p>
    <w:p w14:paraId="188BF362">
      <w:pPr>
        <w:snapToGrid w:val="0"/>
        <w:spacing w:line="380" w:lineRule="exact"/>
        <w:ind w:firstLine="420" w:firstLineChars="200"/>
        <w:jc w:val="lef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3.项目联系方式</w:t>
      </w:r>
    </w:p>
    <w:p w14:paraId="09DA8DBD">
      <w:pPr>
        <w:snapToGrid w:val="0"/>
        <w:spacing w:line="380" w:lineRule="exact"/>
        <w:ind w:firstLine="630" w:firstLineChars="300"/>
        <w:jc w:val="left"/>
        <w:rPr>
          <w:rFonts w:hint="eastAsia" w:ascii="宋体" w:hAnsi="宋体" w:eastAsia="宋体" w:cs="宋体"/>
          <w:i/>
          <w:iCs/>
          <w:color w:val="auto"/>
          <w:sz w:val="21"/>
          <w:highlight w:val="none"/>
          <w:u w:val="none"/>
          <w:lang w:eastAsia="zh-CN"/>
        </w:rPr>
      </w:pPr>
      <w:r>
        <w:rPr>
          <w:rFonts w:hint="eastAsia" w:ascii="宋体" w:hAnsi="宋体" w:eastAsia="宋体" w:cs="宋体"/>
          <w:color w:val="auto"/>
          <w:szCs w:val="21"/>
          <w:highlight w:val="none"/>
          <w:u w:val="none"/>
        </w:rPr>
        <w:t>项目联系人：</w:t>
      </w:r>
      <w:r>
        <w:rPr>
          <w:rFonts w:hint="eastAsia" w:ascii="宋体" w:hAnsi="宋体" w:eastAsia="宋体" w:cs="宋体"/>
          <w:color w:val="auto"/>
          <w:szCs w:val="21"/>
          <w:highlight w:val="none"/>
          <w:u w:val="none"/>
          <w:lang w:val="en-US" w:eastAsia="zh-CN"/>
        </w:rPr>
        <w:t>韦俊珉</w:t>
      </w:r>
    </w:p>
    <w:p w14:paraId="780C7E59">
      <w:pPr>
        <w:snapToGrid w:val="0"/>
        <w:spacing w:line="380" w:lineRule="exact"/>
        <w:ind w:firstLine="630" w:firstLineChars="300"/>
        <w:jc w:val="left"/>
        <w:rPr>
          <w:rFonts w:hint="eastAsia" w:ascii="宋体" w:hAnsi="宋体" w:eastAsia="宋体" w:cs="宋体"/>
          <w:color w:val="auto"/>
          <w:szCs w:val="21"/>
          <w:highlight w:val="none"/>
          <w:u w:val="none"/>
          <w:lang w:val="en-US"/>
        </w:rPr>
      </w:pPr>
      <w:r>
        <w:rPr>
          <w:rFonts w:hint="eastAsia" w:ascii="宋体" w:hAnsi="宋体" w:eastAsia="宋体" w:cs="宋体"/>
          <w:color w:val="auto"/>
          <w:szCs w:val="21"/>
          <w:highlight w:val="none"/>
          <w:u w:val="none"/>
        </w:rPr>
        <w:t>电    话：</w:t>
      </w:r>
      <w:r>
        <w:rPr>
          <w:rFonts w:hint="eastAsia" w:ascii="宋体" w:hAnsi="宋体" w:eastAsia="宋体" w:cs="宋体"/>
          <w:color w:val="auto"/>
          <w:szCs w:val="21"/>
          <w:highlight w:val="none"/>
          <w:u w:val="none"/>
          <w:lang w:val="en-US" w:eastAsia="zh-CN"/>
        </w:rPr>
        <w:t>0771-2273829，13307869043</w:t>
      </w:r>
      <w:r>
        <w:rPr>
          <w:rFonts w:hint="eastAsia" w:ascii="宋体" w:hAnsi="宋体" w:eastAsia="宋体" w:cs="宋体"/>
          <w:color w:val="auto"/>
          <w:kern w:val="0"/>
          <w:szCs w:val="21"/>
          <w:highlight w:val="none"/>
          <w:u w:val="none"/>
          <w:lang w:eastAsia="zh-CN"/>
        </w:rPr>
        <w:t xml:space="preserve"> </w:t>
      </w:r>
      <w:r>
        <w:rPr>
          <w:rFonts w:hint="eastAsia" w:ascii="宋体" w:hAnsi="宋体" w:eastAsia="宋体" w:cs="宋体"/>
          <w:color w:val="auto"/>
          <w:kern w:val="0"/>
          <w:szCs w:val="21"/>
          <w:highlight w:val="none"/>
          <w:u w:val="none"/>
          <w:lang w:val="en-US" w:eastAsia="zh-CN"/>
        </w:rPr>
        <w:t xml:space="preserve">                                        </w:t>
      </w:r>
    </w:p>
    <w:p w14:paraId="3F29E8EC">
      <w:pPr>
        <w:spacing w:line="360" w:lineRule="auto"/>
        <w:ind w:firstLine="420" w:firstLineChars="200"/>
        <w:rPr>
          <w:rFonts w:hint="eastAsia" w:ascii="宋体" w:hAnsi="宋体" w:eastAsia="宋体" w:cs="宋体"/>
          <w:color w:val="auto"/>
          <w:szCs w:val="21"/>
          <w:highlight w:val="none"/>
        </w:rPr>
      </w:pPr>
    </w:p>
    <w:p w14:paraId="61D28D32">
      <w:pPr>
        <w:pStyle w:val="10"/>
        <w:spacing w:line="360" w:lineRule="auto"/>
        <w:ind w:firstLine="420" w:firstLineChars="200"/>
        <w:rPr>
          <w:rFonts w:hint="eastAsia" w:ascii="宋体" w:hAnsi="宋体" w:eastAsia="宋体" w:cs="宋体"/>
          <w:color w:val="auto"/>
          <w:szCs w:val="21"/>
          <w:highlight w:val="none"/>
        </w:rPr>
        <w:sectPr>
          <w:footerReference r:id="rId11" w:type="default"/>
          <w:pgSz w:w="11911" w:h="16838"/>
          <w:pgMar w:top="1134" w:right="1134" w:bottom="1134" w:left="1134" w:header="720" w:footer="720" w:gutter="0"/>
          <w:pgNumType w:fmt="decimal"/>
          <w:cols w:space="720" w:num="1"/>
        </w:sectPr>
      </w:pPr>
    </w:p>
    <w:p w14:paraId="633CAF00">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Cs w:val="0"/>
          <w:color w:val="auto"/>
          <w:sz w:val="32"/>
          <w:szCs w:val="32"/>
          <w:highlight w:val="none"/>
        </w:rPr>
      </w:pPr>
      <w:bookmarkStart w:id="38" w:name="_Toc25520"/>
      <w:bookmarkStart w:id="39" w:name="_Toc9127"/>
      <w:bookmarkStart w:id="40" w:name="_Toc11093"/>
      <w:bookmarkStart w:id="41" w:name="_Toc80886926"/>
      <w:bookmarkStart w:id="42" w:name="_Toc7184"/>
      <w:bookmarkStart w:id="43" w:name="_Toc22325"/>
      <w:bookmarkStart w:id="44" w:name="_Toc26836"/>
      <w:bookmarkStart w:id="45" w:name="_Toc22760"/>
      <w:r>
        <w:rPr>
          <w:rFonts w:hint="eastAsia" w:ascii="宋体" w:hAnsi="宋体" w:eastAsia="宋体" w:cs="宋体"/>
          <w:bCs w:val="0"/>
          <w:color w:val="auto"/>
          <w:sz w:val="32"/>
          <w:szCs w:val="32"/>
          <w:highlight w:val="none"/>
        </w:rPr>
        <w:t>第二章 采购需求</w:t>
      </w:r>
      <w:bookmarkEnd w:id="38"/>
      <w:bookmarkEnd w:id="39"/>
      <w:bookmarkEnd w:id="40"/>
      <w:bookmarkEnd w:id="41"/>
      <w:bookmarkEnd w:id="42"/>
      <w:bookmarkEnd w:id="43"/>
      <w:bookmarkEnd w:id="44"/>
    </w:p>
    <w:bookmarkEnd w:id="45"/>
    <w:p w14:paraId="08A24D81">
      <w:pPr>
        <w:spacing w:line="4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3B986416">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1.为落实政府采购政策需满足的要求：</w:t>
      </w:r>
    </w:p>
    <w:p w14:paraId="723D9792">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（1）本竞争性磋商文件所称中小企业必须符合《政府采购促进中小企业发展管理办法》（财库〔2020〕46号）的规定。</w:t>
      </w:r>
    </w:p>
    <w:p w14:paraId="7E282886">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详见本章</w:t>
      </w:r>
      <w:r>
        <w:rPr>
          <w:rFonts w:hint="eastAsia" w:ascii="宋体" w:hAnsi="宋体" w:eastAsia="宋体" w:cs="宋体"/>
          <w:color w:val="auto"/>
          <w:szCs w:val="21"/>
          <w:highlight w:val="none"/>
          <w:lang w:eastAsia="zh-CN"/>
        </w:rPr>
        <w:t>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供应商必须在响应文件中提供所竞标产品</w:t>
      </w:r>
      <w:r>
        <w:rPr>
          <w:rFonts w:hint="eastAsia" w:ascii="宋体" w:hAnsi="宋体" w:eastAsia="宋体" w:cs="宋体"/>
          <w:b/>
          <w:bCs/>
          <w:color w:val="auto"/>
          <w:szCs w:val="21"/>
          <w:highlight w:val="none"/>
        </w:rPr>
        <w:t>有效期内</w:t>
      </w:r>
      <w:r>
        <w:rPr>
          <w:rFonts w:hint="eastAsia" w:ascii="宋体" w:hAnsi="宋体" w:eastAsia="宋体" w:cs="宋体"/>
          <w:b/>
          <w:bCs/>
          <w:color w:val="auto"/>
          <w:szCs w:val="21"/>
          <w:highlight w:val="none"/>
        </w:rPr>
        <w:t>的节能产品认证证书复印件（加盖供应商公章），否则响应文件</w:t>
      </w:r>
      <w:r>
        <w:rPr>
          <w:rFonts w:hint="eastAsia" w:ascii="宋体" w:hAnsi="宋体" w:eastAsia="宋体" w:cs="宋体"/>
          <w:b/>
          <w:bCs/>
          <w:color w:val="auto"/>
          <w:szCs w:val="21"/>
          <w:highlight w:val="none"/>
          <w:lang w:eastAsia="zh-CN"/>
        </w:rPr>
        <w:t>按无效</w:t>
      </w:r>
      <w:r>
        <w:rPr>
          <w:rFonts w:hint="eastAsia" w:ascii="宋体" w:hAnsi="宋体" w:eastAsia="宋体" w:cs="宋体"/>
          <w:b/>
          <w:bCs/>
          <w:color w:val="auto"/>
          <w:szCs w:val="21"/>
          <w:highlight w:val="none"/>
        </w:rPr>
        <w:t>处理</w:t>
      </w:r>
      <w:r>
        <w:rPr>
          <w:rFonts w:hint="eastAsia" w:ascii="宋体" w:hAnsi="宋体" w:eastAsia="宋体" w:cs="宋体"/>
          <w:color w:val="auto"/>
          <w:szCs w:val="21"/>
          <w:highlight w:val="none"/>
        </w:rPr>
        <w:t xml:space="preserve">。如本项目包含的配套货物属于品目清单内非标注“★”的产品时，应优先采购，具体详见“第四章 </w:t>
      </w:r>
      <w:r>
        <w:rPr>
          <w:rStyle w:val="36"/>
          <w:rFonts w:hint="eastAsia" w:ascii="宋体" w:hAnsi="宋体" w:eastAsia="宋体" w:cs="宋体"/>
          <w:color w:val="auto"/>
          <w:highlight w:val="none"/>
        </w:rPr>
        <w:t>评审程序、评审方法和评审标准</w:t>
      </w:r>
      <w:r>
        <w:rPr>
          <w:rFonts w:hint="eastAsia" w:ascii="宋体" w:hAnsi="宋体" w:eastAsia="宋体" w:cs="宋体"/>
          <w:color w:val="auto"/>
          <w:szCs w:val="21"/>
          <w:highlight w:val="none"/>
        </w:rPr>
        <w:t>”。</w:t>
      </w:r>
    </w:p>
    <w:p w14:paraId="4299A522">
      <w:pPr>
        <w:spacing w:line="420" w:lineRule="exact"/>
        <w:ind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w:t>
      </w:r>
      <w:r>
        <w:rPr>
          <w:rFonts w:hint="eastAsia" w:ascii="宋体" w:hAnsi="宋体" w:eastAsia="宋体" w:cs="宋体"/>
          <w:b w:val="0"/>
          <w:bCs w:val="0"/>
          <w:color w:val="auto"/>
          <w:sz w:val="21"/>
          <w:szCs w:val="21"/>
          <w:highlight w:val="none"/>
          <w:lang w:val="en-US"/>
        </w:rPr>
        <w:t>采购需求中带“▲”的条款</w:t>
      </w:r>
      <w:r>
        <w:rPr>
          <w:rFonts w:hint="eastAsia" w:ascii="宋体" w:hAnsi="宋体" w:eastAsia="宋体" w:cs="宋体"/>
          <w:b w:val="0"/>
          <w:bCs w:val="0"/>
          <w:color w:val="auto"/>
          <w:sz w:val="21"/>
          <w:szCs w:val="21"/>
          <w:highlight w:val="none"/>
          <w:lang w:val="en-US" w:eastAsia="zh-CN"/>
        </w:rPr>
        <w:t>为实质性条款，不满足作</w:t>
      </w:r>
      <w:r>
        <w:rPr>
          <w:rFonts w:hint="eastAsia" w:ascii="宋体" w:hAnsi="宋体" w:eastAsia="宋体" w:cs="宋体"/>
          <w:b w:val="0"/>
          <w:bCs w:val="0"/>
          <w:color w:val="auto"/>
          <w:sz w:val="21"/>
          <w:szCs w:val="21"/>
          <w:highlight w:val="none"/>
          <w:lang w:val="en-US"/>
        </w:rPr>
        <w:t>无效响应处理。</w:t>
      </w:r>
    </w:p>
    <w:p w14:paraId="2D6C79C2">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本</w:t>
      </w:r>
      <w:r>
        <w:rPr>
          <w:rFonts w:hint="eastAsia" w:ascii="宋体" w:hAnsi="宋体" w:eastAsia="宋体" w:cs="宋体"/>
          <w:color w:val="auto"/>
          <w:szCs w:val="21"/>
          <w:highlight w:val="none"/>
        </w:rPr>
        <w:t>服务项目中伴随货物的，采购需求中出现的品牌、型号或者</w:t>
      </w:r>
      <w:r>
        <w:rPr>
          <w:rFonts w:hint="eastAsia" w:ascii="宋体" w:hAnsi="宋体" w:eastAsia="宋体" w:cs="宋体"/>
          <w:color w:val="auto"/>
          <w:szCs w:val="21"/>
          <w:highlight w:val="none"/>
          <w:lang w:eastAsia="zh-CN"/>
        </w:rPr>
        <w:t>制造商</w:t>
      </w:r>
      <w:r>
        <w:rPr>
          <w:rFonts w:hint="eastAsia" w:ascii="宋体" w:hAnsi="宋体" w:eastAsia="宋体" w:cs="宋体"/>
          <w:color w:val="auto"/>
          <w:szCs w:val="21"/>
          <w:highlight w:val="none"/>
        </w:rPr>
        <w:t>仅起参考作用，不属于指定品牌、型号或者</w:t>
      </w:r>
      <w:r>
        <w:rPr>
          <w:rFonts w:hint="eastAsia" w:ascii="宋体" w:hAnsi="宋体" w:eastAsia="宋体" w:cs="宋体"/>
          <w:color w:val="auto"/>
          <w:szCs w:val="21"/>
          <w:highlight w:val="none"/>
          <w:lang w:eastAsia="zh-CN"/>
        </w:rPr>
        <w:t>制造商</w:t>
      </w:r>
      <w:r>
        <w:rPr>
          <w:rFonts w:hint="eastAsia" w:ascii="宋体" w:hAnsi="宋体" w:eastAsia="宋体" w:cs="宋体"/>
          <w:color w:val="auto"/>
          <w:szCs w:val="21"/>
          <w:highlight w:val="none"/>
        </w:rPr>
        <w:t>的情形。</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可参照或者选用其他相当的品牌、型号或者</w:t>
      </w:r>
      <w:r>
        <w:rPr>
          <w:rFonts w:hint="eastAsia" w:ascii="宋体" w:hAnsi="宋体" w:eastAsia="宋体" w:cs="宋体"/>
          <w:color w:val="auto"/>
          <w:szCs w:val="21"/>
          <w:highlight w:val="none"/>
          <w:lang w:eastAsia="zh-CN"/>
        </w:rPr>
        <w:t>制造商</w:t>
      </w:r>
      <w:r>
        <w:rPr>
          <w:rFonts w:hint="eastAsia" w:ascii="宋体" w:hAnsi="宋体" w:eastAsia="宋体" w:cs="宋体"/>
          <w:color w:val="auto"/>
          <w:szCs w:val="21"/>
          <w:highlight w:val="none"/>
        </w:rPr>
        <w:t>替代，但选用的</w:t>
      </w:r>
      <w:r>
        <w:rPr>
          <w:rFonts w:hint="eastAsia" w:ascii="宋体" w:hAnsi="宋体" w:eastAsia="宋体" w:cs="宋体"/>
          <w:color w:val="auto"/>
          <w:szCs w:val="21"/>
          <w:highlight w:val="none"/>
          <w:lang w:eastAsia="zh-CN"/>
        </w:rPr>
        <w:t>竞标</w:t>
      </w:r>
      <w:r>
        <w:rPr>
          <w:rFonts w:hint="eastAsia" w:ascii="宋体" w:hAnsi="宋体" w:eastAsia="宋体" w:cs="宋体"/>
          <w:color w:val="auto"/>
          <w:szCs w:val="21"/>
          <w:highlight w:val="none"/>
        </w:rPr>
        <w:t>产品</w:t>
      </w:r>
      <w:r>
        <w:rPr>
          <w:rFonts w:hint="eastAsia" w:ascii="宋体" w:hAnsi="宋体" w:eastAsia="宋体" w:cs="宋体"/>
          <w:color w:val="auto"/>
          <w:szCs w:val="21"/>
          <w:highlight w:val="none"/>
          <w:lang w:eastAsia="zh-CN"/>
        </w:rPr>
        <w:t>技术</w:t>
      </w:r>
      <w:r>
        <w:rPr>
          <w:rFonts w:hint="eastAsia" w:ascii="宋体" w:hAnsi="宋体" w:eastAsia="宋体" w:cs="宋体"/>
          <w:color w:val="auto"/>
          <w:szCs w:val="21"/>
          <w:highlight w:val="none"/>
        </w:rPr>
        <w:t>参数</w:t>
      </w:r>
      <w:r>
        <w:rPr>
          <w:rFonts w:hint="eastAsia" w:ascii="宋体" w:hAnsi="宋体" w:eastAsia="宋体" w:cs="宋体"/>
          <w:color w:val="auto"/>
          <w:szCs w:val="21"/>
          <w:highlight w:val="none"/>
          <w:lang w:eastAsia="zh-CN"/>
        </w:rPr>
        <w:t>及配置</w:t>
      </w:r>
      <w:r>
        <w:rPr>
          <w:rFonts w:hint="eastAsia" w:ascii="宋体" w:hAnsi="宋体" w:eastAsia="宋体" w:cs="宋体"/>
          <w:color w:val="auto"/>
          <w:szCs w:val="21"/>
          <w:highlight w:val="none"/>
        </w:rPr>
        <w:t>必须满足</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要求。</w:t>
      </w:r>
    </w:p>
    <w:p w14:paraId="2594690C">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必须对</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中提供的证明材料和资质文件真实性负责，如出现虚假应标情况，</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除了应接受有关部门的处罚外，还应依据《中华人民共和国民法典》的相关条款来</w:t>
      </w:r>
      <w:r>
        <w:rPr>
          <w:rFonts w:hint="eastAsia" w:ascii="宋体" w:hAnsi="宋体" w:eastAsia="宋体" w:cs="宋体"/>
          <w:color w:val="auto"/>
          <w:szCs w:val="21"/>
          <w:highlight w:val="none"/>
          <w:lang w:eastAsia="zh-CN"/>
        </w:rPr>
        <w:t>进行</w:t>
      </w:r>
      <w:r>
        <w:rPr>
          <w:rFonts w:hint="eastAsia" w:ascii="宋体" w:hAnsi="宋体" w:eastAsia="宋体" w:cs="宋体"/>
          <w:color w:val="auto"/>
          <w:szCs w:val="21"/>
          <w:highlight w:val="none"/>
        </w:rPr>
        <w:t>赔偿。</w:t>
      </w:r>
    </w:p>
    <w:p w14:paraId="2D95C155">
      <w:pPr>
        <w:spacing w:line="42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highlight w:val="none"/>
        </w:rPr>
        <w:t>应对</w:t>
      </w:r>
      <w:r>
        <w:rPr>
          <w:rFonts w:hint="eastAsia" w:ascii="宋体" w:hAnsi="宋体" w:eastAsia="宋体" w:cs="宋体"/>
          <w:color w:val="auto"/>
          <w:highlight w:val="none"/>
          <w:lang w:eastAsia="zh-CN"/>
        </w:rPr>
        <w:t>竞标</w:t>
      </w:r>
      <w:r>
        <w:rPr>
          <w:rFonts w:hint="eastAsia" w:ascii="宋体" w:hAnsi="宋体" w:eastAsia="宋体" w:cs="宋体"/>
          <w:color w:val="auto"/>
          <w:highlight w:val="none"/>
        </w:rPr>
        <w:t>内容所涉及的专利承担法律责任，并负责保护</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的利益不受任何损害。一切由于文字、商标、技术和软件专利授权引起的法律裁决、诉讼和赔偿费用均由</w:t>
      </w:r>
      <w:r>
        <w:rPr>
          <w:rFonts w:hint="eastAsia" w:ascii="宋体" w:hAnsi="宋体" w:eastAsia="宋体" w:cs="宋体"/>
          <w:color w:val="auto"/>
          <w:highlight w:val="none"/>
          <w:lang w:val="en-US"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highlight w:val="none"/>
        </w:rPr>
        <w:t>负责。</w:t>
      </w:r>
    </w:p>
    <w:p w14:paraId="04A027DC">
      <w:pPr>
        <w:spacing w:line="420" w:lineRule="exact"/>
        <w:ind w:firstLine="420" w:firstLineChars="200"/>
        <w:jc w:val="left"/>
        <w:rPr>
          <w:rFonts w:hint="eastAsia" w:ascii="宋体" w:hAnsi="宋体" w:eastAsia="宋体" w:cs="宋体"/>
          <w:i/>
          <w:iCs/>
          <w:color w:val="auto"/>
          <w:highlight w:val="none"/>
          <w:lang w:val="en-US" w:eastAsia="zh-CN"/>
        </w:rPr>
      </w:pPr>
      <w:r>
        <w:rPr>
          <w:rFonts w:hint="eastAsia" w:ascii="宋体" w:hAnsi="宋体" w:eastAsia="宋体" w:cs="宋体"/>
          <w:color w:val="auto"/>
          <w:highlight w:val="none"/>
          <w:lang w:val="en-US" w:eastAsia="zh-CN"/>
        </w:rPr>
        <w:t>6.采购标的对应的中小企业划分标准所属行业名称</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u w:val="single"/>
          <w:lang w:val="en-US" w:eastAsia="zh-CN"/>
        </w:rPr>
        <w:t xml:space="preserve"> 其他未列明行业。</w:t>
      </w:r>
    </w:p>
    <w:p w14:paraId="562DE2E1">
      <w:pPr>
        <w:tabs>
          <w:tab w:val="left" w:pos="180"/>
          <w:tab w:val="left" w:pos="1620"/>
        </w:tabs>
        <w:spacing w:line="360" w:lineRule="auto"/>
        <w:ind w:firstLine="0" w:firstLineChars="0"/>
        <w:rPr>
          <w:rFonts w:hint="eastAsia" w:ascii="宋体" w:hAnsi="宋体" w:eastAsia="宋体" w:cs="宋体"/>
          <w:b/>
          <w:bCs/>
          <w:color w:val="auto"/>
          <w:sz w:val="24"/>
          <w:highlight w:val="none"/>
        </w:rPr>
      </w:pPr>
    </w:p>
    <w:tbl>
      <w:tblPr>
        <w:tblStyle w:val="28"/>
        <w:tblW w:w="10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
        <w:gridCol w:w="596"/>
        <w:gridCol w:w="950"/>
        <w:gridCol w:w="888"/>
        <w:gridCol w:w="5525"/>
        <w:gridCol w:w="862"/>
        <w:gridCol w:w="861"/>
      </w:tblGrid>
      <w:tr w14:paraId="5B48B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0105" w:type="dxa"/>
            <w:gridSpan w:val="7"/>
            <w:tcBorders>
              <w:top w:val="single" w:color="auto" w:sz="4" w:space="0"/>
              <w:left w:val="single" w:color="auto" w:sz="4" w:space="0"/>
              <w:bottom w:val="single" w:color="auto" w:sz="4" w:space="0"/>
              <w:right w:val="single" w:color="auto" w:sz="4" w:space="0"/>
            </w:tcBorders>
            <w:noWrap w:val="0"/>
            <w:vAlign w:val="center"/>
          </w:tcPr>
          <w:p w14:paraId="10A5EE16">
            <w:pPr>
              <w:keepNext w:val="0"/>
              <w:keepLines w:val="0"/>
              <w:pageBreakBefore w:val="0"/>
              <w:kinsoku/>
              <w:wordWrap/>
              <w:overflowPunct/>
              <w:topLinePunct w:val="0"/>
              <w:autoSpaceDE/>
              <w:autoSpaceDN/>
              <w:bidi w:val="0"/>
              <w:adjustRightInd/>
              <w:snapToGrid/>
              <w:spacing w:line="420" w:lineRule="exact"/>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eastAsia="zh-CN"/>
              </w:rPr>
              <w:t>分标：</w:t>
            </w:r>
            <w:r>
              <w:rPr>
                <w:rFonts w:hint="eastAsia" w:ascii="宋体" w:hAnsi="宋体" w:eastAsia="宋体" w:cs="宋体"/>
                <w:color w:val="auto"/>
                <w:sz w:val="21"/>
                <w:szCs w:val="21"/>
                <w:highlight w:val="none"/>
                <w:lang w:val="en-US" w:eastAsia="zh-CN"/>
              </w:rPr>
              <w:t>/</w:t>
            </w:r>
          </w:p>
        </w:tc>
      </w:tr>
      <w:tr w14:paraId="0CF38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423" w:type="dxa"/>
            <w:vMerge w:val="restart"/>
            <w:tcBorders>
              <w:top w:val="single" w:color="auto" w:sz="4" w:space="0"/>
            </w:tcBorders>
            <w:noWrap w:val="0"/>
            <w:vAlign w:val="center"/>
          </w:tcPr>
          <w:p w14:paraId="2A9CB945">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需求一览表</w:t>
            </w:r>
          </w:p>
        </w:tc>
        <w:tc>
          <w:tcPr>
            <w:tcW w:w="596" w:type="dxa"/>
            <w:tcBorders>
              <w:top w:val="single" w:color="auto" w:sz="4" w:space="0"/>
            </w:tcBorders>
            <w:noWrap w:val="0"/>
            <w:vAlign w:val="center"/>
          </w:tcPr>
          <w:p w14:paraId="4753B587">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950" w:type="dxa"/>
            <w:tcBorders>
              <w:top w:val="single" w:color="auto" w:sz="4" w:space="0"/>
            </w:tcBorders>
            <w:noWrap w:val="0"/>
            <w:vAlign w:val="center"/>
          </w:tcPr>
          <w:p w14:paraId="585847DC">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标的名称</w:t>
            </w:r>
          </w:p>
        </w:tc>
        <w:tc>
          <w:tcPr>
            <w:tcW w:w="888" w:type="dxa"/>
            <w:tcBorders>
              <w:top w:val="single" w:color="auto" w:sz="4" w:space="0"/>
            </w:tcBorders>
            <w:noWrap w:val="0"/>
            <w:vAlign w:val="center"/>
          </w:tcPr>
          <w:p w14:paraId="076C9DDE">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数量</w:t>
            </w:r>
          </w:p>
          <w:p w14:paraId="72C387F1">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及</w:t>
            </w:r>
            <w:r>
              <w:rPr>
                <w:rFonts w:hint="eastAsia" w:ascii="宋体" w:hAnsi="宋体" w:eastAsia="宋体" w:cs="宋体"/>
                <w:color w:val="auto"/>
                <w:sz w:val="21"/>
                <w:szCs w:val="21"/>
                <w:highlight w:val="none"/>
              </w:rPr>
              <w:t>单位</w:t>
            </w:r>
          </w:p>
        </w:tc>
        <w:tc>
          <w:tcPr>
            <w:tcW w:w="5525" w:type="dxa"/>
            <w:tcBorders>
              <w:top w:val="single" w:color="auto" w:sz="4" w:space="0"/>
            </w:tcBorders>
            <w:noWrap w:val="0"/>
            <w:vAlign w:val="center"/>
          </w:tcPr>
          <w:p w14:paraId="6E117FA2">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w:t>
            </w:r>
            <w:r>
              <w:rPr>
                <w:rFonts w:hint="eastAsia" w:ascii="宋体" w:hAnsi="宋体" w:eastAsia="宋体" w:cs="宋体"/>
                <w:color w:val="auto"/>
                <w:sz w:val="21"/>
                <w:szCs w:val="21"/>
                <w:highlight w:val="none"/>
                <w:lang w:eastAsia="zh-CN"/>
              </w:rPr>
              <w:t>要求</w:t>
            </w:r>
          </w:p>
        </w:tc>
        <w:tc>
          <w:tcPr>
            <w:tcW w:w="862" w:type="dxa"/>
            <w:tcBorders>
              <w:top w:val="single" w:color="auto" w:sz="4" w:space="0"/>
            </w:tcBorders>
            <w:noWrap w:val="0"/>
            <w:vAlign w:val="center"/>
          </w:tcPr>
          <w:p w14:paraId="409FAD10">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单价（元）</w:t>
            </w:r>
          </w:p>
        </w:tc>
        <w:tc>
          <w:tcPr>
            <w:tcW w:w="861" w:type="dxa"/>
            <w:tcBorders>
              <w:top w:val="single" w:color="auto" w:sz="4" w:space="0"/>
            </w:tcBorders>
            <w:noWrap w:val="0"/>
            <w:vAlign w:val="center"/>
          </w:tcPr>
          <w:p w14:paraId="354AE271">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金额（元）</w:t>
            </w:r>
          </w:p>
        </w:tc>
      </w:tr>
      <w:tr w14:paraId="1CFD4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423" w:type="dxa"/>
            <w:vMerge w:val="continue"/>
            <w:noWrap w:val="0"/>
            <w:vAlign w:val="center"/>
          </w:tcPr>
          <w:p w14:paraId="26262FC8">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highlight w:val="none"/>
              </w:rPr>
            </w:pPr>
          </w:p>
        </w:tc>
        <w:tc>
          <w:tcPr>
            <w:tcW w:w="596" w:type="dxa"/>
            <w:noWrap w:val="0"/>
            <w:vAlign w:val="center"/>
          </w:tcPr>
          <w:p w14:paraId="388461C0">
            <w:pPr>
              <w:keepNext w:val="0"/>
              <w:keepLines w:val="0"/>
              <w:pageBreakBefore w:val="0"/>
              <w:numPr>
                <w:ilvl w:val="0"/>
                <w:numId w:val="1"/>
              </w:numPr>
              <w:kinsoku/>
              <w:wordWrap/>
              <w:overflowPunct/>
              <w:topLinePunct w:val="0"/>
              <w:autoSpaceDE/>
              <w:autoSpaceDN/>
              <w:bidi w:val="0"/>
              <w:adjustRightInd/>
              <w:snapToGrid/>
              <w:spacing w:line="420" w:lineRule="exact"/>
              <w:ind w:left="425" w:leftChars="0" w:hanging="425" w:firstLineChars="0"/>
              <w:jc w:val="center"/>
              <w:rPr>
                <w:rFonts w:hint="eastAsia" w:ascii="宋体" w:hAnsi="宋体" w:eastAsia="宋体" w:cs="宋体"/>
                <w:color w:val="auto"/>
                <w:sz w:val="21"/>
                <w:szCs w:val="21"/>
                <w:highlight w:val="none"/>
              </w:rPr>
            </w:pPr>
          </w:p>
        </w:tc>
        <w:tc>
          <w:tcPr>
            <w:tcW w:w="950" w:type="dxa"/>
            <w:noWrap w:val="0"/>
            <w:vAlign w:val="center"/>
          </w:tcPr>
          <w:p w14:paraId="36C848E8">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床单</w:t>
            </w:r>
            <w:r>
              <w:rPr>
                <w:rFonts w:hint="eastAsia" w:ascii="宋体" w:hAnsi="宋体" w:eastAsia="宋体" w:cs="宋体"/>
                <w:color w:val="auto"/>
                <w:sz w:val="21"/>
                <w:szCs w:val="21"/>
                <w:highlight w:val="none"/>
                <w:lang w:val="en-US" w:eastAsia="zh-CN"/>
              </w:rPr>
              <w:t>洗涤</w:t>
            </w:r>
          </w:p>
        </w:tc>
        <w:tc>
          <w:tcPr>
            <w:tcW w:w="888" w:type="dxa"/>
            <w:noWrap w:val="0"/>
            <w:vAlign w:val="center"/>
          </w:tcPr>
          <w:p w14:paraId="029DCC51">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19474张</w:t>
            </w:r>
          </w:p>
        </w:tc>
        <w:tc>
          <w:tcPr>
            <w:tcW w:w="5525" w:type="dxa"/>
            <w:noWrap w:val="0"/>
            <w:vAlign w:val="center"/>
          </w:tcPr>
          <w:p w14:paraId="43B38DFE">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规格：1.5米×2米</w:t>
            </w:r>
          </w:p>
          <w:p w14:paraId="2923B6CA">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洗涤费用：洁白、无毛发、无污迹、平整，送达使用地点分类折叠、分类存储。每周上报洗涤台账，每月上报月度洗涤、修补、耗损台账。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（两年暂定量19473张，据实结算）</w:t>
            </w:r>
          </w:p>
        </w:tc>
        <w:tc>
          <w:tcPr>
            <w:tcW w:w="862" w:type="dxa"/>
            <w:noWrap w:val="0"/>
            <w:vAlign w:val="center"/>
          </w:tcPr>
          <w:p w14:paraId="768409C7">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1.45</w:t>
            </w:r>
          </w:p>
        </w:tc>
        <w:tc>
          <w:tcPr>
            <w:tcW w:w="861" w:type="dxa"/>
            <w:noWrap w:val="0"/>
            <w:vAlign w:val="center"/>
          </w:tcPr>
          <w:p w14:paraId="7A05719A">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28237.3</w:t>
            </w:r>
          </w:p>
        </w:tc>
      </w:tr>
      <w:tr w14:paraId="08C6D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423" w:type="dxa"/>
            <w:vMerge w:val="continue"/>
            <w:noWrap w:val="0"/>
            <w:vAlign w:val="center"/>
          </w:tcPr>
          <w:p w14:paraId="06A1A4AA">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highlight w:val="none"/>
              </w:rPr>
            </w:pPr>
          </w:p>
        </w:tc>
        <w:tc>
          <w:tcPr>
            <w:tcW w:w="596" w:type="dxa"/>
            <w:noWrap w:val="0"/>
            <w:vAlign w:val="center"/>
          </w:tcPr>
          <w:p w14:paraId="533F4C39">
            <w:pPr>
              <w:keepNext w:val="0"/>
              <w:keepLines w:val="0"/>
              <w:pageBreakBefore w:val="0"/>
              <w:numPr>
                <w:ilvl w:val="0"/>
                <w:numId w:val="1"/>
              </w:numPr>
              <w:kinsoku/>
              <w:wordWrap/>
              <w:overflowPunct/>
              <w:topLinePunct w:val="0"/>
              <w:autoSpaceDE/>
              <w:autoSpaceDN/>
              <w:bidi w:val="0"/>
              <w:adjustRightInd/>
              <w:snapToGrid/>
              <w:spacing w:line="420" w:lineRule="exact"/>
              <w:ind w:left="425" w:leftChars="0" w:hanging="425" w:firstLineChars="0"/>
              <w:jc w:val="center"/>
              <w:rPr>
                <w:rFonts w:hint="eastAsia" w:ascii="宋体" w:hAnsi="宋体" w:eastAsia="宋体" w:cs="宋体"/>
                <w:color w:val="auto"/>
                <w:sz w:val="21"/>
                <w:szCs w:val="21"/>
                <w:highlight w:val="none"/>
              </w:rPr>
            </w:pPr>
          </w:p>
        </w:tc>
        <w:tc>
          <w:tcPr>
            <w:tcW w:w="950" w:type="dxa"/>
            <w:noWrap w:val="0"/>
            <w:vAlign w:val="center"/>
          </w:tcPr>
          <w:p w14:paraId="01813E29">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被套</w:t>
            </w:r>
            <w:r>
              <w:rPr>
                <w:rFonts w:hint="eastAsia" w:ascii="宋体" w:hAnsi="宋体" w:eastAsia="宋体" w:cs="宋体"/>
                <w:color w:val="auto"/>
                <w:sz w:val="21"/>
                <w:szCs w:val="21"/>
                <w:highlight w:val="none"/>
                <w:lang w:val="en-US" w:eastAsia="zh-CN"/>
              </w:rPr>
              <w:t>洗涤</w:t>
            </w:r>
          </w:p>
        </w:tc>
        <w:tc>
          <w:tcPr>
            <w:tcW w:w="888" w:type="dxa"/>
            <w:noWrap w:val="0"/>
            <w:vAlign w:val="center"/>
          </w:tcPr>
          <w:p w14:paraId="0475705A">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19474张</w:t>
            </w:r>
          </w:p>
        </w:tc>
        <w:tc>
          <w:tcPr>
            <w:tcW w:w="5525" w:type="dxa"/>
            <w:noWrap w:val="0"/>
            <w:vAlign w:val="center"/>
          </w:tcPr>
          <w:p w14:paraId="3F90BB3E">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规格：1.5米×2米</w:t>
            </w:r>
          </w:p>
          <w:p w14:paraId="0853A07F">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洗涤费用：洁白、无毛发、无污迹、平整，送达使用地点分类折叠、分类存储。每周上报洗涤台账，每月上报月度洗涤、修补、耗损台账。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（两年暂定量为19473张，据实结算）</w:t>
            </w:r>
          </w:p>
        </w:tc>
        <w:tc>
          <w:tcPr>
            <w:tcW w:w="862" w:type="dxa"/>
            <w:noWrap w:val="0"/>
            <w:vAlign w:val="center"/>
          </w:tcPr>
          <w:p w14:paraId="1C3C0968">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1.75</w:t>
            </w:r>
          </w:p>
        </w:tc>
        <w:tc>
          <w:tcPr>
            <w:tcW w:w="861" w:type="dxa"/>
            <w:noWrap w:val="0"/>
            <w:vAlign w:val="center"/>
          </w:tcPr>
          <w:p w14:paraId="407FC6E4">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34079.5</w:t>
            </w:r>
          </w:p>
        </w:tc>
      </w:tr>
      <w:tr w14:paraId="691A1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423" w:type="dxa"/>
            <w:vMerge w:val="continue"/>
            <w:noWrap w:val="0"/>
            <w:vAlign w:val="center"/>
          </w:tcPr>
          <w:p w14:paraId="0BB3AB84">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highlight w:val="none"/>
              </w:rPr>
            </w:pPr>
          </w:p>
        </w:tc>
        <w:tc>
          <w:tcPr>
            <w:tcW w:w="596" w:type="dxa"/>
            <w:noWrap w:val="0"/>
            <w:vAlign w:val="center"/>
          </w:tcPr>
          <w:p w14:paraId="7F5D2D15">
            <w:pPr>
              <w:keepNext w:val="0"/>
              <w:keepLines w:val="0"/>
              <w:pageBreakBefore w:val="0"/>
              <w:numPr>
                <w:ilvl w:val="0"/>
                <w:numId w:val="1"/>
              </w:numPr>
              <w:kinsoku/>
              <w:wordWrap/>
              <w:overflowPunct/>
              <w:topLinePunct w:val="0"/>
              <w:autoSpaceDE/>
              <w:autoSpaceDN/>
              <w:bidi w:val="0"/>
              <w:adjustRightInd/>
              <w:snapToGrid/>
              <w:spacing w:line="420" w:lineRule="exact"/>
              <w:ind w:left="425" w:leftChars="0" w:hanging="425" w:firstLineChars="0"/>
              <w:jc w:val="center"/>
              <w:rPr>
                <w:rFonts w:hint="eastAsia" w:ascii="宋体" w:hAnsi="宋体" w:eastAsia="宋体" w:cs="宋体"/>
                <w:color w:val="auto"/>
                <w:sz w:val="21"/>
                <w:szCs w:val="21"/>
                <w:highlight w:val="none"/>
              </w:rPr>
            </w:pPr>
          </w:p>
        </w:tc>
        <w:tc>
          <w:tcPr>
            <w:tcW w:w="950" w:type="dxa"/>
            <w:noWrap w:val="0"/>
            <w:vAlign w:val="center"/>
          </w:tcPr>
          <w:p w14:paraId="569C3115">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枕套</w:t>
            </w:r>
            <w:r>
              <w:rPr>
                <w:rFonts w:hint="eastAsia" w:ascii="宋体" w:hAnsi="宋体" w:eastAsia="宋体" w:cs="宋体"/>
                <w:color w:val="auto"/>
                <w:sz w:val="21"/>
                <w:szCs w:val="21"/>
                <w:highlight w:val="none"/>
                <w:lang w:val="en-US" w:eastAsia="zh-CN"/>
              </w:rPr>
              <w:t>洗涤</w:t>
            </w:r>
          </w:p>
        </w:tc>
        <w:tc>
          <w:tcPr>
            <w:tcW w:w="888" w:type="dxa"/>
            <w:noWrap w:val="0"/>
            <w:vAlign w:val="center"/>
          </w:tcPr>
          <w:p w14:paraId="5F00D6B3">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19474个</w:t>
            </w:r>
          </w:p>
        </w:tc>
        <w:tc>
          <w:tcPr>
            <w:tcW w:w="5525" w:type="dxa"/>
            <w:noWrap w:val="0"/>
            <w:vAlign w:val="center"/>
          </w:tcPr>
          <w:p w14:paraId="2CE9089F">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规格：50</w:t>
            </w:r>
            <w:r>
              <w:rPr>
                <w:rFonts w:hint="eastAsia" w:ascii="宋体" w:hAnsi="宋体" w:eastAsia="宋体" w:cs="宋体"/>
                <w:color w:val="auto"/>
                <w:sz w:val="21"/>
                <w:szCs w:val="21"/>
                <w:highlight w:val="none"/>
                <w:lang w:val="en-US" w:eastAsia="zh-CN"/>
              </w:rPr>
              <w:t>CM</w:t>
            </w:r>
            <w:r>
              <w:rPr>
                <w:rFonts w:hint="eastAsia" w:ascii="宋体" w:hAnsi="宋体" w:eastAsia="宋体" w:cs="宋体"/>
                <w:i w:val="0"/>
                <w:iCs w:val="0"/>
                <w:color w:val="auto"/>
                <w:kern w:val="0"/>
                <w:sz w:val="21"/>
                <w:szCs w:val="21"/>
                <w:highlight w:val="none"/>
                <w:u w:val="none"/>
                <w:lang w:val="en-US" w:eastAsia="zh-CN" w:bidi="ar"/>
              </w:rPr>
              <w:t>*80</w:t>
            </w:r>
            <w:r>
              <w:rPr>
                <w:rFonts w:hint="eastAsia" w:ascii="宋体" w:hAnsi="宋体" w:eastAsia="宋体" w:cs="宋体"/>
                <w:color w:val="auto"/>
                <w:sz w:val="21"/>
                <w:szCs w:val="21"/>
                <w:highlight w:val="none"/>
                <w:lang w:val="en-US" w:eastAsia="zh-CN"/>
              </w:rPr>
              <w:t>CM</w:t>
            </w:r>
          </w:p>
          <w:p w14:paraId="736E672B">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洗涤费用：洁白、无毛发、无污迹、平整，送达使用地点分类折叠、分类存储。每周上报洗涤台账，每月上报月度洗涤、修补、耗损台账。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（两年暂定量为19473个，据实结算）</w:t>
            </w:r>
          </w:p>
        </w:tc>
        <w:tc>
          <w:tcPr>
            <w:tcW w:w="862" w:type="dxa"/>
            <w:noWrap w:val="0"/>
            <w:vAlign w:val="center"/>
          </w:tcPr>
          <w:p w14:paraId="17582C4C">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0.65</w:t>
            </w:r>
          </w:p>
        </w:tc>
        <w:tc>
          <w:tcPr>
            <w:tcW w:w="861" w:type="dxa"/>
            <w:noWrap w:val="0"/>
            <w:vAlign w:val="center"/>
          </w:tcPr>
          <w:p w14:paraId="29134739">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12658.1</w:t>
            </w:r>
          </w:p>
        </w:tc>
      </w:tr>
      <w:tr w14:paraId="4DDA7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423" w:type="dxa"/>
            <w:vMerge w:val="continue"/>
            <w:noWrap w:val="0"/>
            <w:vAlign w:val="center"/>
          </w:tcPr>
          <w:p w14:paraId="590D56B5">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highlight w:val="none"/>
              </w:rPr>
            </w:pPr>
          </w:p>
        </w:tc>
        <w:tc>
          <w:tcPr>
            <w:tcW w:w="596" w:type="dxa"/>
            <w:noWrap w:val="0"/>
            <w:vAlign w:val="center"/>
          </w:tcPr>
          <w:p w14:paraId="1FA5EDD6">
            <w:pPr>
              <w:keepNext w:val="0"/>
              <w:keepLines w:val="0"/>
              <w:pageBreakBefore w:val="0"/>
              <w:numPr>
                <w:ilvl w:val="0"/>
                <w:numId w:val="1"/>
              </w:numPr>
              <w:kinsoku/>
              <w:wordWrap/>
              <w:overflowPunct/>
              <w:topLinePunct w:val="0"/>
              <w:autoSpaceDE/>
              <w:autoSpaceDN/>
              <w:bidi w:val="0"/>
              <w:adjustRightInd/>
              <w:snapToGrid/>
              <w:spacing w:line="420" w:lineRule="exact"/>
              <w:ind w:left="425" w:leftChars="0" w:hanging="425" w:firstLineChars="0"/>
              <w:jc w:val="center"/>
              <w:rPr>
                <w:rFonts w:hint="eastAsia" w:ascii="宋体" w:hAnsi="宋体" w:eastAsia="宋体" w:cs="宋体"/>
                <w:color w:val="auto"/>
                <w:sz w:val="21"/>
                <w:szCs w:val="21"/>
                <w:highlight w:val="none"/>
              </w:rPr>
            </w:pPr>
          </w:p>
        </w:tc>
        <w:tc>
          <w:tcPr>
            <w:tcW w:w="950" w:type="dxa"/>
            <w:noWrap w:val="0"/>
            <w:vAlign w:val="center"/>
          </w:tcPr>
          <w:p w14:paraId="7EC68C79">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被芯</w:t>
            </w:r>
            <w:r>
              <w:rPr>
                <w:rFonts w:hint="eastAsia" w:ascii="宋体" w:hAnsi="宋体" w:eastAsia="宋体" w:cs="宋体"/>
                <w:color w:val="auto"/>
                <w:sz w:val="21"/>
                <w:szCs w:val="21"/>
                <w:highlight w:val="none"/>
                <w:lang w:val="en-US" w:eastAsia="zh-CN"/>
              </w:rPr>
              <w:t>洗涤</w:t>
            </w:r>
          </w:p>
        </w:tc>
        <w:tc>
          <w:tcPr>
            <w:tcW w:w="888" w:type="dxa"/>
            <w:noWrap w:val="0"/>
            <w:vAlign w:val="center"/>
          </w:tcPr>
          <w:p w14:paraId="063C1799">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7344个</w:t>
            </w:r>
          </w:p>
        </w:tc>
        <w:tc>
          <w:tcPr>
            <w:tcW w:w="5525" w:type="dxa"/>
            <w:noWrap w:val="0"/>
            <w:vAlign w:val="center"/>
          </w:tcPr>
          <w:p w14:paraId="3A546159">
            <w:pPr>
              <w:keepNext w:val="0"/>
              <w:keepLines w:val="0"/>
              <w:pageBreakBefore w:val="0"/>
              <w:widowControl/>
              <w:kinsoku/>
              <w:wordWrap/>
              <w:overflowPunct/>
              <w:topLinePunct w:val="0"/>
              <w:autoSpaceDE/>
              <w:autoSpaceDN/>
              <w:bidi w:val="0"/>
              <w:adjustRightInd/>
              <w:snapToGrid/>
              <w:spacing w:line="420" w:lineRule="exac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规格：</w:t>
            </w:r>
            <w:r>
              <w:rPr>
                <w:rFonts w:hint="eastAsia" w:ascii="宋体" w:hAnsi="宋体" w:eastAsia="宋体" w:cs="宋体"/>
                <w:color w:val="auto"/>
                <w:sz w:val="21"/>
                <w:szCs w:val="21"/>
                <w:highlight w:val="none"/>
                <w:lang w:val="en-US" w:eastAsia="zh-CN"/>
              </w:rPr>
              <w:t>1.5米*2米</w:t>
            </w:r>
          </w:p>
          <w:p w14:paraId="7D0240E5">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洗涤费用：洁白、无毛发、无污迹、平整，送达使用地点分类折叠、分类存储。每周上报洗涤台账，每月上报月度洗涤、修补、耗损台账。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（两年暂定量为7344张，据实结算）</w:t>
            </w:r>
          </w:p>
        </w:tc>
        <w:tc>
          <w:tcPr>
            <w:tcW w:w="862" w:type="dxa"/>
            <w:noWrap w:val="0"/>
            <w:vAlign w:val="center"/>
          </w:tcPr>
          <w:p w14:paraId="4699F057">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7.45</w:t>
            </w:r>
          </w:p>
        </w:tc>
        <w:tc>
          <w:tcPr>
            <w:tcW w:w="861" w:type="dxa"/>
            <w:noWrap w:val="0"/>
            <w:vAlign w:val="center"/>
          </w:tcPr>
          <w:p w14:paraId="2E57422C">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54712.8</w:t>
            </w:r>
          </w:p>
        </w:tc>
      </w:tr>
      <w:tr w14:paraId="79492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423" w:type="dxa"/>
            <w:vMerge w:val="continue"/>
            <w:noWrap w:val="0"/>
            <w:vAlign w:val="center"/>
          </w:tcPr>
          <w:p w14:paraId="01B8DDD3">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highlight w:val="none"/>
              </w:rPr>
            </w:pPr>
          </w:p>
        </w:tc>
        <w:tc>
          <w:tcPr>
            <w:tcW w:w="596" w:type="dxa"/>
            <w:noWrap w:val="0"/>
            <w:vAlign w:val="center"/>
          </w:tcPr>
          <w:p w14:paraId="581CC95A">
            <w:pPr>
              <w:keepNext w:val="0"/>
              <w:keepLines w:val="0"/>
              <w:pageBreakBefore w:val="0"/>
              <w:numPr>
                <w:ilvl w:val="0"/>
                <w:numId w:val="1"/>
              </w:numPr>
              <w:kinsoku/>
              <w:wordWrap/>
              <w:overflowPunct/>
              <w:topLinePunct w:val="0"/>
              <w:autoSpaceDE/>
              <w:autoSpaceDN/>
              <w:bidi w:val="0"/>
              <w:adjustRightInd/>
              <w:snapToGrid/>
              <w:spacing w:line="420" w:lineRule="exact"/>
              <w:ind w:left="425" w:leftChars="0" w:hanging="425" w:firstLineChars="0"/>
              <w:jc w:val="center"/>
              <w:rPr>
                <w:rFonts w:hint="eastAsia" w:ascii="宋体" w:hAnsi="宋体" w:eastAsia="宋体" w:cs="宋体"/>
                <w:color w:val="auto"/>
                <w:sz w:val="21"/>
                <w:szCs w:val="21"/>
                <w:highlight w:val="none"/>
              </w:rPr>
            </w:pPr>
          </w:p>
        </w:tc>
        <w:tc>
          <w:tcPr>
            <w:tcW w:w="950" w:type="dxa"/>
            <w:noWrap w:val="0"/>
            <w:vAlign w:val="center"/>
          </w:tcPr>
          <w:p w14:paraId="3C2B3521">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垫被</w:t>
            </w:r>
            <w:r>
              <w:rPr>
                <w:rFonts w:hint="eastAsia" w:ascii="宋体" w:hAnsi="宋体" w:eastAsia="宋体" w:cs="宋体"/>
                <w:color w:val="auto"/>
                <w:sz w:val="21"/>
                <w:szCs w:val="21"/>
                <w:highlight w:val="none"/>
                <w:lang w:val="en-US" w:eastAsia="zh-CN"/>
              </w:rPr>
              <w:t>洗涤</w:t>
            </w:r>
          </w:p>
        </w:tc>
        <w:tc>
          <w:tcPr>
            <w:tcW w:w="888" w:type="dxa"/>
            <w:noWrap w:val="0"/>
            <w:vAlign w:val="center"/>
          </w:tcPr>
          <w:p w14:paraId="2C86F93A">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7344张</w:t>
            </w:r>
          </w:p>
        </w:tc>
        <w:tc>
          <w:tcPr>
            <w:tcW w:w="5525" w:type="dxa"/>
            <w:noWrap w:val="0"/>
            <w:vAlign w:val="center"/>
          </w:tcPr>
          <w:p w14:paraId="5223459C">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规格：1.5米×2米</w:t>
            </w:r>
          </w:p>
          <w:p w14:paraId="48BE2322">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洗涤费用：洁白、无毛发、无污迹、平整，送达使用地点分类折叠、分类存储。每周上报洗涤台账，每月上报月度洗涤、修补、耗损台账。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（两年暂定量为7344张，据实结算）</w:t>
            </w:r>
          </w:p>
        </w:tc>
        <w:tc>
          <w:tcPr>
            <w:tcW w:w="862" w:type="dxa"/>
            <w:noWrap w:val="0"/>
            <w:vAlign w:val="center"/>
          </w:tcPr>
          <w:p w14:paraId="7D0274FF">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3.55</w:t>
            </w:r>
          </w:p>
        </w:tc>
        <w:tc>
          <w:tcPr>
            <w:tcW w:w="861" w:type="dxa"/>
            <w:noWrap w:val="0"/>
            <w:vAlign w:val="center"/>
          </w:tcPr>
          <w:p w14:paraId="22E27131">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26071.2</w:t>
            </w:r>
          </w:p>
        </w:tc>
      </w:tr>
      <w:tr w14:paraId="2B10C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423" w:type="dxa"/>
            <w:vMerge w:val="continue"/>
            <w:noWrap w:val="0"/>
            <w:vAlign w:val="center"/>
          </w:tcPr>
          <w:p w14:paraId="5068DA21">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highlight w:val="none"/>
              </w:rPr>
            </w:pPr>
          </w:p>
        </w:tc>
        <w:tc>
          <w:tcPr>
            <w:tcW w:w="596" w:type="dxa"/>
            <w:noWrap w:val="0"/>
            <w:vAlign w:val="center"/>
          </w:tcPr>
          <w:p w14:paraId="1A9B946F">
            <w:pPr>
              <w:keepNext w:val="0"/>
              <w:keepLines w:val="0"/>
              <w:pageBreakBefore w:val="0"/>
              <w:numPr>
                <w:ilvl w:val="0"/>
                <w:numId w:val="1"/>
              </w:numPr>
              <w:kinsoku/>
              <w:wordWrap/>
              <w:overflowPunct/>
              <w:topLinePunct w:val="0"/>
              <w:autoSpaceDE/>
              <w:autoSpaceDN/>
              <w:bidi w:val="0"/>
              <w:adjustRightInd/>
              <w:snapToGrid/>
              <w:spacing w:line="420" w:lineRule="exact"/>
              <w:ind w:left="425" w:leftChars="0" w:hanging="425" w:firstLineChars="0"/>
              <w:jc w:val="center"/>
              <w:rPr>
                <w:rFonts w:hint="eastAsia" w:ascii="宋体" w:hAnsi="宋体" w:eastAsia="宋体" w:cs="宋体"/>
                <w:color w:val="auto"/>
                <w:sz w:val="21"/>
                <w:szCs w:val="21"/>
                <w:highlight w:val="none"/>
              </w:rPr>
            </w:pPr>
          </w:p>
        </w:tc>
        <w:tc>
          <w:tcPr>
            <w:tcW w:w="950" w:type="dxa"/>
            <w:noWrap w:val="0"/>
            <w:vAlign w:val="center"/>
          </w:tcPr>
          <w:p w14:paraId="5D51AF55">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枕芯</w:t>
            </w:r>
            <w:r>
              <w:rPr>
                <w:rFonts w:hint="eastAsia" w:ascii="宋体" w:hAnsi="宋体" w:eastAsia="宋体" w:cs="宋体"/>
                <w:color w:val="auto"/>
                <w:sz w:val="21"/>
                <w:szCs w:val="21"/>
                <w:highlight w:val="none"/>
                <w:lang w:val="en-US" w:eastAsia="zh-CN"/>
              </w:rPr>
              <w:t>洗涤</w:t>
            </w:r>
          </w:p>
        </w:tc>
        <w:tc>
          <w:tcPr>
            <w:tcW w:w="888" w:type="dxa"/>
            <w:noWrap w:val="0"/>
            <w:vAlign w:val="center"/>
          </w:tcPr>
          <w:p w14:paraId="5D350CE9">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8026张</w:t>
            </w:r>
          </w:p>
        </w:tc>
        <w:tc>
          <w:tcPr>
            <w:tcW w:w="5525" w:type="dxa"/>
            <w:noWrap w:val="0"/>
            <w:vAlign w:val="center"/>
          </w:tcPr>
          <w:p w14:paraId="2138D7F5">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规格：</w:t>
            </w:r>
            <w:r>
              <w:rPr>
                <w:rFonts w:hint="eastAsia" w:ascii="宋体" w:hAnsi="宋体" w:eastAsia="宋体" w:cs="宋体"/>
                <w:color w:val="auto"/>
                <w:sz w:val="21"/>
                <w:szCs w:val="21"/>
                <w:highlight w:val="none"/>
                <w:lang w:val="en-US" w:eastAsia="zh-CN"/>
              </w:rPr>
              <w:t>44CM*70CM</w:t>
            </w:r>
          </w:p>
          <w:p w14:paraId="6F14D3F9">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洗涤费用：洁白、无毛发、无污迹、平整，送达使用地点分类折叠、分类存储。每周上报洗涤台账，每月上报月度洗涤、修补、耗损台账。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（两年暂定量为8026个，据实结算）</w:t>
            </w:r>
          </w:p>
        </w:tc>
        <w:tc>
          <w:tcPr>
            <w:tcW w:w="862" w:type="dxa"/>
            <w:noWrap w:val="0"/>
            <w:vAlign w:val="center"/>
          </w:tcPr>
          <w:p w14:paraId="7426F92E">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2.45</w:t>
            </w:r>
          </w:p>
        </w:tc>
        <w:tc>
          <w:tcPr>
            <w:tcW w:w="861" w:type="dxa"/>
            <w:noWrap w:val="0"/>
            <w:vAlign w:val="center"/>
          </w:tcPr>
          <w:p w14:paraId="0CB64AE8">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19663.7</w:t>
            </w:r>
          </w:p>
        </w:tc>
      </w:tr>
      <w:tr w14:paraId="03041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423" w:type="dxa"/>
            <w:vMerge w:val="continue"/>
            <w:noWrap w:val="0"/>
            <w:vAlign w:val="center"/>
          </w:tcPr>
          <w:p w14:paraId="3E0FE862">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highlight w:val="none"/>
              </w:rPr>
            </w:pPr>
          </w:p>
        </w:tc>
        <w:tc>
          <w:tcPr>
            <w:tcW w:w="596" w:type="dxa"/>
            <w:noWrap w:val="0"/>
            <w:vAlign w:val="center"/>
          </w:tcPr>
          <w:p w14:paraId="47D57EBA">
            <w:pPr>
              <w:keepNext w:val="0"/>
              <w:keepLines w:val="0"/>
              <w:pageBreakBefore w:val="0"/>
              <w:numPr>
                <w:ilvl w:val="0"/>
                <w:numId w:val="1"/>
              </w:numPr>
              <w:kinsoku/>
              <w:wordWrap/>
              <w:overflowPunct/>
              <w:topLinePunct w:val="0"/>
              <w:autoSpaceDE/>
              <w:autoSpaceDN/>
              <w:bidi w:val="0"/>
              <w:adjustRightInd/>
              <w:snapToGrid/>
              <w:spacing w:line="420" w:lineRule="exact"/>
              <w:ind w:left="425" w:leftChars="0" w:hanging="425" w:firstLineChars="0"/>
              <w:jc w:val="center"/>
              <w:rPr>
                <w:rFonts w:hint="eastAsia" w:ascii="宋体" w:hAnsi="宋体" w:eastAsia="宋体" w:cs="宋体"/>
                <w:color w:val="auto"/>
                <w:sz w:val="21"/>
                <w:szCs w:val="21"/>
                <w:highlight w:val="none"/>
              </w:rPr>
            </w:pPr>
          </w:p>
        </w:tc>
        <w:tc>
          <w:tcPr>
            <w:tcW w:w="950" w:type="dxa"/>
            <w:noWrap w:val="0"/>
            <w:vAlign w:val="center"/>
          </w:tcPr>
          <w:p w14:paraId="5DCCF970">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项目主管</w:t>
            </w:r>
            <w:r>
              <w:rPr>
                <w:rFonts w:hint="eastAsia" w:ascii="宋体" w:hAnsi="宋体" w:eastAsia="宋体" w:cs="宋体"/>
                <w:color w:val="auto"/>
                <w:sz w:val="21"/>
                <w:szCs w:val="21"/>
                <w:highlight w:val="none"/>
                <w:lang w:val="en-US" w:eastAsia="zh-CN"/>
              </w:rPr>
              <w:t>服务</w:t>
            </w:r>
          </w:p>
        </w:tc>
        <w:tc>
          <w:tcPr>
            <w:tcW w:w="888" w:type="dxa"/>
            <w:noWrap w:val="0"/>
            <w:vAlign w:val="center"/>
          </w:tcPr>
          <w:p w14:paraId="1E73FE91">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2年</w:t>
            </w:r>
          </w:p>
        </w:tc>
        <w:tc>
          <w:tcPr>
            <w:tcW w:w="5525" w:type="dxa"/>
            <w:noWrap w:val="0"/>
            <w:vAlign w:val="center"/>
          </w:tcPr>
          <w:p w14:paraId="51762CE9">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年工资=1人×12月×4583.33元/月</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主管工作服务需求：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1.成交供应商主管人员协助校方管理部门对教师公寓日常管理工作。能熟练使用AI分析客房数据，对房源使用进行分析和预测。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2.负责安排前台服务员和公寓服务员的工作。监督和指导服务员的工作标准和服务态度。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3.负责处理教职员工的意见和投诉的反馈。</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4.负责监督和保持教师公寓运营标准和服务标准。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5.在日常情况下，对教师公寓服务人员进行定期巡视检查：考核服务效率、发现问题、解决问题、反馈问题的情况。</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6.负责监督教师公寓的安全状况，服务状况，卫生状况，安全状况。</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7.掌控监控教师公寓安全状况，发生灾害性事故，负责保护现场，组织临时救护。</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8.掌控员工状态，确保人员相对稳定。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9.定期组织晨会，例会、培训会，收集工作报表，整理上报，传达公司及学校的要求。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10.负责公寓物资的申报和保管工作。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11.负责布草，易耗品，客耗品管理。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12.负责办公用品及公寓服务设备的保管。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13.负责每月仓库物资的盘点工作，做好台账登记。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14.负责协调与学校的关系。</w:t>
            </w:r>
          </w:p>
        </w:tc>
        <w:tc>
          <w:tcPr>
            <w:tcW w:w="862" w:type="dxa"/>
            <w:noWrap w:val="0"/>
            <w:vAlign w:val="center"/>
          </w:tcPr>
          <w:p w14:paraId="6C7C37D7">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54999.96</w:t>
            </w:r>
          </w:p>
        </w:tc>
        <w:tc>
          <w:tcPr>
            <w:tcW w:w="861" w:type="dxa"/>
            <w:noWrap w:val="0"/>
            <w:vAlign w:val="center"/>
          </w:tcPr>
          <w:p w14:paraId="66852ADE">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109999.92</w:t>
            </w:r>
          </w:p>
        </w:tc>
      </w:tr>
      <w:tr w14:paraId="409A4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423" w:type="dxa"/>
            <w:vMerge w:val="continue"/>
            <w:noWrap w:val="0"/>
            <w:vAlign w:val="center"/>
          </w:tcPr>
          <w:p w14:paraId="4F794FE8">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highlight w:val="none"/>
              </w:rPr>
            </w:pPr>
          </w:p>
        </w:tc>
        <w:tc>
          <w:tcPr>
            <w:tcW w:w="596" w:type="dxa"/>
            <w:noWrap w:val="0"/>
            <w:vAlign w:val="center"/>
          </w:tcPr>
          <w:p w14:paraId="4378D348">
            <w:pPr>
              <w:keepNext w:val="0"/>
              <w:keepLines w:val="0"/>
              <w:pageBreakBefore w:val="0"/>
              <w:numPr>
                <w:ilvl w:val="0"/>
                <w:numId w:val="1"/>
              </w:numPr>
              <w:kinsoku/>
              <w:wordWrap/>
              <w:overflowPunct/>
              <w:topLinePunct w:val="0"/>
              <w:autoSpaceDE/>
              <w:autoSpaceDN/>
              <w:bidi w:val="0"/>
              <w:adjustRightInd/>
              <w:snapToGrid/>
              <w:spacing w:line="420" w:lineRule="exact"/>
              <w:ind w:left="425" w:leftChars="0" w:hanging="425" w:firstLineChars="0"/>
              <w:jc w:val="center"/>
              <w:rPr>
                <w:rFonts w:hint="eastAsia" w:ascii="宋体" w:hAnsi="宋体" w:eastAsia="宋体" w:cs="宋体"/>
                <w:color w:val="auto"/>
                <w:sz w:val="21"/>
                <w:szCs w:val="21"/>
                <w:highlight w:val="none"/>
              </w:rPr>
            </w:pPr>
          </w:p>
        </w:tc>
        <w:tc>
          <w:tcPr>
            <w:tcW w:w="950" w:type="dxa"/>
            <w:noWrap w:val="0"/>
            <w:vAlign w:val="center"/>
          </w:tcPr>
          <w:p w14:paraId="561AC6EA">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服务员服务</w:t>
            </w:r>
          </w:p>
        </w:tc>
        <w:tc>
          <w:tcPr>
            <w:tcW w:w="888" w:type="dxa"/>
            <w:noWrap w:val="0"/>
            <w:vAlign w:val="center"/>
          </w:tcPr>
          <w:p w14:paraId="3C38778D">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2年</w:t>
            </w:r>
          </w:p>
        </w:tc>
        <w:tc>
          <w:tcPr>
            <w:tcW w:w="5525" w:type="dxa"/>
            <w:noWrap w:val="0"/>
            <w:vAlign w:val="center"/>
          </w:tcPr>
          <w:p w14:paraId="3960FDE2">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年工资=5人×12月×</w:t>
            </w:r>
            <w:r>
              <w:rPr>
                <w:rFonts w:hint="eastAsia" w:ascii="宋体" w:hAnsi="宋体" w:cs="宋体"/>
                <w:i w:val="0"/>
                <w:iCs w:val="0"/>
                <w:color w:val="auto"/>
                <w:kern w:val="0"/>
                <w:sz w:val="21"/>
                <w:szCs w:val="21"/>
                <w:highlight w:val="none"/>
                <w:u w:val="none"/>
                <w:lang w:val="en-US" w:eastAsia="zh-CN" w:bidi="ar"/>
              </w:rPr>
              <w:t>2920</w:t>
            </w:r>
            <w:r>
              <w:rPr>
                <w:rFonts w:hint="eastAsia" w:ascii="宋体" w:hAnsi="宋体" w:eastAsia="宋体" w:cs="宋体"/>
                <w:i w:val="0"/>
                <w:iCs w:val="0"/>
                <w:color w:val="auto"/>
                <w:kern w:val="0"/>
                <w:sz w:val="21"/>
                <w:szCs w:val="21"/>
                <w:highlight w:val="none"/>
                <w:u w:val="none"/>
                <w:lang w:val="en-US" w:eastAsia="zh-CN" w:bidi="ar"/>
              </w:rPr>
              <w:t>元/月</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前台服务员工作要求：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1.服务态度好、办理入住手续效率高、礼节周到、协调应变能力强。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2.接待、问询服务态度好、准确无差错。</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3.委托代办服务态度好、效率高、正确无差错</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4.为入住教职员工提供床上用品等硬件设施服务。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5.负责教师公寓房间钥匙的保管和发放工作。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6.耐心接受投诉，反馈上级领导。</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7.做好教职员工遗留物品的登记，保管及核实归还工作。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8.做好交接班工作。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9.负责办理教师公寓退房工作。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10.完成主管及校方交办的任务。</w:t>
            </w:r>
          </w:p>
        </w:tc>
        <w:tc>
          <w:tcPr>
            <w:tcW w:w="862" w:type="dxa"/>
            <w:noWrap w:val="0"/>
            <w:vAlign w:val="center"/>
          </w:tcPr>
          <w:p w14:paraId="4C468836">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175200</w:t>
            </w:r>
          </w:p>
        </w:tc>
        <w:tc>
          <w:tcPr>
            <w:tcW w:w="861" w:type="dxa"/>
            <w:noWrap w:val="0"/>
            <w:vAlign w:val="center"/>
          </w:tcPr>
          <w:p w14:paraId="33A37091">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350400</w:t>
            </w:r>
          </w:p>
        </w:tc>
      </w:tr>
      <w:tr w14:paraId="69982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423" w:type="dxa"/>
            <w:vMerge w:val="continue"/>
            <w:noWrap w:val="0"/>
            <w:vAlign w:val="center"/>
          </w:tcPr>
          <w:p w14:paraId="2870B359">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highlight w:val="none"/>
              </w:rPr>
            </w:pPr>
          </w:p>
        </w:tc>
        <w:tc>
          <w:tcPr>
            <w:tcW w:w="596" w:type="dxa"/>
            <w:noWrap w:val="0"/>
            <w:vAlign w:val="center"/>
          </w:tcPr>
          <w:p w14:paraId="5BF96B55">
            <w:pPr>
              <w:keepNext w:val="0"/>
              <w:keepLines w:val="0"/>
              <w:pageBreakBefore w:val="0"/>
              <w:numPr>
                <w:ilvl w:val="0"/>
                <w:numId w:val="1"/>
              </w:numPr>
              <w:kinsoku/>
              <w:wordWrap/>
              <w:overflowPunct/>
              <w:topLinePunct w:val="0"/>
              <w:autoSpaceDE/>
              <w:autoSpaceDN/>
              <w:bidi w:val="0"/>
              <w:adjustRightInd/>
              <w:snapToGrid/>
              <w:spacing w:line="420" w:lineRule="exact"/>
              <w:ind w:left="425" w:leftChars="0" w:hanging="425" w:firstLineChars="0"/>
              <w:jc w:val="center"/>
              <w:rPr>
                <w:rFonts w:hint="eastAsia" w:ascii="宋体" w:hAnsi="宋体" w:eastAsia="宋体" w:cs="宋体"/>
                <w:color w:val="auto"/>
                <w:sz w:val="21"/>
                <w:szCs w:val="21"/>
                <w:highlight w:val="none"/>
              </w:rPr>
            </w:pPr>
          </w:p>
        </w:tc>
        <w:tc>
          <w:tcPr>
            <w:tcW w:w="950" w:type="dxa"/>
            <w:noWrap w:val="0"/>
            <w:vAlign w:val="center"/>
          </w:tcPr>
          <w:p w14:paraId="0F15F2C6">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保洁员服务</w:t>
            </w:r>
          </w:p>
        </w:tc>
        <w:tc>
          <w:tcPr>
            <w:tcW w:w="888" w:type="dxa"/>
            <w:noWrap w:val="0"/>
            <w:vAlign w:val="center"/>
          </w:tcPr>
          <w:p w14:paraId="092D4620">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2年</w:t>
            </w:r>
          </w:p>
        </w:tc>
        <w:tc>
          <w:tcPr>
            <w:tcW w:w="5525" w:type="dxa"/>
            <w:noWrap w:val="0"/>
            <w:vAlign w:val="center"/>
          </w:tcPr>
          <w:p w14:paraId="775078A5">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年工资=6人×12月×3100元/月</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楼层保洁员服务要求：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1.楼层保洁员服务态度好、效率高。</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2.整理公寓客房整齐、效率高、速度快。</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3.会客服务态度好、效率高、安全。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4.负责对使用过的房间、离退房间进行深度保洁，结合疫情需要，负责消杀工作。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5.负责每日更换使用过的脏布草。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6.负责楼层公共区域（包含走廊、楼梯等）的保洁。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7.负责补充教师公寓耗损物品，</w:t>
            </w:r>
            <w:r>
              <w:rPr>
                <w:rFonts w:hint="eastAsia" w:ascii="宋体" w:hAnsi="宋体" w:eastAsia="宋体" w:cs="宋体"/>
                <w:color w:val="auto"/>
                <w:sz w:val="21"/>
                <w:szCs w:val="21"/>
                <w:highlight w:val="none"/>
                <w:lang w:val="en-US" w:eastAsia="zh-CN"/>
              </w:rPr>
              <w:t>为采购人免费供应所需日常消耗品（包括但不限于纸巾、垃圾袋等物品），所供应日常消耗品质量至少对标当前市场上一线品牌。</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8.负责每天定时巡视楼层卫生、安全等。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9.保持工作车的清洁，确保备用充足的公寓用品。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10.完成主管及校方交办的任务。</w:t>
            </w:r>
          </w:p>
        </w:tc>
        <w:tc>
          <w:tcPr>
            <w:tcW w:w="862" w:type="dxa"/>
            <w:noWrap w:val="0"/>
            <w:vAlign w:val="center"/>
          </w:tcPr>
          <w:p w14:paraId="4B8C3DF5">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223200</w:t>
            </w:r>
          </w:p>
        </w:tc>
        <w:tc>
          <w:tcPr>
            <w:tcW w:w="861" w:type="dxa"/>
            <w:noWrap w:val="0"/>
            <w:vAlign w:val="center"/>
          </w:tcPr>
          <w:p w14:paraId="308F3EBF">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446400</w:t>
            </w:r>
          </w:p>
        </w:tc>
      </w:tr>
      <w:tr w14:paraId="3083B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3" w:type="dxa"/>
            <w:noWrap w:val="0"/>
            <w:vAlign w:val="center"/>
          </w:tcPr>
          <w:p w14:paraId="63C3F720">
            <w:pPr>
              <w:keepNext w:val="0"/>
              <w:keepLines w:val="0"/>
              <w:pageBreakBefore w:val="0"/>
              <w:kinsoku/>
              <w:wordWrap/>
              <w:overflowPunct/>
              <w:topLinePunct w:val="0"/>
              <w:autoSpaceDE/>
              <w:autoSpaceDN/>
              <w:bidi w:val="0"/>
              <w:adjustRightInd/>
              <w:snapToGrid/>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▲商务条款</w:t>
            </w:r>
          </w:p>
        </w:tc>
        <w:tc>
          <w:tcPr>
            <w:tcW w:w="9682" w:type="dxa"/>
            <w:gridSpan w:val="6"/>
            <w:noWrap w:val="0"/>
            <w:vAlign w:val="top"/>
          </w:tcPr>
          <w:p w14:paraId="597AF33D">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（一）报价要求：</w:t>
            </w:r>
          </w:p>
          <w:p w14:paraId="159D01AF">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报价需包含本项目全部服务内容所产生的所有费用，包括但不限于：服务费、设备使用费、差旅费、保险费、各项税金及其他不可预见的费用。因磋商供应商自身原因造成漏报、少报皆由磋商供应商自行承担责任，采购人不再补偿。</w:t>
            </w:r>
          </w:p>
          <w:p w14:paraId="0182D4B2">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2.报价应真实、合理，不得存在虚报、漏报情况，采购人不承担报价之外的任何额外费用。​</w:t>
            </w:r>
          </w:p>
          <w:p w14:paraId="6E0EC823">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3.响应报价须对“需求一览表”中各项内容作分项报价，且分项报价不能超过分项预算，否则响应无效。</w:t>
            </w:r>
          </w:p>
          <w:p w14:paraId="76CA4C58">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（二）服务期限和工作安排</w:t>
            </w:r>
          </w:p>
          <w:p w14:paraId="157D09DD">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1.服务期限：两年，自合同签订后接到采购人通知之日起算。</w:t>
            </w:r>
          </w:p>
          <w:p w14:paraId="6A367DD7">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2.工作安排：按照合同约定内容执行。</w:t>
            </w:r>
          </w:p>
          <w:p w14:paraId="4CA3367C">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（三）服务实施地点：</w:t>
            </w:r>
          </w:p>
          <w:p w14:paraId="0DC0CB4C">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服务实施地点：广西区内采购单位指定地点。</w:t>
            </w:r>
          </w:p>
          <w:p w14:paraId="7F4FF333">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（四）验收方式：</w:t>
            </w:r>
          </w:p>
          <w:p w14:paraId="0503A35E">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验收：以双方签订的合同条件为准，逐项进行最终验收。</w:t>
            </w:r>
          </w:p>
          <w:p w14:paraId="1DF6E169">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（五）付款条件及方式：</w:t>
            </w:r>
          </w:p>
          <w:p w14:paraId="0369912D">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1.服务费原则上按月结算，实际结算金额以</w:t>
            </w:r>
            <w:r>
              <w:rPr>
                <w:rFonts w:hint="eastAsia" w:ascii="宋体" w:hAnsi="宋体" w:cs="宋体"/>
                <w:color w:val="auto"/>
                <w:sz w:val="21"/>
                <w:szCs w:val="21"/>
                <w:highlight w:val="none"/>
                <w:lang w:val="en-US" w:eastAsia="zh-CN"/>
              </w:rPr>
              <w:t>成交供应商</w:t>
            </w:r>
            <w:r>
              <w:rPr>
                <w:rFonts w:hint="eastAsia" w:ascii="宋体" w:hAnsi="宋体" w:eastAsia="宋体" w:cs="宋体"/>
                <w:color w:val="auto"/>
                <w:sz w:val="21"/>
                <w:szCs w:val="21"/>
                <w:highlight w:val="none"/>
                <w:lang w:eastAsia="zh-CN"/>
              </w:rPr>
              <w:t>在本结算周期月内实际提供的服务数量和相应岗位人员实际投入人数计算。</w:t>
            </w:r>
          </w:p>
          <w:p w14:paraId="46AF4EDF">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r>
              <w:rPr>
                <w:rFonts w:hint="eastAsia" w:ascii="宋体" w:hAnsi="宋体" w:cs="宋体"/>
                <w:color w:val="auto"/>
                <w:sz w:val="21"/>
                <w:szCs w:val="21"/>
                <w:highlight w:val="none"/>
                <w:lang w:val="en-US" w:eastAsia="zh-CN"/>
              </w:rPr>
              <w:t>成交供应商</w:t>
            </w:r>
            <w:r>
              <w:rPr>
                <w:rFonts w:hint="eastAsia" w:ascii="宋体" w:hAnsi="宋体" w:eastAsia="宋体" w:cs="宋体"/>
                <w:color w:val="auto"/>
                <w:sz w:val="21"/>
                <w:szCs w:val="21"/>
                <w:highlight w:val="none"/>
                <w:lang w:eastAsia="zh-CN"/>
              </w:rPr>
              <w:t>每月15日之前向</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eastAsia="zh-CN"/>
              </w:rPr>
              <w:t>提交上月服务费付款申请、服务数量、人员考勤表、布草洗涤票据等相关材料，</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eastAsia="zh-CN"/>
              </w:rPr>
              <w:t>根据各项考核及日常检查结果、考勤结果及</w:t>
            </w:r>
            <w:r>
              <w:rPr>
                <w:rFonts w:hint="eastAsia" w:ascii="宋体" w:hAnsi="宋体" w:cs="宋体"/>
                <w:color w:val="auto"/>
                <w:sz w:val="21"/>
                <w:szCs w:val="21"/>
                <w:highlight w:val="none"/>
                <w:lang w:val="en-US" w:eastAsia="zh-CN"/>
              </w:rPr>
              <w:t>成交供应商</w:t>
            </w:r>
            <w:r>
              <w:rPr>
                <w:rFonts w:hint="eastAsia" w:ascii="宋体" w:hAnsi="宋体" w:eastAsia="宋体" w:cs="宋体"/>
                <w:color w:val="auto"/>
                <w:sz w:val="21"/>
                <w:szCs w:val="21"/>
                <w:highlight w:val="none"/>
                <w:lang w:eastAsia="zh-CN"/>
              </w:rPr>
              <w:t>付款申请进行综合核定上月应支付服务费，待</w:t>
            </w:r>
            <w:r>
              <w:rPr>
                <w:rFonts w:hint="eastAsia" w:ascii="宋体" w:hAnsi="宋体" w:cs="宋体"/>
                <w:color w:val="auto"/>
                <w:sz w:val="21"/>
                <w:szCs w:val="21"/>
                <w:highlight w:val="none"/>
                <w:lang w:val="en-US" w:eastAsia="zh-CN"/>
              </w:rPr>
              <w:t>成交供应商</w:t>
            </w:r>
            <w:r>
              <w:rPr>
                <w:rFonts w:hint="eastAsia" w:ascii="宋体" w:hAnsi="宋体" w:eastAsia="宋体" w:cs="宋体"/>
                <w:color w:val="auto"/>
                <w:sz w:val="21"/>
                <w:szCs w:val="21"/>
                <w:highlight w:val="none"/>
                <w:lang w:eastAsia="zh-CN"/>
              </w:rPr>
              <w:t>开具上月服务费全额发票后，向</w:t>
            </w:r>
            <w:r>
              <w:rPr>
                <w:rFonts w:hint="eastAsia" w:ascii="宋体" w:hAnsi="宋体" w:cs="宋体"/>
                <w:color w:val="auto"/>
                <w:sz w:val="21"/>
                <w:szCs w:val="21"/>
                <w:highlight w:val="none"/>
                <w:lang w:val="en-US" w:eastAsia="zh-CN"/>
              </w:rPr>
              <w:t>成交供应商</w:t>
            </w:r>
            <w:r>
              <w:rPr>
                <w:rFonts w:hint="eastAsia" w:ascii="宋体" w:hAnsi="宋体" w:eastAsia="宋体" w:cs="宋体"/>
                <w:color w:val="auto"/>
                <w:sz w:val="21"/>
                <w:szCs w:val="21"/>
                <w:highlight w:val="none"/>
                <w:lang w:eastAsia="zh-CN"/>
              </w:rPr>
              <w:t>一次性支付此阶段服务费。</w:t>
            </w:r>
          </w:p>
          <w:p w14:paraId="099DCCC6">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3.洗涤费用，两年内不超出合同暂定定量金额，据实结算。</w:t>
            </w:r>
            <w:r>
              <w:rPr>
                <w:rFonts w:hint="eastAsia" w:ascii="宋体" w:hAnsi="宋体" w:cs="宋体"/>
                <w:color w:val="auto"/>
                <w:sz w:val="21"/>
                <w:szCs w:val="21"/>
                <w:highlight w:val="none"/>
                <w:lang w:val="en-US" w:eastAsia="zh-CN"/>
              </w:rPr>
              <w:t>成交供应商</w:t>
            </w:r>
            <w:r>
              <w:rPr>
                <w:rFonts w:hint="eastAsia" w:ascii="宋体" w:hAnsi="宋体" w:eastAsia="宋体" w:cs="宋体"/>
                <w:color w:val="auto"/>
                <w:sz w:val="21"/>
                <w:szCs w:val="21"/>
                <w:highlight w:val="none"/>
                <w:lang w:eastAsia="zh-CN"/>
              </w:rPr>
              <w:t>未在规定时间内完成</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eastAsia="zh-CN"/>
              </w:rPr>
              <w:t>任务，或经</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eastAsia="zh-CN"/>
              </w:rPr>
              <w:t>发现服务质量不符合要求的，按照合同约定扣减相应费用。</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eastAsia="zh-CN"/>
              </w:rPr>
              <w:t>结合每月小评考核结果进行服务款的支付，涉及罚款的将在每月服务款中扣减后支付，</w:t>
            </w:r>
            <w:r>
              <w:rPr>
                <w:rFonts w:hint="eastAsia" w:ascii="宋体" w:hAnsi="宋体" w:cs="宋体"/>
                <w:color w:val="auto"/>
                <w:sz w:val="21"/>
                <w:szCs w:val="21"/>
                <w:highlight w:val="none"/>
                <w:lang w:val="en-US" w:eastAsia="zh-CN"/>
              </w:rPr>
              <w:t>成交供应商</w:t>
            </w:r>
            <w:r>
              <w:rPr>
                <w:rFonts w:hint="eastAsia" w:ascii="宋体" w:hAnsi="宋体" w:eastAsia="宋体" w:cs="宋体"/>
                <w:color w:val="auto"/>
                <w:sz w:val="21"/>
                <w:szCs w:val="21"/>
                <w:highlight w:val="none"/>
                <w:lang w:eastAsia="zh-CN"/>
              </w:rPr>
              <w:t>不得以此为由扣减人员工资。采购人根据《广西医科大学教师公寓考核表》（见附件）定期组织考核，</w:t>
            </w:r>
            <w:r>
              <w:rPr>
                <w:rFonts w:hint="eastAsia" w:ascii="宋体" w:hAnsi="宋体" w:cs="宋体"/>
                <w:color w:val="auto"/>
                <w:sz w:val="21"/>
                <w:szCs w:val="21"/>
                <w:highlight w:val="none"/>
                <w:lang w:val="en-US" w:eastAsia="zh-CN"/>
              </w:rPr>
              <w:t>成交供应商的</w:t>
            </w:r>
            <w:r>
              <w:rPr>
                <w:rFonts w:hint="eastAsia" w:ascii="宋体" w:hAnsi="宋体" w:eastAsia="宋体" w:cs="宋体"/>
                <w:color w:val="auto"/>
                <w:sz w:val="21"/>
                <w:szCs w:val="21"/>
                <w:highlight w:val="none"/>
                <w:lang w:eastAsia="zh-CN"/>
              </w:rPr>
              <w:t>服务费与服务考核情况挂钩，根据考核情况，采购人有权暂缓支付款项，待</w:t>
            </w:r>
            <w:r>
              <w:rPr>
                <w:rFonts w:hint="eastAsia" w:ascii="宋体" w:hAnsi="宋体" w:cs="宋体"/>
                <w:color w:val="auto"/>
                <w:sz w:val="21"/>
                <w:szCs w:val="21"/>
                <w:highlight w:val="none"/>
                <w:lang w:val="en-US" w:eastAsia="zh-CN"/>
              </w:rPr>
              <w:t>成交供应商</w:t>
            </w:r>
            <w:r>
              <w:rPr>
                <w:rFonts w:hint="eastAsia" w:ascii="宋体" w:hAnsi="宋体" w:eastAsia="宋体" w:cs="宋体"/>
                <w:color w:val="auto"/>
                <w:sz w:val="21"/>
                <w:szCs w:val="21"/>
                <w:highlight w:val="none"/>
                <w:lang w:eastAsia="zh-CN"/>
              </w:rPr>
              <w:t>出具整改方案或落实后，在办理款项支付事宜。拒不提供整改方案的，采购人按考核结果进行扣罚。</w:t>
            </w:r>
          </w:p>
          <w:p w14:paraId="4C6415B3">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w:t>
            </w:r>
            <w:r>
              <w:rPr>
                <w:rFonts w:hint="eastAsia" w:ascii="宋体" w:hAnsi="宋体" w:cs="宋体"/>
                <w:color w:val="auto"/>
                <w:sz w:val="21"/>
                <w:szCs w:val="21"/>
                <w:highlight w:val="none"/>
                <w:lang w:val="en-US" w:eastAsia="zh-CN"/>
              </w:rPr>
              <w:t>成交供应商</w:t>
            </w:r>
            <w:r>
              <w:rPr>
                <w:rFonts w:hint="eastAsia" w:ascii="宋体" w:hAnsi="宋体" w:eastAsia="宋体" w:cs="宋体"/>
                <w:color w:val="auto"/>
                <w:sz w:val="21"/>
                <w:szCs w:val="21"/>
                <w:highlight w:val="none"/>
                <w:lang w:eastAsia="zh-CN"/>
              </w:rPr>
              <w:t>应向</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eastAsia="zh-CN"/>
              </w:rPr>
              <w:t>开具相应金额的真实、合法、有效的正式发票。</w:t>
            </w:r>
            <w:r>
              <w:rPr>
                <w:rFonts w:hint="eastAsia" w:ascii="宋体" w:hAnsi="宋体" w:cs="宋体"/>
                <w:color w:val="auto"/>
                <w:sz w:val="21"/>
                <w:szCs w:val="21"/>
                <w:highlight w:val="none"/>
                <w:lang w:val="en-US" w:eastAsia="zh-CN"/>
              </w:rPr>
              <w:t>成交供应商</w:t>
            </w:r>
            <w:r>
              <w:rPr>
                <w:rFonts w:hint="eastAsia" w:ascii="宋体" w:hAnsi="宋体" w:eastAsia="宋体" w:cs="宋体"/>
                <w:color w:val="auto"/>
                <w:sz w:val="21"/>
                <w:szCs w:val="21"/>
                <w:highlight w:val="none"/>
                <w:lang w:eastAsia="zh-CN"/>
              </w:rPr>
              <w:t>所开具的发票必须为符合国家和广西壮族自治区有关规定的合法有效发票，</w:t>
            </w:r>
            <w:r>
              <w:rPr>
                <w:rFonts w:hint="eastAsia" w:ascii="宋体" w:hAnsi="宋体" w:cs="宋体"/>
                <w:color w:val="auto"/>
                <w:sz w:val="21"/>
                <w:szCs w:val="21"/>
                <w:highlight w:val="none"/>
                <w:lang w:val="en-US" w:eastAsia="zh-CN"/>
              </w:rPr>
              <w:t>成交供应商</w:t>
            </w:r>
            <w:r>
              <w:rPr>
                <w:rFonts w:hint="eastAsia" w:ascii="宋体" w:hAnsi="宋体" w:eastAsia="宋体" w:cs="宋体"/>
                <w:color w:val="auto"/>
                <w:sz w:val="21"/>
                <w:szCs w:val="21"/>
                <w:highlight w:val="none"/>
                <w:lang w:eastAsia="zh-CN"/>
              </w:rPr>
              <w:t>提供的发票若非合法有效，则</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eastAsia="zh-CN"/>
              </w:rPr>
              <w:t>在任何时候均有权要求</w:t>
            </w:r>
            <w:r>
              <w:rPr>
                <w:rFonts w:hint="eastAsia" w:ascii="宋体" w:hAnsi="宋体" w:cs="宋体"/>
                <w:color w:val="auto"/>
                <w:sz w:val="21"/>
                <w:szCs w:val="21"/>
                <w:highlight w:val="none"/>
                <w:lang w:val="en-US" w:eastAsia="zh-CN"/>
              </w:rPr>
              <w:t>成交供应商</w:t>
            </w:r>
            <w:r>
              <w:rPr>
                <w:rFonts w:hint="eastAsia" w:ascii="宋体" w:hAnsi="宋体" w:eastAsia="宋体" w:cs="宋体"/>
                <w:color w:val="auto"/>
                <w:sz w:val="21"/>
                <w:szCs w:val="21"/>
                <w:highlight w:val="none"/>
                <w:lang w:eastAsia="zh-CN"/>
              </w:rPr>
              <w:t>重新开具。</w:t>
            </w:r>
          </w:p>
        </w:tc>
      </w:tr>
      <w:tr w14:paraId="264C5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3" w:type="dxa"/>
            <w:noWrap w:val="0"/>
            <w:vAlign w:val="center"/>
          </w:tcPr>
          <w:p w14:paraId="6F848C59">
            <w:pPr>
              <w:keepNext w:val="0"/>
              <w:keepLines w:val="0"/>
              <w:pageBreakBefore w:val="0"/>
              <w:kinsoku/>
              <w:wordWrap/>
              <w:overflowPunct/>
              <w:topLinePunct w:val="0"/>
              <w:autoSpaceDE/>
              <w:autoSpaceDN/>
              <w:bidi w:val="0"/>
              <w:adjustRightInd/>
              <w:snapToGrid/>
              <w:spacing w:line="4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其他说明</w:t>
            </w:r>
          </w:p>
        </w:tc>
        <w:tc>
          <w:tcPr>
            <w:tcW w:w="9682" w:type="dxa"/>
            <w:gridSpan w:val="6"/>
            <w:noWrap w:val="0"/>
            <w:vAlign w:val="top"/>
          </w:tcPr>
          <w:p w14:paraId="0FD0CA98">
            <w:pPr>
              <w:keepNext w:val="0"/>
              <w:keepLines w:val="0"/>
              <w:pageBreakBefore w:val="0"/>
              <w:widowControl/>
              <w:shd w:val="clear" w:color="auto" w:fill="auto"/>
              <w:tabs>
                <w:tab w:val="left" w:pos="180"/>
                <w:tab w:val="left" w:pos="1620"/>
              </w:tabs>
              <w:kinsoku/>
              <w:wordWrap/>
              <w:overflowPunct/>
              <w:topLinePunct w:val="0"/>
              <w:autoSpaceDE/>
              <w:autoSpaceDN/>
              <w:bidi w:val="0"/>
              <w:adjustRightInd/>
              <w:snapToGrid/>
              <w:spacing w:line="42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一、进口产品说明</w:t>
            </w:r>
            <w:r>
              <w:rPr>
                <w:rFonts w:hint="eastAsia" w:ascii="宋体" w:hAnsi="宋体" w:eastAsia="宋体" w:cs="宋体"/>
                <w:color w:val="auto"/>
                <w:sz w:val="21"/>
                <w:szCs w:val="21"/>
                <w:highlight w:val="none"/>
                <w:lang w:eastAsia="zh-CN"/>
              </w:rPr>
              <w:t>：</w:t>
            </w:r>
            <w:r>
              <w:rPr>
                <w:rFonts w:hint="eastAsia" w:ascii="宋体" w:hAnsi="宋体" w:eastAsia="宋体" w:cs="宋体"/>
                <w:i/>
                <w:iCs/>
                <w:color w:val="auto"/>
                <w:sz w:val="21"/>
                <w:szCs w:val="21"/>
                <w:highlight w:val="none"/>
              </w:rPr>
              <w:t>（根据项目实际情况选择</w:t>
            </w:r>
            <w:r>
              <w:rPr>
                <w:rFonts w:hint="eastAsia" w:ascii="宋体" w:hAnsi="宋体" w:eastAsia="宋体" w:cs="宋体"/>
                <w:i/>
                <w:iCs/>
                <w:color w:val="auto"/>
                <w:sz w:val="21"/>
                <w:szCs w:val="21"/>
                <w:highlight w:val="none"/>
                <w:lang w:eastAsia="zh-CN"/>
              </w:rPr>
              <w:t>、完善</w:t>
            </w:r>
            <w:r>
              <w:rPr>
                <w:rFonts w:hint="eastAsia" w:ascii="宋体" w:hAnsi="宋体" w:eastAsia="宋体" w:cs="宋体"/>
                <w:i/>
                <w:iCs/>
                <w:color w:val="auto"/>
                <w:sz w:val="21"/>
                <w:szCs w:val="21"/>
                <w:highlight w:val="none"/>
              </w:rPr>
              <w:t>）</w:t>
            </w:r>
          </w:p>
          <w:p w14:paraId="435791B1">
            <w:pPr>
              <w:keepNext w:val="0"/>
              <w:keepLines w:val="0"/>
              <w:pageBreakBefore w:val="0"/>
              <w:tabs>
                <w:tab w:val="left" w:pos="180"/>
                <w:tab w:val="left" w:pos="1620"/>
              </w:tabs>
              <w:kinsoku/>
              <w:wordWrap/>
              <w:overflowPunct/>
              <w:topLinePunct w:val="0"/>
              <w:autoSpaceDE/>
              <w:autoSpaceDN/>
              <w:bidi w:val="0"/>
              <w:adjustRightInd/>
              <w:snapToGrid/>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本分标“需求一览表”中的第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项</w:t>
            </w:r>
            <w:r>
              <w:rPr>
                <w:rFonts w:hint="eastAsia" w:ascii="宋体" w:hAnsi="宋体" w:eastAsia="宋体" w:cs="宋体"/>
                <w:color w:val="auto"/>
                <w:sz w:val="21"/>
                <w:szCs w:val="21"/>
                <w:highlight w:val="none"/>
                <w:lang w:val="en-US" w:eastAsia="zh-CN"/>
              </w:rPr>
              <w:t>服务内容</w:t>
            </w:r>
            <w:r>
              <w:rPr>
                <w:rFonts w:hint="eastAsia" w:ascii="宋体" w:hAnsi="宋体" w:eastAsia="宋体" w:cs="宋体"/>
                <w:color w:val="auto"/>
                <w:sz w:val="21"/>
                <w:szCs w:val="21"/>
                <w:highlight w:val="none"/>
              </w:rPr>
              <w:t>所涉及的货物已按规定办妥进口产品采购审核手续，</w:t>
            </w:r>
            <w:r>
              <w:rPr>
                <w:rFonts w:hint="eastAsia" w:ascii="宋体" w:hAnsi="宋体" w:eastAsia="宋体" w:cs="宋体"/>
                <w:color w:val="auto"/>
                <w:sz w:val="21"/>
                <w:szCs w:val="21"/>
                <w:highlight w:val="none"/>
                <w:lang w:eastAsia="zh-CN"/>
              </w:rPr>
              <w:t>竞标</w:t>
            </w:r>
            <w:r>
              <w:rPr>
                <w:rFonts w:hint="eastAsia" w:ascii="宋体" w:hAnsi="宋体" w:eastAsia="宋体" w:cs="宋体"/>
                <w:color w:val="auto"/>
                <w:sz w:val="21"/>
                <w:szCs w:val="21"/>
                <w:highlight w:val="none"/>
              </w:rPr>
              <w:t>产品可选用进口产品；但如选用进口产品时必须为全套原装进口产品（即通过中国海关报关验放进入中国境内且产自关境外的产品），同时</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必须负责办理进口产品所有相关手续并承担所有费用。优先采购向我国企业转让技术、与我国企业签订消化吸收再创新方案的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的进口产品。</w:t>
            </w:r>
            <w:r>
              <w:rPr>
                <w:rFonts w:hint="eastAsia" w:ascii="宋体" w:hAnsi="宋体" w:eastAsia="宋体" w:cs="宋体"/>
                <w:b/>
                <w:bCs/>
                <w:color w:val="auto"/>
                <w:sz w:val="21"/>
                <w:szCs w:val="21"/>
                <w:highlight w:val="none"/>
              </w:rPr>
              <w:t>其他</w:t>
            </w:r>
            <w:r>
              <w:rPr>
                <w:rFonts w:hint="eastAsia" w:ascii="宋体" w:hAnsi="宋体" w:eastAsia="宋体" w:cs="宋体"/>
                <w:b/>
                <w:bCs/>
                <w:color w:val="auto"/>
                <w:sz w:val="21"/>
                <w:szCs w:val="21"/>
                <w:highlight w:val="none"/>
                <w:lang w:eastAsia="zh-CN"/>
              </w:rPr>
              <w:t>所涉及的</w:t>
            </w:r>
            <w:r>
              <w:rPr>
                <w:rFonts w:hint="eastAsia" w:ascii="宋体" w:hAnsi="宋体" w:eastAsia="宋体" w:cs="宋体"/>
                <w:b/>
                <w:bCs/>
                <w:color w:val="auto"/>
                <w:sz w:val="21"/>
                <w:szCs w:val="21"/>
                <w:highlight w:val="none"/>
              </w:rPr>
              <w:t>货物不接受进口产品参与</w:t>
            </w:r>
            <w:r>
              <w:rPr>
                <w:rFonts w:hint="eastAsia" w:ascii="宋体" w:hAnsi="宋体" w:eastAsia="宋体" w:cs="宋体"/>
                <w:b/>
                <w:bCs/>
                <w:color w:val="auto"/>
                <w:sz w:val="21"/>
                <w:szCs w:val="21"/>
                <w:highlight w:val="none"/>
                <w:lang w:eastAsia="zh-CN"/>
              </w:rPr>
              <w:t>竞标</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否则作无效</w:t>
            </w:r>
            <w:r>
              <w:rPr>
                <w:rFonts w:hint="eastAsia" w:ascii="宋体" w:hAnsi="宋体" w:eastAsia="宋体" w:cs="宋体"/>
                <w:b/>
                <w:color w:val="auto"/>
                <w:sz w:val="21"/>
                <w:szCs w:val="21"/>
                <w:highlight w:val="none"/>
                <w:lang w:eastAsia="zh-CN"/>
              </w:rPr>
              <w:t>竞标</w:t>
            </w:r>
            <w:r>
              <w:rPr>
                <w:rFonts w:hint="eastAsia" w:ascii="宋体" w:hAnsi="宋体" w:eastAsia="宋体" w:cs="宋体"/>
                <w:b/>
                <w:color w:val="auto"/>
                <w:sz w:val="21"/>
                <w:szCs w:val="21"/>
                <w:highlight w:val="none"/>
              </w:rPr>
              <w:t>处理。</w:t>
            </w:r>
          </w:p>
          <w:p w14:paraId="14FBB124">
            <w:pPr>
              <w:keepNext w:val="0"/>
              <w:keepLines w:val="0"/>
              <w:pageBreakBefore w:val="0"/>
              <w:tabs>
                <w:tab w:val="left" w:pos="180"/>
                <w:tab w:val="left" w:pos="1620"/>
              </w:tabs>
              <w:kinsoku/>
              <w:wordWrap/>
              <w:overflowPunct/>
              <w:topLinePunct w:val="0"/>
              <w:autoSpaceDE/>
              <w:autoSpaceDN/>
              <w:bidi w:val="0"/>
              <w:adjustRightInd/>
              <w:snapToGrid/>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本分标</w:t>
            </w:r>
            <w:r>
              <w:rPr>
                <w:rFonts w:hint="eastAsia" w:ascii="宋体" w:hAnsi="宋体" w:eastAsia="宋体" w:cs="宋体"/>
                <w:color w:val="auto"/>
                <w:sz w:val="21"/>
                <w:szCs w:val="21"/>
                <w:highlight w:val="none"/>
                <w:lang w:val="en-US" w:eastAsia="zh-CN"/>
              </w:rPr>
              <w:t>服务内容</w:t>
            </w:r>
            <w:r>
              <w:rPr>
                <w:rFonts w:hint="eastAsia" w:ascii="宋体" w:hAnsi="宋体" w:eastAsia="宋体" w:cs="宋体"/>
                <w:color w:val="auto"/>
                <w:sz w:val="21"/>
                <w:szCs w:val="21"/>
                <w:highlight w:val="none"/>
              </w:rPr>
              <w:t>所涉及的货物不接受进口产品（即通过中国海关报关验放进入中国境内且产自关境外的产品）参与</w:t>
            </w:r>
            <w:r>
              <w:rPr>
                <w:rFonts w:hint="eastAsia" w:ascii="宋体" w:hAnsi="宋体" w:eastAsia="宋体" w:cs="宋体"/>
                <w:color w:val="auto"/>
                <w:sz w:val="21"/>
                <w:szCs w:val="21"/>
                <w:highlight w:val="none"/>
                <w:lang w:eastAsia="zh-CN"/>
              </w:rPr>
              <w:t>竞标</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如有进口产品参与</w:t>
            </w:r>
            <w:r>
              <w:rPr>
                <w:rFonts w:hint="eastAsia" w:ascii="宋体" w:hAnsi="宋体" w:eastAsia="宋体" w:cs="宋体"/>
                <w:b/>
                <w:color w:val="auto"/>
                <w:sz w:val="21"/>
                <w:szCs w:val="21"/>
                <w:highlight w:val="none"/>
                <w:lang w:eastAsia="zh-CN"/>
              </w:rPr>
              <w:t>竞标</w:t>
            </w:r>
            <w:r>
              <w:rPr>
                <w:rFonts w:hint="eastAsia" w:ascii="宋体" w:hAnsi="宋体" w:eastAsia="宋体" w:cs="宋体"/>
                <w:b/>
                <w:color w:val="auto"/>
                <w:sz w:val="21"/>
                <w:szCs w:val="21"/>
                <w:highlight w:val="none"/>
              </w:rPr>
              <w:t>的作无效</w:t>
            </w:r>
            <w:r>
              <w:rPr>
                <w:rFonts w:hint="eastAsia" w:ascii="宋体" w:hAnsi="宋体" w:eastAsia="宋体" w:cs="宋体"/>
                <w:b/>
                <w:color w:val="auto"/>
                <w:sz w:val="21"/>
                <w:szCs w:val="21"/>
                <w:highlight w:val="none"/>
                <w:lang w:eastAsia="zh-CN"/>
              </w:rPr>
              <w:t>响应</w:t>
            </w:r>
            <w:r>
              <w:rPr>
                <w:rFonts w:hint="eastAsia" w:ascii="宋体" w:hAnsi="宋体" w:eastAsia="宋体" w:cs="宋体"/>
                <w:b/>
                <w:color w:val="auto"/>
                <w:sz w:val="21"/>
                <w:szCs w:val="21"/>
                <w:highlight w:val="none"/>
              </w:rPr>
              <w:t>处理</w:t>
            </w:r>
            <w:r>
              <w:rPr>
                <w:rFonts w:hint="eastAsia" w:ascii="宋体" w:hAnsi="宋体" w:eastAsia="宋体" w:cs="宋体"/>
                <w:color w:val="auto"/>
                <w:sz w:val="21"/>
                <w:szCs w:val="21"/>
                <w:highlight w:val="none"/>
              </w:rPr>
              <w:t>。</w:t>
            </w:r>
          </w:p>
          <w:p w14:paraId="58703E78">
            <w:pPr>
              <w:keepNext w:val="0"/>
              <w:keepLines w:val="0"/>
              <w:pageBreakBefore w:val="0"/>
              <w:tabs>
                <w:tab w:val="left" w:pos="180"/>
                <w:tab w:val="left" w:pos="1620"/>
              </w:tabs>
              <w:kinsoku/>
              <w:wordWrap/>
              <w:overflowPunct/>
              <w:topLinePunct w:val="0"/>
              <w:autoSpaceDE/>
              <w:autoSpaceDN/>
              <w:bidi w:val="0"/>
              <w:adjustRightInd/>
              <w:snapToGrid/>
              <w:spacing w:line="420" w:lineRule="exact"/>
              <w:ind w:firstLine="420" w:firstLineChars="200"/>
              <w:rPr>
                <w:rFonts w:hint="eastAsia" w:ascii="宋体" w:hAnsi="宋体" w:eastAsia="宋体" w:cs="宋体"/>
                <w:b w:val="0"/>
                <w:bCs/>
                <w:i w:val="0"/>
                <w:iCs w:val="0"/>
                <w:color w:val="auto"/>
                <w:sz w:val="21"/>
                <w:szCs w:val="21"/>
                <w:highlight w:val="none"/>
                <w:lang w:eastAsia="zh-CN"/>
              </w:rPr>
            </w:pPr>
            <w:r>
              <w:rPr>
                <w:rFonts w:hint="eastAsia" w:ascii="宋体" w:hAnsi="宋体" w:eastAsia="宋体" w:cs="宋体"/>
                <w:color w:val="auto"/>
                <w:sz w:val="21"/>
                <w:szCs w:val="21"/>
                <w:highlight w:val="none"/>
                <w:lang w:val="en-US" w:eastAsia="zh-CN"/>
              </w:rPr>
              <w:t>二、</w:t>
            </w:r>
            <w:r>
              <w:rPr>
                <w:rFonts w:hint="eastAsia" w:ascii="宋体" w:hAnsi="宋体" w:eastAsia="宋体" w:cs="宋体"/>
                <w:b/>
                <w:color w:val="auto"/>
                <w:sz w:val="21"/>
                <w:szCs w:val="21"/>
                <w:highlight w:val="none"/>
              </w:rPr>
              <w:t>与</w:t>
            </w:r>
            <w:r>
              <w:rPr>
                <w:rFonts w:hint="eastAsia" w:ascii="宋体" w:hAnsi="宋体" w:eastAsia="宋体" w:cs="宋体"/>
                <w:b/>
                <w:color w:val="auto"/>
                <w:sz w:val="21"/>
                <w:szCs w:val="21"/>
                <w:highlight w:val="none"/>
                <w:lang w:eastAsia="zh-CN"/>
              </w:rPr>
              <w:t>本分标</w:t>
            </w:r>
            <w:r>
              <w:rPr>
                <w:rFonts w:hint="eastAsia" w:ascii="宋体" w:hAnsi="宋体" w:eastAsia="宋体" w:cs="宋体"/>
                <w:b/>
                <w:color w:val="auto"/>
                <w:sz w:val="21"/>
                <w:szCs w:val="21"/>
                <w:highlight w:val="none"/>
              </w:rPr>
              <w:t>有关的设计图纸、技术规范、文件等附件资料及其获取方式</w:t>
            </w:r>
            <w:r>
              <w:rPr>
                <w:rFonts w:hint="eastAsia" w:ascii="宋体" w:hAnsi="宋体" w:eastAsia="宋体" w:cs="宋体"/>
                <w:b/>
                <w:color w:val="auto"/>
                <w:sz w:val="21"/>
                <w:szCs w:val="21"/>
                <w:highlight w:val="none"/>
                <w:lang w:eastAsia="zh-CN"/>
              </w:rPr>
              <w:t>：</w:t>
            </w:r>
          </w:p>
          <w:p w14:paraId="74B23AC2">
            <w:pPr>
              <w:keepNext w:val="0"/>
              <w:keepLines w:val="0"/>
              <w:pageBreakBefore w:val="0"/>
              <w:tabs>
                <w:tab w:val="left" w:pos="180"/>
                <w:tab w:val="left" w:pos="1620"/>
              </w:tabs>
              <w:kinsoku/>
              <w:wordWrap/>
              <w:overflowPunct/>
              <w:topLinePunct w:val="0"/>
              <w:autoSpaceDE/>
              <w:autoSpaceDN/>
              <w:bidi w:val="0"/>
              <w:adjustRightInd/>
              <w:snapToGrid/>
              <w:spacing w:line="42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文件或者资料名称：</w:t>
            </w:r>
            <w:r>
              <w:rPr>
                <w:rFonts w:hint="eastAsia" w:ascii="宋体" w:hAnsi="宋体" w:eastAsia="宋体" w:cs="宋体"/>
                <w:color w:val="auto"/>
                <w:sz w:val="21"/>
                <w:szCs w:val="21"/>
                <w:highlight w:val="none"/>
                <w:lang w:val="en-US" w:eastAsia="zh-CN"/>
              </w:rPr>
              <w:t>无</w:t>
            </w:r>
          </w:p>
          <w:p w14:paraId="402F7EC8">
            <w:pPr>
              <w:keepNext w:val="0"/>
              <w:keepLines w:val="0"/>
              <w:pageBreakBefore w:val="0"/>
              <w:tabs>
                <w:tab w:val="left" w:pos="180"/>
                <w:tab w:val="left" w:pos="1620"/>
              </w:tabs>
              <w:kinsoku/>
              <w:wordWrap/>
              <w:overflowPunct/>
              <w:topLinePunct w:val="0"/>
              <w:autoSpaceDE/>
              <w:autoSpaceDN/>
              <w:bidi w:val="0"/>
              <w:adjustRightInd/>
              <w:snapToGrid/>
              <w:spacing w:line="42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公布渠道或者获取方式：</w:t>
            </w:r>
            <w:r>
              <w:rPr>
                <w:rFonts w:hint="eastAsia" w:ascii="宋体" w:hAnsi="宋体" w:eastAsia="宋体" w:cs="宋体"/>
                <w:color w:val="auto"/>
                <w:sz w:val="21"/>
                <w:szCs w:val="21"/>
                <w:highlight w:val="none"/>
                <w:lang w:val="en-US" w:eastAsia="zh-CN"/>
              </w:rPr>
              <w:t>无</w:t>
            </w:r>
          </w:p>
        </w:tc>
      </w:tr>
    </w:tbl>
    <w:p w14:paraId="5DD54061">
      <w:pPr>
        <w:spacing w:line="428" w:lineRule="exact"/>
        <w:ind w:left="119"/>
        <w:rPr>
          <w:rFonts w:hint="eastAsia" w:ascii="宋体" w:hAnsi="宋体" w:eastAsia="宋体" w:cs="宋体"/>
          <w:color w:val="auto"/>
          <w:sz w:val="32"/>
          <w:szCs w:val="32"/>
          <w:highlight w:val="none"/>
        </w:rPr>
      </w:pPr>
    </w:p>
    <w:p w14:paraId="5A17AC5F">
      <w:pPr>
        <w:spacing w:line="528" w:lineRule="exact"/>
        <w:jc w:val="left"/>
        <w:rPr>
          <w:rFonts w:hint="eastAsia" w:ascii="宋体" w:hAnsi="宋体" w:eastAsia="宋体" w:cs="宋体"/>
          <w:color w:val="auto"/>
          <w:sz w:val="32"/>
          <w:szCs w:val="32"/>
          <w:highlight w:val="none"/>
        </w:rPr>
        <w:sectPr>
          <w:pgSz w:w="11911" w:h="16838"/>
          <w:pgMar w:top="1134" w:right="1134" w:bottom="1134" w:left="1134" w:header="720" w:footer="720" w:gutter="0"/>
          <w:pgNumType w:fmt="decimal"/>
          <w:cols w:space="720" w:num="1"/>
        </w:sectPr>
      </w:pPr>
    </w:p>
    <w:p w14:paraId="7E0D9C31">
      <w:pPr>
        <w:jc w:val="center"/>
        <w:rPr>
          <w:rFonts w:hint="eastAsia"/>
          <w:b/>
          <w:bCs/>
          <w:color w:val="auto"/>
          <w:sz w:val="28"/>
          <w:szCs w:val="28"/>
          <w:highlight w:val="none"/>
          <w:lang w:val="en-US" w:eastAsia="zh-CN"/>
        </w:rPr>
      </w:pPr>
      <w:r>
        <w:rPr>
          <w:rFonts w:hint="eastAsia"/>
          <w:b/>
          <w:color w:val="auto"/>
          <w:sz w:val="44"/>
          <w:szCs w:val="44"/>
          <w:highlight w:val="none"/>
          <w:lang w:eastAsia="zh-CN"/>
        </w:rPr>
        <w:t>教师</w:t>
      </w:r>
      <w:r>
        <w:rPr>
          <w:rFonts w:hint="eastAsia"/>
          <w:b/>
          <w:color w:val="auto"/>
          <w:sz w:val="44"/>
          <w:szCs w:val="44"/>
          <w:highlight w:val="none"/>
          <w:lang w:val="en-US" w:eastAsia="zh-CN"/>
        </w:rPr>
        <w:t>公寓</w:t>
      </w:r>
      <w:r>
        <w:rPr>
          <w:rFonts w:hint="eastAsia"/>
          <w:b/>
          <w:color w:val="auto"/>
          <w:sz w:val="44"/>
          <w:szCs w:val="44"/>
          <w:highlight w:val="none"/>
        </w:rPr>
        <w:t>管理物业服务工作考核表</w:t>
      </w:r>
      <w:r>
        <w:rPr>
          <w:rFonts w:hint="eastAsia"/>
          <w:b/>
          <w:bCs/>
          <w:color w:val="auto"/>
          <w:sz w:val="28"/>
          <w:szCs w:val="28"/>
          <w:highlight w:val="none"/>
          <w:lang w:val="en-US" w:eastAsia="zh-CN"/>
        </w:rPr>
        <w:t xml:space="preserve">     </w:t>
      </w:r>
    </w:p>
    <w:p w14:paraId="1D1F1A50">
      <w:pPr>
        <w:ind w:firstLine="281" w:firstLineChars="100"/>
        <w:jc w:val="both"/>
        <w:rPr>
          <w:rFonts w:hint="default" w:eastAsia="宋体"/>
          <w:color w:val="auto"/>
          <w:sz w:val="28"/>
          <w:szCs w:val="28"/>
          <w:highlight w:val="none"/>
          <w:lang w:val="en-US" w:eastAsia="zh-CN"/>
        </w:rPr>
      </w:pPr>
      <w:r>
        <w:rPr>
          <w:rFonts w:hint="eastAsia"/>
          <w:b/>
          <w:bCs/>
          <w:color w:val="auto"/>
          <w:sz w:val="28"/>
          <w:szCs w:val="28"/>
          <w:highlight w:val="none"/>
        </w:rPr>
        <w:t>受考核公寓名称：</w:t>
      </w:r>
      <w:r>
        <w:rPr>
          <w:rFonts w:hint="eastAsia"/>
          <w:b/>
          <w:bCs/>
          <w:color w:val="auto"/>
          <w:sz w:val="28"/>
          <w:szCs w:val="28"/>
          <w:highlight w:val="none"/>
          <w:lang w:val="en-US" w:eastAsia="zh-CN"/>
        </w:rPr>
        <w:t xml:space="preserve">教师公寓工作考核表                        </w:t>
      </w:r>
      <w:r>
        <w:rPr>
          <w:rFonts w:hint="eastAsia"/>
          <w:b/>
          <w:bCs/>
          <w:color w:val="auto"/>
          <w:sz w:val="28"/>
          <w:szCs w:val="28"/>
          <w:highlight w:val="none"/>
        </w:rPr>
        <w:t>考核时间</w:t>
      </w:r>
      <w:r>
        <w:rPr>
          <w:rFonts w:hint="eastAsia"/>
          <w:b/>
          <w:bCs/>
          <w:color w:val="auto"/>
          <w:sz w:val="28"/>
          <w:szCs w:val="28"/>
          <w:highlight w:val="none"/>
          <w:lang w:eastAsia="zh-CN"/>
        </w:rPr>
        <w:t>：</w:t>
      </w:r>
      <w:r>
        <w:rPr>
          <w:rFonts w:hint="eastAsia"/>
          <w:b/>
          <w:bCs/>
          <w:color w:val="auto"/>
          <w:sz w:val="28"/>
          <w:szCs w:val="28"/>
          <w:highlight w:val="none"/>
          <w:lang w:val="en-US" w:eastAsia="zh-CN"/>
        </w:rPr>
        <w:t xml:space="preserve">    </w:t>
      </w:r>
      <w:r>
        <w:rPr>
          <w:rFonts w:hint="eastAsia" w:ascii="Times New Roman" w:hAnsi="Times New Roman" w:eastAsia="宋体" w:cs="Times New Roman"/>
          <w:b/>
          <w:bCs/>
          <w:color w:val="auto"/>
          <w:sz w:val="28"/>
          <w:szCs w:val="28"/>
          <w:highlight w:val="none"/>
          <w:lang w:val="en-US" w:eastAsia="zh-CN"/>
        </w:rPr>
        <w:t>年  月   日</w:t>
      </w:r>
      <w:r>
        <w:rPr>
          <w:rFonts w:hint="eastAsia" w:ascii="宋体" w:hAnsi="宋体" w:eastAsia="宋体" w:cs="宋体"/>
          <w:b/>
          <w:bCs/>
          <w:color w:val="auto"/>
          <w:sz w:val="28"/>
          <w:szCs w:val="28"/>
          <w:highlight w:val="none"/>
          <w:lang w:val="en-US" w:eastAsia="zh-CN"/>
        </w:rPr>
        <w:t xml:space="preserve">－     </w:t>
      </w:r>
      <w:r>
        <w:rPr>
          <w:rFonts w:hint="eastAsia" w:ascii="Times New Roman" w:hAnsi="Times New Roman" w:eastAsia="宋体" w:cs="Times New Roman"/>
          <w:b/>
          <w:bCs/>
          <w:color w:val="auto"/>
          <w:sz w:val="28"/>
          <w:szCs w:val="28"/>
          <w:highlight w:val="none"/>
          <w:lang w:val="en-US" w:eastAsia="zh-CN"/>
        </w:rPr>
        <w:t>年  月   日</w:t>
      </w:r>
      <w:r>
        <w:rPr>
          <w:rFonts w:hint="eastAsia"/>
          <w:b/>
          <w:bCs/>
          <w:color w:val="auto"/>
          <w:sz w:val="28"/>
          <w:szCs w:val="28"/>
          <w:highlight w:val="none"/>
          <w:lang w:val="en-US" w:eastAsia="zh-CN"/>
        </w:rPr>
        <w:t xml:space="preserve">                </w:t>
      </w:r>
    </w:p>
    <w:tbl>
      <w:tblPr>
        <w:tblStyle w:val="28"/>
        <w:tblW w:w="15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663"/>
        <w:gridCol w:w="9999"/>
        <w:gridCol w:w="759"/>
        <w:gridCol w:w="793"/>
        <w:gridCol w:w="1155"/>
        <w:gridCol w:w="1374"/>
      </w:tblGrid>
      <w:tr w14:paraId="688B8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425" w:type="dxa"/>
            <w:gridSpan w:val="2"/>
            <w:vMerge w:val="restart"/>
            <w:noWrap w:val="0"/>
            <w:vAlign w:val="center"/>
          </w:tcPr>
          <w:p w14:paraId="659F81EF">
            <w:pPr>
              <w:jc w:val="center"/>
              <w:rPr>
                <w:rFonts w:hint="eastAsia"/>
                <w:color w:val="auto"/>
                <w:sz w:val="28"/>
                <w:szCs w:val="28"/>
                <w:highlight w:val="none"/>
              </w:rPr>
            </w:pPr>
            <w:r>
              <w:rPr>
                <w:rFonts w:hint="eastAsia"/>
                <w:color w:val="auto"/>
                <w:sz w:val="28"/>
                <w:szCs w:val="28"/>
                <w:highlight w:val="none"/>
              </w:rPr>
              <w:t>序号</w:t>
            </w:r>
          </w:p>
        </w:tc>
        <w:tc>
          <w:tcPr>
            <w:tcW w:w="9999" w:type="dxa"/>
            <w:vMerge w:val="restart"/>
            <w:noWrap w:val="0"/>
            <w:vAlign w:val="center"/>
          </w:tcPr>
          <w:p w14:paraId="653EB966">
            <w:pPr>
              <w:jc w:val="center"/>
              <w:rPr>
                <w:rFonts w:hint="eastAsia"/>
                <w:color w:val="auto"/>
                <w:sz w:val="28"/>
                <w:szCs w:val="28"/>
                <w:highlight w:val="none"/>
              </w:rPr>
            </w:pPr>
            <w:r>
              <w:rPr>
                <w:rFonts w:hint="eastAsia"/>
                <w:color w:val="auto"/>
                <w:sz w:val="28"/>
                <w:szCs w:val="28"/>
                <w:highlight w:val="none"/>
              </w:rPr>
              <w:t>考核内容</w:t>
            </w:r>
          </w:p>
        </w:tc>
        <w:tc>
          <w:tcPr>
            <w:tcW w:w="2707" w:type="dxa"/>
            <w:gridSpan w:val="3"/>
            <w:noWrap w:val="0"/>
            <w:vAlign w:val="top"/>
          </w:tcPr>
          <w:p w14:paraId="2D89FAC3">
            <w:pPr>
              <w:jc w:val="center"/>
              <w:rPr>
                <w:rFonts w:hint="eastAsia"/>
                <w:color w:val="auto"/>
                <w:szCs w:val="21"/>
                <w:highlight w:val="none"/>
              </w:rPr>
            </w:pPr>
            <w:r>
              <w:rPr>
                <w:rFonts w:hint="eastAsia"/>
                <w:color w:val="auto"/>
                <w:szCs w:val="21"/>
                <w:highlight w:val="none"/>
              </w:rPr>
              <w:t>考核结果</w:t>
            </w:r>
          </w:p>
        </w:tc>
        <w:tc>
          <w:tcPr>
            <w:tcW w:w="1374" w:type="dxa"/>
            <w:vMerge w:val="restart"/>
            <w:noWrap w:val="0"/>
            <w:vAlign w:val="center"/>
          </w:tcPr>
          <w:p w14:paraId="375561F6">
            <w:pPr>
              <w:jc w:val="center"/>
              <w:rPr>
                <w:rFonts w:hint="eastAsia"/>
                <w:color w:val="auto"/>
                <w:sz w:val="24"/>
                <w:highlight w:val="none"/>
              </w:rPr>
            </w:pPr>
            <w:r>
              <w:rPr>
                <w:rFonts w:hint="eastAsia"/>
                <w:color w:val="auto"/>
                <w:sz w:val="24"/>
                <w:highlight w:val="none"/>
              </w:rPr>
              <w:t>情况说明</w:t>
            </w:r>
          </w:p>
        </w:tc>
      </w:tr>
      <w:tr w14:paraId="34406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425" w:type="dxa"/>
            <w:gridSpan w:val="2"/>
            <w:vMerge w:val="continue"/>
            <w:noWrap w:val="0"/>
            <w:vAlign w:val="top"/>
          </w:tcPr>
          <w:p w14:paraId="29FEF0F7">
            <w:pPr>
              <w:jc w:val="center"/>
              <w:rPr>
                <w:color w:val="auto"/>
                <w:highlight w:val="none"/>
              </w:rPr>
            </w:pPr>
          </w:p>
        </w:tc>
        <w:tc>
          <w:tcPr>
            <w:tcW w:w="9999" w:type="dxa"/>
            <w:vMerge w:val="continue"/>
            <w:noWrap w:val="0"/>
            <w:vAlign w:val="top"/>
          </w:tcPr>
          <w:p w14:paraId="081EF881">
            <w:pPr>
              <w:jc w:val="center"/>
              <w:rPr>
                <w:color w:val="auto"/>
                <w:highlight w:val="none"/>
              </w:rPr>
            </w:pPr>
          </w:p>
        </w:tc>
        <w:tc>
          <w:tcPr>
            <w:tcW w:w="759" w:type="dxa"/>
            <w:noWrap w:val="0"/>
            <w:vAlign w:val="center"/>
          </w:tcPr>
          <w:p w14:paraId="1DCC0518">
            <w:pPr>
              <w:jc w:val="center"/>
              <w:rPr>
                <w:rFonts w:hint="eastAsia"/>
                <w:color w:val="auto"/>
                <w:szCs w:val="21"/>
                <w:highlight w:val="none"/>
              </w:rPr>
            </w:pPr>
            <w:r>
              <w:rPr>
                <w:rFonts w:hint="eastAsia"/>
                <w:color w:val="auto"/>
                <w:szCs w:val="21"/>
                <w:highlight w:val="none"/>
              </w:rPr>
              <w:t>口头</w:t>
            </w:r>
          </w:p>
          <w:p w14:paraId="120ABF5E">
            <w:pPr>
              <w:jc w:val="center"/>
              <w:rPr>
                <w:rFonts w:hint="eastAsia"/>
                <w:color w:val="auto"/>
                <w:szCs w:val="21"/>
                <w:highlight w:val="none"/>
              </w:rPr>
            </w:pPr>
            <w:r>
              <w:rPr>
                <w:rFonts w:hint="eastAsia"/>
                <w:color w:val="auto"/>
                <w:szCs w:val="21"/>
                <w:highlight w:val="none"/>
              </w:rPr>
              <w:t>警告</w:t>
            </w:r>
          </w:p>
        </w:tc>
        <w:tc>
          <w:tcPr>
            <w:tcW w:w="793" w:type="dxa"/>
            <w:noWrap w:val="0"/>
            <w:vAlign w:val="center"/>
          </w:tcPr>
          <w:p w14:paraId="55BCA984">
            <w:pPr>
              <w:jc w:val="center"/>
              <w:rPr>
                <w:rFonts w:hint="eastAsia"/>
                <w:color w:val="auto"/>
                <w:szCs w:val="21"/>
                <w:highlight w:val="none"/>
              </w:rPr>
            </w:pPr>
            <w:r>
              <w:rPr>
                <w:rFonts w:hint="eastAsia"/>
                <w:color w:val="auto"/>
                <w:szCs w:val="21"/>
                <w:highlight w:val="none"/>
              </w:rPr>
              <w:t>书面</w:t>
            </w:r>
          </w:p>
          <w:p w14:paraId="040B7F24">
            <w:pPr>
              <w:jc w:val="center"/>
              <w:rPr>
                <w:rFonts w:hint="eastAsia"/>
                <w:color w:val="auto"/>
                <w:szCs w:val="21"/>
                <w:highlight w:val="none"/>
              </w:rPr>
            </w:pPr>
            <w:r>
              <w:rPr>
                <w:rFonts w:hint="eastAsia"/>
                <w:color w:val="auto"/>
                <w:szCs w:val="21"/>
                <w:highlight w:val="none"/>
              </w:rPr>
              <w:t>整改</w:t>
            </w:r>
          </w:p>
        </w:tc>
        <w:tc>
          <w:tcPr>
            <w:tcW w:w="1155" w:type="dxa"/>
            <w:noWrap w:val="0"/>
            <w:vAlign w:val="center"/>
          </w:tcPr>
          <w:p w14:paraId="1662B578">
            <w:pPr>
              <w:jc w:val="center"/>
              <w:rPr>
                <w:rFonts w:hint="eastAsia"/>
                <w:color w:val="auto"/>
                <w:szCs w:val="21"/>
                <w:highlight w:val="none"/>
              </w:rPr>
            </w:pPr>
            <w:r>
              <w:rPr>
                <w:rFonts w:hint="eastAsia"/>
                <w:color w:val="auto"/>
                <w:szCs w:val="21"/>
                <w:highlight w:val="none"/>
              </w:rPr>
              <w:t>扣款次数及金额</w:t>
            </w:r>
          </w:p>
        </w:tc>
        <w:tc>
          <w:tcPr>
            <w:tcW w:w="1374" w:type="dxa"/>
            <w:vMerge w:val="continue"/>
            <w:noWrap w:val="0"/>
            <w:vAlign w:val="top"/>
          </w:tcPr>
          <w:p w14:paraId="43EEC65B">
            <w:pPr>
              <w:jc w:val="center"/>
              <w:rPr>
                <w:rFonts w:hint="eastAsia"/>
                <w:color w:val="auto"/>
                <w:sz w:val="28"/>
                <w:szCs w:val="28"/>
                <w:highlight w:val="none"/>
              </w:rPr>
            </w:pPr>
          </w:p>
        </w:tc>
      </w:tr>
      <w:tr w14:paraId="7B7E7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762" w:type="dxa"/>
            <w:vMerge w:val="restart"/>
            <w:noWrap w:val="0"/>
            <w:vAlign w:val="center"/>
          </w:tcPr>
          <w:p w14:paraId="0BA03759">
            <w:pPr>
              <w:jc w:val="center"/>
              <w:rPr>
                <w:rFonts w:hint="eastAsia"/>
                <w:color w:val="auto"/>
                <w:sz w:val="28"/>
                <w:szCs w:val="28"/>
                <w:highlight w:val="none"/>
              </w:rPr>
            </w:pPr>
            <w:r>
              <w:rPr>
                <w:rFonts w:hint="eastAsia"/>
                <w:color w:val="auto"/>
                <w:sz w:val="28"/>
                <w:szCs w:val="28"/>
                <w:highlight w:val="none"/>
              </w:rPr>
              <w:t>值班门岗考核项目</w:t>
            </w:r>
          </w:p>
        </w:tc>
        <w:tc>
          <w:tcPr>
            <w:tcW w:w="663" w:type="dxa"/>
            <w:noWrap w:val="0"/>
            <w:vAlign w:val="center"/>
          </w:tcPr>
          <w:p w14:paraId="1E9DD9A1">
            <w:pPr>
              <w:jc w:val="center"/>
              <w:rPr>
                <w:rFonts w:hint="eastAsia"/>
                <w:color w:val="auto"/>
                <w:sz w:val="28"/>
                <w:szCs w:val="28"/>
                <w:highlight w:val="none"/>
              </w:rPr>
            </w:pPr>
            <w:r>
              <w:rPr>
                <w:rFonts w:hint="eastAsia"/>
                <w:color w:val="auto"/>
                <w:sz w:val="28"/>
                <w:szCs w:val="28"/>
                <w:highlight w:val="none"/>
              </w:rPr>
              <w:t>1</w:t>
            </w:r>
          </w:p>
        </w:tc>
        <w:tc>
          <w:tcPr>
            <w:tcW w:w="9999" w:type="dxa"/>
            <w:noWrap w:val="0"/>
            <w:vAlign w:val="top"/>
          </w:tcPr>
          <w:p w14:paraId="6A1CE492">
            <w:pPr>
              <w:rPr>
                <w:rFonts w:hint="eastAsia"/>
                <w:color w:val="auto"/>
                <w:sz w:val="24"/>
                <w:highlight w:val="none"/>
              </w:rPr>
            </w:pPr>
            <w:r>
              <w:rPr>
                <w:rFonts w:ascii="宋体" w:hAnsi="宋体" w:eastAsia="宋体" w:cs="宋体"/>
                <w:color w:val="auto"/>
                <w:sz w:val="24"/>
                <w:szCs w:val="24"/>
                <w:highlight w:val="none"/>
              </w:rPr>
              <w:t>物业公司须按校方规定标准为各岗位配置人员，每周值班表按时报送学生宿舍管理科；未按合同足额配岗的，校方按实际到岗人数结算费用并下达整改通知书；门岗人员超龄按缺岗处理并扣款（门岗男≤5</w:t>
            </w:r>
            <w:r>
              <w:rPr>
                <w:rFonts w:hint="eastAsia" w:ascii="宋体" w:hAnsi="宋体" w:eastAsia="宋体" w:cs="宋体"/>
                <w:color w:val="auto"/>
                <w:sz w:val="24"/>
                <w:szCs w:val="24"/>
                <w:highlight w:val="none"/>
                <w:lang w:val="en-US" w:eastAsia="zh-CN"/>
              </w:rPr>
              <w:t>5</w:t>
            </w:r>
            <w:r>
              <w:rPr>
                <w:rFonts w:ascii="宋体" w:hAnsi="宋体" w:eastAsia="宋体" w:cs="宋体"/>
                <w:color w:val="auto"/>
                <w:sz w:val="24"/>
                <w:szCs w:val="24"/>
                <w:highlight w:val="none"/>
              </w:rPr>
              <w:t xml:space="preserve"> 周岁、女≤</w:t>
            </w:r>
            <w:r>
              <w:rPr>
                <w:rFonts w:hint="eastAsia" w:ascii="宋体" w:hAnsi="宋体" w:eastAsia="宋体" w:cs="宋体"/>
                <w:color w:val="auto"/>
                <w:sz w:val="24"/>
                <w:szCs w:val="24"/>
                <w:highlight w:val="none"/>
                <w:lang w:val="en-US" w:eastAsia="zh-CN"/>
              </w:rPr>
              <w:t>50</w:t>
            </w:r>
            <w:r>
              <w:rPr>
                <w:rFonts w:ascii="宋体" w:hAnsi="宋体" w:eastAsia="宋体" w:cs="宋体"/>
                <w:color w:val="auto"/>
                <w:sz w:val="24"/>
                <w:szCs w:val="24"/>
                <w:highlight w:val="none"/>
              </w:rPr>
              <w:t xml:space="preserve"> 周岁）。</w:t>
            </w:r>
          </w:p>
        </w:tc>
        <w:tc>
          <w:tcPr>
            <w:tcW w:w="759" w:type="dxa"/>
            <w:noWrap w:val="0"/>
            <w:vAlign w:val="center"/>
          </w:tcPr>
          <w:p w14:paraId="17C4919E">
            <w:pPr>
              <w:jc w:val="center"/>
              <w:rPr>
                <w:rFonts w:hint="eastAsia" w:ascii="宋体" w:hAnsi="宋体" w:eastAsia="宋体" w:cs="方正静蕾简体"/>
                <w:bCs/>
                <w:color w:val="auto"/>
                <w:sz w:val="18"/>
                <w:szCs w:val="18"/>
                <w:highlight w:val="none"/>
                <w:lang w:eastAsia="zh-CN"/>
              </w:rPr>
            </w:pPr>
            <w:r>
              <w:rPr>
                <w:rFonts w:hint="eastAsia" w:eastAsia="宋体"/>
                <w:color w:val="auto"/>
                <w:sz w:val="18"/>
                <w:szCs w:val="18"/>
                <w:highlight w:val="none"/>
                <w:lang w:val="en-US" w:eastAsia="zh-CN"/>
              </w:rPr>
              <w:t xml:space="preserve">  </w:t>
            </w:r>
            <w:r>
              <w:rPr>
                <w:rFonts w:hint="eastAsia"/>
                <w:color w:val="auto"/>
                <w:sz w:val="18"/>
                <w:szCs w:val="18"/>
                <w:highlight w:val="none"/>
                <w:lang w:val="en-US" w:eastAsia="zh-CN"/>
              </w:rPr>
              <w:t xml:space="preserve">  </w:t>
            </w:r>
          </w:p>
        </w:tc>
        <w:tc>
          <w:tcPr>
            <w:tcW w:w="793" w:type="dxa"/>
            <w:noWrap w:val="0"/>
            <w:vAlign w:val="center"/>
          </w:tcPr>
          <w:p w14:paraId="68FC34CD">
            <w:pPr>
              <w:jc w:val="center"/>
              <w:rPr>
                <w:rFonts w:hint="eastAsia" w:ascii="方正静蕾简体" w:hAnsi="方正静蕾简体" w:eastAsia="方正静蕾简体" w:cs="方正静蕾简体"/>
                <w:b/>
                <w:bCs/>
                <w:color w:val="auto"/>
                <w:sz w:val="18"/>
                <w:szCs w:val="18"/>
                <w:highlight w:val="none"/>
              </w:rPr>
            </w:pPr>
          </w:p>
        </w:tc>
        <w:tc>
          <w:tcPr>
            <w:tcW w:w="1155" w:type="dxa"/>
            <w:noWrap w:val="0"/>
            <w:vAlign w:val="center"/>
          </w:tcPr>
          <w:p w14:paraId="62EB08AA">
            <w:pPr>
              <w:jc w:val="center"/>
              <w:rPr>
                <w:rFonts w:hint="default" w:ascii="方正静蕾简体" w:hAnsi="方正静蕾简体" w:eastAsia="方正静蕾简体" w:cs="方正静蕾简体"/>
                <w:b w:val="0"/>
                <w:bCs w:val="0"/>
                <w:color w:val="auto"/>
                <w:sz w:val="18"/>
                <w:szCs w:val="18"/>
                <w:highlight w:val="none"/>
                <w:lang w:val="en-US" w:eastAsia="zh-CN"/>
              </w:rPr>
            </w:pPr>
          </w:p>
          <w:p w14:paraId="6A4BCA09">
            <w:pPr>
              <w:jc w:val="center"/>
              <w:rPr>
                <w:rFonts w:hint="default" w:ascii="方正静蕾简体" w:hAnsi="方正静蕾简体" w:eastAsia="方正静蕾简体" w:cs="方正静蕾简体"/>
                <w:b w:val="0"/>
                <w:bCs w:val="0"/>
                <w:color w:val="auto"/>
                <w:sz w:val="18"/>
                <w:szCs w:val="18"/>
                <w:highlight w:val="none"/>
                <w:lang w:val="en-US" w:eastAsia="zh-CN"/>
              </w:rPr>
            </w:pPr>
          </w:p>
        </w:tc>
        <w:tc>
          <w:tcPr>
            <w:tcW w:w="1374" w:type="dxa"/>
            <w:noWrap w:val="0"/>
            <w:vAlign w:val="center"/>
          </w:tcPr>
          <w:p w14:paraId="3BDCC93E">
            <w:pPr>
              <w:jc w:val="center"/>
              <w:rPr>
                <w:rFonts w:hint="eastAsia" w:ascii="宋体" w:hAnsi="宋体" w:eastAsia="宋体" w:cs="方正静蕾简体"/>
                <w:b w:val="0"/>
                <w:bCs/>
                <w:color w:val="auto"/>
                <w:sz w:val="18"/>
                <w:szCs w:val="18"/>
                <w:highlight w:val="none"/>
                <w:lang w:val="en-US" w:eastAsia="zh-CN"/>
              </w:rPr>
            </w:pPr>
            <w:r>
              <w:rPr>
                <w:rFonts w:hint="eastAsia"/>
                <w:color w:val="auto"/>
                <w:sz w:val="21"/>
                <w:szCs w:val="21"/>
                <w:highlight w:val="none"/>
                <w:lang w:val="en-US" w:eastAsia="zh-CN"/>
              </w:rPr>
              <w:t xml:space="preserve"> </w:t>
            </w:r>
          </w:p>
        </w:tc>
      </w:tr>
      <w:tr w14:paraId="5B5AC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62" w:type="dxa"/>
            <w:vMerge w:val="continue"/>
            <w:noWrap w:val="0"/>
            <w:vAlign w:val="center"/>
          </w:tcPr>
          <w:p w14:paraId="6C15654C">
            <w:pPr>
              <w:jc w:val="center"/>
              <w:rPr>
                <w:rFonts w:hint="eastAsia"/>
                <w:color w:val="auto"/>
                <w:sz w:val="28"/>
                <w:szCs w:val="28"/>
                <w:highlight w:val="none"/>
              </w:rPr>
            </w:pPr>
          </w:p>
        </w:tc>
        <w:tc>
          <w:tcPr>
            <w:tcW w:w="663" w:type="dxa"/>
            <w:noWrap w:val="0"/>
            <w:vAlign w:val="center"/>
          </w:tcPr>
          <w:p w14:paraId="13198DC0">
            <w:pPr>
              <w:jc w:val="center"/>
              <w:rPr>
                <w:rFonts w:hint="eastAsia"/>
                <w:color w:val="auto"/>
                <w:sz w:val="28"/>
                <w:szCs w:val="28"/>
                <w:highlight w:val="none"/>
              </w:rPr>
            </w:pPr>
            <w:r>
              <w:rPr>
                <w:rFonts w:hint="eastAsia"/>
                <w:color w:val="auto"/>
                <w:sz w:val="28"/>
                <w:szCs w:val="28"/>
                <w:highlight w:val="none"/>
              </w:rPr>
              <w:t>2</w:t>
            </w:r>
          </w:p>
        </w:tc>
        <w:tc>
          <w:tcPr>
            <w:tcW w:w="9999" w:type="dxa"/>
            <w:noWrap w:val="0"/>
            <w:vAlign w:val="center"/>
          </w:tcPr>
          <w:p w14:paraId="343BA0D3">
            <w:pPr>
              <w:keepNext w:val="0"/>
              <w:keepLines w:val="0"/>
              <w:widowControl/>
              <w:suppressLineNumbers w:val="0"/>
              <w:jc w:val="left"/>
              <w:textAlignment w:val="center"/>
              <w:rPr>
                <w:rFonts w:hint="eastAsia"/>
                <w:color w:val="auto"/>
                <w:sz w:val="21"/>
                <w:szCs w:val="21"/>
                <w:highlight w:val="none"/>
              </w:rPr>
            </w:pPr>
            <w:r>
              <w:rPr>
                <w:rFonts w:ascii="宋体" w:hAnsi="宋体" w:eastAsia="宋体" w:cs="宋体"/>
                <w:color w:val="auto"/>
                <w:sz w:val="24"/>
                <w:szCs w:val="24"/>
                <w:highlight w:val="none"/>
              </w:rPr>
              <w:t>公寓管理员统一着装、佩戴工牌上岗，违规一次扣物业公司 50-100 元；服务中语言文明、耐心沟通、做好解释工作，严禁与教职工发生任何冲突，视冲突情节每次扣物业公司 100-500 元。</w:t>
            </w:r>
          </w:p>
        </w:tc>
        <w:tc>
          <w:tcPr>
            <w:tcW w:w="759" w:type="dxa"/>
            <w:noWrap w:val="0"/>
            <w:vAlign w:val="center"/>
          </w:tcPr>
          <w:p w14:paraId="3B114BBC">
            <w:pPr>
              <w:jc w:val="center"/>
              <w:rPr>
                <w:rFonts w:hint="eastAsia" w:eastAsia="宋体"/>
                <w:color w:val="auto"/>
                <w:sz w:val="28"/>
                <w:szCs w:val="28"/>
                <w:highlight w:val="none"/>
                <w:lang w:val="en-US" w:eastAsia="zh-CN"/>
              </w:rPr>
            </w:pPr>
            <w:r>
              <w:rPr>
                <w:rFonts w:hint="eastAsia"/>
                <w:color w:val="auto"/>
                <w:sz w:val="18"/>
                <w:szCs w:val="18"/>
                <w:highlight w:val="none"/>
                <w:lang w:val="en-US" w:eastAsia="zh-CN"/>
              </w:rPr>
              <w:t xml:space="preserve">   </w:t>
            </w:r>
            <w:r>
              <w:rPr>
                <w:rFonts w:hint="eastAsia"/>
                <w:color w:val="auto"/>
                <w:szCs w:val="21"/>
                <w:highlight w:val="none"/>
                <w:lang w:val="en-US" w:eastAsia="zh-CN"/>
              </w:rPr>
              <w:t xml:space="preserve">   </w:t>
            </w:r>
            <w:r>
              <w:rPr>
                <w:rFonts w:hint="eastAsia"/>
                <w:color w:val="auto"/>
                <w:sz w:val="21"/>
                <w:szCs w:val="21"/>
                <w:highlight w:val="none"/>
                <w:lang w:val="en-US" w:eastAsia="zh-CN"/>
              </w:rPr>
              <w:t xml:space="preserve"> </w:t>
            </w:r>
          </w:p>
        </w:tc>
        <w:tc>
          <w:tcPr>
            <w:tcW w:w="793" w:type="dxa"/>
            <w:noWrap w:val="0"/>
            <w:vAlign w:val="center"/>
          </w:tcPr>
          <w:p w14:paraId="28FF2A95">
            <w:pPr>
              <w:jc w:val="both"/>
              <w:rPr>
                <w:rFonts w:hint="eastAsia"/>
                <w:color w:val="auto"/>
                <w:sz w:val="28"/>
                <w:szCs w:val="28"/>
                <w:highlight w:val="none"/>
              </w:rPr>
            </w:pPr>
          </w:p>
        </w:tc>
        <w:tc>
          <w:tcPr>
            <w:tcW w:w="1155" w:type="dxa"/>
            <w:noWrap w:val="0"/>
            <w:vAlign w:val="center"/>
          </w:tcPr>
          <w:p w14:paraId="3937A7D9">
            <w:pPr>
              <w:jc w:val="center"/>
              <w:rPr>
                <w:rFonts w:hint="eastAsia" w:eastAsia="宋体"/>
                <w:color w:val="auto"/>
                <w:sz w:val="28"/>
                <w:szCs w:val="28"/>
                <w:highlight w:val="none"/>
                <w:lang w:val="en-US" w:eastAsia="zh-CN"/>
              </w:rPr>
            </w:pPr>
          </w:p>
        </w:tc>
        <w:tc>
          <w:tcPr>
            <w:tcW w:w="1374" w:type="dxa"/>
            <w:noWrap w:val="0"/>
            <w:vAlign w:val="center"/>
          </w:tcPr>
          <w:p w14:paraId="7ED67B2E">
            <w:pPr>
              <w:jc w:val="center"/>
              <w:rPr>
                <w:rFonts w:hint="eastAsia" w:eastAsia="宋体"/>
                <w:b w:val="0"/>
                <w:bCs/>
                <w:color w:val="auto"/>
                <w:sz w:val="28"/>
                <w:szCs w:val="28"/>
                <w:highlight w:val="none"/>
                <w:lang w:val="en-US" w:eastAsia="zh-CN"/>
              </w:rPr>
            </w:pPr>
          </w:p>
        </w:tc>
      </w:tr>
      <w:tr w14:paraId="6E43E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762" w:type="dxa"/>
            <w:vMerge w:val="continue"/>
            <w:noWrap w:val="0"/>
            <w:vAlign w:val="center"/>
          </w:tcPr>
          <w:p w14:paraId="3D0AD94F">
            <w:pPr>
              <w:jc w:val="center"/>
              <w:rPr>
                <w:rFonts w:hint="eastAsia"/>
                <w:color w:val="auto"/>
                <w:sz w:val="28"/>
                <w:szCs w:val="28"/>
                <w:highlight w:val="none"/>
              </w:rPr>
            </w:pPr>
          </w:p>
        </w:tc>
        <w:tc>
          <w:tcPr>
            <w:tcW w:w="663" w:type="dxa"/>
            <w:noWrap w:val="0"/>
            <w:vAlign w:val="center"/>
          </w:tcPr>
          <w:p w14:paraId="7ECD85AB">
            <w:pPr>
              <w:jc w:val="center"/>
              <w:rPr>
                <w:rFonts w:hint="eastAsia"/>
                <w:color w:val="auto"/>
                <w:sz w:val="28"/>
                <w:szCs w:val="28"/>
                <w:highlight w:val="none"/>
              </w:rPr>
            </w:pPr>
            <w:r>
              <w:rPr>
                <w:rFonts w:hint="eastAsia"/>
                <w:color w:val="auto"/>
                <w:sz w:val="28"/>
                <w:szCs w:val="28"/>
                <w:highlight w:val="none"/>
              </w:rPr>
              <w:t>3</w:t>
            </w:r>
          </w:p>
        </w:tc>
        <w:tc>
          <w:tcPr>
            <w:tcW w:w="9999" w:type="dxa"/>
            <w:noWrap w:val="0"/>
            <w:vAlign w:val="center"/>
          </w:tcPr>
          <w:p w14:paraId="7AE5EC9B">
            <w:pPr>
              <w:keepNext w:val="0"/>
              <w:keepLines w:val="0"/>
              <w:widowControl/>
              <w:suppressLineNumbers w:val="0"/>
              <w:jc w:val="left"/>
              <w:textAlignment w:val="center"/>
              <w:rPr>
                <w:rFonts w:hint="eastAsia"/>
                <w:color w:val="auto"/>
                <w:sz w:val="24"/>
                <w:highlight w:val="none"/>
              </w:rPr>
            </w:pPr>
            <w:r>
              <w:rPr>
                <w:rFonts w:ascii="宋体" w:hAnsi="宋体" w:eastAsia="宋体" w:cs="宋体"/>
                <w:color w:val="auto"/>
                <w:sz w:val="24"/>
                <w:szCs w:val="24"/>
                <w:highlight w:val="none"/>
              </w:rPr>
              <w:t>严格执行 24 小时值班制度，无特殊情况不得脱岗，节假日、寒暑假、双休日等非教学时间均需有人在岗值守；在岗期间严禁从事睡觉、看报、吸烟、玩手机等与工作无关的行为，违者每次扣物业公司 100-300 元。</w:t>
            </w:r>
          </w:p>
        </w:tc>
        <w:tc>
          <w:tcPr>
            <w:tcW w:w="759" w:type="dxa"/>
            <w:noWrap w:val="0"/>
            <w:vAlign w:val="center"/>
          </w:tcPr>
          <w:p w14:paraId="50E6DD98">
            <w:pPr>
              <w:jc w:val="center"/>
              <w:rPr>
                <w:rFonts w:hint="eastAsia"/>
                <w:color w:val="auto"/>
                <w:sz w:val="28"/>
                <w:szCs w:val="28"/>
                <w:highlight w:val="none"/>
              </w:rPr>
            </w:pPr>
            <w:r>
              <w:rPr>
                <w:rFonts w:hint="eastAsia"/>
                <w:color w:val="auto"/>
                <w:sz w:val="18"/>
                <w:szCs w:val="18"/>
                <w:highlight w:val="none"/>
                <w:lang w:val="en-US" w:eastAsia="zh-CN"/>
              </w:rPr>
              <w:t xml:space="preserve">      </w:t>
            </w:r>
            <w:r>
              <w:rPr>
                <w:rFonts w:hint="eastAsia"/>
                <w:color w:val="auto"/>
                <w:szCs w:val="21"/>
                <w:highlight w:val="none"/>
                <w:lang w:val="en-US" w:eastAsia="zh-CN"/>
              </w:rPr>
              <w:t xml:space="preserve">  </w:t>
            </w:r>
            <w:r>
              <w:rPr>
                <w:rFonts w:hint="eastAsia"/>
                <w:color w:val="auto"/>
                <w:sz w:val="21"/>
                <w:szCs w:val="21"/>
                <w:highlight w:val="none"/>
                <w:lang w:val="en-US" w:eastAsia="zh-CN"/>
              </w:rPr>
              <w:t xml:space="preserve"> </w:t>
            </w:r>
          </w:p>
        </w:tc>
        <w:tc>
          <w:tcPr>
            <w:tcW w:w="793" w:type="dxa"/>
            <w:noWrap w:val="0"/>
            <w:vAlign w:val="center"/>
          </w:tcPr>
          <w:p w14:paraId="1744102B">
            <w:pPr>
              <w:jc w:val="center"/>
              <w:rPr>
                <w:rFonts w:hint="default" w:eastAsia="宋体"/>
                <w:color w:val="auto"/>
                <w:sz w:val="28"/>
                <w:szCs w:val="28"/>
                <w:highlight w:val="none"/>
                <w:lang w:val="en-US" w:eastAsia="zh-CN"/>
              </w:rPr>
            </w:pPr>
            <w:r>
              <w:rPr>
                <w:rFonts w:hint="eastAsia"/>
                <w:color w:val="auto"/>
                <w:sz w:val="18"/>
                <w:szCs w:val="18"/>
                <w:highlight w:val="none"/>
                <w:lang w:val="en-US" w:eastAsia="zh-CN"/>
              </w:rPr>
              <w:t xml:space="preserve"> </w:t>
            </w:r>
          </w:p>
        </w:tc>
        <w:tc>
          <w:tcPr>
            <w:tcW w:w="1155" w:type="dxa"/>
            <w:noWrap w:val="0"/>
            <w:vAlign w:val="center"/>
          </w:tcPr>
          <w:p w14:paraId="0CB91509">
            <w:pPr>
              <w:jc w:val="center"/>
              <w:rPr>
                <w:rFonts w:hint="eastAsia"/>
                <w:color w:val="auto"/>
                <w:sz w:val="28"/>
                <w:szCs w:val="28"/>
                <w:highlight w:val="none"/>
              </w:rPr>
            </w:pPr>
          </w:p>
        </w:tc>
        <w:tc>
          <w:tcPr>
            <w:tcW w:w="1374" w:type="dxa"/>
            <w:noWrap w:val="0"/>
            <w:vAlign w:val="center"/>
          </w:tcPr>
          <w:p w14:paraId="499F8367">
            <w:pPr>
              <w:jc w:val="center"/>
              <w:rPr>
                <w:rFonts w:hint="eastAsia" w:eastAsia="宋体"/>
                <w:b w:val="0"/>
                <w:bCs/>
                <w:color w:val="auto"/>
                <w:sz w:val="28"/>
                <w:szCs w:val="28"/>
                <w:highlight w:val="none"/>
                <w:lang w:val="en-US" w:eastAsia="zh-CN"/>
              </w:rPr>
            </w:pPr>
            <w:r>
              <w:rPr>
                <w:rFonts w:hint="eastAsia"/>
                <w:b w:val="0"/>
                <w:bCs/>
                <w:color w:val="auto"/>
                <w:sz w:val="18"/>
                <w:szCs w:val="18"/>
                <w:highlight w:val="none"/>
                <w:lang w:val="en-US" w:eastAsia="zh-CN"/>
              </w:rPr>
              <w:t xml:space="preserve"> </w:t>
            </w:r>
          </w:p>
        </w:tc>
      </w:tr>
      <w:tr w14:paraId="4C2CF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762" w:type="dxa"/>
            <w:vMerge w:val="continue"/>
            <w:noWrap w:val="0"/>
            <w:vAlign w:val="center"/>
          </w:tcPr>
          <w:p w14:paraId="30CD9DD7">
            <w:pPr>
              <w:jc w:val="center"/>
              <w:rPr>
                <w:rFonts w:hint="eastAsia"/>
                <w:color w:val="auto"/>
                <w:sz w:val="28"/>
                <w:szCs w:val="28"/>
                <w:highlight w:val="none"/>
              </w:rPr>
            </w:pPr>
          </w:p>
        </w:tc>
        <w:tc>
          <w:tcPr>
            <w:tcW w:w="663" w:type="dxa"/>
            <w:noWrap w:val="0"/>
            <w:vAlign w:val="center"/>
          </w:tcPr>
          <w:p w14:paraId="0A7A55CC">
            <w:pPr>
              <w:jc w:val="center"/>
              <w:rPr>
                <w:rFonts w:hint="eastAsia"/>
                <w:color w:val="auto"/>
                <w:sz w:val="28"/>
                <w:szCs w:val="28"/>
                <w:highlight w:val="none"/>
              </w:rPr>
            </w:pPr>
            <w:r>
              <w:rPr>
                <w:rFonts w:hint="eastAsia"/>
                <w:color w:val="auto"/>
                <w:sz w:val="28"/>
                <w:szCs w:val="28"/>
                <w:highlight w:val="none"/>
              </w:rPr>
              <w:t>4</w:t>
            </w:r>
          </w:p>
        </w:tc>
        <w:tc>
          <w:tcPr>
            <w:tcW w:w="9999" w:type="dxa"/>
            <w:noWrap w:val="0"/>
            <w:vAlign w:val="center"/>
          </w:tcPr>
          <w:p w14:paraId="28528574">
            <w:pPr>
              <w:keepNext w:val="0"/>
              <w:keepLines w:val="0"/>
              <w:widowControl/>
              <w:suppressLineNumbers w:val="0"/>
              <w:jc w:val="left"/>
              <w:textAlignment w:val="center"/>
              <w:rPr>
                <w:rFonts w:hint="eastAsia"/>
                <w:color w:val="auto"/>
                <w:sz w:val="21"/>
                <w:szCs w:val="21"/>
                <w:highlight w:val="none"/>
              </w:rPr>
            </w:pPr>
            <w:r>
              <w:rPr>
                <w:rFonts w:ascii="宋体" w:hAnsi="宋体" w:eastAsia="宋体" w:cs="宋体"/>
                <w:color w:val="auto"/>
                <w:sz w:val="24"/>
                <w:szCs w:val="24"/>
                <w:highlight w:val="none"/>
              </w:rPr>
              <w:t>管理员需全面掌握所管楼栋教职工入住信息，包含入住人数、所属部门、住宿分配等情况；严禁在宿舍区内开展任何形式经营活动，属物业公司责任的，扣 1000-2000 元；未经校方允许，公寓管理人员不得在宿舍内使用电器烧水、煮饭、为电动车充电等，违者每次扣物业公司 100-300 元。</w:t>
            </w:r>
          </w:p>
        </w:tc>
        <w:tc>
          <w:tcPr>
            <w:tcW w:w="759" w:type="dxa"/>
            <w:noWrap w:val="0"/>
            <w:vAlign w:val="center"/>
          </w:tcPr>
          <w:p w14:paraId="64B6C680">
            <w:pPr>
              <w:jc w:val="center"/>
              <w:rPr>
                <w:rFonts w:hint="eastAsia" w:eastAsia="宋体"/>
                <w:color w:val="auto"/>
                <w:sz w:val="28"/>
                <w:szCs w:val="28"/>
                <w:highlight w:val="none"/>
                <w:lang w:eastAsia="zh-CN"/>
              </w:rPr>
            </w:pPr>
            <w:r>
              <w:rPr>
                <w:rFonts w:hint="eastAsia"/>
                <w:color w:val="auto"/>
                <w:szCs w:val="21"/>
                <w:highlight w:val="none"/>
                <w:lang w:val="en-US" w:eastAsia="zh-CN"/>
              </w:rPr>
              <w:t xml:space="preserve"> </w:t>
            </w:r>
          </w:p>
        </w:tc>
        <w:tc>
          <w:tcPr>
            <w:tcW w:w="793" w:type="dxa"/>
            <w:noWrap w:val="0"/>
            <w:vAlign w:val="center"/>
          </w:tcPr>
          <w:p w14:paraId="6C0B3890">
            <w:pPr>
              <w:jc w:val="center"/>
              <w:rPr>
                <w:rFonts w:hint="eastAsia"/>
                <w:color w:val="auto"/>
                <w:sz w:val="28"/>
                <w:szCs w:val="28"/>
                <w:highlight w:val="none"/>
              </w:rPr>
            </w:pPr>
          </w:p>
        </w:tc>
        <w:tc>
          <w:tcPr>
            <w:tcW w:w="1155" w:type="dxa"/>
            <w:noWrap w:val="0"/>
            <w:vAlign w:val="center"/>
          </w:tcPr>
          <w:p w14:paraId="13135BA4">
            <w:pPr>
              <w:jc w:val="center"/>
              <w:rPr>
                <w:rFonts w:hint="eastAsia"/>
                <w:color w:val="auto"/>
                <w:sz w:val="28"/>
                <w:szCs w:val="28"/>
                <w:highlight w:val="none"/>
              </w:rPr>
            </w:pPr>
          </w:p>
        </w:tc>
        <w:tc>
          <w:tcPr>
            <w:tcW w:w="1374" w:type="dxa"/>
            <w:noWrap w:val="0"/>
            <w:vAlign w:val="center"/>
          </w:tcPr>
          <w:p w14:paraId="52450C3E">
            <w:pPr>
              <w:jc w:val="center"/>
              <w:rPr>
                <w:rFonts w:hint="default" w:eastAsia="宋体"/>
                <w:b w:val="0"/>
                <w:bCs/>
                <w:color w:val="auto"/>
                <w:sz w:val="28"/>
                <w:szCs w:val="28"/>
                <w:highlight w:val="none"/>
                <w:lang w:val="en-US" w:eastAsia="zh-CN"/>
              </w:rPr>
            </w:pPr>
            <w:r>
              <w:rPr>
                <w:rFonts w:hint="eastAsia"/>
                <w:b w:val="0"/>
                <w:bCs/>
                <w:color w:val="auto"/>
                <w:sz w:val="21"/>
                <w:szCs w:val="21"/>
                <w:highlight w:val="none"/>
                <w:lang w:val="en-US" w:eastAsia="zh-CN"/>
              </w:rPr>
              <w:t xml:space="preserve"> </w:t>
            </w:r>
          </w:p>
        </w:tc>
      </w:tr>
      <w:tr w14:paraId="4C322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762" w:type="dxa"/>
            <w:vMerge w:val="continue"/>
            <w:noWrap w:val="0"/>
            <w:vAlign w:val="center"/>
          </w:tcPr>
          <w:p w14:paraId="623831F0">
            <w:pPr>
              <w:jc w:val="center"/>
              <w:rPr>
                <w:rFonts w:hint="eastAsia"/>
                <w:color w:val="auto"/>
                <w:sz w:val="28"/>
                <w:szCs w:val="28"/>
                <w:highlight w:val="none"/>
              </w:rPr>
            </w:pPr>
          </w:p>
        </w:tc>
        <w:tc>
          <w:tcPr>
            <w:tcW w:w="663" w:type="dxa"/>
            <w:noWrap w:val="0"/>
            <w:vAlign w:val="center"/>
          </w:tcPr>
          <w:p w14:paraId="0CE83BA7">
            <w:pPr>
              <w:jc w:val="center"/>
              <w:rPr>
                <w:rFonts w:hint="eastAsia"/>
                <w:color w:val="auto"/>
                <w:sz w:val="28"/>
                <w:szCs w:val="28"/>
                <w:highlight w:val="none"/>
              </w:rPr>
            </w:pPr>
            <w:r>
              <w:rPr>
                <w:rFonts w:hint="eastAsia"/>
                <w:color w:val="auto"/>
                <w:sz w:val="28"/>
                <w:szCs w:val="28"/>
                <w:highlight w:val="none"/>
              </w:rPr>
              <w:t>5</w:t>
            </w:r>
          </w:p>
        </w:tc>
        <w:tc>
          <w:tcPr>
            <w:tcW w:w="9999" w:type="dxa"/>
            <w:noWrap w:val="0"/>
            <w:vAlign w:val="center"/>
          </w:tcPr>
          <w:p w14:paraId="7F5CF8B1">
            <w:pPr>
              <w:keepNext w:val="0"/>
              <w:keepLines w:val="0"/>
              <w:widowControl/>
              <w:suppressLineNumbers w:val="0"/>
              <w:jc w:val="left"/>
              <w:textAlignment w:val="center"/>
              <w:rPr>
                <w:rFonts w:hint="eastAsia"/>
                <w:color w:val="auto"/>
                <w:sz w:val="21"/>
                <w:szCs w:val="21"/>
                <w:highlight w:val="none"/>
              </w:rPr>
            </w:pPr>
            <w:r>
              <w:rPr>
                <w:rFonts w:ascii="宋体" w:hAnsi="宋体" w:eastAsia="宋体" w:cs="宋体"/>
                <w:color w:val="auto"/>
                <w:sz w:val="24"/>
                <w:szCs w:val="24"/>
                <w:highlight w:val="none"/>
              </w:rPr>
              <w:t>严格按照学校规定流程，核对入住教职工信息无误后办理入住手续；按规定时间启闭走道灯，杜绝能源浪费，未履行上述职责的，每次扣物业公司 100-300 元。</w:t>
            </w:r>
          </w:p>
        </w:tc>
        <w:tc>
          <w:tcPr>
            <w:tcW w:w="759" w:type="dxa"/>
            <w:noWrap w:val="0"/>
            <w:vAlign w:val="center"/>
          </w:tcPr>
          <w:p w14:paraId="07F985FA">
            <w:pPr>
              <w:jc w:val="center"/>
              <w:rPr>
                <w:rFonts w:hint="eastAsia"/>
                <w:color w:val="auto"/>
                <w:sz w:val="28"/>
                <w:szCs w:val="28"/>
                <w:highlight w:val="none"/>
              </w:rPr>
            </w:pPr>
          </w:p>
        </w:tc>
        <w:tc>
          <w:tcPr>
            <w:tcW w:w="793" w:type="dxa"/>
            <w:noWrap w:val="0"/>
            <w:vAlign w:val="center"/>
          </w:tcPr>
          <w:p w14:paraId="7E257213">
            <w:pPr>
              <w:jc w:val="center"/>
              <w:rPr>
                <w:rFonts w:hint="eastAsia"/>
                <w:color w:val="auto"/>
                <w:sz w:val="28"/>
                <w:szCs w:val="28"/>
                <w:highlight w:val="none"/>
              </w:rPr>
            </w:pPr>
          </w:p>
        </w:tc>
        <w:tc>
          <w:tcPr>
            <w:tcW w:w="1155" w:type="dxa"/>
            <w:noWrap w:val="0"/>
            <w:vAlign w:val="center"/>
          </w:tcPr>
          <w:p w14:paraId="3403766C">
            <w:pPr>
              <w:jc w:val="center"/>
              <w:rPr>
                <w:rFonts w:hint="eastAsia"/>
                <w:color w:val="auto"/>
                <w:sz w:val="28"/>
                <w:szCs w:val="28"/>
                <w:highlight w:val="none"/>
              </w:rPr>
            </w:pPr>
          </w:p>
        </w:tc>
        <w:tc>
          <w:tcPr>
            <w:tcW w:w="1374" w:type="dxa"/>
            <w:noWrap w:val="0"/>
            <w:vAlign w:val="center"/>
          </w:tcPr>
          <w:p w14:paraId="224AAA3C">
            <w:pPr>
              <w:jc w:val="center"/>
              <w:rPr>
                <w:rFonts w:hint="eastAsia"/>
                <w:b w:val="0"/>
                <w:bCs/>
                <w:color w:val="auto"/>
                <w:sz w:val="28"/>
                <w:szCs w:val="28"/>
                <w:highlight w:val="none"/>
              </w:rPr>
            </w:pPr>
          </w:p>
        </w:tc>
      </w:tr>
      <w:tr w14:paraId="3F7EA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762" w:type="dxa"/>
            <w:vMerge w:val="continue"/>
            <w:noWrap w:val="0"/>
            <w:vAlign w:val="center"/>
          </w:tcPr>
          <w:p w14:paraId="3F264930">
            <w:pPr>
              <w:jc w:val="center"/>
              <w:rPr>
                <w:rFonts w:hint="eastAsia"/>
                <w:color w:val="auto"/>
                <w:sz w:val="28"/>
                <w:szCs w:val="28"/>
                <w:highlight w:val="none"/>
              </w:rPr>
            </w:pPr>
          </w:p>
        </w:tc>
        <w:tc>
          <w:tcPr>
            <w:tcW w:w="663" w:type="dxa"/>
            <w:noWrap w:val="0"/>
            <w:vAlign w:val="center"/>
          </w:tcPr>
          <w:p w14:paraId="423776EC">
            <w:pPr>
              <w:jc w:val="center"/>
              <w:rPr>
                <w:rFonts w:hint="eastAsia"/>
                <w:color w:val="auto"/>
                <w:sz w:val="28"/>
                <w:szCs w:val="28"/>
                <w:highlight w:val="none"/>
              </w:rPr>
            </w:pPr>
            <w:r>
              <w:rPr>
                <w:rFonts w:hint="eastAsia"/>
                <w:color w:val="auto"/>
                <w:sz w:val="28"/>
                <w:szCs w:val="28"/>
                <w:highlight w:val="none"/>
              </w:rPr>
              <w:t>6</w:t>
            </w:r>
          </w:p>
        </w:tc>
        <w:tc>
          <w:tcPr>
            <w:tcW w:w="9999" w:type="dxa"/>
            <w:noWrap w:val="0"/>
            <w:vAlign w:val="center"/>
          </w:tcPr>
          <w:p w14:paraId="1EE182BE">
            <w:pPr>
              <w:keepNext w:val="0"/>
              <w:keepLines w:val="0"/>
              <w:widowControl/>
              <w:suppressLineNumbers w:val="0"/>
              <w:jc w:val="left"/>
              <w:textAlignment w:val="center"/>
              <w:rPr>
                <w:rFonts w:hint="eastAsia" w:eastAsia="宋体"/>
                <w:color w:val="auto"/>
                <w:sz w:val="24"/>
                <w:highlight w:val="none"/>
                <w:lang w:eastAsia="zh-CN"/>
              </w:rPr>
            </w:pPr>
            <w:r>
              <w:rPr>
                <w:rFonts w:ascii="宋体" w:hAnsi="宋体" w:eastAsia="宋体" w:cs="宋体"/>
                <w:color w:val="auto"/>
                <w:sz w:val="24"/>
                <w:szCs w:val="24"/>
                <w:highlight w:val="none"/>
              </w:rPr>
              <w:t>严禁外来人员未经学生宿舍管理科批准，擅自进入宿舍区开展施工、推销、张贴广告等任何工作及活动；水电能源管理科、学校保卫处、空调公司、学生便民设施公司、热水公司工作人员，凭工作牌或学校统一服装可直接进入，违规放行外来人员的，每次扣物业公司 100-500 元。</w:t>
            </w:r>
          </w:p>
        </w:tc>
        <w:tc>
          <w:tcPr>
            <w:tcW w:w="759" w:type="dxa"/>
            <w:noWrap w:val="0"/>
            <w:vAlign w:val="center"/>
          </w:tcPr>
          <w:p w14:paraId="7AE34996">
            <w:pPr>
              <w:jc w:val="both"/>
              <w:rPr>
                <w:rFonts w:hint="default" w:eastAsia="宋体"/>
                <w:color w:val="auto"/>
                <w:sz w:val="28"/>
                <w:szCs w:val="28"/>
                <w:highlight w:val="none"/>
                <w:lang w:val="en-US" w:eastAsia="zh-CN"/>
              </w:rPr>
            </w:pPr>
            <w:r>
              <w:rPr>
                <w:rFonts w:hint="eastAsia" w:eastAsia="宋体"/>
                <w:color w:val="auto"/>
                <w:sz w:val="18"/>
                <w:szCs w:val="18"/>
                <w:highlight w:val="none"/>
                <w:lang w:val="en-US" w:eastAsia="zh-CN"/>
              </w:rPr>
              <w:t xml:space="preserve"> </w:t>
            </w:r>
          </w:p>
        </w:tc>
        <w:tc>
          <w:tcPr>
            <w:tcW w:w="793" w:type="dxa"/>
            <w:noWrap w:val="0"/>
            <w:vAlign w:val="center"/>
          </w:tcPr>
          <w:p w14:paraId="77A74C68">
            <w:pPr>
              <w:jc w:val="center"/>
              <w:rPr>
                <w:rFonts w:hint="eastAsia" w:eastAsia="宋体"/>
                <w:color w:val="auto"/>
                <w:sz w:val="28"/>
                <w:szCs w:val="28"/>
                <w:highlight w:val="none"/>
                <w:lang w:eastAsia="zh-CN"/>
              </w:rPr>
            </w:pPr>
            <w:r>
              <w:rPr>
                <w:rFonts w:hint="eastAsia"/>
                <w:color w:val="auto"/>
                <w:sz w:val="18"/>
                <w:szCs w:val="18"/>
                <w:highlight w:val="none"/>
                <w:lang w:val="en-US" w:eastAsia="zh-CN"/>
              </w:rPr>
              <w:t xml:space="preserve"> </w:t>
            </w:r>
          </w:p>
        </w:tc>
        <w:tc>
          <w:tcPr>
            <w:tcW w:w="1155" w:type="dxa"/>
            <w:noWrap w:val="0"/>
            <w:vAlign w:val="center"/>
          </w:tcPr>
          <w:p w14:paraId="052BC08F">
            <w:pPr>
              <w:jc w:val="center"/>
              <w:rPr>
                <w:rFonts w:hint="eastAsia" w:eastAsia="宋体"/>
                <w:color w:val="auto"/>
                <w:sz w:val="28"/>
                <w:szCs w:val="28"/>
                <w:highlight w:val="none"/>
                <w:lang w:val="en-US" w:eastAsia="zh-CN"/>
              </w:rPr>
            </w:pPr>
          </w:p>
        </w:tc>
        <w:tc>
          <w:tcPr>
            <w:tcW w:w="1374" w:type="dxa"/>
            <w:noWrap w:val="0"/>
            <w:vAlign w:val="center"/>
          </w:tcPr>
          <w:p w14:paraId="3AA723FD">
            <w:pPr>
              <w:jc w:val="left"/>
              <w:rPr>
                <w:rFonts w:hint="default" w:eastAsia="宋体"/>
                <w:b w:val="0"/>
                <w:bCs/>
                <w:color w:val="auto"/>
                <w:sz w:val="21"/>
                <w:szCs w:val="21"/>
                <w:highlight w:val="none"/>
                <w:lang w:val="en-US" w:eastAsia="zh-CN"/>
              </w:rPr>
            </w:pPr>
            <w:r>
              <w:rPr>
                <w:rFonts w:hint="eastAsia" w:eastAsia="宋体"/>
                <w:b w:val="0"/>
                <w:bCs/>
                <w:color w:val="auto"/>
                <w:sz w:val="18"/>
                <w:szCs w:val="18"/>
                <w:highlight w:val="none"/>
                <w:lang w:val="en-US" w:eastAsia="zh-CN"/>
              </w:rPr>
              <w:t xml:space="preserve">  </w:t>
            </w:r>
          </w:p>
        </w:tc>
      </w:tr>
      <w:tr w14:paraId="3C689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vMerge w:val="continue"/>
            <w:noWrap w:val="0"/>
            <w:vAlign w:val="center"/>
          </w:tcPr>
          <w:p w14:paraId="24B626C9">
            <w:pPr>
              <w:jc w:val="center"/>
              <w:rPr>
                <w:rFonts w:hint="eastAsia"/>
                <w:color w:val="auto"/>
                <w:sz w:val="28"/>
                <w:szCs w:val="28"/>
                <w:highlight w:val="none"/>
              </w:rPr>
            </w:pPr>
          </w:p>
        </w:tc>
        <w:tc>
          <w:tcPr>
            <w:tcW w:w="663" w:type="dxa"/>
            <w:noWrap w:val="0"/>
            <w:vAlign w:val="center"/>
          </w:tcPr>
          <w:p w14:paraId="6ECCFB4B">
            <w:pPr>
              <w:jc w:val="center"/>
              <w:rPr>
                <w:rFonts w:hint="eastAsia"/>
                <w:color w:val="auto"/>
                <w:sz w:val="28"/>
                <w:szCs w:val="28"/>
                <w:highlight w:val="none"/>
              </w:rPr>
            </w:pPr>
            <w:r>
              <w:rPr>
                <w:rFonts w:hint="eastAsia"/>
                <w:color w:val="auto"/>
                <w:sz w:val="28"/>
                <w:szCs w:val="28"/>
                <w:highlight w:val="none"/>
              </w:rPr>
              <w:t>7</w:t>
            </w:r>
          </w:p>
        </w:tc>
        <w:tc>
          <w:tcPr>
            <w:tcW w:w="9999" w:type="dxa"/>
            <w:noWrap w:val="0"/>
            <w:vAlign w:val="top"/>
          </w:tcPr>
          <w:p w14:paraId="7C937DFB">
            <w:pPr>
              <w:rPr>
                <w:rFonts w:hint="eastAsia"/>
                <w:color w:val="auto"/>
                <w:sz w:val="24"/>
                <w:highlight w:val="none"/>
              </w:rPr>
            </w:pPr>
            <w:r>
              <w:rPr>
                <w:rFonts w:ascii="宋体" w:hAnsi="宋体" w:eastAsia="宋体" w:cs="宋体"/>
                <w:color w:val="auto"/>
                <w:sz w:val="24"/>
                <w:szCs w:val="24"/>
                <w:highlight w:val="none"/>
              </w:rPr>
              <w:t>加强宿舍区内定时巡查，督促保洁人员做好卫生清洁工作，提醒教职工关好门窗；密切留意区内可疑人员及异常现象，保障教职工及学校财产安全；若发生教职工财物被盗、学校财产毁损情况，经认定属物业公司管理失职的，按合同约定承担相应赔偿责任。</w:t>
            </w:r>
          </w:p>
        </w:tc>
        <w:tc>
          <w:tcPr>
            <w:tcW w:w="759" w:type="dxa"/>
            <w:noWrap w:val="0"/>
            <w:vAlign w:val="top"/>
          </w:tcPr>
          <w:p w14:paraId="13E87BE2">
            <w:pPr>
              <w:jc w:val="center"/>
              <w:rPr>
                <w:rFonts w:hint="eastAsia"/>
                <w:color w:val="auto"/>
                <w:sz w:val="28"/>
                <w:szCs w:val="28"/>
                <w:highlight w:val="none"/>
              </w:rPr>
            </w:pPr>
          </w:p>
        </w:tc>
        <w:tc>
          <w:tcPr>
            <w:tcW w:w="793" w:type="dxa"/>
            <w:noWrap w:val="0"/>
            <w:vAlign w:val="top"/>
          </w:tcPr>
          <w:p w14:paraId="3F2411AA">
            <w:pPr>
              <w:jc w:val="center"/>
              <w:rPr>
                <w:rFonts w:hint="eastAsia"/>
                <w:color w:val="auto"/>
                <w:sz w:val="28"/>
                <w:szCs w:val="28"/>
                <w:highlight w:val="none"/>
              </w:rPr>
            </w:pPr>
          </w:p>
        </w:tc>
        <w:tc>
          <w:tcPr>
            <w:tcW w:w="1155" w:type="dxa"/>
            <w:noWrap w:val="0"/>
            <w:vAlign w:val="top"/>
          </w:tcPr>
          <w:p w14:paraId="3244F37A">
            <w:pPr>
              <w:jc w:val="center"/>
              <w:rPr>
                <w:rFonts w:hint="eastAsia"/>
                <w:color w:val="auto"/>
                <w:sz w:val="28"/>
                <w:szCs w:val="28"/>
                <w:highlight w:val="none"/>
              </w:rPr>
            </w:pPr>
          </w:p>
        </w:tc>
        <w:tc>
          <w:tcPr>
            <w:tcW w:w="1374" w:type="dxa"/>
            <w:noWrap w:val="0"/>
            <w:vAlign w:val="top"/>
          </w:tcPr>
          <w:p w14:paraId="0DEF1154">
            <w:pPr>
              <w:jc w:val="center"/>
              <w:rPr>
                <w:rFonts w:hint="eastAsia"/>
                <w:b w:val="0"/>
                <w:bCs/>
                <w:color w:val="auto"/>
                <w:sz w:val="28"/>
                <w:szCs w:val="28"/>
                <w:highlight w:val="none"/>
              </w:rPr>
            </w:pPr>
          </w:p>
        </w:tc>
      </w:tr>
      <w:tr w14:paraId="2FAF8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762" w:type="dxa"/>
            <w:vMerge w:val="continue"/>
            <w:noWrap w:val="0"/>
            <w:vAlign w:val="center"/>
          </w:tcPr>
          <w:p w14:paraId="27131EF0">
            <w:pPr>
              <w:jc w:val="center"/>
              <w:rPr>
                <w:rFonts w:hint="eastAsia"/>
                <w:color w:val="auto"/>
                <w:sz w:val="28"/>
                <w:szCs w:val="28"/>
                <w:highlight w:val="none"/>
              </w:rPr>
            </w:pPr>
          </w:p>
        </w:tc>
        <w:tc>
          <w:tcPr>
            <w:tcW w:w="663" w:type="dxa"/>
            <w:noWrap w:val="0"/>
            <w:vAlign w:val="center"/>
          </w:tcPr>
          <w:p w14:paraId="122414E6">
            <w:pPr>
              <w:jc w:val="center"/>
              <w:rPr>
                <w:rFonts w:hint="eastAsia"/>
                <w:color w:val="auto"/>
                <w:sz w:val="28"/>
                <w:szCs w:val="28"/>
                <w:highlight w:val="none"/>
              </w:rPr>
            </w:pPr>
            <w:r>
              <w:rPr>
                <w:rFonts w:hint="eastAsia"/>
                <w:color w:val="auto"/>
                <w:sz w:val="28"/>
                <w:szCs w:val="28"/>
                <w:highlight w:val="none"/>
              </w:rPr>
              <w:t>8</w:t>
            </w:r>
          </w:p>
        </w:tc>
        <w:tc>
          <w:tcPr>
            <w:tcW w:w="9999" w:type="dxa"/>
            <w:noWrap w:val="0"/>
            <w:vAlign w:val="center"/>
          </w:tcPr>
          <w:p w14:paraId="3C42956F">
            <w:pPr>
              <w:keepNext w:val="0"/>
              <w:keepLines w:val="0"/>
              <w:widowControl/>
              <w:suppressLineNumbers w:val="0"/>
              <w:jc w:val="left"/>
              <w:textAlignment w:val="center"/>
              <w:rPr>
                <w:rFonts w:hint="eastAsia" w:eastAsia="宋体"/>
                <w:color w:val="auto"/>
                <w:sz w:val="24"/>
                <w:highlight w:val="none"/>
                <w:lang w:eastAsia="zh-CN"/>
              </w:rPr>
            </w:pPr>
            <w:r>
              <w:rPr>
                <w:rFonts w:ascii="宋体" w:hAnsi="宋体" w:eastAsia="宋体" w:cs="宋体"/>
                <w:color w:val="auto"/>
                <w:sz w:val="24"/>
                <w:szCs w:val="24"/>
                <w:highlight w:val="none"/>
              </w:rPr>
              <w:t>妥善保管公寓钥匙，严禁擅自外借，钥匙丢失每次扣物业公司 500-1000 元；熟悉宿舍区及各楼栋入住教职工信息，有效管理进出楼栋人员，严禁无有效住宿手续的教职工进入及住宿，违者每次扣物业公司 100-300 元</w:t>
            </w:r>
            <w:r>
              <w:rPr>
                <w:rFonts w:hint="eastAsia" w:ascii="宋体" w:hAnsi="宋体" w:eastAsia="宋体" w:cs="宋体"/>
                <w:color w:val="auto"/>
                <w:sz w:val="24"/>
                <w:szCs w:val="24"/>
                <w:highlight w:val="none"/>
                <w:lang w:eastAsia="zh-CN"/>
              </w:rPr>
              <w:t>。</w:t>
            </w:r>
          </w:p>
        </w:tc>
        <w:tc>
          <w:tcPr>
            <w:tcW w:w="759" w:type="dxa"/>
            <w:noWrap w:val="0"/>
            <w:vAlign w:val="top"/>
          </w:tcPr>
          <w:p w14:paraId="541FA714">
            <w:pPr>
              <w:jc w:val="center"/>
              <w:rPr>
                <w:rFonts w:hint="eastAsia"/>
                <w:color w:val="auto"/>
                <w:sz w:val="28"/>
                <w:szCs w:val="28"/>
                <w:highlight w:val="none"/>
              </w:rPr>
            </w:pPr>
          </w:p>
        </w:tc>
        <w:tc>
          <w:tcPr>
            <w:tcW w:w="793" w:type="dxa"/>
            <w:noWrap w:val="0"/>
            <w:vAlign w:val="top"/>
          </w:tcPr>
          <w:p w14:paraId="269A2D66">
            <w:pPr>
              <w:jc w:val="center"/>
              <w:rPr>
                <w:rFonts w:hint="eastAsia"/>
                <w:color w:val="auto"/>
                <w:sz w:val="28"/>
                <w:szCs w:val="28"/>
                <w:highlight w:val="none"/>
              </w:rPr>
            </w:pPr>
          </w:p>
        </w:tc>
        <w:tc>
          <w:tcPr>
            <w:tcW w:w="1155" w:type="dxa"/>
            <w:noWrap w:val="0"/>
            <w:vAlign w:val="top"/>
          </w:tcPr>
          <w:p w14:paraId="2E8C98F8">
            <w:pPr>
              <w:jc w:val="center"/>
              <w:rPr>
                <w:rFonts w:hint="eastAsia"/>
                <w:color w:val="auto"/>
                <w:sz w:val="28"/>
                <w:szCs w:val="28"/>
                <w:highlight w:val="none"/>
              </w:rPr>
            </w:pPr>
          </w:p>
        </w:tc>
        <w:tc>
          <w:tcPr>
            <w:tcW w:w="1374" w:type="dxa"/>
            <w:noWrap w:val="0"/>
            <w:vAlign w:val="top"/>
          </w:tcPr>
          <w:p w14:paraId="745D910D">
            <w:pPr>
              <w:jc w:val="center"/>
              <w:rPr>
                <w:rFonts w:hint="eastAsia"/>
                <w:b w:val="0"/>
                <w:bCs/>
                <w:color w:val="auto"/>
                <w:sz w:val="28"/>
                <w:szCs w:val="28"/>
                <w:highlight w:val="none"/>
              </w:rPr>
            </w:pPr>
          </w:p>
        </w:tc>
      </w:tr>
      <w:tr w14:paraId="219F7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762" w:type="dxa"/>
            <w:vMerge w:val="continue"/>
            <w:noWrap w:val="0"/>
            <w:vAlign w:val="top"/>
          </w:tcPr>
          <w:p w14:paraId="3D1A2E0F">
            <w:pPr>
              <w:jc w:val="center"/>
              <w:rPr>
                <w:rFonts w:hint="eastAsia"/>
                <w:color w:val="auto"/>
                <w:sz w:val="28"/>
                <w:szCs w:val="28"/>
                <w:highlight w:val="none"/>
              </w:rPr>
            </w:pPr>
          </w:p>
        </w:tc>
        <w:tc>
          <w:tcPr>
            <w:tcW w:w="663" w:type="dxa"/>
            <w:noWrap w:val="0"/>
            <w:vAlign w:val="center"/>
          </w:tcPr>
          <w:p w14:paraId="6102169F">
            <w:pPr>
              <w:jc w:val="center"/>
              <w:rPr>
                <w:rFonts w:hint="eastAsia" w:eastAsia="宋体"/>
                <w:color w:val="auto"/>
                <w:sz w:val="28"/>
                <w:szCs w:val="28"/>
                <w:highlight w:val="none"/>
                <w:lang w:val="en-US" w:eastAsia="zh-CN"/>
              </w:rPr>
            </w:pPr>
            <w:r>
              <w:rPr>
                <w:rFonts w:hint="eastAsia"/>
                <w:color w:val="auto"/>
                <w:sz w:val="28"/>
                <w:szCs w:val="28"/>
                <w:highlight w:val="none"/>
                <w:lang w:val="en-US" w:eastAsia="zh-CN"/>
              </w:rPr>
              <w:t>9</w:t>
            </w:r>
          </w:p>
        </w:tc>
        <w:tc>
          <w:tcPr>
            <w:tcW w:w="9999" w:type="dxa"/>
            <w:noWrap w:val="0"/>
            <w:vAlign w:val="center"/>
          </w:tcPr>
          <w:p w14:paraId="1A37FEEA">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ascii="宋体" w:hAnsi="宋体" w:eastAsia="宋体" w:cs="宋体"/>
                <w:color w:val="auto"/>
                <w:sz w:val="24"/>
                <w:szCs w:val="24"/>
                <w:highlight w:val="none"/>
              </w:rPr>
              <w:t>负责公寓所有宿舍及公共物品的报修登记工作，按类别规范记录报修信息，实时跟进维修进度；因物业公司管理失职导致报修登记错误、维修工作延误的，每次扣 100-200 元。</w:t>
            </w:r>
          </w:p>
        </w:tc>
        <w:tc>
          <w:tcPr>
            <w:tcW w:w="759" w:type="dxa"/>
            <w:noWrap w:val="0"/>
            <w:vAlign w:val="top"/>
          </w:tcPr>
          <w:p w14:paraId="28732538">
            <w:pPr>
              <w:jc w:val="center"/>
              <w:rPr>
                <w:rFonts w:hint="eastAsia"/>
                <w:color w:val="auto"/>
                <w:sz w:val="28"/>
                <w:szCs w:val="28"/>
                <w:highlight w:val="none"/>
              </w:rPr>
            </w:pPr>
          </w:p>
        </w:tc>
        <w:tc>
          <w:tcPr>
            <w:tcW w:w="793" w:type="dxa"/>
            <w:noWrap w:val="0"/>
            <w:vAlign w:val="top"/>
          </w:tcPr>
          <w:p w14:paraId="45D86A3E">
            <w:pPr>
              <w:jc w:val="center"/>
              <w:rPr>
                <w:rFonts w:hint="eastAsia"/>
                <w:color w:val="auto"/>
                <w:sz w:val="28"/>
                <w:szCs w:val="28"/>
                <w:highlight w:val="none"/>
              </w:rPr>
            </w:pPr>
          </w:p>
        </w:tc>
        <w:tc>
          <w:tcPr>
            <w:tcW w:w="1155" w:type="dxa"/>
            <w:noWrap w:val="0"/>
            <w:vAlign w:val="top"/>
          </w:tcPr>
          <w:p w14:paraId="40C68B03">
            <w:pPr>
              <w:jc w:val="center"/>
              <w:rPr>
                <w:rFonts w:hint="eastAsia"/>
                <w:color w:val="auto"/>
                <w:sz w:val="28"/>
                <w:szCs w:val="28"/>
                <w:highlight w:val="none"/>
              </w:rPr>
            </w:pPr>
          </w:p>
        </w:tc>
        <w:tc>
          <w:tcPr>
            <w:tcW w:w="1374" w:type="dxa"/>
            <w:noWrap w:val="0"/>
            <w:vAlign w:val="top"/>
          </w:tcPr>
          <w:p w14:paraId="120BAE51">
            <w:pPr>
              <w:jc w:val="center"/>
              <w:rPr>
                <w:rFonts w:hint="eastAsia"/>
                <w:color w:val="auto"/>
                <w:sz w:val="28"/>
                <w:szCs w:val="28"/>
                <w:highlight w:val="none"/>
              </w:rPr>
            </w:pPr>
          </w:p>
        </w:tc>
      </w:tr>
      <w:tr w14:paraId="0932F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762" w:type="dxa"/>
            <w:vMerge w:val="continue"/>
            <w:noWrap w:val="0"/>
            <w:vAlign w:val="top"/>
          </w:tcPr>
          <w:p w14:paraId="65AB64BC">
            <w:pPr>
              <w:jc w:val="center"/>
              <w:rPr>
                <w:rFonts w:hint="eastAsia"/>
                <w:color w:val="auto"/>
                <w:sz w:val="28"/>
                <w:szCs w:val="28"/>
                <w:highlight w:val="none"/>
              </w:rPr>
            </w:pPr>
          </w:p>
        </w:tc>
        <w:tc>
          <w:tcPr>
            <w:tcW w:w="663" w:type="dxa"/>
            <w:noWrap w:val="0"/>
            <w:vAlign w:val="center"/>
          </w:tcPr>
          <w:p w14:paraId="39C2DD11">
            <w:pPr>
              <w:jc w:val="center"/>
              <w:rPr>
                <w:rFonts w:hint="eastAsia" w:eastAsia="宋体"/>
                <w:color w:val="auto"/>
                <w:sz w:val="28"/>
                <w:szCs w:val="28"/>
                <w:highlight w:val="none"/>
                <w:lang w:val="en-US" w:eastAsia="zh-CN"/>
              </w:rPr>
            </w:pPr>
            <w:r>
              <w:rPr>
                <w:rFonts w:hint="eastAsia"/>
                <w:color w:val="auto"/>
                <w:sz w:val="28"/>
                <w:szCs w:val="28"/>
                <w:highlight w:val="none"/>
              </w:rPr>
              <w:t>1</w:t>
            </w:r>
            <w:r>
              <w:rPr>
                <w:rFonts w:hint="eastAsia"/>
                <w:color w:val="auto"/>
                <w:sz w:val="28"/>
                <w:szCs w:val="28"/>
                <w:highlight w:val="none"/>
                <w:lang w:val="en-US" w:eastAsia="zh-CN"/>
              </w:rPr>
              <w:t>0</w:t>
            </w:r>
          </w:p>
        </w:tc>
        <w:tc>
          <w:tcPr>
            <w:tcW w:w="9999" w:type="dxa"/>
            <w:noWrap w:val="0"/>
            <w:vAlign w:val="center"/>
          </w:tcPr>
          <w:p w14:paraId="570B2644">
            <w:pPr>
              <w:keepNext w:val="0"/>
              <w:keepLines w:val="0"/>
              <w:widowControl/>
              <w:suppressLineNumbers w:val="0"/>
              <w:jc w:val="left"/>
              <w:textAlignment w:val="center"/>
              <w:rPr>
                <w:rFonts w:hint="eastAsia"/>
                <w:color w:val="auto"/>
                <w:sz w:val="24"/>
                <w:highlight w:val="none"/>
              </w:rPr>
            </w:pPr>
            <w:r>
              <w:rPr>
                <w:rFonts w:ascii="宋体" w:hAnsi="宋体" w:eastAsia="宋体" w:cs="宋体"/>
                <w:color w:val="auto"/>
                <w:sz w:val="24"/>
                <w:szCs w:val="24"/>
                <w:highlight w:val="none"/>
              </w:rPr>
              <w:t>强化公寓用电安全管理，严禁飞线为电动车充电；规范宿舍区自行车、电动车摆放秩序，做到整齐有序；严禁堵塞消防通道，禁止将自行车、电动车带入宿舍室内，因物业公司管理失职出现上述问题的，扣 100-1000 元。</w:t>
            </w:r>
          </w:p>
        </w:tc>
        <w:tc>
          <w:tcPr>
            <w:tcW w:w="759" w:type="dxa"/>
            <w:noWrap w:val="0"/>
            <w:vAlign w:val="center"/>
          </w:tcPr>
          <w:p w14:paraId="4F9A816D">
            <w:pPr>
              <w:jc w:val="center"/>
              <w:rPr>
                <w:rFonts w:hint="default" w:ascii="方正汉简简体" w:hAnsi="方正汉简简体" w:eastAsia="方正汉简简体" w:cs="方正汉简简体"/>
                <w:color w:val="auto"/>
                <w:sz w:val="28"/>
                <w:szCs w:val="28"/>
                <w:highlight w:val="none"/>
                <w:lang w:val="en-US"/>
              </w:rPr>
            </w:pPr>
            <w:r>
              <w:rPr>
                <w:rFonts w:hint="eastAsia" w:eastAsia="宋体"/>
                <w:color w:val="auto"/>
                <w:szCs w:val="21"/>
                <w:highlight w:val="none"/>
                <w:lang w:val="en-US" w:eastAsia="zh-CN"/>
              </w:rPr>
              <w:t xml:space="preserve"> </w:t>
            </w:r>
            <w:r>
              <w:rPr>
                <w:rFonts w:hint="eastAsia" w:eastAsia="宋体"/>
                <w:color w:val="auto"/>
                <w:sz w:val="18"/>
                <w:szCs w:val="18"/>
                <w:highlight w:val="none"/>
                <w:lang w:val="en-US" w:eastAsia="zh-CN"/>
              </w:rPr>
              <w:t xml:space="preserve"> </w:t>
            </w:r>
          </w:p>
        </w:tc>
        <w:tc>
          <w:tcPr>
            <w:tcW w:w="793" w:type="dxa"/>
            <w:noWrap w:val="0"/>
            <w:vAlign w:val="center"/>
          </w:tcPr>
          <w:p w14:paraId="74973861">
            <w:pPr>
              <w:jc w:val="center"/>
              <w:rPr>
                <w:rFonts w:hint="eastAsia" w:ascii="方正静蕾简体" w:hAnsi="方正静蕾简体" w:eastAsia="方正静蕾简体" w:cs="方正静蕾简体"/>
                <w:b/>
                <w:bCs/>
                <w:color w:val="auto"/>
                <w:sz w:val="32"/>
                <w:szCs w:val="32"/>
                <w:highlight w:val="none"/>
              </w:rPr>
            </w:pPr>
          </w:p>
        </w:tc>
        <w:tc>
          <w:tcPr>
            <w:tcW w:w="1155" w:type="dxa"/>
            <w:noWrap w:val="0"/>
            <w:vAlign w:val="center"/>
          </w:tcPr>
          <w:p w14:paraId="25BF143C">
            <w:pPr>
              <w:jc w:val="center"/>
              <w:rPr>
                <w:rFonts w:hint="eastAsia" w:ascii="方正静蕾简体" w:hAnsi="方正静蕾简体" w:eastAsia="方正静蕾简体" w:cs="方正静蕾简体"/>
                <w:b/>
                <w:bCs/>
                <w:color w:val="auto"/>
                <w:sz w:val="32"/>
                <w:szCs w:val="32"/>
                <w:highlight w:val="none"/>
              </w:rPr>
            </w:pPr>
          </w:p>
        </w:tc>
        <w:tc>
          <w:tcPr>
            <w:tcW w:w="1374" w:type="dxa"/>
            <w:noWrap w:val="0"/>
            <w:vAlign w:val="center"/>
          </w:tcPr>
          <w:p w14:paraId="7F2515E1">
            <w:pPr>
              <w:jc w:val="center"/>
              <w:rPr>
                <w:rFonts w:hint="eastAsia" w:ascii="方正汉简简体" w:hAnsi="方正汉简简体" w:eastAsia="方正汉简简体" w:cs="方正汉简简体"/>
                <w:color w:val="auto"/>
                <w:sz w:val="28"/>
                <w:szCs w:val="28"/>
                <w:highlight w:val="none"/>
              </w:rPr>
            </w:pPr>
            <w:r>
              <w:rPr>
                <w:rFonts w:hint="eastAsia"/>
                <w:color w:val="auto"/>
                <w:sz w:val="18"/>
                <w:szCs w:val="18"/>
                <w:highlight w:val="none"/>
                <w:lang w:val="en-US" w:eastAsia="zh-CN"/>
              </w:rPr>
              <w:t xml:space="preserve">  </w:t>
            </w:r>
          </w:p>
        </w:tc>
      </w:tr>
      <w:tr w14:paraId="76FE5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62" w:type="dxa"/>
            <w:vMerge w:val="continue"/>
            <w:noWrap w:val="0"/>
            <w:vAlign w:val="top"/>
          </w:tcPr>
          <w:p w14:paraId="36091466">
            <w:pPr>
              <w:jc w:val="center"/>
              <w:rPr>
                <w:rFonts w:hint="eastAsia"/>
                <w:color w:val="auto"/>
                <w:sz w:val="28"/>
                <w:szCs w:val="28"/>
                <w:highlight w:val="none"/>
              </w:rPr>
            </w:pPr>
          </w:p>
        </w:tc>
        <w:tc>
          <w:tcPr>
            <w:tcW w:w="663" w:type="dxa"/>
            <w:noWrap w:val="0"/>
            <w:vAlign w:val="center"/>
          </w:tcPr>
          <w:p w14:paraId="61170140">
            <w:pPr>
              <w:jc w:val="center"/>
              <w:rPr>
                <w:rFonts w:hint="eastAsia" w:eastAsia="宋体"/>
                <w:color w:val="auto"/>
                <w:sz w:val="28"/>
                <w:szCs w:val="28"/>
                <w:highlight w:val="none"/>
                <w:lang w:val="en-US" w:eastAsia="zh-CN"/>
              </w:rPr>
            </w:pPr>
            <w:r>
              <w:rPr>
                <w:rFonts w:hint="eastAsia"/>
                <w:color w:val="auto"/>
                <w:sz w:val="28"/>
                <w:szCs w:val="28"/>
                <w:highlight w:val="none"/>
              </w:rPr>
              <w:t>1</w:t>
            </w:r>
            <w:r>
              <w:rPr>
                <w:rFonts w:hint="eastAsia"/>
                <w:color w:val="auto"/>
                <w:sz w:val="28"/>
                <w:szCs w:val="28"/>
                <w:highlight w:val="none"/>
                <w:lang w:val="en-US" w:eastAsia="zh-CN"/>
              </w:rPr>
              <w:t>1</w:t>
            </w:r>
          </w:p>
        </w:tc>
        <w:tc>
          <w:tcPr>
            <w:tcW w:w="9999" w:type="dxa"/>
            <w:noWrap w:val="0"/>
            <w:vAlign w:val="center"/>
          </w:tcPr>
          <w:p w14:paraId="7D1D48AC">
            <w:pPr>
              <w:keepNext w:val="0"/>
              <w:keepLines w:val="0"/>
              <w:widowControl/>
              <w:suppressLineNumbers w:val="0"/>
              <w:jc w:val="left"/>
              <w:textAlignment w:val="center"/>
              <w:rPr>
                <w:rFonts w:hint="eastAsia"/>
                <w:color w:val="auto"/>
                <w:sz w:val="24"/>
                <w:highlight w:val="none"/>
              </w:rPr>
            </w:pPr>
            <w:r>
              <w:rPr>
                <w:rFonts w:ascii="宋体" w:hAnsi="宋体" w:eastAsia="宋体" w:cs="宋体"/>
                <w:color w:val="auto"/>
                <w:sz w:val="24"/>
                <w:szCs w:val="24"/>
                <w:highlight w:val="none"/>
              </w:rPr>
              <w:t>负责公寓公共场所公物的保护及报修工作，对公物损坏情况及时排查，尽可能锁定破坏者；若未找到破坏者且未及时上报，造成财产损失的，物业公司承担相应管理责任（每次扣 100-200 元）及经济责任（按物价赔偿）。</w:t>
            </w:r>
          </w:p>
        </w:tc>
        <w:tc>
          <w:tcPr>
            <w:tcW w:w="759" w:type="dxa"/>
            <w:noWrap w:val="0"/>
            <w:vAlign w:val="center"/>
          </w:tcPr>
          <w:p w14:paraId="129DAB97">
            <w:pPr>
              <w:jc w:val="center"/>
              <w:rPr>
                <w:rFonts w:hint="eastAsia"/>
                <w:color w:val="auto"/>
                <w:sz w:val="28"/>
                <w:szCs w:val="28"/>
                <w:highlight w:val="none"/>
              </w:rPr>
            </w:pPr>
          </w:p>
        </w:tc>
        <w:tc>
          <w:tcPr>
            <w:tcW w:w="793" w:type="dxa"/>
            <w:noWrap w:val="0"/>
            <w:vAlign w:val="center"/>
          </w:tcPr>
          <w:p w14:paraId="654C0DFE">
            <w:pPr>
              <w:jc w:val="center"/>
              <w:rPr>
                <w:rFonts w:hint="eastAsia"/>
                <w:color w:val="auto"/>
                <w:sz w:val="28"/>
                <w:szCs w:val="28"/>
                <w:highlight w:val="none"/>
              </w:rPr>
            </w:pPr>
          </w:p>
        </w:tc>
        <w:tc>
          <w:tcPr>
            <w:tcW w:w="1155" w:type="dxa"/>
            <w:noWrap w:val="0"/>
            <w:vAlign w:val="center"/>
          </w:tcPr>
          <w:p w14:paraId="287792D1">
            <w:pPr>
              <w:jc w:val="center"/>
              <w:rPr>
                <w:rFonts w:hint="eastAsia"/>
                <w:color w:val="auto"/>
                <w:sz w:val="28"/>
                <w:szCs w:val="28"/>
                <w:highlight w:val="none"/>
              </w:rPr>
            </w:pPr>
          </w:p>
        </w:tc>
        <w:tc>
          <w:tcPr>
            <w:tcW w:w="1374" w:type="dxa"/>
            <w:noWrap w:val="0"/>
            <w:vAlign w:val="center"/>
          </w:tcPr>
          <w:p w14:paraId="11203CC8">
            <w:pPr>
              <w:jc w:val="center"/>
              <w:rPr>
                <w:rFonts w:hint="eastAsia"/>
                <w:color w:val="auto"/>
                <w:sz w:val="28"/>
                <w:szCs w:val="28"/>
                <w:highlight w:val="none"/>
              </w:rPr>
            </w:pPr>
          </w:p>
        </w:tc>
      </w:tr>
      <w:tr w14:paraId="3AAC7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jc w:val="center"/>
        </w:trPr>
        <w:tc>
          <w:tcPr>
            <w:tcW w:w="762" w:type="dxa"/>
            <w:vMerge w:val="restart"/>
            <w:noWrap w:val="0"/>
            <w:vAlign w:val="center"/>
          </w:tcPr>
          <w:p w14:paraId="7911ACD4">
            <w:pPr>
              <w:jc w:val="center"/>
              <w:rPr>
                <w:rFonts w:hint="eastAsia"/>
                <w:color w:val="auto"/>
                <w:sz w:val="28"/>
                <w:szCs w:val="28"/>
                <w:highlight w:val="none"/>
              </w:rPr>
            </w:pPr>
            <w:r>
              <w:rPr>
                <w:rFonts w:hint="eastAsia"/>
                <w:color w:val="auto"/>
                <w:sz w:val="28"/>
                <w:szCs w:val="28"/>
                <w:highlight w:val="none"/>
              </w:rPr>
              <w:t>保洁员考核项目</w:t>
            </w:r>
          </w:p>
        </w:tc>
        <w:tc>
          <w:tcPr>
            <w:tcW w:w="663" w:type="dxa"/>
            <w:noWrap w:val="0"/>
            <w:vAlign w:val="center"/>
          </w:tcPr>
          <w:p w14:paraId="0516D140">
            <w:pPr>
              <w:jc w:val="center"/>
              <w:rPr>
                <w:rFonts w:hint="eastAsia" w:eastAsia="宋体"/>
                <w:color w:val="auto"/>
                <w:sz w:val="28"/>
                <w:szCs w:val="28"/>
                <w:highlight w:val="none"/>
                <w:lang w:val="en-US" w:eastAsia="zh-CN"/>
              </w:rPr>
            </w:pPr>
            <w:r>
              <w:rPr>
                <w:rFonts w:hint="eastAsia"/>
                <w:color w:val="auto"/>
                <w:sz w:val="28"/>
                <w:szCs w:val="28"/>
                <w:highlight w:val="none"/>
              </w:rPr>
              <w:t>1</w:t>
            </w:r>
            <w:r>
              <w:rPr>
                <w:rFonts w:hint="eastAsia"/>
                <w:color w:val="auto"/>
                <w:sz w:val="28"/>
                <w:szCs w:val="28"/>
                <w:highlight w:val="none"/>
                <w:lang w:val="en-US" w:eastAsia="zh-CN"/>
              </w:rPr>
              <w:t>2</w:t>
            </w:r>
          </w:p>
        </w:tc>
        <w:tc>
          <w:tcPr>
            <w:tcW w:w="9999" w:type="dxa"/>
            <w:noWrap w:val="0"/>
            <w:vAlign w:val="center"/>
          </w:tcPr>
          <w:p w14:paraId="7D85B543">
            <w:pPr>
              <w:keepNext w:val="0"/>
              <w:keepLines w:val="0"/>
              <w:widowControl/>
              <w:suppressLineNumbers w:val="0"/>
              <w:jc w:val="left"/>
              <w:textAlignment w:val="center"/>
              <w:rPr>
                <w:rFonts w:hint="eastAsia"/>
                <w:color w:val="auto"/>
                <w:sz w:val="24"/>
                <w:highlight w:val="none"/>
              </w:rPr>
            </w:pPr>
            <w:r>
              <w:rPr>
                <w:rFonts w:ascii="宋体" w:hAnsi="宋体" w:eastAsia="宋体" w:cs="宋体"/>
                <w:color w:val="auto"/>
                <w:sz w:val="24"/>
                <w:szCs w:val="24"/>
                <w:highlight w:val="none"/>
              </w:rPr>
              <w:t>负责公寓公共环境、各楼层宿舍内的日常保洁及床上用品更换工作，按规定时间清理垃圾；垃圾清理不合格或未按时清理的，每次扣物业公司 100-200 元；床上用品未及时更换、清洗不干净或有异味的，每次扣 300-500 元。严禁在宿舍区分装、堆放垃圾，宿舍走廊、楼梯间、消防通道不得堆放水桶、垃圾等任何杂物；每季度清理学生宿舍管理科楼天面的杂物及垃圾，上述要求未落实的，每次每项扣物业公司 100-300 元</w:t>
            </w:r>
            <w:r>
              <w:rPr>
                <w:rFonts w:hint="eastAsia" w:ascii="宋体" w:hAnsi="宋体" w:eastAsia="宋体" w:cs="宋体"/>
                <w:i w:val="0"/>
                <w:color w:val="auto"/>
                <w:kern w:val="0"/>
                <w:sz w:val="24"/>
                <w:szCs w:val="24"/>
                <w:highlight w:val="none"/>
                <w:u w:val="none"/>
                <w:lang w:val="en-US" w:eastAsia="zh-CN" w:bidi="ar"/>
              </w:rPr>
              <w:t>。</w:t>
            </w:r>
          </w:p>
        </w:tc>
        <w:tc>
          <w:tcPr>
            <w:tcW w:w="759" w:type="dxa"/>
            <w:noWrap w:val="0"/>
            <w:vAlign w:val="center"/>
          </w:tcPr>
          <w:p w14:paraId="0FFA585F">
            <w:pPr>
              <w:jc w:val="both"/>
              <w:rPr>
                <w:rFonts w:hint="eastAsia" w:eastAsia="宋体"/>
                <w:color w:val="auto"/>
                <w:sz w:val="18"/>
                <w:szCs w:val="18"/>
                <w:highlight w:val="none"/>
                <w:lang w:eastAsia="zh-CN"/>
              </w:rPr>
            </w:pPr>
            <w:r>
              <w:rPr>
                <w:rFonts w:hint="eastAsia"/>
                <w:color w:val="auto"/>
                <w:szCs w:val="21"/>
                <w:highlight w:val="none"/>
                <w:lang w:val="en-US" w:eastAsia="zh-CN"/>
              </w:rPr>
              <w:t xml:space="preserve"> </w:t>
            </w:r>
          </w:p>
        </w:tc>
        <w:tc>
          <w:tcPr>
            <w:tcW w:w="793" w:type="dxa"/>
            <w:noWrap w:val="0"/>
            <w:vAlign w:val="center"/>
          </w:tcPr>
          <w:p w14:paraId="0176E39F">
            <w:pPr>
              <w:jc w:val="center"/>
              <w:rPr>
                <w:rFonts w:hint="eastAsia" w:eastAsia="宋体"/>
                <w:color w:val="auto"/>
                <w:sz w:val="28"/>
                <w:szCs w:val="28"/>
                <w:highlight w:val="none"/>
                <w:lang w:eastAsia="zh-CN"/>
              </w:rPr>
            </w:pPr>
            <w:r>
              <w:rPr>
                <w:rFonts w:hint="eastAsia"/>
                <w:color w:val="auto"/>
                <w:sz w:val="21"/>
                <w:szCs w:val="21"/>
                <w:highlight w:val="none"/>
                <w:lang w:val="en-US" w:eastAsia="zh-CN"/>
              </w:rPr>
              <w:t xml:space="preserve"> </w:t>
            </w:r>
          </w:p>
        </w:tc>
        <w:tc>
          <w:tcPr>
            <w:tcW w:w="1155" w:type="dxa"/>
            <w:noWrap w:val="0"/>
            <w:vAlign w:val="center"/>
          </w:tcPr>
          <w:p w14:paraId="552E3804">
            <w:pPr>
              <w:jc w:val="center"/>
              <w:rPr>
                <w:rFonts w:hint="default" w:eastAsia="宋体"/>
                <w:color w:val="auto"/>
                <w:sz w:val="28"/>
                <w:szCs w:val="28"/>
                <w:highlight w:val="none"/>
                <w:lang w:val="en-US" w:eastAsia="zh-CN"/>
              </w:rPr>
            </w:pPr>
            <w:r>
              <w:rPr>
                <w:rFonts w:hint="eastAsia" w:eastAsia="宋体"/>
                <w:color w:val="auto"/>
                <w:sz w:val="28"/>
                <w:szCs w:val="28"/>
                <w:highlight w:val="none"/>
                <w:lang w:val="en-US" w:eastAsia="zh-CN"/>
              </w:rPr>
              <w:t xml:space="preserve"> </w:t>
            </w:r>
          </w:p>
        </w:tc>
        <w:tc>
          <w:tcPr>
            <w:tcW w:w="1374" w:type="dxa"/>
            <w:noWrap w:val="0"/>
            <w:vAlign w:val="center"/>
          </w:tcPr>
          <w:p w14:paraId="0AE2F109">
            <w:pPr>
              <w:jc w:val="both"/>
              <w:rPr>
                <w:rFonts w:hint="default"/>
                <w:b w:val="0"/>
                <w:bCs/>
                <w:color w:val="auto"/>
                <w:sz w:val="21"/>
                <w:szCs w:val="21"/>
                <w:highlight w:val="none"/>
                <w:lang w:val="en-US" w:eastAsia="zh-CN"/>
              </w:rPr>
            </w:pPr>
          </w:p>
        </w:tc>
      </w:tr>
      <w:tr w14:paraId="5949C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762" w:type="dxa"/>
            <w:vMerge w:val="continue"/>
            <w:noWrap w:val="0"/>
            <w:vAlign w:val="top"/>
          </w:tcPr>
          <w:p w14:paraId="492824E2">
            <w:pPr>
              <w:jc w:val="center"/>
              <w:rPr>
                <w:rFonts w:hint="eastAsia"/>
                <w:color w:val="auto"/>
                <w:sz w:val="28"/>
                <w:szCs w:val="28"/>
                <w:highlight w:val="none"/>
              </w:rPr>
            </w:pPr>
          </w:p>
        </w:tc>
        <w:tc>
          <w:tcPr>
            <w:tcW w:w="663" w:type="dxa"/>
            <w:noWrap w:val="0"/>
            <w:vAlign w:val="center"/>
          </w:tcPr>
          <w:p w14:paraId="6DCB0CF5">
            <w:pPr>
              <w:jc w:val="center"/>
              <w:rPr>
                <w:rFonts w:hint="eastAsia" w:eastAsia="宋体"/>
                <w:color w:val="auto"/>
                <w:sz w:val="28"/>
                <w:szCs w:val="28"/>
                <w:highlight w:val="none"/>
                <w:lang w:val="en-US" w:eastAsia="zh-CN"/>
              </w:rPr>
            </w:pPr>
            <w:r>
              <w:rPr>
                <w:rFonts w:hint="eastAsia"/>
                <w:color w:val="auto"/>
                <w:sz w:val="28"/>
                <w:szCs w:val="28"/>
                <w:highlight w:val="none"/>
              </w:rPr>
              <w:t>1</w:t>
            </w:r>
            <w:r>
              <w:rPr>
                <w:rFonts w:hint="eastAsia"/>
                <w:color w:val="auto"/>
                <w:sz w:val="28"/>
                <w:szCs w:val="28"/>
                <w:highlight w:val="none"/>
                <w:lang w:val="en-US" w:eastAsia="zh-CN"/>
              </w:rPr>
              <w:t>3</w:t>
            </w:r>
          </w:p>
        </w:tc>
        <w:tc>
          <w:tcPr>
            <w:tcW w:w="9999" w:type="dxa"/>
            <w:noWrap w:val="0"/>
            <w:vAlign w:val="center"/>
          </w:tcPr>
          <w:p w14:paraId="6620B0F9">
            <w:pPr>
              <w:keepNext w:val="0"/>
              <w:keepLines w:val="0"/>
              <w:widowControl/>
              <w:suppressLineNumbers w:val="0"/>
              <w:jc w:val="left"/>
              <w:textAlignment w:val="center"/>
              <w:rPr>
                <w:rFonts w:hint="eastAsia"/>
                <w:color w:val="auto"/>
                <w:sz w:val="24"/>
                <w:highlight w:val="none"/>
              </w:rPr>
            </w:pPr>
            <w:r>
              <w:rPr>
                <w:rFonts w:ascii="宋体" w:hAnsi="宋体" w:eastAsia="宋体" w:cs="宋体"/>
                <w:color w:val="auto"/>
                <w:sz w:val="24"/>
                <w:szCs w:val="24"/>
                <w:highlight w:val="none"/>
              </w:rPr>
              <w:t>放假前提醒教职工办理退宿手续，对假期值班入住教职工做好信息登记，管理人员同步完善巡查记录，未履行上述职责的，每起扣物业公司 100-200 元。退宿时仔细检查宿舍内学校财产完好情况，发现缺损及时上报，若因物业公司未履行核查、上报职责造成财产损失的，由物业公司承担相应经济损失。</w:t>
            </w:r>
          </w:p>
        </w:tc>
        <w:tc>
          <w:tcPr>
            <w:tcW w:w="759" w:type="dxa"/>
            <w:noWrap w:val="0"/>
            <w:vAlign w:val="top"/>
          </w:tcPr>
          <w:p w14:paraId="26DCBD1C">
            <w:pPr>
              <w:jc w:val="center"/>
              <w:rPr>
                <w:rFonts w:hint="eastAsia"/>
                <w:color w:val="auto"/>
                <w:sz w:val="28"/>
                <w:szCs w:val="28"/>
                <w:highlight w:val="none"/>
              </w:rPr>
            </w:pPr>
          </w:p>
        </w:tc>
        <w:tc>
          <w:tcPr>
            <w:tcW w:w="793" w:type="dxa"/>
            <w:noWrap w:val="0"/>
            <w:vAlign w:val="top"/>
          </w:tcPr>
          <w:p w14:paraId="78D98A00">
            <w:pPr>
              <w:jc w:val="center"/>
              <w:rPr>
                <w:rFonts w:hint="eastAsia"/>
                <w:color w:val="auto"/>
                <w:sz w:val="28"/>
                <w:szCs w:val="28"/>
                <w:highlight w:val="none"/>
              </w:rPr>
            </w:pPr>
          </w:p>
        </w:tc>
        <w:tc>
          <w:tcPr>
            <w:tcW w:w="1155" w:type="dxa"/>
            <w:noWrap w:val="0"/>
            <w:vAlign w:val="top"/>
          </w:tcPr>
          <w:p w14:paraId="02AF77E5">
            <w:pPr>
              <w:jc w:val="center"/>
              <w:rPr>
                <w:rFonts w:hint="eastAsia"/>
                <w:color w:val="auto"/>
                <w:sz w:val="28"/>
                <w:szCs w:val="28"/>
                <w:highlight w:val="none"/>
              </w:rPr>
            </w:pPr>
          </w:p>
        </w:tc>
        <w:tc>
          <w:tcPr>
            <w:tcW w:w="1374" w:type="dxa"/>
            <w:noWrap w:val="0"/>
            <w:vAlign w:val="top"/>
          </w:tcPr>
          <w:p w14:paraId="5ECE47F1">
            <w:pPr>
              <w:jc w:val="center"/>
              <w:rPr>
                <w:rFonts w:hint="eastAsia"/>
                <w:color w:val="auto"/>
                <w:sz w:val="28"/>
                <w:szCs w:val="28"/>
                <w:highlight w:val="none"/>
              </w:rPr>
            </w:pPr>
          </w:p>
        </w:tc>
      </w:tr>
      <w:tr w14:paraId="3FC4D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762" w:type="dxa"/>
            <w:vMerge w:val="continue"/>
            <w:noWrap w:val="0"/>
            <w:vAlign w:val="top"/>
          </w:tcPr>
          <w:p w14:paraId="1BD82E7E">
            <w:pPr>
              <w:jc w:val="center"/>
              <w:rPr>
                <w:rFonts w:hint="eastAsia"/>
                <w:color w:val="auto"/>
                <w:sz w:val="28"/>
                <w:szCs w:val="28"/>
                <w:highlight w:val="none"/>
              </w:rPr>
            </w:pPr>
          </w:p>
        </w:tc>
        <w:tc>
          <w:tcPr>
            <w:tcW w:w="663" w:type="dxa"/>
            <w:noWrap w:val="0"/>
            <w:vAlign w:val="center"/>
          </w:tcPr>
          <w:p w14:paraId="127F6CEE">
            <w:pPr>
              <w:jc w:val="center"/>
              <w:rPr>
                <w:rFonts w:hint="eastAsia" w:eastAsia="宋体"/>
                <w:color w:val="auto"/>
                <w:sz w:val="28"/>
                <w:szCs w:val="28"/>
                <w:highlight w:val="none"/>
                <w:lang w:val="en-US" w:eastAsia="zh-CN"/>
              </w:rPr>
            </w:pPr>
            <w:r>
              <w:rPr>
                <w:rFonts w:hint="eastAsia"/>
                <w:color w:val="auto"/>
                <w:sz w:val="28"/>
                <w:szCs w:val="28"/>
                <w:highlight w:val="none"/>
              </w:rPr>
              <w:t>1</w:t>
            </w:r>
            <w:r>
              <w:rPr>
                <w:rFonts w:hint="eastAsia"/>
                <w:color w:val="auto"/>
                <w:sz w:val="28"/>
                <w:szCs w:val="28"/>
                <w:highlight w:val="none"/>
                <w:lang w:val="en-US" w:eastAsia="zh-CN"/>
              </w:rPr>
              <w:t>4</w:t>
            </w:r>
          </w:p>
        </w:tc>
        <w:tc>
          <w:tcPr>
            <w:tcW w:w="9999" w:type="dxa"/>
            <w:noWrap w:val="0"/>
            <w:vAlign w:val="center"/>
          </w:tcPr>
          <w:p w14:paraId="7849CAAE">
            <w:pPr>
              <w:keepNext w:val="0"/>
              <w:keepLines w:val="0"/>
              <w:widowControl/>
              <w:suppressLineNumbers w:val="0"/>
              <w:jc w:val="left"/>
              <w:textAlignment w:val="center"/>
              <w:rPr>
                <w:rFonts w:hint="eastAsia"/>
                <w:color w:val="auto"/>
                <w:sz w:val="21"/>
                <w:szCs w:val="21"/>
                <w:highlight w:val="none"/>
              </w:rPr>
            </w:pPr>
            <w:r>
              <w:rPr>
                <w:rFonts w:ascii="宋体" w:hAnsi="宋体" w:eastAsia="宋体" w:cs="宋体"/>
                <w:color w:val="auto"/>
                <w:sz w:val="24"/>
                <w:szCs w:val="24"/>
                <w:highlight w:val="none"/>
              </w:rPr>
              <w:t>针对各级各类检查、评估、师生返校、毕业生离校、新生入学及校外人员来校视察等工作，物业公司须全力配合学校完成突击保洁及相关配套服务，同时按要求完成学校交办的其他宿舍管理任务；因物业公司自身原因，未按质、按量、按时完成工作的，扣除 1000-3000 元。</w:t>
            </w:r>
          </w:p>
        </w:tc>
        <w:tc>
          <w:tcPr>
            <w:tcW w:w="759" w:type="dxa"/>
            <w:noWrap w:val="0"/>
            <w:vAlign w:val="top"/>
          </w:tcPr>
          <w:p w14:paraId="47DC9616">
            <w:pPr>
              <w:jc w:val="center"/>
              <w:rPr>
                <w:rFonts w:hint="eastAsia"/>
                <w:color w:val="auto"/>
                <w:sz w:val="28"/>
                <w:szCs w:val="28"/>
                <w:highlight w:val="none"/>
              </w:rPr>
            </w:pPr>
          </w:p>
        </w:tc>
        <w:tc>
          <w:tcPr>
            <w:tcW w:w="793" w:type="dxa"/>
            <w:noWrap w:val="0"/>
            <w:vAlign w:val="top"/>
          </w:tcPr>
          <w:p w14:paraId="223BD45C">
            <w:pPr>
              <w:jc w:val="center"/>
              <w:rPr>
                <w:rFonts w:hint="eastAsia"/>
                <w:color w:val="auto"/>
                <w:sz w:val="28"/>
                <w:szCs w:val="28"/>
                <w:highlight w:val="none"/>
              </w:rPr>
            </w:pPr>
          </w:p>
        </w:tc>
        <w:tc>
          <w:tcPr>
            <w:tcW w:w="1155" w:type="dxa"/>
            <w:noWrap w:val="0"/>
            <w:vAlign w:val="top"/>
          </w:tcPr>
          <w:p w14:paraId="2A8475D6">
            <w:pPr>
              <w:jc w:val="center"/>
              <w:rPr>
                <w:rFonts w:hint="eastAsia"/>
                <w:color w:val="auto"/>
                <w:sz w:val="28"/>
                <w:szCs w:val="28"/>
                <w:highlight w:val="none"/>
              </w:rPr>
            </w:pPr>
          </w:p>
        </w:tc>
        <w:tc>
          <w:tcPr>
            <w:tcW w:w="1374" w:type="dxa"/>
            <w:noWrap w:val="0"/>
            <w:vAlign w:val="top"/>
          </w:tcPr>
          <w:p w14:paraId="4EF5C250">
            <w:pPr>
              <w:jc w:val="both"/>
              <w:rPr>
                <w:rFonts w:hint="eastAsia" w:ascii="宋体" w:hAnsi="宋体" w:cs="方正静蕾简体"/>
                <w:bCs/>
                <w:color w:val="auto"/>
                <w:sz w:val="28"/>
                <w:szCs w:val="28"/>
                <w:highlight w:val="none"/>
                <w:lang w:val="en-US" w:eastAsia="zh-CN"/>
              </w:rPr>
            </w:pPr>
          </w:p>
        </w:tc>
      </w:tr>
      <w:tr w14:paraId="740FA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62" w:type="dxa"/>
            <w:noWrap w:val="0"/>
            <w:vAlign w:val="top"/>
          </w:tcPr>
          <w:p w14:paraId="7DE69818">
            <w:pPr>
              <w:jc w:val="center"/>
              <w:rPr>
                <w:rFonts w:hint="eastAsia"/>
                <w:color w:val="auto"/>
                <w:sz w:val="28"/>
                <w:szCs w:val="28"/>
                <w:highlight w:val="none"/>
              </w:rPr>
            </w:pPr>
          </w:p>
        </w:tc>
        <w:tc>
          <w:tcPr>
            <w:tcW w:w="663" w:type="dxa"/>
            <w:noWrap w:val="0"/>
            <w:vAlign w:val="center"/>
          </w:tcPr>
          <w:p w14:paraId="5C5D722C">
            <w:pPr>
              <w:jc w:val="center"/>
              <w:rPr>
                <w:rFonts w:hint="eastAsia"/>
                <w:color w:val="auto"/>
                <w:sz w:val="28"/>
                <w:szCs w:val="28"/>
                <w:highlight w:val="none"/>
              </w:rPr>
            </w:pPr>
            <w:r>
              <w:rPr>
                <w:rFonts w:hint="eastAsia"/>
                <w:color w:val="auto"/>
                <w:sz w:val="24"/>
                <w:highlight w:val="none"/>
                <w:lang w:val="en-US" w:eastAsia="zh-CN"/>
              </w:rPr>
              <w:t>合计</w:t>
            </w:r>
          </w:p>
        </w:tc>
        <w:tc>
          <w:tcPr>
            <w:tcW w:w="9999" w:type="dxa"/>
            <w:noWrap w:val="0"/>
            <w:vAlign w:val="top"/>
          </w:tcPr>
          <w:p w14:paraId="2D528764">
            <w:pPr>
              <w:rPr>
                <w:rFonts w:hint="eastAsia" w:eastAsia="宋体"/>
                <w:color w:val="auto"/>
                <w:sz w:val="24"/>
                <w:highlight w:val="none"/>
                <w:lang w:val="en-US" w:eastAsia="zh-CN"/>
              </w:rPr>
            </w:pPr>
          </w:p>
        </w:tc>
        <w:tc>
          <w:tcPr>
            <w:tcW w:w="759" w:type="dxa"/>
            <w:noWrap w:val="0"/>
            <w:vAlign w:val="top"/>
          </w:tcPr>
          <w:p w14:paraId="2007455B">
            <w:pPr>
              <w:jc w:val="center"/>
              <w:rPr>
                <w:rFonts w:hint="eastAsia"/>
                <w:color w:val="auto"/>
                <w:sz w:val="28"/>
                <w:szCs w:val="28"/>
                <w:highlight w:val="none"/>
              </w:rPr>
            </w:pPr>
          </w:p>
        </w:tc>
        <w:tc>
          <w:tcPr>
            <w:tcW w:w="793" w:type="dxa"/>
            <w:noWrap w:val="0"/>
            <w:vAlign w:val="top"/>
          </w:tcPr>
          <w:p w14:paraId="7E6D386A">
            <w:pPr>
              <w:jc w:val="center"/>
              <w:rPr>
                <w:rFonts w:hint="eastAsia"/>
                <w:color w:val="auto"/>
                <w:sz w:val="28"/>
                <w:szCs w:val="28"/>
                <w:highlight w:val="none"/>
              </w:rPr>
            </w:pPr>
          </w:p>
        </w:tc>
        <w:tc>
          <w:tcPr>
            <w:tcW w:w="1155" w:type="dxa"/>
            <w:noWrap w:val="0"/>
            <w:vAlign w:val="top"/>
          </w:tcPr>
          <w:p w14:paraId="38D1EFDF">
            <w:pPr>
              <w:jc w:val="center"/>
              <w:rPr>
                <w:rFonts w:hint="default" w:eastAsia="宋体"/>
                <w:color w:val="auto"/>
                <w:sz w:val="28"/>
                <w:szCs w:val="28"/>
                <w:highlight w:val="none"/>
                <w:lang w:val="en-US" w:eastAsia="zh-CN"/>
              </w:rPr>
            </w:pPr>
            <w:r>
              <w:rPr>
                <w:rFonts w:hint="eastAsia" w:eastAsia="宋体"/>
                <w:color w:val="auto"/>
                <w:sz w:val="28"/>
                <w:szCs w:val="28"/>
                <w:highlight w:val="none"/>
                <w:lang w:val="en-US" w:eastAsia="zh-CN"/>
              </w:rPr>
              <w:t xml:space="preserve"> </w:t>
            </w:r>
          </w:p>
        </w:tc>
        <w:tc>
          <w:tcPr>
            <w:tcW w:w="1374" w:type="dxa"/>
            <w:noWrap w:val="0"/>
            <w:vAlign w:val="top"/>
          </w:tcPr>
          <w:p w14:paraId="745D50C8">
            <w:pPr>
              <w:jc w:val="both"/>
              <w:rPr>
                <w:rFonts w:hint="eastAsia" w:ascii="宋体" w:hAnsi="宋体" w:cs="方正静蕾简体"/>
                <w:bCs/>
                <w:color w:val="auto"/>
                <w:sz w:val="28"/>
                <w:szCs w:val="28"/>
                <w:highlight w:val="none"/>
                <w:lang w:val="en-US" w:eastAsia="zh-CN"/>
              </w:rPr>
            </w:pPr>
          </w:p>
        </w:tc>
      </w:tr>
      <w:tr w14:paraId="15774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425" w:type="dxa"/>
            <w:gridSpan w:val="2"/>
            <w:noWrap w:val="0"/>
            <w:vAlign w:val="center"/>
          </w:tcPr>
          <w:p w14:paraId="12EE9DDF">
            <w:pPr>
              <w:rPr>
                <w:rFonts w:hint="default" w:eastAsia="宋体"/>
                <w:color w:val="auto"/>
                <w:sz w:val="24"/>
                <w:szCs w:val="24"/>
                <w:highlight w:val="none"/>
                <w:lang w:val="en-US" w:eastAsia="zh-CN"/>
              </w:rPr>
            </w:pPr>
            <w:r>
              <w:rPr>
                <w:rFonts w:hint="eastAsia"/>
                <w:color w:val="auto"/>
                <w:sz w:val="24"/>
                <w:szCs w:val="24"/>
                <w:highlight w:val="none"/>
                <w:lang w:val="en-US" w:eastAsia="zh-CN"/>
              </w:rPr>
              <w:t>考核方签字</w:t>
            </w:r>
          </w:p>
        </w:tc>
        <w:tc>
          <w:tcPr>
            <w:tcW w:w="14080" w:type="dxa"/>
            <w:gridSpan w:val="5"/>
            <w:noWrap w:val="0"/>
            <w:vAlign w:val="center"/>
          </w:tcPr>
          <w:p w14:paraId="6BC1A4B0">
            <w:pPr>
              <w:jc w:val="both"/>
              <w:rPr>
                <w:rFonts w:hint="eastAsia"/>
                <w:color w:val="auto"/>
                <w:sz w:val="28"/>
                <w:szCs w:val="28"/>
                <w:highlight w:val="none"/>
              </w:rPr>
            </w:pPr>
            <w:r>
              <w:rPr>
                <w:rFonts w:hint="eastAsia"/>
                <w:color w:val="auto"/>
                <w:sz w:val="28"/>
                <w:szCs w:val="28"/>
                <w:highlight w:val="none"/>
                <w:lang w:val="en-US" w:eastAsia="zh-CN"/>
              </w:rPr>
              <w:t>广西医科大学</w:t>
            </w:r>
            <w:r>
              <w:rPr>
                <w:rFonts w:hint="eastAsia"/>
                <w:color w:val="auto"/>
                <w:sz w:val="28"/>
                <w:szCs w:val="28"/>
                <w:highlight w:val="none"/>
              </w:rPr>
              <w:t xml:space="preserve">   </w:t>
            </w:r>
            <w:r>
              <w:rPr>
                <w:rFonts w:hint="eastAsia"/>
                <w:color w:val="auto"/>
                <w:sz w:val="28"/>
                <w:szCs w:val="28"/>
                <w:highlight w:val="none"/>
                <w:lang w:val="en-US" w:eastAsia="zh-CN"/>
              </w:rPr>
              <w:t xml:space="preserve">        </w:t>
            </w:r>
            <w:r>
              <w:rPr>
                <w:rFonts w:hint="eastAsia"/>
                <w:color w:val="auto"/>
                <w:sz w:val="28"/>
                <w:szCs w:val="28"/>
                <w:highlight w:val="none"/>
              </w:rPr>
              <w:t>姓名</w:t>
            </w:r>
            <w:r>
              <w:rPr>
                <w:rFonts w:hint="eastAsia"/>
                <w:color w:val="auto"/>
                <w:sz w:val="28"/>
                <w:szCs w:val="28"/>
                <w:highlight w:val="none"/>
                <w:lang w:eastAsia="zh-CN"/>
              </w:rPr>
              <w:t>（</w:t>
            </w:r>
            <w:r>
              <w:rPr>
                <w:rFonts w:hint="eastAsia"/>
                <w:color w:val="auto"/>
                <w:sz w:val="28"/>
                <w:szCs w:val="28"/>
                <w:highlight w:val="none"/>
              </w:rPr>
              <w:t>签字</w:t>
            </w:r>
            <w:r>
              <w:rPr>
                <w:rFonts w:hint="eastAsia"/>
                <w:color w:val="auto"/>
                <w:sz w:val="28"/>
                <w:szCs w:val="28"/>
                <w:highlight w:val="none"/>
                <w:lang w:eastAsia="zh-CN"/>
              </w:rPr>
              <w:t>）</w:t>
            </w:r>
            <w:r>
              <w:rPr>
                <w:rFonts w:hint="eastAsia"/>
                <w:color w:val="auto"/>
                <w:sz w:val="28"/>
                <w:szCs w:val="28"/>
                <w:highlight w:val="none"/>
              </w:rPr>
              <w:t xml:space="preserve">：                               </w:t>
            </w:r>
            <w:r>
              <w:rPr>
                <w:rFonts w:hint="eastAsia"/>
                <w:color w:val="auto"/>
                <w:sz w:val="28"/>
                <w:szCs w:val="28"/>
                <w:highlight w:val="none"/>
                <w:lang w:val="en-US" w:eastAsia="zh-CN"/>
              </w:rPr>
              <w:t xml:space="preserve">   2026 </w:t>
            </w:r>
            <w:r>
              <w:rPr>
                <w:rFonts w:hint="eastAsia"/>
                <w:color w:val="auto"/>
                <w:sz w:val="28"/>
                <w:szCs w:val="28"/>
                <w:highlight w:val="none"/>
              </w:rPr>
              <w:t>年</w:t>
            </w:r>
            <w:r>
              <w:rPr>
                <w:rFonts w:hint="eastAsia"/>
                <w:color w:val="auto"/>
                <w:sz w:val="28"/>
                <w:szCs w:val="28"/>
                <w:highlight w:val="none"/>
                <w:lang w:val="en-US" w:eastAsia="zh-CN"/>
              </w:rPr>
              <w:t xml:space="preserve">  </w:t>
            </w:r>
            <w:r>
              <w:rPr>
                <w:rFonts w:hint="eastAsia"/>
                <w:color w:val="auto"/>
                <w:sz w:val="28"/>
                <w:szCs w:val="28"/>
                <w:highlight w:val="none"/>
              </w:rPr>
              <w:t>月</w:t>
            </w:r>
            <w:r>
              <w:rPr>
                <w:rFonts w:hint="eastAsia"/>
                <w:color w:val="auto"/>
                <w:sz w:val="28"/>
                <w:szCs w:val="28"/>
                <w:highlight w:val="none"/>
                <w:lang w:val="en-US" w:eastAsia="zh-CN"/>
              </w:rPr>
              <w:t xml:space="preserve">   </w:t>
            </w:r>
            <w:r>
              <w:rPr>
                <w:rFonts w:hint="eastAsia"/>
                <w:color w:val="auto"/>
                <w:sz w:val="28"/>
                <w:szCs w:val="28"/>
                <w:highlight w:val="none"/>
              </w:rPr>
              <w:t>日</w:t>
            </w:r>
          </w:p>
        </w:tc>
      </w:tr>
      <w:tr w14:paraId="2A07F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5" w:type="dxa"/>
            <w:gridSpan w:val="2"/>
            <w:noWrap w:val="0"/>
            <w:vAlign w:val="center"/>
          </w:tcPr>
          <w:p w14:paraId="1E2EB880">
            <w:pPr>
              <w:jc w:val="center"/>
              <w:rPr>
                <w:rFonts w:hint="default" w:eastAsia="宋体"/>
                <w:color w:val="auto"/>
                <w:sz w:val="24"/>
                <w:szCs w:val="24"/>
                <w:highlight w:val="none"/>
                <w:lang w:val="en-US" w:eastAsia="zh-CN"/>
              </w:rPr>
            </w:pPr>
            <w:r>
              <w:rPr>
                <w:rFonts w:hint="eastAsia"/>
                <w:color w:val="auto"/>
                <w:sz w:val="24"/>
                <w:szCs w:val="24"/>
                <w:highlight w:val="none"/>
                <w:lang w:val="en-US" w:eastAsia="zh-CN"/>
              </w:rPr>
              <w:t>被考核方签字</w:t>
            </w:r>
          </w:p>
        </w:tc>
        <w:tc>
          <w:tcPr>
            <w:tcW w:w="14080" w:type="dxa"/>
            <w:gridSpan w:val="5"/>
            <w:noWrap w:val="0"/>
            <w:vAlign w:val="center"/>
          </w:tcPr>
          <w:p w14:paraId="33607389">
            <w:pPr>
              <w:jc w:val="both"/>
              <w:rPr>
                <w:rFonts w:hint="eastAsia"/>
                <w:color w:val="auto"/>
                <w:sz w:val="28"/>
                <w:szCs w:val="28"/>
                <w:highlight w:val="none"/>
                <w:lang w:val="en-US" w:eastAsia="zh-CN"/>
              </w:rPr>
            </w:pPr>
          </w:p>
        </w:tc>
      </w:tr>
    </w:tbl>
    <w:p w14:paraId="6A73CCDD">
      <w:pPr>
        <w:spacing w:line="528" w:lineRule="exact"/>
        <w:jc w:val="left"/>
        <w:rPr>
          <w:rFonts w:hint="eastAsia" w:ascii="宋体" w:hAnsi="宋体" w:eastAsia="宋体" w:cs="宋体"/>
          <w:color w:val="auto"/>
          <w:sz w:val="32"/>
          <w:szCs w:val="32"/>
          <w:highlight w:val="none"/>
        </w:rPr>
        <w:sectPr>
          <w:pgSz w:w="16838" w:h="11911" w:orient="landscape"/>
          <w:pgMar w:top="1134" w:right="1134" w:bottom="1134" w:left="1134" w:header="720" w:footer="720" w:gutter="0"/>
          <w:pgNumType w:fmt="decimal"/>
          <w:cols w:space="720" w:num="1"/>
        </w:sectPr>
      </w:pPr>
    </w:p>
    <w:p w14:paraId="45ADA1C6">
      <w:pPr>
        <w:spacing w:line="528" w:lineRule="exact"/>
        <w:jc w:val="left"/>
        <w:rPr>
          <w:rFonts w:hint="eastAsia" w:ascii="宋体" w:hAnsi="宋体" w:eastAsia="宋体" w:cs="宋体"/>
          <w:color w:val="auto"/>
          <w:highlight w:val="none"/>
        </w:rPr>
      </w:pPr>
      <w:r>
        <w:rPr>
          <w:rFonts w:hint="eastAsia" w:ascii="宋体" w:hAnsi="宋体" w:eastAsia="宋体" w:cs="宋体"/>
          <w:color w:val="auto"/>
          <w:sz w:val="32"/>
          <w:szCs w:val="32"/>
          <w:highlight w:val="none"/>
        </w:rPr>
        <w:t>附件1</w:t>
      </w:r>
    </w:p>
    <w:p w14:paraId="44696025">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节能产品政府采购品目清单</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116"/>
        <w:gridCol w:w="1516"/>
        <w:gridCol w:w="1612"/>
        <w:gridCol w:w="4335"/>
      </w:tblGrid>
      <w:tr w14:paraId="02C78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52" w:type="dxa"/>
            <w:noWrap w:val="0"/>
            <w:vAlign w:val="top"/>
          </w:tcPr>
          <w:p w14:paraId="2EFD4532">
            <w:pPr>
              <w:widowControl/>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品目序号</w:t>
            </w:r>
          </w:p>
        </w:tc>
        <w:tc>
          <w:tcPr>
            <w:tcW w:w="4244" w:type="dxa"/>
            <w:gridSpan w:val="3"/>
            <w:noWrap w:val="0"/>
            <w:vAlign w:val="center"/>
          </w:tcPr>
          <w:p w14:paraId="74C66820">
            <w:pPr>
              <w:widowControl/>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名称</w:t>
            </w:r>
          </w:p>
        </w:tc>
        <w:tc>
          <w:tcPr>
            <w:tcW w:w="4335" w:type="dxa"/>
            <w:noWrap w:val="0"/>
            <w:vAlign w:val="center"/>
          </w:tcPr>
          <w:p w14:paraId="4CC0AE13">
            <w:pPr>
              <w:widowControl/>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依据的标准</w:t>
            </w:r>
          </w:p>
        </w:tc>
      </w:tr>
      <w:tr w14:paraId="02ADE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52" w:type="dxa"/>
            <w:vMerge w:val="restart"/>
            <w:noWrap w:val="0"/>
            <w:vAlign w:val="center"/>
          </w:tcPr>
          <w:p w14:paraId="102B237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116" w:type="dxa"/>
            <w:vMerge w:val="restart"/>
            <w:noWrap w:val="0"/>
            <w:vAlign w:val="center"/>
          </w:tcPr>
          <w:p w14:paraId="246CF61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A020101计算机设备</w:t>
            </w:r>
          </w:p>
        </w:tc>
        <w:tc>
          <w:tcPr>
            <w:tcW w:w="1516" w:type="dxa"/>
            <w:noWrap w:val="0"/>
            <w:vAlign w:val="center"/>
          </w:tcPr>
          <w:p w14:paraId="1B66FDB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★A02010104台式计算机</w:t>
            </w:r>
          </w:p>
        </w:tc>
        <w:tc>
          <w:tcPr>
            <w:tcW w:w="1612" w:type="dxa"/>
            <w:noWrap w:val="0"/>
            <w:vAlign w:val="center"/>
          </w:tcPr>
          <w:p w14:paraId="452D290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7E32ADC4">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14:paraId="56526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52" w:type="dxa"/>
            <w:vMerge w:val="continue"/>
            <w:noWrap w:val="0"/>
            <w:vAlign w:val="center"/>
          </w:tcPr>
          <w:p w14:paraId="7DA53FCB">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14:paraId="036D6C72">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62B474A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★A02010105便携式计算机</w:t>
            </w:r>
          </w:p>
        </w:tc>
        <w:tc>
          <w:tcPr>
            <w:tcW w:w="1612" w:type="dxa"/>
            <w:noWrap w:val="0"/>
            <w:vAlign w:val="center"/>
          </w:tcPr>
          <w:p w14:paraId="3B3C630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47F5B620">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14:paraId="1F4EE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52" w:type="dxa"/>
            <w:vMerge w:val="continue"/>
            <w:noWrap w:val="0"/>
            <w:vAlign w:val="center"/>
          </w:tcPr>
          <w:p w14:paraId="06F564DE">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14:paraId="320D547B">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0CF2A66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★A02010107平板式微型计算机</w:t>
            </w:r>
          </w:p>
        </w:tc>
        <w:tc>
          <w:tcPr>
            <w:tcW w:w="1612" w:type="dxa"/>
            <w:noWrap w:val="0"/>
            <w:vAlign w:val="center"/>
          </w:tcPr>
          <w:p w14:paraId="6DA4DAF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521A791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14:paraId="41689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52" w:type="dxa"/>
            <w:vMerge w:val="restart"/>
            <w:noWrap w:val="0"/>
            <w:vAlign w:val="center"/>
          </w:tcPr>
          <w:p w14:paraId="0E3139F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1116" w:type="dxa"/>
            <w:vMerge w:val="restart"/>
            <w:noWrap w:val="0"/>
            <w:vAlign w:val="center"/>
          </w:tcPr>
          <w:p w14:paraId="04BDE42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A020106输入输出设备</w:t>
            </w:r>
          </w:p>
        </w:tc>
        <w:tc>
          <w:tcPr>
            <w:tcW w:w="1516" w:type="dxa"/>
            <w:vMerge w:val="restart"/>
            <w:noWrap w:val="0"/>
            <w:vAlign w:val="center"/>
          </w:tcPr>
          <w:p w14:paraId="2B05EBE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A02010601打印设备</w:t>
            </w:r>
          </w:p>
        </w:tc>
        <w:tc>
          <w:tcPr>
            <w:tcW w:w="1612" w:type="dxa"/>
            <w:noWrap w:val="0"/>
            <w:vAlign w:val="center"/>
          </w:tcPr>
          <w:p w14:paraId="374F1E4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A0201060101喷墨打印机</w:t>
            </w:r>
          </w:p>
        </w:tc>
        <w:tc>
          <w:tcPr>
            <w:tcW w:w="4335" w:type="dxa"/>
            <w:noWrap w:val="0"/>
            <w:vAlign w:val="center"/>
          </w:tcPr>
          <w:p w14:paraId="46A99609">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6E20F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52" w:type="dxa"/>
            <w:vMerge w:val="continue"/>
            <w:noWrap w:val="0"/>
            <w:vAlign w:val="center"/>
          </w:tcPr>
          <w:p w14:paraId="346CB08A">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14:paraId="4C2BF15D">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14:paraId="620154DC">
            <w:pPr>
              <w:widowControl/>
              <w:jc w:val="left"/>
              <w:rPr>
                <w:rFonts w:hint="eastAsia" w:ascii="宋体" w:hAnsi="宋体" w:eastAsia="宋体" w:cs="宋体"/>
                <w:color w:val="auto"/>
                <w:kern w:val="0"/>
                <w:sz w:val="20"/>
                <w:szCs w:val="20"/>
                <w:highlight w:val="none"/>
              </w:rPr>
            </w:pPr>
          </w:p>
        </w:tc>
        <w:tc>
          <w:tcPr>
            <w:tcW w:w="1612" w:type="dxa"/>
            <w:noWrap w:val="0"/>
            <w:vAlign w:val="center"/>
          </w:tcPr>
          <w:p w14:paraId="4ADD4C5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★A0201060102激光打印机</w:t>
            </w:r>
          </w:p>
        </w:tc>
        <w:tc>
          <w:tcPr>
            <w:tcW w:w="4335" w:type="dxa"/>
            <w:noWrap w:val="0"/>
            <w:vAlign w:val="center"/>
          </w:tcPr>
          <w:p w14:paraId="7AAE232D">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31327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52" w:type="dxa"/>
            <w:vMerge w:val="continue"/>
            <w:noWrap w:val="0"/>
            <w:vAlign w:val="center"/>
          </w:tcPr>
          <w:p w14:paraId="505651FA">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14:paraId="12729039">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14:paraId="4D184225">
            <w:pPr>
              <w:widowControl/>
              <w:jc w:val="left"/>
              <w:rPr>
                <w:rFonts w:hint="eastAsia" w:ascii="宋体" w:hAnsi="宋体" w:eastAsia="宋体" w:cs="宋体"/>
                <w:color w:val="auto"/>
                <w:kern w:val="0"/>
                <w:sz w:val="20"/>
                <w:szCs w:val="20"/>
                <w:highlight w:val="none"/>
              </w:rPr>
            </w:pPr>
          </w:p>
        </w:tc>
        <w:tc>
          <w:tcPr>
            <w:tcW w:w="1612" w:type="dxa"/>
            <w:noWrap w:val="0"/>
            <w:vAlign w:val="center"/>
          </w:tcPr>
          <w:p w14:paraId="61DB3E8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★A0201060104针式打印机</w:t>
            </w:r>
          </w:p>
        </w:tc>
        <w:tc>
          <w:tcPr>
            <w:tcW w:w="4335" w:type="dxa"/>
            <w:noWrap w:val="0"/>
            <w:vAlign w:val="center"/>
          </w:tcPr>
          <w:p w14:paraId="59AE3DFB">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65BD3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52" w:type="dxa"/>
            <w:vMerge w:val="continue"/>
            <w:noWrap w:val="0"/>
            <w:vAlign w:val="center"/>
          </w:tcPr>
          <w:p w14:paraId="6E17DD3A">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14:paraId="766454FC">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1FEDF32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A02010604显示设备</w:t>
            </w:r>
          </w:p>
        </w:tc>
        <w:tc>
          <w:tcPr>
            <w:tcW w:w="1612" w:type="dxa"/>
            <w:noWrap w:val="0"/>
            <w:vAlign w:val="center"/>
          </w:tcPr>
          <w:p w14:paraId="688F6C8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★A0201060401液晶显示器</w:t>
            </w:r>
          </w:p>
        </w:tc>
        <w:tc>
          <w:tcPr>
            <w:tcW w:w="4335" w:type="dxa"/>
            <w:noWrap w:val="0"/>
            <w:vAlign w:val="center"/>
          </w:tcPr>
          <w:p w14:paraId="30AB032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《计算机显示器能效限定值及能效等级》（GB21520）</w:t>
            </w:r>
          </w:p>
        </w:tc>
      </w:tr>
      <w:tr w14:paraId="3625E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752" w:type="dxa"/>
            <w:vMerge w:val="continue"/>
            <w:noWrap w:val="0"/>
            <w:vAlign w:val="center"/>
          </w:tcPr>
          <w:p w14:paraId="51F287C5">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14:paraId="3B419C83">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236AAE7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A02010609图形图像输入设备</w:t>
            </w:r>
          </w:p>
        </w:tc>
        <w:tc>
          <w:tcPr>
            <w:tcW w:w="1612" w:type="dxa"/>
            <w:noWrap w:val="0"/>
            <w:vAlign w:val="center"/>
          </w:tcPr>
          <w:p w14:paraId="1568C9B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A0201060901扫描仪</w:t>
            </w:r>
          </w:p>
        </w:tc>
        <w:tc>
          <w:tcPr>
            <w:tcW w:w="4335" w:type="dxa"/>
            <w:noWrap w:val="0"/>
            <w:vAlign w:val="center"/>
          </w:tcPr>
          <w:p w14:paraId="4D480743">
            <w:pPr>
              <w:widowControl/>
              <w:jc w:val="left"/>
              <w:rPr>
                <w:rFonts w:hint="eastAsia" w:ascii="宋体" w:hAnsi="宋体" w:eastAsia="宋体" w:cs="宋体"/>
                <w:color w:val="auto"/>
                <w:kern w:val="0"/>
                <w:sz w:val="20"/>
                <w:szCs w:val="20"/>
                <w:highlight w:val="none"/>
                <w:lang w:eastAsia="zh-CN"/>
              </w:rPr>
            </w:pPr>
            <w:r>
              <w:rPr>
                <w:rFonts w:hint="eastAsia" w:ascii="宋体" w:hAnsi="宋体" w:eastAsia="宋体" w:cs="宋体"/>
                <w:color w:val="auto"/>
                <w:kern w:val="0"/>
                <w:sz w:val="20"/>
                <w:szCs w:val="20"/>
                <w:highlight w:val="none"/>
              </w:rPr>
              <w:t>参照《复印机、打印机和传真机能效限定值及能效等级》（GB21521</w:t>
            </w:r>
            <w:r>
              <w:rPr>
                <w:rFonts w:hint="eastAsia" w:ascii="宋体" w:hAnsi="宋体" w:eastAsia="宋体" w:cs="宋体"/>
                <w:color w:val="auto"/>
                <w:kern w:val="0"/>
                <w:sz w:val="20"/>
                <w:szCs w:val="20"/>
                <w:highlight w:val="none"/>
                <w:lang w:eastAsia="zh-CN"/>
              </w:rPr>
              <w:t>）中打印速度为15页/分的针式打印机相关要求</w:t>
            </w:r>
          </w:p>
        </w:tc>
      </w:tr>
      <w:tr w14:paraId="3769D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52" w:type="dxa"/>
            <w:noWrap w:val="0"/>
            <w:vAlign w:val="center"/>
          </w:tcPr>
          <w:p w14:paraId="558BF2B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p>
        </w:tc>
        <w:tc>
          <w:tcPr>
            <w:tcW w:w="1116" w:type="dxa"/>
            <w:noWrap w:val="0"/>
            <w:vAlign w:val="center"/>
          </w:tcPr>
          <w:p w14:paraId="625886D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A020202投影仪</w:t>
            </w:r>
          </w:p>
        </w:tc>
        <w:tc>
          <w:tcPr>
            <w:tcW w:w="1516" w:type="dxa"/>
            <w:noWrap w:val="0"/>
            <w:vAlign w:val="center"/>
          </w:tcPr>
          <w:p w14:paraId="07D2CDC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14:paraId="77F2707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7845281E">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《投影机能效限定值及能效等级》（GB32028）</w:t>
            </w:r>
          </w:p>
        </w:tc>
      </w:tr>
      <w:tr w14:paraId="74287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52" w:type="dxa"/>
            <w:noWrap w:val="0"/>
            <w:vAlign w:val="center"/>
          </w:tcPr>
          <w:p w14:paraId="2C31678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w:t>
            </w:r>
          </w:p>
        </w:tc>
        <w:tc>
          <w:tcPr>
            <w:tcW w:w="1116" w:type="dxa"/>
            <w:noWrap w:val="0"/>
            <w:vAlign w:val="center"/>
          </w:tcPr>
          <w:p w14:paraId="1E173E9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A020204多功能一体机</w:t>
            </w:r>
          </w:p>
        </w:tc>
        <w:tc>
          <w:tcPr>
            <w:tcW w:w="1516" w:type="dxa"/>
            <w:noWrap w:val="0"/>
            <w:vAlign w:val="center"/>
          </w:tcPr>
          <w:p w14:paraId="7912976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14:paraId="5A5B960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20213EF0">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52CC5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52" w:type="dxa"/>
            <w:noWrap w:val="0"/>
            <w:vAlign w:val="center"/>
          </w:tcPr>
          <w:p w14:paraId="6F7B852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w:t>
            </w:r>
          </w:p>
        </w:tc>
        <w:tc>
          <w:tcPr>
            <w:tcW w:w="1116" w:type="dxa"/>
            <w:noWrap w:val="0"/>
            <w:vAlign w:val="center"/>
          </w:tcPr>
          <w:p w14:paraId="67B7383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A020519泵</w:t>
            </w:r>
          </w:p>
        </w:tc>
        <w:tc>
          <w:tcPr>
            <w:tcW w:w="1516" w:type="dxa"/>
            <w:noWrap w:val="0"/>
            <w:vAlign w:val="center"/>
          </w:tcPr>
          <w:p w14:paraId="0133FD3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A02051901离心泵</w:t>
            </w:r>
          </w:p>
        </w:tc>
        <w:tc>
          <w:tcPr>
            <w:tcW w:w="1612" w:type="dxa"/>
            <w:noWrap w:val="0"/>
            <w:vAlign w:val="center"/>
          </w:tcPr>
          <w:p w14:paraId="0754C51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51FC0239">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《清水离心泵能效限定值及节能评价值》（GB19762）</w:t>
            </w:r>
          </w:p>
        </w:tc>
      </w:tr>
      <w:tr w14:paraId="17161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52" w:type="dxa"/>
            <w:vMerge w:val="restart"/>
            <w:noWrap w:val="0"/>
            <w:vAlign w:val="center"/>
          </w:tcPr>
          <w:p w14:paraId="0CDE39F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w:t>
            </w:r>
          </w:p>
        </w:tc>
        <w:tc>
          <w:tcPr>
            <w:tcW w:w="1116" w:type="dxa"/>
            <w:vMerge w:val="restart"/>
            <w:noWrap w:val="0"/>
            <w:vAlign w:val="center"/>
          </w:tcPr>
          <w:p w14:paraId="3478BE6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A020523制冷空调设备</w:t>
            </w:r>
          </w:p>
        </w:tc>
        <w:tc>
          <w:tcPr>
            <w:tcW w:w="1516" w:type="dxa"/>
            <w:vMerge w:val="restart"/>
            <w:noWrap w:val="0"/>
            <w:vAlign w:val="center"/>
          </w:tcPr>
          <w:p w14:paraId="286FF7E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★A02052301制冷压缩机</w:t>
            </w:r>
          </w:p>
        </w:tc>
        <w:tc>
          <w:tcPr>
            <w:tcW w:w="1612" w:type="dxa"/>
            <w:noWrap w:val="0"/>
            <w:vAlign w:val="center"/>
          </w:tcPr>
          <w:p w14:paraId="34B6652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冷水机组</w:t>
            </w:r>
          </w:p>
        </w:tc>
        <w:tc>
          <w:tcPr>
            <w:tcW w:w="4335" w:type="dxa"/>
            <w:noWrap w:val="0"/>
            <w:vAlign w:val="center"/>
          </w:tcPr>
          <w:p w14:paraId="0F181590">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《冷水机组能效限定值及能效等级》（GB19577），《低环境温度空气源热泵（冷水）机组能效限定值及能效等级》（GB37480）</w:t>
            </w:r>
          </w:p>
        </w:tc>
      </w:tr>
      <w:tr w14:paraId="7E3CC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52" w:type="dxa"/>
            <w:vMerge w:val="continue"/>
            <w:noWrap w:val="0"/>
            <w:vAlign w:val="center"/>
          </w:tcPr>
          <w:p w14:paraId="013E12D7">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14:paraId="6831C4F7">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14:paraId="169EC611">
            <w:pPr>
              <w:widowControl/>
              <w:jc w:val="left"/>
              <w:rPr>
                <w:rFonts w:hint="eastAsia" w:ascii="宋体" w:hAnsi="宋体" w:eastAsia="宋体" w:cs="宋体"/>
                <w:color w:val="auto"/>
                <w:kern w:val="0"/>
                <w:sz w:val="20"/>
                <w:szCs w:val="20"/>
                <w:highlight w:val="none"/>
              </w:rPr>
            </w:pPr>
          </w:p>
        </w:tc>
        <w:tc>
          <w:tcPr>
            <w:tcW w:w="1612" w:type="dxa"/>
            <w:noWrap w:val="0"/>
            <w:vAlign w:val="center"/>
          </w:tcPr>
          <w:p w14:paraId="4973246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水源热泵机组</w:t>
            </w:r>
          </w:p>
        </w:tc>
        <w:tc>
          <w:tcPr>
            <w:tcW w:w="4335" w:type="dxa"/>
            <w:noWrap w:val="0"/>
            <w:vAlign w:val="center"/>
          </w:tcPr>
          <w:p w14:paraId="3B8C4630">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《水（地）源热泵机组能效限定值及能效等级》（GB30721）</w:t>
            </w:r>
          </w:p>
        </w:tc>
      </w:tr>
      <w:tr w14:paraId="744F7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52" w:type="dxa"/>
            <w:vMerge w:val="continue"/>
            <w:noWrap w:val="0"/>
            <w:vAlign w:val="center"/>
          </w:tcPr>
          <w:p w14:paraId="1D30FEB6">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14:paraId="34D1A2CA">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14:paraId="6EAEB1B4">
            <w:pPr>
              <w:widowControl/>
              <w:jc w:val="left"/>
              <w:rPr>
                <w:rFonts w:hint="eastAsia" w:ascii="宋体" w:hAnsi="宋体" w:eastAsia="宋体" w:cs="宋体"/>
                <w:color w:val="auto"/>
                <w:kern w:val="0"/>
                <w:sz w:val="20"/>
                <w:szCs w:val="20"/>
                <w:highlight w:val="none"/>
              </w:rPr>
            </w:pPr>
          </w:p>
        </w:tc>
        <w:tc>
          <w:tcPr>
            <w:tcW w:w="1612" w:type="dxa"/>
            <w:noWrap w:val="0"/>
            <w:vAlign w:val="center"/>
          </w:tcPr>
          <w:p w14:paraId="2B0A993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溴化锂吸收式冷水机组</w:t>
            </w:r>
          </w:p>
        </w:tc>
        <w:tc>
          <w:tcPr>
            <w:tcW w:w="4335" w:type="dxa"/>
            <w:noWrap w:val="0"/>
            <w:vAlign w:val="center"/>
          </w:tcPr>
          <w:p w14:paraId="5DB1A802">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《溴化锂吸收式冷水机组能效限定值及能效等级》（GB29540）</w:t>
            </w:r>
          </w:p>
        </w:tc>
      </w:tr>
      <w:tr w14:paraId="704F5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52" w:type="dxa"/>
            <w:vMerge w:val="continue"/>
            <w:noWrap w:val="0"/>
            <w:vAlign w:val="center"/>
          </w:tcPr>
          <w:p w14:paraId="14482E84">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14:paraId="5A8502D0">
            <w:pPr>
              <w:widowControl/>
              <w:jc w:val="left"/>
              <w:rPr>
                <w:rFonts w:hint="eastAsia" w:ascii="宋体" w:hAnsi="宋体" w:eastAsia="宋体" w:cs="宋体"/>
                <w:color w:val="auto"/>
                <w:kern w:val="0"/>
                <w:sz w:val="20"/>
                <w:szCs w:val="20"/>
                <w:highlight w:val="none"/>
              </w:rPr>
            </w:pPr>
          </w:p>
        </w:tc>
        <w:tc>
          <w:tcPr>
            <w:tcW w:w="1516" w:type="dxa"/>
            <w:vMerge w:val="restart"/>
            <w:noWrap w:val="0"/>
            <w:vAlign w:val="center"/>
          </w:tcPr>
          <w:p w14:paraId="5BBE3F9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★A02052305空调机组</w:t>
            </w:r>
          </w:p>
        </w:tc>
        <w:tc>
          <w:tcPr>
            <w:tcW w:w="1612" w:type="dxa"/>
            <w:noWrap w:val="0"/>
            <w:vAlign w:val="center"/>
          </w:tcPr>
          <w:p w14:paraId="560B23C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多联式空调（热泵）机组(制冷量&gt;14000W)</w:t>
            </w:r>
          </w:p>
        </w:tc>
        <w:tc>
          <w:tcPr>
            <w:tcW w:w="4335" w:type="dxa"/>
            <w:noWrap w:val="0"/>
            <w:vAlign w:val="center"/>
          </w:tcPr>
          <w:p w14:paraId="2F40B64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《多联式空调（热泵）机组能效限定值及能源效率等级》（GB21454）</w:t>
            </w:r>
          </w:p>
        </w:tc>
      </w:tr>
      <w:tr w14:paraId="5F8D1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52" w:type="dxa"/>
            <w:vMerge w:val="continue"/>
            <w:noWrap w:val="0"/>
            <w:vAlign w:val="center"/>
          </w:tcPr>
          <w:p w14:paraId="74C58FFC">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14:paraId="7B72FFC7">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14:paraId="75F64992">
            <w:pPr>
              <w:widowControl/>
              <w:jc w:val="left"/>
              <w:rPr>
                <w:rFonts w:hint="eastAsia" w:ascii="宋体" w:hAnsi="宋体" w:eastAsia="宋体" w:cs="宋体"/>
                <w:color w:val="auto"/>
                <w:kern w:val="0"/>
                <w:sz w:val="20"/>
                <w:szCs w:val="20"/>
                <w:highlight w:val="none"/>
              </w:rPr>
            </w:pPr>
          </w:p>
        </w:tc>
        <w:tc>
          <w:tcPr>
            <w:tcW w:w="1612" w:type="dxa"/>
            <w:noWrap w:val="0"/>
            <w:vAlign w:val="center"/>
          </w:tcPr>
          <w:p w14:paraId="1795CDA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单元式空气调节机(制冷量&gt;14000W</w:t>
            </w:r>
          </w:p>
        </w:tc>
        <w:tc>
          <w:tcPr>
            <w:tcW w:w="4335" w:type="dxa"/>
            <w:noWrap w:val="0"/>
            <w:vAlign w:val="center"/>
          </w:tcPr>
          <w:p w14:paraId="7B9CBA76">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《单元式空气调节机能效限定值及能效等级》（GB19576）《风管送风式空调机组能效限定值及能效等级》（GB37479）</w:t>
            </w:r>
          </w:p>
        </w:tc>
      </w:tr>
      <w:tr w14:paraId="6E062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52" w:type="dxa"/>
            <w:vMerge w:val="continue"/>
            <w:noWrap w:val="0"/>
            <w:vAlign w:val="center"/>
          </w:tcPr>
          <w:p w14:paraId="2C775296">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14:paraId="118E9C88">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4D66DF8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★A02052309专用制冷、空调设备</w:t>
            </w:r>
          </w:p>
        </w:tc>
        <w:tc>
          <w:tcPr>
            <w:tcW w:w="1612" w:type="dxa"/>
            <w:noWrap w:val="0"/>
            <w:vAlign w:val="center"/>
          </w:tcPr>
          <w:p w14:paraId="36876B9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机房空调</w:t>
            </w:r>
          </w:p>
        </w:tc>
        <w:tc>
          <w:tcPr>
            <w:tcW w:w="4335" w:type="dxa"/>
            <w:noWrap w:val="0"/>
            <w:vAlign w:val="center"/>
          </w:tcPr>
          <w:p w14:paraId="1EA7659E">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《单元式空气调节机能效限定值及能效等级》（GB19576）</w:t>
            </w:r>
          </w:p>
        </w:tc>
      </w:tr>
      <w:tr w14:paraId="6F61C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52" w:type="dxa"/>
            <w:vMerge w:val="continue"/>
            <w:noWrap w:val="0"/>
            <w:vAlign w:val="center"/>
          </w:tcPr>
          <w:p w14:paraId="56D3DEDB">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14:paraId="52B0F725">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1A8E9AB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A02052399其他制冷空调设备</w:t>
            </w:r>
          </w:p>
        </w:tc>
        <w:tc>
          <w:tcPr>
            <w:tcW w:w="1612" w:type="dxa"/>
            <w:noWrap w:val="0"/>
            <w:vAlign w:val="center"/>
          </w:tcPr>
          <w:p w14:paraId="393B36C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冷却塔</w:t>
            </w:r>
          </w:p>
        </w:tc>
        <w:tc>
          <w:tcPr>
            <w:tcW w:w="4335" w:type="dxa"/>
            <w:noWrap w:val="0"/>
            <w:vAlign w:val="center"/>
          </w:tcPr>
          <w:p w14:paraId="696D761E">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《机械通风冷却塔第1部分：中小型开式冷却塔》（GB/T7190.1）；《机械通风冷却塔第2部分：大型开式冷却塔》（GB/T7190.2）</w:t>
            </w:r>
          </w:p>
        </w:tc>
      </w:tr>
      <w:tr w14:paraId="1DA35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52" w:type="dxa"/>
            <w:noWrap w:val="0"/>
            <w:vAlign w:val="center"/>
          </w:tcPr>
          <w:p w14:paraId="18E1E54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w:t>
            </w:r>
          </w:p>
        </w:tc>
        <w:tc>
          <w:tcPr>
            <w:tcW w:w="1116" w:type="dxa"/>
            <w:noWrap w:val="0"/>
            <w:vAlign w:val="center"/>
          </w:tcPr>
          <w:p w14:paraId="7930041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A020601电机</w:t>
            </w:r>
          </w:p>
        </w:tc>
        <w:tc>
          <w:tcPr>
            <w:tcW w:w="1516" w:type="dxa"/>
            <w:noWrap w:val="0"/>
            <w:vAlign w:val="center"/>
          </w:tcPr>
          <w:p w14:paraId="09B5ACA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14:paraId="545335B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7A067168">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《中小型三相异步电动机能效限定值及能效等级》（GB18613）</w:t>
            </w:r>
          </w:p>
        </w:tc>
      </w:tr>
      <w:tr w14:paraId="1E755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52" w:type="dxa"/>
            <w:noWrap w:val="0"/>
            <w:vAlign w:val="center"/>
          </w:tcPr>
          <w:p w14:paraId="7EB3F27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w:t>
            </w:r>
          </w:p>
        </w:tc>
        <w:tc>
          <w:tcPr>
            <w:tcW w:w="1116" w:type="dxa"/>
            <w:noWrap w:val="0"/>
            <w:vAlign w:val="center"/>
          </w:tcPr>
          <w:p w14:paraId="75EB0D9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A020602变压器</w:t>
            </w:r>
          </w:p>
        </w:tc>
        <w:tc>
          <w:tcPr>
            <w:tcW w:w="1516" w:type="dxa"/>
            <w:noWrap w:val="0"/>
            <w:vAlign w:val="center"/>
          </w:tcPr>
          <w:p w14:paraId="4374581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配电变压器</w:t>
            </w:r>
          </w:p>
        </w:tc>
        <w:tc>
          <w:tcPr>
            <w:tcW w:w="1612" w:type="dxa"/>
            <w:noWrap w:val="0"/>
            <w:vAlign w:val="center"/>
          </w:tcPr>
          <w:p w14:paraId="58F30AA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1A3E7229">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《三相配电变压器能效限定值及能效等级》（GB20052）</w:t>
            </w:r>
          </w:p>
        </w:tc>
      </w:tr>
      <w:tr w14:paraId="21BE3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52" w:type="dxa"/>
            <w:noWrap w:val="0"/>
            <w:vAlign w:val="center"/>
          </w:tcPr>
          <w:p w14:paraId="2A78EC3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w:t>
            </w:r>
          </w:p>
        </w:tc>
        <w:tc>
          <w:tcPr>
            <w:tcW w:w="1116" w:type="dxa"/>
            <w:noWrap w:val="0"/>
            <w:vAlign w:val="center"/>
          </w:tcPr>
          <w:p w14:paraId="7D9BC4C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★A020609镇流器</w:t>
            </w:r>
          </w:p>
        </w:tc>
        <w:tc>
          <w:tcPr>
            <w:tcW w:w="1516" w:type="dxa"/>
            <w:noWrap w:val="0"/>
            <w:vAlign w:val="center"/>
          </w:tcPr>
          <w:p w14:paraId="74824AB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管型荧光灯镇流器</w:t>
            </w:r>
          </w:p>
        </w:tc>
        <w:tc>
          <w:tcPr>
            <w:tcW w:w="1612" w:type="dxa"/>
            <w:noWrap w:val="0"/>
            <w:vAlign w:val="center"/>
          </w:tcPr>
          <w:p w14:paraId="7A934A6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1A1103B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《管形荧光灯镇流器能效限定值及能效等级》（GB17896）</w:t>
            </w:r>
          </w:p>
        </w:tc>
      </w:tr>
      <w:tr w14:paraId="56594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52" w:type="dxa"/>
            <w:vMerge w:val="restart"/>
            <w:noWrap w:val="0"/>
            <w:vAlign w:val="center"/>
          </w:tcPr>
          <w:p w14:paraId="2ACC47D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w:t>
            </w:r>
          </w:p>
        </w:tc>
        <w:tc>
          <w:tcPr>
            <w:tcW w:w="1116" w:type="dxa"/>
            <w:vMerge w:val="restart"/>
            <w:noWrap w:val="0"/>
            <w:vAlign w:val="center"/>
          </w:tcPr>
          <w:p w14:paraId="4CAEF63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A020618生活用电器</w:t>
            </w:r>
          </w:p>
        </w:tc>
        <w:tc>
          <w:tcPr>
            <w:tcW w:w="1516" w:type="dxa"/>
            <w:noWrap w:val="0"/>
            <w:vAlign w:val="center"/>
          </w:tcPr>
          <w:p w14:paraId="17340AE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A0206180101电冰箱</w:t>
            </w:r>
          </w:p>
        </w:tc>
        <w:tc>
          <w:tcPr>
            <w:tcW w:w="1612" w:type="dxa"/>
            <w:noWrap w:val="0"/>
            <w:vAlign w:val="center"/>
          </w:tcPr>
          <w:p w14:paraId="2E74075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5EBD7509">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《家用电冰箱耗电量限定值及能效等级》（GB 12021.2）</w:t>
            </w:r>
          </w:p>
        </w:tc>
      </w:tr>
      <w:tr w14:paraId="1B696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752" w:type="dxa"/>
            <w:vMerge w:val="continue"/>
            <w:noWrap w:val="0"/>
            <w:vAlign w:val="center"/>
          </w:tcPr>
          <w:p w14:paraId="65C04BDB">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14:paraId="2318F0A7">
            <w:pPr>
              <w:widowControl/>
              <w:jc w:val="left"/>
              <w:rPr>
                <w:rFonts w:hint="eastAsia" w:ascii="宋体" w:hAnsi="宋体" w:eastAsia="宋体" w:cs="宋体"/>
                <w:color w:val="auto"/>
                <w:kern w:val="0"/>
                <w:sz w:val="20"/>
                <w:szCs w:val="20"/>
                <w:highlight w:val="none"/>
              </w:rPr>
            </w:pPr>
          </w:p>
        </w:tc>
        <w:tc>
          <w:tcPr>
            <w:tcW w:w="1516" w:type="dxa"/>
            <w:vMerge w:val="restart"/>
            <w:noWrap w:val="0"/>
            <w:vAlign w:val="center"/>
          </w:tcPr>
          <w:p w14:paraId="7C29F30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★A0206180203空调机</w:t>
            </w:r>
          </w:p>
        </w:tc>
        <w:tc>
          <w:tcPr>
            <w:tcW w:w="1612" w:type="dxa"/>
            <w:noWrap w:val="0"/>
            <w:vAlign w:val="center"/>
          </w:tcPr>
          <w:p w14:paraId="24DE9AD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房间空气调节器</w:t>
            </w:r>
          </w:p>
        </w:tc>
        <w:tc>
          <w:tcPr>
            <w:tcW w:w="4335" w:type="dxa"/>
            <w:noWrap w:val="0"/>
            <w:vAlign w:val="center"/>
          </w:tcPr>
          <w:p w14:paraId="6E5A2CCF">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14:paraId="1D1B8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52" w:type="dxa"/>
            <w:vMerge w:val="continue"/>
            <w:noWrap w:val="0"/>
            <w:vAlign w:val="center"/>
          </w:tcPr>
          <w:p w14:paraId="08160DBC">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14:paraId="13C38694">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14:paraId="3AB4F69C">
            <w:pPr>
              <w:widowControl/>
              <w:jc w:val="left"/>
              <w:rPr>
                <w:rFonts w:hint="eastAsia" w:ascii="宋体" w:hAnsi="宋体" w:eastAsia="宋体" w:cs="宋体"/>
                <w:color w:val="auto"/>
                <w:kern w:val="0"/>
                <w:sz w:val="20"/>
                <w:szCs w:val="20"/>
                <w:highlight w:val="none"/>
              </w:rPr>
            </w:pPr>
          </w:p>
        </w:tc>
        <w:tc>
          <w:tcPr>
            <w:tcW w:w="1612" w:type="dxa"/>
            <w:noWrap w:val="0"/>
            <w:vAlign w:val="center"/>
          </w:tcPr>
          <w:p w14:paraId="6A45851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多联式空调（热泵）机组（制冷量≤ 14000W）</w:t>
            </w:r>
          </w:p>
        </w:tc>
        <w:tc>
          <w:tcPr>
            <w:tcW w:w="4335" w:type="dxa"/>
            <w:noWrap w:val="0"/>
            <w:vAlign w:val="center"/>
          </w:tcPr>
          <w:p w14:paraId="71F5834F">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《多联式空调（热泵）机组能效限定值及能源效率等级》（GB21454）</w:t>
            </w:r>
          </w:p>
        </w:tc>
      </w:tr>
      <w:tr w14:paraId="6854E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52" w:type="dxa"/>
            <w:vMerge w:val="continue"/>
            <w:noWrap w:val="0"/>
            <w:vAlign w:val="center"/>
          </w:tcPr>
          <w:p w14:paraId="0F576CD9">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14:paraId="2A4BF093">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14:paraId="234181AE">
            <w:pPr>
              <w:widowControl/>
              <w:jc w:val="left"/>
              <w:rPr>
                <w:rFonts w:hint="eastAsia" w:ascii="宋体" w:hAnsi="宋体" w:eastAsia="宋体" w:cs="宋体"/>
                <w:color w:val="auto"/>
                <w:kern w:val="0"/>
                <w:sz w:val="20"/>
                <w:szCs w:val="20"/>
                <w:highlight w:val="none"/>
              </w:rPr>
            </w:pPr>
          </w:p>
        </w:tc>
        <w:tc>
          <w:tcPr>
            <w:tcW w:w="1612" w:type="dxa"/>
            <w:noWrap w:val="0"/>
            <w:vAlign w:val="center"/>
          </w:tcPr>
          <w:p w14:paraId="11A1F4E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单元式空气调节机(制冷量≤14000W)</w:t>
            </w:r>
          </w:p>
        </w:tc>
        <w:tc>
          <w:tcPr>
            <w:tcW w:w="4335" w:type="dxa"/>
            <w:noWrap w:val="0"/>
            <w:vAlign w:val="center"/>
          </w:tcPr>
          <w:p w14:paraId="4D53A18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《单元式空气调节机能效限定值及能源效率等级》（GB19576）《风管送风式空调机组能效限定值及能效等级》（GB37479）</w:t>
            </w:r>
          </w:p>
        </w:tc>
      </w:tr>
      <w:tr w14:paraId="1B9C9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52" w:type="dxa"/>
            <w:vMerge w:val="continue"/>
            <w:noWrap w:val="0"/>
            <w:vAlign w:val="center"/>
          </w:tcPr>
          <w:p w14:paraId="32392041">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14:paraId="79DED02B">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2FCFA85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A0206180301洗衣机</w:t>
            </w:r>
          </w:p>
        </w:tc>
        <w:tc>
          <w:tcPr>
            <w:tcW w:w="1612" w:type="dxa"/>
            <w:noWrap w:val="0"/>
            <w:vAlign w:val="center"/>
          </w:tcPr>
          <w:p w14:paraId="0C53259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0ED76518">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《电动洗衣机能效水效限定值及等级》（GB12021.4）</w:t>
            </w:r>
          </w:p>
        </w:tc>
      </w:tr>
      <w:tr w14:paraId="7CB1D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52" w:type="dxa"/>
            <w:vMerge w:val="continue"/>
            <w:noWrap w:val="0"/>
            <w:vAlign w:val="center"/>
          </w:tcPr>
          <w:p w14:paraId="7C43D898">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14:paraId="4C2FB285">
            <w:pPr>
              <w:widowControl/>
              <w:jc w:val="left"/>
              <w:rPr>
                <w:rFonts w:hint="eastAsia" w:ascii="宋体" w:hAnsi="宋体" w:eastAsia="宋体" w:cs="宋体"/>
                <w:color w:val="auto"/>
                <w:kern w:val="0"/>
                <w:sz w:val="20"/>
                <w:szCs w:val="20"/>
                <w:highlight w:val="none"/>
              </w:rPr>
            </w:pPr>
          </w:p>
        </w:tc>
        <w:tc>
          <w:tcPr>
            <w:tcW w:w="1516" w:type="dxa"/>
            <w:vMerge w:val="restart"/>
            <w:noWrap w:val="0"/>
            <w:vAlign w:val="center"/>
          </w:tcPr>
          <w:p w14:paraId="39B9F55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A02061808热水器</w:t>
            </w:r>
          </w:p>
        </w:tc>
        <w:tc>
          <w:tcPr>
            <w:tcW w:w="1612" w:type="dxa"/>
            <w:noWrap w:val="0"/>
            <w:vAlign w:val="center"/>
          </w:tcPr>
          <w:p w14:paraId="5C9C0DA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★电热水器</w:t>
            </w:r>
          </w:p>
        </w:tc>
        <w:tc>
          <w:tcPr>
            <w:tcW w:w="4335" w:type="dxa"/>
            <w:noWrap w:val="0"/>
            <w:vAlign w:val="center"/>
          </w:tcPr>
          <w:p w14:paraId="1EE8E900">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《储水式电热水器能效限定值及能效等级》（GB21519）</w:t>
            </w:r>
          </w:p>
        </w:tc>
      </w:tr>
      <w:tr w14:paraId="5E6EB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52" w:type="dxa"/>
            <w:vMerge w:val="continue"/>
            <w:noWrap w:val="0"/>
            <w:vAlign w:val="center"/>
          </w:tcPr>
          <w:p w14:paraId="6212C49A">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14:paraId="676075A7">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14:paraId="4EB89292">
            <w:pPr>
              <w:widowControl/>
              <w:jc w:val="left"/>
              <w:rPr>
                <w:rFonts w:hint="eastAsia" w:ascii="宋体" w:hAnsi="宋体" w:eastAsia="宋体" w:cs="宋体"/>
                <w:color w:val="auto"/>
                <w:kern w:val="0"/>
                <w:sz w:val="20"/>
                <w:szCs w:val="20"/>
                <w:highlight w:val="none"/>
              </w:rPr>
            </w:pPr>
          </w:p>
        </w:tc>
        <w:tc>
          <w:tcPr>
            <w:tcW w:w="1612" w:type="dxa"/>
            <w:noWrap w:val="0"/>
            <w:vAlign w:val="center"/>
          </w:tcPr>
          <w:p w14:paraId="1391144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燃气热水器</w:t>
            </w:r>
          </w:p>
        </w:tc>
        <w:tc>
          <w:tcPr>
            <w:tcW w:w="4335" w:type="dxa"/>
            <w:noWrap w:val="0"/>
            <w:vAlign w:val="center"/>
          </w:tcPr>
          <w:p w14:paraId="5520FB5E">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《家用燃气快速热水器和燃气采暖热水炉能效限定值及能效等级》（GB20665）</w:t>
            </w:r>
          </w:p>
        </w:tc>
      </w:tr>
      <w:tr w14:paraId="7E7A7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52" w:type="dxa"/>
            <w:vMerge w:val="continue"/>
            <w:noWrap w:val="0"/>
            <w:vAlign w:val="center"/>
          </w:tcPr>
          <w:p w14:paraId="2423B227">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14:paraId="268257A5">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14:paraId="1C55CFBB">
            <w:pPr>
              <w:widowControl/>
              <w:jc w:val="left"/>
              <w:rPr>
                <w:rFonts w:hint="eastAsia" w:ascii="宋体" w:hAnsi="宋体" w:eastAsia="宋体" w:cs="宋体"/>
                <w:color w:val="auto"/>
                <w:kern w:val="0"/>
                <w:sz w:val="20"/>
                <w:szCs w:val="20"/>
                <w:highlight w:val="none"/>
              </w:rPr>
            </w:pPr>
          </w:p>
        </w:tc>
        <w:tc>
          <w:tcPr>
            <w:tcW w:w="1612" w:type="dxa"/>
            <w:noWrap w:val="0"/>
            <w:vAlign w:val="center"/>
          </w:tcPr>
          <w:p w14:paraId="4DACDD0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热泵热水器</w:t>
            </w:r>
          </w:p>
        </w:tc>
        <w:tc>
          <w:tcPr>
            <w:tcW w:w="4335" w:type="dxa"/>
            <w:noWrap w:val="0"/>
            <w:vAlign w:val="center"/>
          </w:tcPr>
          <w:p w14:paraId="74CC3749">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《热泵热水机（器）能效限定值及能效等级》（GB29541）</w:t>
            </w:r>
          </w:p>
        </w:tc>
      </w:tr>
      <w:tr w14:paraId="67735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52" w:type="dxa"/>
            <w:vMerge w:val="continue"/>
            <w:noWrap w:val="0"/>
            <w:vAlign w:val="center"/>
          </w:tcPr>
          <w:p w14:paraId="7926FF18">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14:paraId="449F8DA6">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14:paraId="2ED3D1E4">
            <w:pPr>
              <w:widowControl/>
              <w:jc w:val="left"/>
              <w:rPr>
                <w:rFonts w:hint="eastAsia" w:ascii="宋体" w:hAnsi="宋体" w:eastAsia="宋体" w:cs="宋体"/>
                <w:color w:val="auto"/>
                <w:kern w:val="0"/>
                <w:sz w:val="20"/>
                <w:szCs w:val="20"/>
                <w:highlight w:val="none"/>
              </w:rPr>
            </w:pPr>
          </w:p>
        </w:tc>
        <w:tc>
          <w:tcPr>
            <w:tcW w:w="1612" w:type="dxa"/>
            <w:noWrap w:val="0"/>
            <w:vAlign w:val="center"/>
          </w:tcPr>
          <w:p w14:paraId="4A1043E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太阳能热水系统</w:t>
            </w:r>
          </w:p>
        </w:tc>
        <w:tc>
          <w:tcPr>
            <w:tcW w:w="4335" w:type="dxa"/>
            <w:noWrap w:val="0"/>
            <w:vAlign w:val="center"/>
          </w:tcPr>
          <w:p w14:paraId="181494B7">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《家用太阳能热水系统能效限定值及能效等级》（GB26969）</w:t>
            </w:r>
          </w:p>
        </w:tc>
      </w:tr>
      <w:tr w14:paraId="488F6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52" w:type="dxa"/>
            <w:vMerge w:val="restart"/>
            <w:noWrap w:val="0"/>
            <w:vAlign w:val="center"/>
          </w:tcPr>
          <w:p w14:paraId="2BEA09F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w:t>
            </w:r>
          </w:p>
        </w:tc>
        <w:tc>
          <w:tcPr>
            <w:tcW w:w="1116" w:type="dxa"/>
            <w:vMerge w:val="restart"/>
            <w:noWrap w:val="0"/>
            <w:vAlign w:val="center"/>
          </w:tcPr>
          <w:p w14:paraId="112B9AE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A020619照明设备</w:t>
            </w:r>
          </w:p>
        </w:tc>
        <w:tc>
          <w:tcPr>
            <w:tcW w:w="1516" w:type="dxa"/>
            <w:noWrap w:val="0"/>
            <w:vAlign w:val="center"/>
          </w:tcPr>
          <w:p w14:paraId="31A2278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★普通照明用双端荧光灯</w:t>
            </w:r>
          </w:p>
        </w:tc>
        <w:tc>
          <w:tcPr>
            <w:tcW w:w="1612" w:type="dxa"/>
            <w:noWrap w:val="0"/>
            <w:vAlign w:val="center"/>
          </w:tcPr>
          <w:p w14:paraId="4A2E111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26C20983">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《普通照明用双端荧光灯能效限定值及能效等级》（GB19043）</w:t>
            </w:r>
          </w:p>
        </w:tc>
      </w:tr>
      <w:tr w14:paraId="39697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52" w:type="dxa"/>
            <w:vMerge w:val="continue"/>
            <w:noWrap w:val="0"/>
            <w:vAlign w:val="center"/>
          </w:tcPr>
          <w:p w14:paraId="24C7E5D4">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14:paraId="1909FB73">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41F25F7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LED道路/隧道照明产品</w:t>
            </w:r>
          </w:p>
        </w:tc>
        <w:tc>
          <w:tcPr>
            <w:tcW w:w="1612" w:type="dxa"/>
            <w:noWrap w:val="0"/>
            <w:vAlign w:val="center"/>
          </w:tcPr>
          <w:p w14:paraId="667D91A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3C9A24D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《道路和隧道照明用LED灯具能效限定值及能效等级》（GB37478）</w:t>
            </w:r>
          </w:p>
        </w:tc>
      </w:tr>
      <w:tr w14:paraId="3BBA0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52" w:type="dxa"/>
            <w:vMerge w:val="continue"/>
            <w:noWrap w:val="0"/>
            <w:vAlign w:val="center"/>
          </w:tcPr>
          <w:p w14:paraId="4B6BC399">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14:paraId="5478D347">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3010E82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LED筒灯</w:t>
            </w:r>
          </w:p>
        </w:tc>
        <w:tc>
          <w:tcPr>
            <w:tcW w:w="1612" w:type="dxa"/>
            <w:noWrap w:val="0"/>
            <w:vAlign w:val="center"/>
          </w:tcPr>
          <w:p w14:paraId="34B4BF7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7123C7B4">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《室内照明用LED产品能效限定值及能效等级》（GB30255）</w:t>
            </w:r>
          </w:p>
        </w:tc>
      </w:tr>
      <w:tr w14:paraId="00B55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52" w:type="dxa"/>
            <w:vMerge w:val="continue"/>
            <w:noWrap w:val="0"/>
            <w:vAlign w:val="center"/>
          </w:tcPr>
          <w:p w14:paraId="6DA44B05">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14:paraId="3E907F77">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767CB21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普通照明用非定向自镇流LED灯</w:t>
            </w:r>
          </w:p>
        </w:tc>
        <w:tc>
          <w:tcPr>
            <w:tcW w:w="1612" w:type="dxa"/>
            <w:noWrap w:val="0"/>
            <w:vAlign w:val="center"/>
          </w:tcPr>
          <w:p w14:paraId="6420A0C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188EA461">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《室内照明用LED产品能效限定值及能效等级》（GB30255）</w:t>
            </w:r>
          </w:p>
        </w:tc>
      </w:tr>
      <w:tr w14:paraId="14614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52" w:type="dxa"/>
            <w:noWrap w:val="0"/>
            <w:vAlign w:val="center"/>
          </w:tcPr>
          <w:p w14:paraId="5204112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12</w:t>
            </w:r>
          </w:p>
        </w:tc>
        <w:tc>
          <w:tcPr>
            <w:tcW w:w="1116" w:type="dxa"/>
            <w:noWrap w:val="0"/>
            <w:vAlign w:val="center"/>
          </w:tcPr>
          <w:p w14:paraId="5A46963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★A020910电视设备</w:t>
            </w:r>
          </w:p>
        </w:tc>
        <w:tc>
          <w:tcPr>
            <w:tcW w:w="1516" w:type="dxa"/>
            <w:noWrap w:val="0"/>
            <w:vAlign w:val="center"/>
          </w:tcPr>
          <w:p w14:paraId="439ABB8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A02091001普通电视设备（电视机）</w:t>
            </w:r>
          </w:p>
        </w:tc>
        <w:tc>
          <w:tcPr>
            <w:tcW w:w="1612" w:type="dxa"/>
            <w:noWrap w:val="0"/>
            <w:vAlign w:val="center"/>
          </w:tcPr>
          <w:p w14:paraId="7ACBB1C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2311C307">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《平板电视能效限定值及能效等级》（GB24850）</w:t>
            </w:r>
          </w:p>
        </w:tc>
      </w:tr>
      <w:tr w14:paraId="4D5C4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752" w:type="dxa"/>
            <w:noWrap w:val="0"/>
            <w:vAlign w:val="center"/>
          </w:tcPr>
          <w:p w14:paraId="6D61B7E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13</w:t>
            </w:r>
          </w:p>
        </w:tc>
        <w:tc>
          <w:tcPr>
            <w:tcW w:w="1116" w:type="dxa"/>
            <w:noWrap w:val="0"/>
            <w:vAlign w:val="center"/>
          </w:tcPr>
          <w:p w14:paraId="423CD04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★A020911视频设备</w:t>
            </w:r>
          </w:p>
        </w:tc>
        <w:tc>
          <w:tcPr>
            <w:tcW w:w="1516" w:type="dxa"/>
            <w:noWrap w:val="0"/>
            <w:vAlign w:val="center"/>
          </w:tcPr>
          <w:p w14:paraId="1B23396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A02091107视频监控设备</w:t>
            </w:r>
          </w:p>
        </w:tc>
        <w:tc>
          <w:tcPr>
            <w:tcW w:w="1612" w:type="dxa"/>
            <w:noWrap w:val="0"/>
            <w:vAlign w:val="center"/>
          </w:tcPr>
          <w:p w14:paraId="72D8095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监视器</w:t>
            </w:r>
          </w:p>
        </w:tc>
        <w:tc>
          <w:tcPr>
            <w:tcW w:w="4335" w:type="dxa"/>
            <w:noWrap w:val="0"/>
            <w:vAlign w:val="center"/>
          </w:tcPr>
          <w:p w14:paraId="2BCB947B">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040DF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52" w:type="dxa"/>
            <w:noWrap w:val="0"/>
            <w:vAlign w:val="center"/>
          </w:tcPr>
          <w:p w14:paraId="482CE42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14</w:t>
            </w:r>
          </w:p>
        </w:tc>
        <w:tc>
          <w:tcPr>
            <w:tcW w:w="1116" w:type="dxa"/>
            <w:noWrap w:val="0"/>
            <w:vAlign w:val="center"/>
          </w:tcPr>
          <w:p w14:paraId="2485EE3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A031210饮食炊事机械</w:t>
            </w:r>
          </w:p>
        </w:tc>
        <w:tc>
          <w:tcPr>
            <w:tcW w:w="1516" w:type="dxa"/>
            <w:noWrap w:val="0"/>
            <w:vAlign w:val="center"/>
          </w:tcPr>
          <w:p w14:paraId="6E81BDF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商用燃气灶具</w:t>
            </w:r>
          </w:p>
        </w:tc>
        <w:tc>
          <w:tcPr>
            <w:tcW w:w="1612" w:type="dxa"/>
            <w:noWrap w:val="0"/>
            <w:vAlign w:val="center"/>
          </w:tcPr>
          <w:p w14:paraId="77EE4A8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7155B2E0">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《商用燃气灶具能效限定值及能效等级》（GB30531）</w:t>
            </w:r>
          </w:p>
        </w:tc>
      </w:tr>
      <w:tr w14:paraId="5E9BA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52" w:type="dxa"/>
            <w:vMerge w:val="restart"/>
            <w:noWrap w:val="0"/>
            <w:vAlign w:val="center"/>
          </w:tcPr>
          <w:p w14:paraId="41215DA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15</w:t>
            </w:r>
          </w:p>
        </w:tc>
        <w:tc>
          <w:tcPr>
            <w:tcW w:w="1116" w:type="dxa"/>
            <w:vMerge w:val="restart"/>
            <w:noWrap w:val="0"/>
            <w:vAlign w:val="center"/>
          </w:tcPr>
          <w:p w14:paraId="26BBECA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★A060805便器</w:t>
            </w:r>
          </w:p>
        </w:tc>
        <w:tc>
          <w:tcPr>
            <w:tcW w:w="1516" w:type="dxa"/>
            <w:noWrap w:val="0"/>
            <w:vAlign w:val="center"/>
          </w:tcPr>
          <w:p w14:paraId="1B7F70B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坐便器</w:t>
            </w:r>
          </w:p>
        </w:tc>
        <w:tc>
          <w:tcPr>
            <w:tcW w:w="1612" w:type="dxa"/>
            <w:noWrap w:val="0"/>
            <w:vAlign w:val="center"/>
          </w:tcPr>
          <w:p w14:paraId="0708524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44EEBDB3">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《坐便器水效限定值及水效等级》（GB25502）</w:t>
            </w:r>
          </w:p>
        </w:tc>
      </w:tr>
      <w:tr w14:paraId="17986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52" w:type="dxa"/>
            <w:vMerge w:val="continue"/>
            <w:noWrap w:val="0"/>
            <w:vAlign w:val="center"/>
          </w:tcPr>
          <w:p w14:paraId="13E326C8">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14:paraId="4C763D19">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1212643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蹲便器</w:t>
            </w:r>
          </w:p>
        </w:tc>
        <w:tc>
          <w:tcPr>
            <w:tcW w:w="1612" w:type="dxa"/>
            <w:noWrap w:val="0"/>
            <w:vAlign w:val="center"/>
          </w:tcPr>
          <w:p w14:paraId="6DDEC35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65E6600E">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《蹲便器用水效率限定值及用水效率等级》（GB30717）</w:t>
            </w:r>
          </w:p>
        </w:tc>
      </w:tr>
      <w:tr w14:paraId="53226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52" w:type="dxa"/>
            <w:vMerge w:val="continue"/>
            <w:noWrap w:val="0"/>
            <w:vAlign w:val="center"/>
          </w:tcPr>
          <w:p w14:paraId="3899E446">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14:paraId="7B95F5FF">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1595D9A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小便器</w:t>
            </w:r>
          </w:p>
        </w:tc>
        <w:tc>
          <w:tcPr>
            <w:tcW w:w="1612" w:type="dxa"/>
            <w:noWrap w:val="0"/>
            <w:vAlign w:val="center"/>
          </w:tcPr>
          <w:p w14:paraId="4DD083D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0D187E7D">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《小便器用水效率限定值及用水效率等级》（GB28377）</w:t>
            </w:r>
          </w:p>
        </w:tc>
      </w:tr>
      <w:tr w14:paraId="6D827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52" w:type="dxa"/>
            <w:noWrap w:val="0"/>
            <w:vAlign w:val="center"/>
          </w:tcPr>
          <w:p w14:paraId="185950C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16</w:t>
            </w:r>
          </w:p>
        </w:tc>
        <w:tc>
          <w:tcPr>
            <w:tcW w:w="1116" w:type="dxa"/>
            <w:noWrap w:val="0"/>
            <w:vAlign w:val="center"/>
          </w:tcPr>
          <w:p w14:paraId="426326B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★A060806水嘴</w:t>
            </w:r>
          </w:p>
        </w:tc>
        <w:tc>
          <w:tcPr>
            <w:tcW w:w="1516" w:type="dxa"/>
            <w:noWrap w:val="0"/>
            <w:vAlign w:val="center"/>
          </w:tcPr>
          <w:p w14:paraId="632B7BA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14:paraId="3C317DF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3E23A75A">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《水嘴用水效率限定值及用水效率等级》（GB 25501）</w:t>
            </w:r>
          </w:p>
        </w:tc>
      </w:tr>
      <w:tr w14:paraId="1DE43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52" w:type="dxa"/>
            <w:noWrap w:val="0"/>
            <w:vAlign w:val="center"/>
          </w:tcPr>
          <w:p w14:paraId="1626D1C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17</w:t>
            </w:r>
          </w:p>
        </w:tc>
        <w:tc>
          <w:tcPr>
            <w:tcW w:w="1116" w:type="dxa"/>
            <w:noWrap w:val="0"/>
            <w:vAlign w:val="center"/>
          </w:tcPr>
          <w:p w14:paraId="41DDA08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A060807便器冲洗阀</w:t>
            </w:r>
          </w:p>
        </w:tc>
        <w:tc>
          <w:tcPr>
            <w:tcW w:w="1516" w:type="dxa"/>
            <w:noWrap w:val="0"/>
            <w:vAlign w:val="center"/>
          </w:tcPr>
          <w:p w14:paraId="33D2E46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14:paraId="2784CF1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313B050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《便器冲洗阀用水效率限定值及用水效率等级》（GB28379）</w:t>
            </w:r>
          </w:p>
        </w:tc>
      </w:tr>
      <w:tr w14:paraId="691AB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52" w:type="dxa"/>
            <w:noWrap w:val="0"/>
            <w:vAlign w:val="center"/>
          </w:tcPr>
          <w:p w14:paraId="159D518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18</w:t>
            </w:r>
          </w:p>
        </w:tc>
        <w:tc>
          <w:tcPr>
            <w:tcW w:w="1116" w:type="dxa"/>
            <w:noWrap w:val="0"/>
            <w:vAlign w:val="center"/>
          </w:tcPr>
          <w:p w14:paraId="47275F9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A060810淋浴器</w:t>
            </w:r>
          </w:p>
        </w:tc>
        <w:tc>
          <w:tcPr>
            <w:tcW w:w="1516" w:type="dxa"/>
            <w:noWrap w:val="0"/>
            <w:vAlign w:val="center"/>
          </w:tcPr>
          <w:p w14:paraId="78110B8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14:paraId="183BF4E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3D70CF11">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《淋浴器用水效率限定值及用水效率等级》（GB28378）</w:t>
            </w:r>
          </w:p>
        </w:tc>
      </w:tr>
    </w:tbl>
    <w:p w14:paraId="3ADC31C5">
      <w:pPr>
        <w:spacing w:after="120" w:line="360" w:lineRule="auto"/>
        <w:rPr>
          <w:rFonts w:hint="eastAsia" w:ascii="宋体" w:hAnsi="宋体" w:eastAsia="宋体" w:cs="宋体"/>
          <w:color w:val="auto"/>
          <w:szCs w:val="21"/>
          <w:highlight w:val="none"/>
        </w:rPr>
      </w:pPr>
      <w:r>
        <w:rPr>
          <w:rFonts w:hint="eastAsia" w:ascii="宋体" w:hAnsi="宋体" w:eastAsia="宋体" w:cs="宋体"/>
          <w:color w:val="auto"/>
          <w:spacing w:val="-3"/>
          <w:szCs w:val="21"/>
          <w:highlight w:val="none"/>
        </w:rPr>
        <w:t>注：1.节能产品认证应依据相关国家标准的最新版本，依据国家标准中二级能效（水效）</w:t>
      </w:r>
      <w:r>
        <w:rPr>
          <w:rFonts w:hint="eastAsia" w:ascii="宋体" w:hAnsi="宋体" w:eastAsia="宋体" w:cs="宋体"/>
          <w:color w:val="auto"/>
          <w:szCs w:val="21"/>
          <w:highlight w:val="none"/>
        </w:rPr>
        <w:t>指标。</w:t>
      </w:r>
    </w:p>
    <w:p w14:paraId="3D36A2D4">
      <w:pPr>
        <w:spacing w:after="120"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b/>
          <w:bCs/>
          <w:color w:val="auto"/>
          <w:szCs w:val="21"/>
          <w:highlight w:val="none"/>
        </w:rPr>
        <w:t>以“★”标注的为政府强制采购产品。</w:t>
      </w:r>
    </w:p>
    <w:p w14:paraId="4B5AE50D">
      <w:pPr>
        <w:numPr>
          <w:ilvl w:val="0"/>
          <w:numId w:val="0"/>
        </w:numPr>
        <w:jc w:val="left"/>
        <w:rPr>
          <w:rFonts w:hint="eastAsia" w:ascii="宋体" w:hAnsi="宋体" w:eastAsia="宋体" w:cs="宋体"/>
          <w:b/>
          <w:bCs/>
          <w:color w:val="auto"/>
          <w:szCs w:val="21"/>
          <w:highlight w:val="none"/>
        </w:rPr>
      </w:pPr>
    </w:p>
    <w:p w14:paraId="10FE2BCF">
      <w:pPr>
        <w:numPr>
          <w:ilvl w:val="0"/>
          <w:numId w:val="0"/>
        </w:numPr>
        <w:jc w:val="left"/>
        <w:rPr>
          <w:rFonts w:hint="eastAsia" w:ascii="宋体" w:hAnsi="宋体" w:eastAsia="宋体" w:cs="宋体"/>
          <w:b/>
          <w:bCs/>
          <w:color w:val="auto"/>
          <w:szCs w:val="21"/>
          <w:highlight w:val="none"/>
        </w:rPr>
      </w:pPr>
    </w:p>
    <w:p w14:paraId="711FC231">
      <w:pPr>
        <w:numPr>
          <w:ilvl w:val="0"/>
          <w:numId w:val="0"/>
        </w:numPr>
        <w:jc w:val="left"/>
        <w:rPr>
          <w:rFonts w:hint="eastAsia" w:ascii="宋体" w:hAnsi="宋体" w:eastAsia="宋体" w:cs="宋体"/>
          <w:b/>
          <w:bCs/>
          <w:color w:val="auto"/>
          <w:szCs w:val="21"/>
          <w:highlight w:val="none"/>
        </w:rPr>
      </w:pPr>
    </w:p>
    <w:p w14:paraId="5D8F31A0">
      <w:pPr>
        <w:numPr>
          <w:ilvl w:val="0"/>
          <w:numId w:val="0"/>
        </w:numPr>
        <w:jc w:val="left"/>
        <w:rPr>
          <w:rFonts w:hint="eastAsia" w:ascii="宋体" w:hAnsi="宋体" w:eastAsia="宋体" w:cs="宋体"/>
          <w:b/>
          <w:bCs/>
          <w:color w:val="auto"/>
          <w:szCs w:val="21"/>
          <w:highlight w:val="none"/>
        </w:rPr>
      </w:pPr>
    </w:p>
    <w:p w14:paraId="626BFE30">
      <w:pPr>
        <w:numPr>
          <w:ilvl w:val="0"/>
          <w:numId w:val="0"/>
        </w:numPr>
        <w:jc w:val="left"/>
        <w:rPr>
          <w:rFonts w:hint="eastAsia" w:ascii="宋体" w:hAnsi="宋体" w:eastAsia="宋体" w:cs="宋体"/>
          <w:b/>
          <w:bCs/>
          <w:color w:val="auto"/>
          <w:szCs w:val="21"/>
          <w:highlight w:val="none"/>
        </w:rPr>
      </w:pPr>
    </w:p>
    <w:p w14:paraId="3289897A">
      <w:pPr>
        <w:numPr>
          <w:ilvl w:val="0"/>
          <w:numId w:val="0"/>
        </w:numPr>
        <w:jc w:val="left"/>
        <w:rPr>
          <w:rFonts w:hint="eastAsia" w:ascii="宋体" w:hAnsi="宋体" w:eastAsia="宋体" w:cs="宋体"/>
          <w:b/>
          <w:bCs/>
          <w:color w:val="auto"/>
          <w:szCs w:val="21"/>
          <w:highlight w:val="none"/>
        </w:rPr>
      </w:pPr>
    </w:p>
    <w:p w14:paraId="19B59250">
      <w:pPr>
        <w:numPr>
          <w:ilvl w:val="0"/>
          <w:numId w:val="0"/>
        </w:numPr>
        <w:jc w:val="left"/>
        <w:rPr>
          <w:rFonts w:hint="eastAsia" w:ascii="宋体" w:hAnsi="宋体" w:eastAsia="宋体" w:cs="宋体"/>
          <w:b/>
          <w:bCs/>
          <w:color w:val="auto"/>
          <w:szCs w:val="21"/>
          <w:highlight w:val="none"/>
        </w:rPr>
      </w:pPr>
    </w:p>
    <w:p w14:paraId="4838EFD0">
      <w:pPr>
        <w:numPr>
          <w:ilvl w:val="0"/>
          <w:numId w:val="0"/>
        </w:numPr>
        <w:jc w:val="left"/>
        <w:rPr>
          <w:rFonts w:hint="eastAsia" w:ascii="宋体" w:hAnsi="宋体" w:eastAsia="宋体" w:cs="宋体"/>
          <w:b/>
          <w:bCs/>
          <w:color w:val="auto"/>
          <w:szCs w:val="21"/>
          <w:highlight w:val="none"/>
        </w:rPr>
      </w:pPr>
    </w:p>
    <w:p w14:paraId="2F108A5B">
      <w:pPr>
        <w:numPr>
          <w:ilvl w:val="0"/>
          <w:numId w:val="0"/>
        </w:numPr>
        <w:jc w:val="left"/>
        <w:rPr>
          <w:rFonts w:hint="eastAsia" w:ascii="宋体" w:hAnsi="宋体" w:eastAsia="宋体" w:cs="宋体"/>
          <w:b/>
          <w:bCs/>
          <w:color w:val="auto"/>
          <w:szCs w:val="21"/>
          <w:highlight w:val="none"/>
        </w:rPr>
      </w:pPr>
    </w:p>
    <w:p w14:paraId="5092E7CE">
      <w:pPr>
        <w:numPr>
          <w:ilvl w:val="0"/>
          <w:numId w:val="0"/>
        </w:numPr>
        <w:jc w:val="left"/>
        <w:rPr>
          <w:rFonts w:hint="eastAsia" w:ascii="宋体" w:hAnsi="宋体" w:eastAsia="宋体" w:cs="宋体"/>
          <w:b/>
          <w:bCs/>
          <w:color w:val="auto"/>
          <w:szCs w:val="21"/>
          <w:highlight w:val="none"/>
        </w:rPr>
      </w:pPr>
    </w:p>
    <w:p w14:paraId="33BC0295">
      <w:pPr>
        <w:numPr>
          <w:ilvl w:val="0"/>
          <w:numId w:val="0"/>
        </w:numPr>
        <w:jc w:val="left"/>
        <w:rPr>
          <w:rFonts w:hint="eastAsia" w:ascii="宋体" w:hAnsi="宋体" w:eastAsia="宋体" w:cs="宋体"/>
          <w:b/>
          <w:bCs/>
          <w:color w:val="auto"/>
          <w:szCs w:val="21"/>
          <w:highlight w:val="none"/>
        </w:rPr>
      </w:pPr>
    </w:p>
    <w:p w14:paraId="68B2DF97">
      <w:pPr>
        <w:numPr>
          <w:ilvl w:val="0"/>
          <w:numId w:val="0"/>
        </w:numPr>
        <w:jc w:val="left"/>
        <w:rPr>
          <w:rFonts w:hint="eastAsia" w:ascii="宋体" w:hAnsi="宋体" w:eastAsia="宋体" w:cs="宋体"/>
          <w:b/>
          <w:bCs/>
          <w:color w:val="auto"/>
          <w:szCs w:val="21"/>
          <w:highlight w:val="none"/>
        </w:rPr>
      </w:pPr>
    </w:p>
    <w:p w14:paraId="5D9EC333">
      <w:pPr>
        <w:numPr>
          <w:ilvl w:val="0"/>
          <w:numId w:val="0"/>
        </w:numPr>
        <w:jc w:val="left"/>
        <w:rPr>
          <w:rFonts w:hint="eastAsia" w:ascii="宋体" w:hAnsi="宋体" w:eastAsia="宋体" w:cs="宋体"/>
          <w:b/>
          <w:bCs/>
          <w:color w:val="auto"/>
          <w:szCs w:val="21"/>
          <w:highlight w:val="none"/>
        </w:rPr>
      </w:pPr>
    </w:p>
    <w:p w14:paraId="350CBD2B">
      <w:pPr>
        <w:numPr>
          <w:ilvl w:val="0"/>
          <w:numId w:val="0"/>
        </w:numPr>
        <w:jc w:val="left"/>
        <w:rPr>
          <w:rFonts w:hint="eastAsia" w:ascii="宋体" w:hAnsi="宋体" w:eastAsia="宋体" w:cs="宋体"/>
          <w:b/>
          <w:bCs/>
          <w:color w:val="auto"/>
          <w:szCs w:val="21"/>
          <w:highlight w:val="none"/>
        </w:rPr>
      </w:pPr>
    </w:p>
    <w:p w14:paraId="245EEAC3">
      <w:pPr>
        <w:numPr>
          <w:ilvl w:val="0"/>
          <w:numId w:val="0"/>
        </w:numPr>
        <w:jc w:val="left"/>
        <w:rPr>
          <w:rFonts w:hint="eastAsia" w:ascii="宋体" w:hAnsi="宋体" w:eastAsia="宋体" w:cs="宋体"/>
          <w:b/>
          <w:bCs/>
          <w:color w:val="auto"/>
          <w:szCs w:val="21"/>
          <w:highlight w:val="none"/>
        </w:rPr>
      </w:pPr>
    </w:p>
    <w:p w14:paraId="09857EC5">
      <w:pPr>
        <w:numPr>
          <w:ilvl w:val="0"/>
          <w:numId w:val="0"/>
        </w:numPr>
        <w:jc w:val="left"/>
        <w:rPr>
          <w:rFonts w:hint="eastAsia" w:ascii="宋体" w:hAnsi="宋体" w:eastAsia="宋体" w:cs="宋体"/>
          <w:b/>
          <w:bCs/>
          <w:color w:val="auto"/>
          <w:szCs w:val="21"/>
          <w:highlight w:val="none"/>
        </w:rPr>
      </w:pPr>
    </w:p>
    <w:p w14:paraId="38A296DA">
      <w:pPr>
        <w:numPr>
          <w:ilvl w:val="0"/>
          <w:numId w:val="0"/>
        </w:numPr>
        <w:jc w:val="left"/>
        <w:rPr>
          <w:rFonts w:hint="eastAsia" w:ascii="宋体" w:hAnsi="宋体" w:eastAsia="宋体" w:cs="宋体"/>
          <w:b/>
          <w:bCs/>
          <w:color w:val="auto"/>
          <w:szCs w:val="21"/>
          <w:highlight w:val="none"/>
        </w:rPr>
      </w:pPr>
    </w:p>
    <w:p w14:paraId="658FD0F0">
      <w:pPr>
        <w:numPr>
          <w:ilvl w:val="0"/>
          <w:numId w:val="0"/>
        </w:numPr>
        <w:jc w:val="left"/>
        <w:rPr>
          <w:rFonts w:hint="eastAsia" w:ascii="宋体" w:hAnsi="宋体" w:eastAsia="宋体" w:cs="宋体"/>
          <w:b/>
          <w:bCs/>
          <w:color w:val="auto"/>
          <w:szCs w:val="21"/>
          <w:highlight w:val="none"/>
        </w:rPr>
      </w:pPr>
    </w:p>
    <w:p w14:paraId="5D1CAB4F">
      <w:pPr>
        <w:numPr>
          <w:ilvl w:val="0"/>
          <w:numId w:val="0"/>
        </w:numPr>
        <w:jc w:val="left"/>
        <w:rPr>
          <w:rFonts w:hint="eastAsia" w:ascii="宋体" w:hAnsi="宋体" w:eastAsia="宋体" w:cs="宋体"/>
          <w:b/>
          <w:bCs/>
          <w:color w:val="auto"/>
          <w:szCs w:val="21"/>
          <w:highlight w:val="none"/>
        </w:rPr>
      </w:pPr>
    </w:p>
    <w:p w14:paraId="7E86D806">
      <w:pPr>
        <w:numPr>
          <w:ilvl w:val="0"/>
          <w:numId w:val="0"/>
        </w:numPr>
        <w:jc w:val="left"/>
        <w:rPr>
          <w:rFonts w:hint="eastAsia" w:ascii="宋体" w:hAnsi="宋体" w:eastAsia="宋体" w:cs="宋体"/>
          <w:b/>
          <w:bCs/>
          <w:color w:val="auto"/>
          <w:szCs w:val="21"/>
          <w:highlight w:val="none"/>
        </w:rPr>
      </w:pPr>
    </w:p>
    <w:p w14:paraId="0BD6F0A2">
      <w:pPr>
        <w:numPr>
          <w:ilvl w:val="0"/>
          <w:numId w:val="0"/>
        </w:numPr>
        <w:jc w:val="left"/>
        <w:rPr>
          <w:rFonts w:hint="eastAsia" w:ascii="宋体" w:hAnsi="宋体" w:eastAsia="宋体" w:cs="宋体"/>
          <w:b/>
          <w:bCs/>
          <w:color w:val="auto"/>
          <w:szCs w:val="21"/>
          <w:highlight w:val="none"/>
        </w:rPr>
      </w:pPr>
    </w:p>
    <w:p w14:paraId="44EF505D">
      <w:pPr>
        <w:numPr>
          <w:ilvl w:val="0"/>
          <w:numId w:val="0"/>
        </w:numPr>
        <w:jc w:val="left"/>
        <w:rPr>
          <w:rFonts w:hint="eastAsia" w:ascii="宋体" w:hAnsi="宋体" w:eastAsia="宋体" w:cs="宋体"/>
          <w:b/>
          <w:bCs/>
          <w:color w:val="auto"/>
          <w:szCs w:val="21"/>
          <w:highlight w:val="none"/>
        </w:rPr>
      </w:pPr>
    </w:p>
    <w:p w14:paraId="521C9486">
      <w:pPr>
        <w:numPr>
          <w:ilvl w:val="0"/>
          <w:numId w:val="0"/>
        </w:numPr>
        <w:jc w:val="left"/>
        <w:rPr>
          <w:rFonts w:hint="eastAsia" w:ascii="宋体" w:hAnsi="宋体" w:eastAsia="宋体" w:cs="宋体"/>
          <w:b/>
          <w:bCs/>
          <w:color w:val="auto"/>
          <w:szCs w:val="21"/>
          <w:highlight w:val="none"/>
        </w:rPr>
      </w:pPr>
    </w:p>
    <w:p w14:paraId="5049AA49">
      <w:pPr>
        <w:numPr>
          <w:ilvl w:val="0"/>
          <w:numId w:val="0"/>
        </w:numPr>
        <w:jc w:val="left"/>
        <w:rPr>
          <w:rFonts w:hint="eastAsia" w:ascii="宋体" w:hAnsi="宋体" w:eastAsia="宋体" w:cs="宋体"/>
          <w:b/>
          <w:bCs/>
          <w:color w:val="auto"/>
          <w:szCs w:val="21"/>
          <w:highlight w:val="none"/>
        </w:rPr>
      </w:pPr>
    </w:p>
    <w:p w14:paraId="2C7B1AE1">
      <w:pPr>
        <w:numPr>
          <w:ilvl w:val="0"/>
          <w:numId w:val="0"/>
        </w:numPr>
        <w:jc w:val="left"/>
        <w:rPr>
          <w:rFonts w:hint="eastAsia" w:ascii="宋体" w:hAnsi="宋体" w:eastAsia="宋体" w:cs="宋体"/>
          <w:b/>
          <w:bCs/>
          <w:color w:val="auto"/>
          <w:szCs w:val="21"/>
          <w:highlight w:val="none"/>
        </w:rPr>
      </w:pPr>
    </w:p>
    <w:p w14:paraId="2E10F3F0">
      <w:pPr>
        <w:numPr>
          <w:ilvl w:val="0"/>
          <w:numId w:val="0"/>
        </w:numPr>
        <w:jc w:val="left"/>
        <w:rPr>
          <w:rFonts w:hint="eastAsia" w:ascii="宋体" w:hAnsi="宋体" w:eastAsia="宋体" w:cs="宋体"/>
          <w:b/>
          <w:bCs/>
          <w:color w:val="auto"/>
          <w:szCs w:val="21"/>
          <w:highlight w:val="none"/>
        </w:rPr>
      </w:pPr>
    </w:p>
    <w:p w14:paraId="2C3E8954">
      <w:pPr>
        <w:numPr>
          <w:ilvl w:val="0"/>
          <w:numId w:val="0"/>
        </w:numPr>
        <w:jc w:val="left"/>
        <w:rPr>
          <w:rFonts w:hint="eastAsia" w:ascii="宋体" w:hAnsi="宋体" w:eastAsia="宋体" w:cs="宋体"/>
          <w:b/>
          <w:bCs/>
          <w:color w:val="auto"/>
          <w:szCs w:val="21"/>
          <w:highlight w:val="none"/>
        </w:rPr>
      </w:pPr>
    </w:p>
    <w:p w14:paraId="187DE08C">
      <w:pPr>
        <w:numPr>
          <w:ilvl w:val="0"/>
          <w:numId w:val="0"/>
        </w:numPr>
        <w:jc w:val="left"/>
        <w:rPr>
          <w:rFonts w:hint="eastAsia" w:ascii="宋体" w:hAnsi="宋体" w:eastAsia="宋体" w:cs="宋体"/>
          <w:b/>
          <w:bCs/>
          <w:color w:val="auto"/>
          <w:szCs w:val="21"/>
          <w:highlight w:val="none"/>
        </w:rPr>
      </w:pPr>
    </w:p>
    <w:p w14:paraId="3D130177">
      <w:pPr>
        <w:numPr>
          <w:ilvl w:val="0"/>
          <w:numId w:val="0"/>
        </w:numPr>
        <w:jc w:val="left"/>
        <w:rPr>
          <w:rFonts w:hint="eastAsia" w:ascii="宋体" w:hAnsi="宋体" w:eastAsia="宋体" w:cs="宋体"/>
          <w:b/>
          <w:bCs/>
          <w:color w:val="auto"/>
          <w:szCs w:val="21"/>
          <w:highlight w:val="none"/>
        </w:rPr>
      </w:pPr>
    </w:p>
    <w:p w14:paraId="7102F61A">
      <w:pPr>
        <w:numPr>
          <w:ilvl w:val="0"/>
          <w:numId w:val="0"/>
        </w:numPr>
        <w:jc w:val="left"/>
        <w:rPr>
          <w:rFonts w:hint="eastAsia" w:ascii="宋体" w:hAnsi="宋体" w:eastAsia="宋体" w:cs="宋体"/>
          <w:b/>
          <w:bCs/>
          <w:color w:val="auto"/>
          <w:szCs w:val="21"/>
          <w:highlight w:val="none"/>
        </w:rPr>
      </w:pPr>
    </w:p>
    <w:p w14:paraId="26BBBAC8">
      <w:pPr>
        <w:numPr>
          <w:ilvl w:val="0"/>
          <w:numId w:val="0"/>
        </w:numPr>
        <w:jc w:val="left"/>
        <w:rPr>
          <w:rFonts w:hint="eastAsia" w:ascii="宋体" w:hAnsi="宋体" w:eastAsia="宋体" w:cs="宋体"/>
          <w:b/>
          <w:bCs/>
          <w:color w:val="auto"/>
          <w:szCs w:val="21"/>
          <w:highlight w:val="none"/>
        </w:rPr>
      </w:pPr>
    </w:p>
    <w:p w14:paraId="6A2C9A04">
      <w:pPr>
        <w:numPr>
          <w:ilvl w:val="0"/>
          <w:numId w:val="0"/>
        </w:numPr>
        <w:jc w:val="left"/>
        <w:rPr>
          <w:rFonts w:hint="eastAsia" w:ascii="宋体" w:hAnsi="宋体" w:eastAsia="宋体" w:cs="宋体"/>
          <w:b/>
          <w:bCs/>
          <w:color w:val="auto"/>
          <w:szCs w:val="21"/>
          <w:highlight w:val="none"/>
        </w:rPr>
      </w:pPr>
    </w:p>
    <w:p w14:paraId="23C1F33B">
      <w:pPr>
        <w:numPr>
          <w:ilvl w:val="0"/>
          <w:numId w:val="0"/>
        </w:numPr>
        <w:jc w:val="left"/>
        <w:rPr>
          <w:rFonts w:hint="eastAsia" w:ascii="宋体" w:hAnsi="宋体" w:eastAsia="宋体" w:cs="宋体"/>
          <w:b/>
          <w:bCs/>
          <w:color w:val="auto"/>
          <w:szCs w:val="21"/>
          <w:highlight w:val="none"/>
        </w:rPr>
      </w:pPr>
    </w:p>
    <w:p w14:paraId="60092535">
      <w:pPr>
        <w:numPr>
          <w:ilvl w:val="0"/>
          <w:numId w:val="0"/>
        </w:numPr>
        <w:jc w:val="left"/>
        <w:rPr>
          <w:rFonts w:hint="eastAsia" w:ascii="宋体" w:hAnsi="宋体" w:eastAsia="宋体" w:cs="宋体"/>
          <w:b/>
          <w:bCs/>
          <w:color w:val="auto"/>
          <w:szCs w:val="21"/>
          <w:highlight w:val="none"/>
        </w:rPr>
      </w:pPr>
    </w:p>
    <w:p w14:paraId="2E798114">
      <w:pPr>
        <w:numPr>
          <w:ilvl w:val="0"/>
          <w:numId w:val="0"/>
        </w:numPr>
        <w:jc w:val="left"/>
        <w:rPr>
          <w:rFonts w:hint="eastAsia" w:ascii="宋体" w:hAnsi="宋体" w:eastAsia="宋体" w:cs="宋体"/>
          <w:b/>
          <w:bCs/>
          <w:color w:val="auto"/>
          <w:szCs w:val="21"/>
          <w:highlight w:val="none"/>
        </w:rPr>
      </w:pPr>
    </w:p>
    <w:p w14:paraId="754E25A2">
      <w:pPr>
        <w:numPr>
          <w:ilvl w:val="0"/>
          <w:numId w:val="0"/>
        </w:numPr>
        <w:jc w:val="left"/>
        <w:rPr>
          <w:rFonts w:hint="eastAsia" w:ascii="宋体" w:hAnsi="宋体" w:eastAsia="宋体" w:cs="宋体"/>
          <w:b/>
          <w:bCs/>
          <w:color w:val="auto"/>
          <w:szCs w:val="21"/>
          <w:highlight w:val="none"/>
        </w:rPr>
      </w:pPr>
    </w:p>
    <w:p w14:paraId="1AA34235">
      <w:pPr>
        <w:numPr>
          <w:ilvl w:val="0"/>
          <w:numId w:val="0"/>
        </w:numPr>
        <w:jc w:val="left"/>
        <w:rPr>
          <w:rFonts w:hint="eastAsia" w:ascii="宋体" w:hAnsi="宋体" w:eastAsia="宋体" w:cs="宋体"/>
          <w:b/>
          <w:bCs/>
          <w:color w:val="auto"/>
          <w:szCs w:val="21"/>
          <w:highlight w:val="none"/>
        </w:rPr>
      </w:pPr>
    </w:p>
    <w:p w14:paraId="46066967">
      <w:pPr>
        <w:numPr>
          <w:ilvl w:val="0"/>
          <w:numId w:val="0"/>
        </w:numPr>
        <w:jc w:val="left"/>
        <w:rPr>
          <w:rFonts w:hint="eastAsia" w:ascii="宋体" w:hAnsi="宋体" w:eastAsia="宋体" w:cs="宋体"/>
          <w:b/>
          <w:bCs/>
          <w:color w:val="auto"/>
          <w:szCs w:val="21"/>
          <w:highlight w:val="none"/>
        </w:rPr>
      </w:pPr>
    </w:p>
    <w:p w14:paraId="08BA499B">
      <w:pPr>
        <w:numPr>
          <w:ilvl w:val="0"/>
          <w:numId w:val="0"/>
        </w:numPr>
        <w:jc w:val="left"/>
        <w:rPr>
          <w:rFonts w:hint="eastAsia" w:ascii="宋体" w:hAnsi="宋体" w:eastAsia="宋体" w:cs="宋体"/>
          <w:b/>
          <w:bCs/>
          <w:color w:val="auto"/>
          <w:szCs w:val="21"/>
          <w:highlight w:val="none"/>
        </w:rPr>
      </w:pPr>
    </w:p>
    <w:p w14:paraId="07C723E8">
      <w:pPr>
        <w:jc w:val="left"/>
        <w:rPr>
          <w:rFonts w:hint="eastAsia" w:ascii="宋体" w:hAnsi="宋体" w:eastAsia="宋体" w:cs="宋体"/>
          <w:color w:val="auto"/>
          <w:sz w:val="32"/>
          <w:szCs w:val="32"/>
          <w:highlight w:val="none"/>
        </w:rPr>
      </w:pPr>
    </w:p>
    <w:p w14:paraId="573DE59D">
      <w:pPr>
        <w:jc w:val="left"/>
        <w:rPr>
          <w:rFonts w:hint="eastAsia" w:ascii="宋体" w:hAnsi="宋体" w:eastAsia="宋体" w:cs="宋体"/>
          <w:color w:val="auto"/>
          <w:sz w:val="32"/>
          <w:szCs w:val="32"/>
          <w:highlight w:val="none"/>
        </w:rPr>
      </w:pPr>
    </w:p>
    <w:p w14:paraId="18DD14C8">
      <w:pPr>
        <w:jc w:val="left"/>
        <w:rPr>
          <w:rFonts w:hint="eastAsia" w:ascii="宋体" w:hAnsi="宋体" w:eastAsia="宋体" w:cs="宋体"/>
          <w:color w:val="auto"/>
          <w:sz w:val="32"/>
          <w:szCs w:val="32"/>
          <w:highlight w:val="none"/>
        </w:rPr>
      </w:pPr>
    </w:p>
    <w:p w14:paraId="50C005E0">
      <w:pPr>
        <w:jc w:val="left"/>
        <w:rPr>
          <w:rFonts w:hint="eastAsia" w:ascii="宋体" w:hAnsi="宋体" w:eastAsia="宋体" w:cs="宋体"/>
          <w:color w:val="auto"/>
          <w:sz w:val="32"/>
          <w:szCs w:val="32"/>
          <w:highlight w:val="none"/>
        </w:rPr>
      </w:pPr>
    </w:p>
    <w:p w14:paraId="6EB147B2">
      <w:pPr>
        <w:jc w:val="left"/>
        <w:rPr>
          <w:rFonts w:hint="eastAsia" w:ascii="宋体" w:hAnsi="宋体" w:eastAsia="宋体" w:cs="宋体"/>
          <w:color w:val="auto"/>
          <w:sz w:val="32"/>
          <w:szCs w:val="32"/>
          <w:highlight w:val="none"/>
        </w:rPr>
      </w:pPr>
    </w:p>
    <w:p w14:paraId="35B583E3">
      <w:pPr>
        <w:jc w:val="left"/>
        <w:rPr>
          <w:rFonts w:hint="eastAsia" w:ascii="宋体" w:hAnsi="宋体" w:eastAsia="宋体" w:cs="宋体"/>
          <w:color w:val="auto"/>
          <w:sz w:val="32"/>
          <w:szCs w:val="32"/>
          <w:highlight w:val="none"/>
        </w:rPr>
      </w:pPr>
    </w:p>
    <w:p w14:paraId="3F1A02FC">
      <w:pPr>
        <w:jc w:val="left"/>
        <w:rPr>
          <w:rFonts w:hint="eastAsia" w:ascii="宋体" w:hAnsi="宋体" w:eastAsia="宋体" w:cs="宋体"/>
          <w:color w:val="auto"/>
          <w:kern w:val="0"/>
          <w:sz w:val="32"/>
          <w:szCs w:val="32"/>
          <w:highlight w:val="none"/>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2</w:t>
      </w:r>
    </w:p>
    <w:p w14:paraId="61CC7595">
      <w:pPr>
        <w:widowControl/>
        <w:spacing w:before="156" w:beforeLines="50" w:after="156" w:afterLines="50" w:line="280" w:lineRule="exact"/>
        <w:jc w:val="center"/>
        <w:rPr>
          <w:rFonts w:hint="eastAsia" w:ascii="宋体" w:hAnsi="宋体" w:eastAsia="宋体" w:cs="宋体"/>
          <w:b/>
          <w:bCs/>
          <w:color w:val="auto"/>
          <w:kern w:val="0"/>
          <w:sz w:val="30"/>
          <w:szCs w:val="30"/>
          <w:highlight w:val="none"/>
        </w:rPr>
      </w:pPr>
      <w:bookmarkStart w:id="46" w:name="_Toc28361_WPSOffice_Level2"/>
      <w:r>
        <w:rPr>
          <w:rFonts w:hint="eastAsia" w:ascii="宋体" w:hAnsi="宋体" w:eastAsia="宋体" w:cs="宋体"/>
          <w:b/>
          <w:bCs/>
          <w:color w:val="auto"/>
          <w:kern w:val="0"/>
          <w:sz w:val="30"/>
          <w:szCs w:val="30"/>
          <w:highlight w:val="none"/>
        </w:rPr>
        <w:t>统计上大中小微型企业划分标准</w:t>
      </w:r>
      <w:bookmarkEnd w:id="46"/>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422BE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noWrap w:val="0"/>
            <w:vAlign w:val="center"/>
          </w:tcPr>
          <w:p w14:paraId="6F90663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18"/>
                <w:szCs w:val="21"/>
                <w:highlight w:val="none"/>
              </w:rPr>
            </w:pPr>
            <w:r>
              <w:rPr>
                <w:rFonts w:hint="eastAsia" w:ascii="宋体" w:hAnsi="宋体" w:eastAsia="宋体" w:cs="宋体"/>
                <w:b/>
                <w:bCs/>
                <w:color w:val="auto"/>
                <w:kern w:val="0"/>
                <w:sz w:val="18"/>
                <w:szCs w:val="21"/>
                <w:highlight w:val="none"/>
              </w:rPr>
              <w:t>行业名称</w:t>
            </w:r>
          </w:p>
        </w:tc>
        <w:tc>
          <w:tcPr>
            <w:tcW w:w="1369" w:type="dxa"/>
            <w:shd w:val="clear" w:color="auto" w:fill="8DB3E2"/>
            <w:noWrap w:val="0"/>
            <w:vAlign w:val="center"/>
          </w:tcPr>
          <w:p w14:paraId="2C60045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指标名称</w:t>
            </w:r>
          </w:p>
        </w:tc>
        <w:tc>
          <w:tcPr>
            <w:tcW w:w="709" w:type="dxa"/>
            <w:shd w:val="clear" w:color="auto" w:fill="8DB3E2"/>
            <w:noWrap w:val="0"/>
            <w:vAlign w:val="center"/>
          </w:tcPr>
          <w:p w14:paraId="3BE438C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rPr>
              <w:t>计量</w:t>
            </w:r>
          </w:p>
          <w:p w14:paraId="15F4752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单位</w:t>
            </w:r>
          </w:p>
        </w:tc>
        <w:tc>
          <w:tcPr>
            <w:tcW w:w="1125" w:type="dxa"/>
            <w:shd w:val="clear" w:color="auto" w:fill="8DB3E2"/>
            <w:noWrap w:val="0"/>
            <w:vAlign w:val="center"/>
          </w:tcPr>
          <w:p w14:paraId="25C9531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大型</w:t>
            </w:r>
          </w:p>
        </w:tc>
        <w:tc>
          <w:tcPr>
            <w:tcW w:w="1701" w:type="dxa"/>
            <w:shd w:val="clear" w:color="auto" w:fill="8DB3E2"/>
            <w:noWrap w:val="0"/>
            <w:vAlign w:val="center"/>
          </w:tcPr>
          <w:p w14:paraId="3F6A548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中型</w:t>
            </w:r>
          </w:p>
        </w:tc>
        <w:tc>
          <w:tcPr>
            <w:tcW w:w="1426" w:type="dxa"/>
            <w:shd w:val="clear" w:color="auto" w:fill="8DB3E2"/>
            <w:noWrap w:val="0"/>
            <w:vAlign w:val="center"/>
          </w:tcPr>
          <w:p w14:paraId="41550C4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小型</w:t>
            </w:r>
          </w:p>
        </w:tc>
        <w:tc>
          <w:tcPr>
            <w:tcW w:w="992" w:type="dxa"/>
            <w:shd w:val="clear" w:color="auto" w:fill="8DB3E2"/>
            <w:noWrap w:val="0"/>
            <w:vAlign w:val="center"/>
          </w:tcPr>
          <w:p w14:paraId="4D63687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微型</w:t>
            </w:r>
          </w:p>
        </w:tc>
      </w:tr>
      <w:tr w14:paraId="6072D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4F29A36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农、林、牧、渔业</w:t>
            </w:r>
          </w:p>
        </w:tc>
        <w:tc>
          <w:tcPr>
            <w:tcW w:w="1369" w:type="dxa"/>
            <w:noWrap w:val="0"/>
            <w:vAlign w:val="center"/>
          </w:tcPr>
          <w:p w14:paraId="71CBB26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C43B85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40665A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14:paraId="2BCF14F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noWrap w:val="0"/>
            <w:vAlign w:val="center"/>
          </w:tcPr>
          <w:p w14:paraId="45FEF9C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992" w:type="dxa"/>
            <w:noWrap w:val="0"/>
            <w:vAlign w:val="center"/>
          </w:tcPr>
          <w:p w14:paraId="7CECBD3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53D6C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25D033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工业 *</w:t>
            </w:r>
          </w:p>
        </w:tc>
        <w:tc>
          <w:tcPr>
            <w:tcW w:w="1369" w:type="dxa"/>
            <w:noWrap w:val="0"/>
            <w:vAlign w:val="center"/>
          </w:tcPr>
          <w:p w14:paraId="61E9FB0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55B7461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166F2DC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57326D5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730FFF2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14:paraId="0DC850D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7ECF8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56D51B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18"/>
                <w:szCs w:val="18"/>
                <w:highlight w:val="none"/>
              </w:rPr>
            </w:pPr>
          </w:p>
        </w:tc>
        <w:tc>
          <w:tcPr>
            <w:tcW w:w="1369" w:type="dxa"/>
            <w:noWrap w:val="0"/>
            <w:vAlign w:val="center"/>
          </w:tcPr>
          <w:p w14:paraId="1AD9873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4529E63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353DEF9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14:paraId="3E5316E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426" w:type="dxa"/>
            <w:noWrap w:val="0"/>
            <w:vAlign w:val="center"/>
          </w:tcPr>
          <w:p w14:paraId="7783CD0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992" w:type="dxa"/>
            <w:noWrap w:val="0"/>
            <w:vAlign w:val="center"/>
          </w:tcPr>
          <w:p w14:paraId="230C9FD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3C4B8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326A04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建筑业</w:t>
            </w:r>
          </w:p>
        </w:tc>
        <w:tc>
          <w:tcPr>
            <w:tcW w:w="1369" w:type="dxa"/>
            <w:noWrap w:val="0"/>
            <w:vAlign w:val="center"/>
          </w:tcPr>
          <w:p w14:paraId="0ECBDCE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0592241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FBAF85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Y≥80000</w:t>
            </w:r>
          </w:p>
        </w:tc>
        <w:tc>
          <w:tcPr>
            <w:tcW w:w="1701" w:type="dxa"/>
            <w:noWrap w:val="0"/>
            <w:vAlign w:val="center"/>
          </w:tcPr>
          <w:p w14:paraId="2FF91B1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426" w:type="dxa"/>
            <w:noWrap w:val="0"/>
            <w:vAlign w:val="center"/>
          </w:tcPr>
          <w:p w14:paraId="4251EA5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992" w:type="dxa"/>
            <w:noWrap w:val="0"/>
            <w:vAlign w:val="center"/>
          </w:tcPr>
          <w:p w14:paraId="325A55B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43A8E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C3CB3E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18"/>
                <w:szCs w:val="18"/>
                <w:highlight w:val="none"/>
              </w:rPr>
            </w:pPr>
          </w:p>
        </w:tc>
        <w:tc>
          <w:tcPr>
            <w:tcW w:w="1369" w:type="dxa"/>
            <w:noWrap w:val="0"/>
            <w:vAlign w:val="center"/>
          </w:tcPr>
          <w:p w14:paraId="764D598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1828C2B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49397B1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Z≥80000</w:t>
            </w:r>
          </w:p>
        </w:tc>
        <w:tc>
          <w:tcPr>
            <w:tcW w:w="1701" w:type="dxa"/>
            <w:noWrap w:val="0"/>
            <w:vAlign w:val="center"/>
          </w:tcPr>
          <w:p w14:paraId="4D64C34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426" w:type="dxa"/>
            <w:noWrap w:val="0"/>
            <w:vAlign w:val="center"/>
          </w:tcPr>
          <w:p w14:paraId="073A039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992" w:type="dxa"/>
            <w:noWrap w:val="0"/>
            <w:vAlign w:val="center"/>
          </w:tcPr>
          <w:p w14:paraId="5A60787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74010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0A9604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批发业</w:t>
            </w:r>
          </w:p>
        </w:tc>
        <w:tc>
          <w:tcPr>
            <w:tcW w:w="1369" w:type="dxa"/>
            <w:noWrap w:val="0"/>
            <w:vAlign w:val="center"/>
          </w:tcPr>
          <w:p w14:paraId="4D1A37D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23B8DBF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3C3A9FC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noWrap w:val="0"/>
            <w:vAlign w:val="center"/>
          </w:tcPr>
          <w:p w14:paraId="62DF2C0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426" w:type="dxa"/>
            <w:noWrap w:val="0"/>
            <w:vAlign w:val="center"/>
          </w:tcPr>
          <w:p w14:paraId="4B0EC68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992" w:type="dxa"/>
            <w:noWrap w:val="0"/>
            <w:vAlign w:val="center"/>
          </w:tcPr>
          <w:p w14:paraId="10CA65D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298AC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17E1CB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18"/>
                <w:szCs w:val="18"/>
                <w:highlight w:val="none"/>
              </w:rPr>
            </w:pPr>
          </w:p>
        </w:tc>
        <w:tc>
          <w:tcPr>
            <w:tcW w:w="1369" w:type="dxa"/>
            <w:noWrap w:val="0"/>
            <w:vAlign w:val="center"/>
          </w:tcPr>
          <w:p w14:paraId="2AF6E4D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739877B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866B41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14:paraId="3F94801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426" w:type="dxa"/>
            <w:noWrap w:val="0"/>
            <w:vAlign w:val="center"/>
          </w:tcPr>
          <w:p w14:paraId="0DCCBDF7">
            <w:pPr>
              <w:keepNext w:val="0"/>
              <w:keepLines w:val="0"/>
              <w:pageBreakBefore w:val="0"/>
              <w:widowControl/>
              <w:kinsoku/>
              <w:wordWrap/>
              <w:overflowPunct/>
              <w:topLinePunct w:val="0"/>
              <w:autoSpaceDE/>
              <w:autoSpaceDN/>
              <w:bidi w:val="0"/>
              <w:adjustRightInd/>
              <w:snapToGrid/>
              <w:spacing w:line="360" w:lineRule="auto"/>
              <w:ind w:left="-1" w:leftChars="-1" w:hanging="1"/>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992" w:type="dxa"/>
            <w:noWrap w:val="0"/>
            <w:vAlign w:val="center"/>
          </w:tcPr>
          <w:p w14:paraId="000C8EA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73A36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437F44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零售业</w:t>
            </w:r>
          </w:p>
        </w:tc>
        <w:tc>
          <w:tcPr>
            <w:tcW w:w="1369" w:type="dxa"/>
            <w:noWrap w:val="0"/>
            <w:vAlign w:val="center"/>
          </w:tcPr>
          <w:p w14:paraId="7F3D701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504E8F0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4E52522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620D598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426" w:type="dxa"/>
            <w:noWrap w:val="0"/>
            <w:vAlign w:val="center"/>
          </w:tcPr>
          <w:p w14:paraId="2B0A17CA">
            <w:pPr>
              <w:keepNext w:val="0"/>
              <w:keepLines w:val="0"/>
              <w:pageBreakBefore w:val="0"/>
              <w:widowControl/>
              <w:kinsoku/>
              <w:wordWrap/>
              <w:overflowPunct/>
              <w:topLinePunct w:val="0"/>
              <w:autoSpaceDE/>
              <w:autoSpaceDN/>
              <w:bidi w:val="0"/>
              <w:adjustRightInd/>
              <w:snapToGrid/>
              <w:spacing w:line="360" w:lineRule="auto"/>
              <w:ind w:left="-1" w:leftChars="-1" w:hanging="1"/>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10≤X＜50 </w:t>
            </w:r>
          </w:p>
        </w:tc>
        <w:tc>
          <w:tcPr>
            <w:tcW w:w="992" w:type="dxa"/>
            <w:noWrap w:val="0"/>
            <w:vAlign w:val="center"/>
          </w:tcPr>
          <w:p w14:paraId="589FB1E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26448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1426DE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18"/>
                <w:szCs w:val="18"/>
                <w:highlight w:val="none"/>
              </w:rPr>
            </w:pPr>
          </w:p>
        </w:tc>
        <w:tc>
          <w:tcPr>
            <w:tcW w:w="1369" w:type="dxa"/>
            <w:noWrap w:val="0"/>
            <w:vAlign w:val="center"/>
          </w:tcPr>
          <w:p w14:paraId="33B70E8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0B05390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7153892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14:paraId="1C4501C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noWrap w:val="0"/>
            <w:vAlign w:val="center"/>
          </w:tcPr>
          <w:p w14:paraId="146E1DA3">
            <w:pPr>
              <w:keepNext w:val="0"/>
              <w:keepLines w:val="0"/>
              <w:pageBreakBefore w:val="0"/>
              <w:widowControl/>
              <w:kinsoku/>
              <w:wordWrap/>
              <w:overflowPunct/>
              <w:topLinePunct w:val="0"/>
              <w:autoSpaceDE/>
              <w:autoSpaceDN/>
              <w:bidi w:val="0"/>
              <w:adjustRightInd/>
              <w:snapToGrid/>
              <w:spacing w:line="360" w:lineRule="auto"/>
              <w:ind w:left="-1" w:leftChars="-1" w:hanging="1"/>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992" w:type="dxa"/>
            <w:noWrap w:val="0"/>
            <w:vAlign w:val="center"/>
          </w:tcPr>
          <w:p w14:paraId="1ACD52C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7B5C6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327B36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交通运输业 *</w:t>
            </w:r>
          </w:p>
        </w:tc>
        <w:tc>
          <w:tcPr>
            <w:tcW w:w="1369" w:type="dxa"/>
            <w:noWrap w:val="0"/>
            <w:vAlign w:val="center"/>
          </w:tcPr>
          <w:p w14:paraId="6F5DE2C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3447A00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1A6AE92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5BDA19E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37932EE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14:paraId="520FC1B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4F04C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9C7D31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18"/>
                <w:szCs w:val="18"/>
                <w:highlight w:val="none"/>
              </w:rPr>
            </w:pPr>
          </w:p>
        </w:tc>
        <w:tc>
          <w:tcPr>
            <w:tcW w:w="1369" w:type="dxa"/>
            <w:noWrap w:val="0"/>
            <w:vAlign w:val="center"/>
          </w:tcPr>
          <w:p w14:paraId="1E5D50E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19C26A3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4771357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58F5633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426" w:type="dxa"/>
            <w:noWrap w:val="0"/>
            <w:vAlign w:val="center"/>
          </w:tcPr>
          <w:p w14:paraId="329DC90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992" w:type="dxa"/>
            <w:noWrap w:val="0"/>
            <w:vAlign w:val="center"/>
          </w:tcPr>
          <w:p w14:paraId="0B5D5DC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05778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F5E0F9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仓储业*</w:t>
            </w:r>
          </w:p>
        </w:tc>
        <w:tc>
          <w:tcPr>
            <w:tcW w:w="1369" w:type="dxa"/>
            <w:noWrap w:val="0"/>
            <w:vAlign w:val="center"/>
          </w:tcPr>
          <w:p w14:paraId="19AFFA1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1DFD231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036F43F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noWrap w:val="0"/>
            <w:vAlign w:val="center"/>
          </w:tcPr>
          <w:p w14:paraId="622F0610">
            <w:pPr>
              <w:keepNext w:val="0"/>
              <w:keepLines w:val="0"/>
              <w:pageBreakBefore w:val="0"/>
              <w:widowControl/>
              <w:kinsoku/>
              <w:wordWrap/>
              <w:overflowPunct/>
              <w:topLinePunct w:val="0"/>
              <w:autoSpaceDE/>
              <w:autoSpaceDN/>
              <w:bidi w:val="0"/>
              <w:adjustRightInd/>
              <w:snapToGrid/>
              <w:spacing w:line="360" w:lineRule="auto"/>
              <w:ind w:left="1" w:leftChars="-51" w:hanging="108" w:hangingChars="6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426" w:type="dxa"/>
            <w:noWrap w:val="0"/>
            <w:vAlign w:val="center"/>
          </w:tcPr>
          <w:p w14:paraId="3CA41DD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992" w:type="dxa"/>
            <w:noWrap w:val="0"/>
            <w:vAlign w:val="center"/>
          </w:tcPr>
          <w:p w14:paraId="2FA071C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464E5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F891F1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18"/>
                <w:szCs w:val="18"/>
                <w:highlight w:val="none"/>
              </w:rPr>
            </w:pPr>
          </w:p>
        </w:tc>
        <w:tc>
          <w:tcPr>
            <w:tcW w:w="1369" w:type="dxa"/>
            <w:noWrap w:val="0"/>
            <w:vAlign w:val="center"/>
          </w:tcPr>
          <w:p w14:paraId="39A7A2F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4EEB1AF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F5DDB0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658D1D0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426" w:type="dxa"/>
            <w:noWrap w:val="0"/>
            <w:vAlign w:val="center"/>
          </w:tcPr>
          <w:p w14:paraId="32D280E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2529876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46CE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EC7144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邮政业</w:t>
            </w:r>
          </w:p>
        </w:tc>
        <w:tc>
          <w:tcPr>
            <w:tcW w:w="1369" w:type="dxa"/>
            <w:noWrap w:val="0"/>
            <w:vAlign w:val="center"/>
          </w:tcPr>
          <w:p w14:paraId="12E3C73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1B4A044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5972BA5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4BEAA8D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7737F8D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14:paraId="59AFD1D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54292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32DC91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18"/>
                <w:szCs w:val="18"/>
                <w:highlight w:val="none"/>
              </w:rPr>
            </w:pPr>
          </w:p>
        </w:tc>
        <w:tc>
          <w:tcPr>
            <w:tcW w:w="1369" w:type="dxa"/>
            <w:noWrap w:val="0"/>
            <w:vAlign w:val="center"/>
          </w:tcPr>
          <w:p w14:paraId="0DB1A87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1E04D2B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98A4FC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22C5B64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426" w:type="dxa"/>
            <w:noWrap w:val="0"/>
            <w:vAlign w:val="center"/>
          </w:tcPr>
          <w:p w14:paraId="2CE4585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0991C7E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D94D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0EF122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住宿业</w:t>
            </w:r>
          </w:p>
        </w:tc>
        <w:tc>
          <w:tcPr>
            <w:tcW w:w="1369" w:type="dxa"/>
            <w:noWrap w:val="0"/>
            <w:vAlign w:val="center"/>
          </w:tcPr>
          <w:p w14:paraId="6A9B6BE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0CDE85C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31A1800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13FE9A78">
            <w:pPr>
              <w:keepNext w:val="0"/>
              <w:keepLines w:val="0"/>
              <w:pageBreakBefore w:val="0"/>
              <w:widowControl/>
              <w:kinsoku/>
              <w:wordWrap/>
              <w:overflowPunct/>
              <w:topLinePunct w:val="0"/>
              <w:autoSpaceDE/>
              <w:autoSpaceDN/>
              <w:bidi w:val="0"/>
              <w:adjustRightInd/>
              <w:snapToGrid/>
              <w:spacing w:line="360" w:lineRule="auto"/>
              <w:ind w:left="1" w:leftChars="-51" w:hanging="108" w:hangingChars="6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14:paraId="6305328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2D5F927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32777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55EF16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18"/>
                <w:szCs w:val="18"/>
                <w:highlight w:val="none"/>
              </w:rPr>
            </w:pPr>
          </w:p>
        </w:tc>
        <w:tc>
          <w:tcPr>
            <w:tcW w:w="1369" w:type="dxa"/>
            <w:noWrap w:val="0"/>
            <w:vAlign w:val="center"/>
          </w:tcPr>
          <w:p w14:paraId="787421F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21A48D1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4822C84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765AF86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14:paraId="1D8590D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2B27A5A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1D95B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40E023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餐饮业</w:t>
            </w:r>
          </w:p>
        </w:tc>
        <w:tc>
          <w:tcPr>
            <w:tcW w:w="1369" w:type="dxa"/>
            <w:noWrap w:val="0"/>
            <w:vAlign w:val="center"/>
          </w:tcPr>
          <w:p w14:paraId="3751F05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6E8171A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29C08D2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23CBAEC8">
            <w:pPr>
              <w:keepNext w:val="0"/>
              <w:keepLines w:val="0"/>
              <w:pageBreakBefore w:val="0"/>
              <w:widowControl/>
              <w:kinsoku/>
              <w:wordWrap/>
              <w:overflowPunct/>
              <w:topLinePunct w:val="0"/>
              <w:autoSpaceDE/>
              <w:autoSpaceDN/>
              <w:bidi w:val="0"/>
              <w:adjustRightInd/>
              <w:snapToGrid/>
              <w:spacing w:line="360" w:lineRule="auto"/>
              <w:ind w:left="1" w:leftChars="-51" w:hanging="108" w:hangingChars="6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noWrap w:val="0"/>
            <w:vAlign w:val="center"/>
          </w:tcPr>
          <w:p w14:paraId="5BB95B4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0474158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3CCD9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64F966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18"/>
                <w:szCs w:val="18"/>
                <w:highlight w:val="none"/>
              </w:rPr>
            </w:pPr>
          </w:p>
        </w:tc>
        <w:tc>
          <w:tcPr>
            <w:tcW w:w="1369" w:type="dxa"/>
            <w:noWrap w:val="0"/>
            <w:vAlign w:val="center"/>
          </w:tcPr>
          <w:p w14:paraId="5901B99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4FF8547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675A3C7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1C21A45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14:paraId="17B778A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6B9B26F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E2E5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3BF0A7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信息传输业 *</w:t>
            </w:r>
          </w:p>
        </w:tc>
        <w:tc>
          <w:tcPr>
            <w:tcW w:w="1369" w:type="dxa"/>
            <w:noWrap w:val="0"/>
            <w:vAlign w:val="center"/>
          </w:tcPr>
          <w:p w14:paraId="0DC1B17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747D3A7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0659062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X≥2000</w:t>
            </w:r>
          </w:p>
        </w:tc>
        <w:tc>
          <w:tcPr>
            <w:tcW w:w="1701" w:type="dxa"/>
            <w:noWrap w:val="0"/>
            <w:vAlign w:val="center"/>
          </w:tcPr>
          <w:p w14:paraId="05A9171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426" w:type="dxa"/>
            <w:noWrap w:val="0"/>
            <w:vAlign w:val="center"/>
          </w:tcPr>
          <w:p w14:paraId="27E0A1C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4577553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7096D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94705B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18"/>
                <w:szCs w:val="18"/>
                <w:highlight w:val="none"/>
              </w:rPr>
            </w:pPr>
          </w:p>
        </w:tc>
        <w:tc>
          <w:tcPr>
            <w:tcW w:w="1369" w:type="dxa"/>
            <w:noWrap w:val="0"/>
            <w:vAlign w:val="center"/>
          </w:tcPr>
          <w:p w14:paraId="59BBC88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41A2C6C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7915804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Y≥100000</w:t>
            </w:r>
          </w:p>
        </w:tc>
        <w:tc>
          <w:tcPr>
            <w:tcW w:w="1701" w:type="dxa"/>
            <w:noWrap w:val="0"/>
            <w:vAlign w:val="center"/>
          </w:tcPr>
          <w:p w14:paraId="229B06A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426" w:type="dxa"/>
            <w:noWrap w:val="0"/>
            <w:vAlign w:val="center"/>
          </w:tcPr>
          <w:p w14:paraId="585F375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2D45D42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89ED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3434081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12"/>
                <w:kern w:val="0"/>
                <w:sz w:val="18"/>
                <w:szCs w:val="18"/>
                <w:highlight w:val="none"/>
              </w:rPr>
            </w:pPr>
            <w:r>
              <w:rPr>
                <w:rFonts w:hint="eastAsia" w:ascii="宋体" w:hAnsi="宋体" w:eastAsia="宋体" w:cs="宋体"/>
                <w:color w:val="auto"/>
                <w:spacing w:val="-12"/>
                <w:kern w:val="0"/>
                <w:sz w:val="18"/>
                <w:szCs w:val="18"/>
                <w:highlight w:val="none"/>
              </w:rPr>
              <w:t>软件和信息技术服</w:t>
            </w:r>
            <w:r>
              <w:rPr>
                <w:rFonts w:hint="eastAsia" w:ascii="宋体" w:hAnsi="宋体" w:eastAsia="宋体" w:cs="宋体"/>
                <w:color w:val="auto"/>
                <w:kern w:val="0"/>
                <w:sz w:val="18"/>
                <w:szCs w:val="18"/>
                <w:highlight w:val="none"/>
              </w:rPr>
              <w:t>务业</w:t>
            </w:r>
          </w:p>
        </w:tc>
        <w:tc>
          <w:tcPr>
            <w:tcW w:w="1369" w:type="dxa"/>
            <w:noWrap w:val="0"/>
            <w:vAlign w:val="center"/>
          </w:tcPr>
          <w:p w14:paraId="30EA55C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4D55D9A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407C2A0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002280B5">
            <w:pPr>
              <w:keepNext w:val="0"/>
              <w:keepLines w:val="0"/>
              <w:pageBreakBefore w:val="0"/>
              <w:widowControl/>
              <w:kinsoku/>
              <w:wordWrap/>
              <w:overflowPunct/>
              <w:topLinePunct w:val="0"/>
              <w:autoSpaceDE/>
              <w:autoSpaceDN/>
              <w:bidi w:val="0"/>
              <w:adjustRightInd/>
              <w:snapToGrid/>
              <w:spacing w:line="360" w:lineRule="auto"/>
              <w:ind w:left="1" w:leftChars="-51" w:hanging="108" w:hangingChars="6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noWrap w:val="0"/>
            <w:vAlign w:val="center"/>
          </w:tcPr>
          <w:p w14:paraId="36293A1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3966D8C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4B28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4AE7311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12"/>
                <w:kern w:val="0"/>
                <w:sz w:val="18"/>
                <w:szCs w:val="18"/>
                <w:highlight w:val="none"/>
              </w:rPr>
            </w:pPr>
          </w:p>
        </w:tc>
        <w:tc>
          <w:tcPr>
            <w:tcW w:w="1369" w:type="dxa"/>
            <w:noWrap w:val="0"/>
            <w:vAlign w:val="center"/>
          </w:tcPr>
          <w:p w14:paraId="35AEE30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20876F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7C675F7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06F1CAE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426" w:type="dxa"/>
            <w:noWrap w:val="0"/>
            <w:vAlign w:val="center"/>
          </w:tcPr>
          <w:p w14:paraId="25CFE4E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992" w:type="dxa"/>
            <w:noWrap w:val="0"/>
            <w:vAlign w:val="center"/>
          </w:tcPr>
          <w:p w14:paraId="36D56CD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0D118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73724F0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房地产开发经营</w:t>
            </w:r>
          </w:p>
        </w:tc>
        <w:tc>
          <w:tcPr>
            <w:tcW w:w="1369" w:type="dxa"/>
            <w:noWrap w:val="0"/>
            <w:vAlign w:val="center"/>
          </w:tcPr>
          <w:p w14:paraId="77B5CE2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25F0A90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6F78C76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Y≥200000</w:t>
            </w:r>
          </w:p>
        </w:tc>
        <w:tc>
          <w:tcPr>
            <w:tcW w:w="1701" w:type="dxa"/>
            <w:noWrap w:val="0"/>
            <w:vAlign w:val="center"/>
          </w:tcPr>
          <w:p w14:paraId="694B278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426" w:type="dxa"/>
            <w:noWrap w:val="0"/>
            <w:vAlign w:val="center"/>
          </w:tcPr>
          <w:p w14:paraId="118C063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3261072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75DF5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7FAB7FC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18"/>
                <w:szCs w:val="18"/>
                <w:highlight w:val="none"/>
              </w:rPr>
            </w:pPr>
          </w:p>
        </w:tc>
        <w:tc>
          <w:tcPr>
            <w:tcW w:w="1369" w:type="dxa"/>
            <w:noWrap w:val="0"/>
            <w:vAlign w:val="center"/>
          </w:tcPr>
          <w:p w14:paraId="7B74C65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6187630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247BD3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Z≥10000</w:t>
            </w:r>
          </w:p>
        </w:tc>
        <w:tc>
          <w:tcPr>
            <w:tcW w:w="1701" w:type="dxa"/>
            <w:noWrap w:val="0"/>
            <w:vAlign w:val="center"/>
          </w:tcPr>
          <w:p w14:paraId="67AF074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426" w:type="dxa"/>
            <w:noWrap w:val="0"/>
            <w:vAlign w:val="center"/>
          </w:tcPr>
          <w:p w14:paraId="1408EDC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2000≤Z＜5000</w:t>
            </w:r>
          </w:p>
        </w:tc>
        <w:tc>
          <w:tcPr>
            <w:tcW w:w="992" w:type="dxa"/>
            <w:noWrap w:val="0"/>
            <w:vAlign w:val="center"/>
          </w:tcPr>
          <w:p w14:paraId="011B08D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Z＜2000</w:t>
            </w:r>
          </w:p>
        </w:tc>
      </w:tr>
      <w:tr w14:paraId="05041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770A35B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物业管理</w:t>
            </w:r>
          </w:p>
        </w:tc>
        <w:tc>
          <w:tcPr>
            <w:tcW w:w="1369" w:type="dxa"/>
            <w:noWrap w:val="0"/>
            <w:vAlign w:val="center"/>
          </w:tcPr>
          <w:p w14:paraId="234A00E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6B40C55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256EA1B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6C4F876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703E639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992" w:type="dxa"/>
            <w:noWrap w:val="0"/>
            <w:vAlign w:val="center"/>
          </w:tcPr>
          <w:p w14:paraId="55A417C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421F6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1E983EA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18"/>
                <w:szCs w:val="18"/>
                <w:highlight w:val="none"/>
              </w:rPr>
            </w:pPr>
          </w:p>
        </w:tc>
        <w:tc>
          <w:tcPr>
            <w:tcW w:w="1369" w:type="dxa"/>
            <w:noWrap w:val="0"/>
            <w:vAlign w:val="center"/>
          </w:tcPr>
          <w:p w14:paraId="5E56C24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40B5A7A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301532C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Y≥5000</w:t>
            </w:r>
          </w:p>
        </w:tc>
        <w:tc>
          <w:tcPr>
            <w:tcW w:w="1701" w:type="dxa"/>
            <w:noWrap w:val="0"/>
            <w:vAlign w:val="center"/>
          </w:tcPr>
          <w:p w14:paraId="2A879E13">
            <w:pPr>
              <w:keepNext w:val="0"/>
              <w:keepLines w:val="0"/>
              <w:pageBreakBefore w:val="0"/>
              <w:widowControl/>
              <w:kinsoku/>
              <w:wordWrap/>
              <w:overflowPunct/>
              <w:topLinePunct w:val="0"/>
              <w:autoSpaceDE/>
              <w:autoSpaceDN/>
              <w:bidi w:val="0"/>
              <w:adjustRightInd/>
              <w:snapToGrid/>
              <w:spacing w:line="360" w:lineRule="auto"/>
              <w:ind w:left="1" w:leftChars="-51" w:hanging="108" w:hangingChars="6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426" w:type="dxa"/>
            <w:noWrap w:val="0"/>
            <w:vAlign w:val="center"/>
          </w:tcPr>
          <w:p w14:paraId="360D34A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992" w:type="dxa"/>
            <w:noWrap w:val="0"/>
            <w:vAlign w:val="center"/>
          </w:tcPr>
          <w:p w14:paraId="7503CA6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07566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30E315B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租赁和商务服务业</w:t>
            </w:r>
          </w:p>
        </w:tc>
        <w:tc>
          <w:tcPr>
            <w:tcW w:w="1369" w:type="dxa"/>
            <w:noWrap w:val="0"/>
            <w:vAlign w:val="center"/>
          </w:tcPr>
          <w:p w14:paraId="4BEE192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67D8AA0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05AC129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680E2FA0">
            <w:pPr>
              <w:keepNext w:val="0"/>
              <w:keepLines w:val="0"/>
              <w:pageBreakBefore w:val="0"/>
              <w:widowControl/>
              <w:kinsoku/>
              <w:wordWrap/>
              <w:overflowPunct/>
              <w:topLinePunct w:val="0"/>
              <w:autoSpaceDE/>
              <w:autoSpaceDN/>
              <w:bidi w:val="0"/>
              <w:adjustRightInd/>
              <w:snapToGrid/>
              <w:spacing w:line="360" w:lineRule="auto"/>
              <w:ind w:left="1" w:leftChars="-51" w:hanging="108" w:hangingChars="6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14:paraId="714D844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049E8ED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47A5A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1B858C4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18"/>
                <w:szCs w:val="18"/>
                <w:highlight w:val="none"/>
              </w:rPr>
            </w:pPr>
          </w:p>
        </w:tc>
        <w:tc>
          <w:tcPr>
            <w:tcW w:w="1369" w:type="dxa"/>
            <w:noWrap w:val="0"/>
            <w:vAlign w:val="center"/>
          </w:tcPr>
          <w:p w14:paraId="21A5AC4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498E3FC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3A81DAC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Z≥120000</w:t>
            </w:r>
          </w:p>
        </w:tc>
        <w:tc>
          <w:tcPr>
            <w:tcW w:w="1701" w:type="dxa"/>
            <w:noWrap w:val="0"/>
            <w:vAlign w:val="center"/>
          </w:tcPr>
          <w:p w14:paraId="42BCF3E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426" w:type="dxa"/>
            <w:noWrap w:val="0"/>
            <w:vAlign w:val="center"/>
          </w:tcPr>
          <w:p w14:paraId="6E0E90E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992" w:type="dxa"/>
            <w:noWrap w:val="0"/>
            <w:vAlign w:val="center"/>
          </w:tcPr>
          <w:p w14:paraId="58F1004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w:t>
            </w:r>
          </w:p>
        </w:tc>
      </w:tr>
      <w:tr w14:paraId="6F360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4EA8273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其他未列明行业 *</w:t>
            </w:r>
          </w:p>
        </w:tc>
        <w:tc>
          <w:tcPr>
            <w:tcW w:w="1369" w:type="dxa"/>
            <w:noWrap w:val="0"/>
            <w:vAlign w:val="center"/>
          </w:tcPr>
          <w:p w14:paraId="05F1B4D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106D3A9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1201BBC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217BFD6E">
            <w:pPr>
              <w:keepNext w:val="0"/>
              <w:keepLines w:val="0"/>
              <w:pageBreakBefore w:val="0"/>
              <w:widowControl/>
              <w:kinsoku/>
              <w:wordWrap/>
              <w:overflowPunct/>
              <w:topLinePunct w:val="0"/>
              <w:autoSpaceDE/>
              <w:autoSpaceDN/>
              <w:bidi w:val="0"/>
              <w:adjustRightInd/>
              <w:snapToGrid/>
              <w:spacing w:line="360" w:lineRule="auto"/>
              <w:ind w:left="1" w:leftChars="-51" w:hanging="108" w:hangingChars="60"/>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14:paraId="523CBF9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6D255EF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55BE659B">
      <w:pPr>
        <w:pageBreakBefore w:val="0"/>
        <w:widowControl/>
        <w:kinsoku/>
        <w:wordWrap/>
        <w:overflowPunct/>
        <w:topLinePunct w:val="0"/>
        <w:autoSpaceDE/>
        <w:autoSpaceDN/>
        <w:bidi w:val="0"/>
        <w:snapToGrid/>
        <w:spacing w:line="360" w:lineRule="auto"/>
        <w:textAlignment w:val="auto"/>
        <w:rPr>
          <w:rFonts w:hint="eastAsia" w:ascii="宋体" w:hAnsi="宋体" w:eastAsia="宋体" w:cs="宋体"/>
          <w:color w:val="auto"/>
          <w:spacing w:val="8"/>
          <w:kern w:val="0"/>
          <w:sz w:val="21"/>
          <w:szCs w:val="21"/>
          <w:highlight w:val="none"/>
        </w:rPr>
      </w:pPr>
    </w:p>
    <w:p w14:paraId="6576E187">
      <w:pPr>
        <w:pageBreakBefore w:val="0"/>
        <w:widowControl/>
        <w:kinsoku/>
        <w:wordWrap/>
        <w:overflowPunct/>
        <w:topLinePunct w:val="0"/>
        <w:autoSpaceDE/>
        <w:autoSpaceDN/>
        <w:bidi w:val="0"/>
        <w:snapToGrid/>
        <w:spacing w:line="360" w:lineRule="auto"/>
        <w:textAlignment w:val="auto"/>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说明：</w:t>
      </w:r>
    </w:p>
    <w:p w14:paraId="46B84DF8">
      <w:pPr>
        <w:pStyle w:val="17"/>
        <w:pageBreakBefore w:val="0"/>
        <w:kinsoku/>
        <w:wordWrap/>
        <w:overflowPunct/>
        <w:topLinePunct w:val="0"/>
        <w:autoSpaceDE/>
        <w:autoSpaceDN/>
        <w:bidi w:val="0"/>
        <w:adjustRightInd w:val="0"/>
        <w:snapToGrid/>
        <w:spacing w:line="360" w:lineRule="auto"/>
        <w:ind w:firstLine="452" w:firstLineChars="200"/>
        <w:contextualSpacing/>
        <w:textAlignment w:val="auto"/>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1.大型、中型和小型企业须同时满足所列指标的下限，否则下划一档；微型企业只须满足所列指标中的一项即可。</w:t>
      </w:r>
    </w:p>
    <w:p w14:paraId="47320B75">
      <w:pPr>
        <w:pStyle w:val="17"/>
        <w:pageBreakBefore w:val="0"/>
        <w:kinsoku/>
        <w:wordWrap/>
        <w:overflowPunct/>
        <w:topLinePunct w:val="0"/>
        <w:autoSpaceDE/>
        <w:autoSpaceDN/>
        <w:bidi w:val="0"/>
        <w:adjustRightInd w:val="0"/>
        <w:snapToGrid/>
        <w:spacing w:line="360" w:lineRule="auto"/>
        <w:ind w:firstLine="452" w:firstLineChars="200"/>
        <w:contextualSpacing/>
        <w:textAlignment w:val="auto"/>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ascii="宋体" w:hAnsi="宋体" w:eastAsia="宋体" w:cs="宋体"/>
          <w:color w:val="auto"/>
          <w:spacing w:val="8"/>
          <w:kern w:val="0"/>
          <w:sz w:val="21"/>
          <w:szCs w:val="21"/>
          <w:highlight w:val="none"/>
          <w:lang w:eastAsia="zh-CN"/>
        </w:rPr>
        <w:t>；</w:t>
      </w:r>
      <w:r>
        <w:rPr>
          <w:rFonts w:hint="eastAsia" w:ascii="宋体" w:hAnsi="宋体" w:eastAsia="宋体" w:cs="宋体"/>
          <w:color w:val="auto"/>
          <w:spacing w:val="8"/>
          <w:kern w:val="0"/>
          <w:sz w:val="21"/>
          <w:szCs w:val="21"/>
          <w:highlight w:val="none"/>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2792B659">
      <w:pPr>
        <w:pStyle w:val="17"/>
        <w:pageBreakBefore w:val="0"/>
        <w:kinsoku/>
        <w:wordWrap/>
        <w:overflowPunct/>
        <w:topLinePunct w:val="0"/>
        <w:autoSpaceDE/>
        <w:autoSpaceDN/>
        <w:bidi w:val="0"/>
        <w:snapToGrid/>
        <w:spacing w:line="360" w:lineRule="auto"/>
        <w:ind w:firstLine="452" w:firstLineChars="200"/>
        <w:textAlignment w:val="auto"/>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58C005D">
      <w:pPr>
        <w:pStyle w:val="2"/>
        <w:pageBreakBefore w:val="0"/>
        <w:kinsoku/>
        <w:wordWrap/>
        <w:overflowPunct/>
        <w:topLinePunct w:val="0"/>
        <w:autoSpaceDE/>
        <w:autoSpaceDN/>
        <w:bidi w:val="0"/>
        <w:snapToGrid/>
        <w:spacing w:line="360" w:lineRule="auto"/>
        <w:jc w:val="center"/>
        <w:textAlignment w:val="auto"/>
        <w:rPr>
          <w:rFonts w:hint="eastAsia" w:ascii="宋体" w:hAnsi="宋体" w:eastAsia="宋体" w:cs="宋体"/>
          <w:bCs w:val="0"/>
          <w:color w:val="auto"/>
          <w:sz w:val="21"/>
          <w:szCs w:val="21"/>
          <w:highlight w:val="none"/>
        </w:rPr>
        <w:sectPr>
          <w:pgSz w:w="11911" w:h="16838"/>
          <w:pgMar w:top="1134" w:right="1134" w:bottom="1134" w:left="1134" w:header="720" w:footer="720" w:gutter="0"/>
          <w:pgNumType w:fmt="decimal"/>
          <w:cols w:space="720" w:num="1"/>
        </w:sectPr>
      </w:pPr>
      <w:bookmarkStart w:id="47" w:name="_Toc3319"/>
      <w:bookmarkStart w:id="48" w:name="_Toc80886927"/>
    </w:p>
    <w:p w14:paraId="067F5A50">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highlight w:val="none"/>
        </w:rPr>
      </w:pPr>
      <w:bookmarkStart w:id="49" w:name="_Toc19152"/>
      <w:bookmarkStart w:id="50" w:name="_Toc24174"/>
      <w:bookmarkStart w:id="51" w:name="_Toc2072"/>
      <w:bookmarkStart w:id="52" w:name="_Toc13614"/>
      <w:bookmarkStart w:id="53" w:name="_Toc9239"/>
      <w:bookmarkStart w:id="54" w:name="_Toc7704"/>
      <w:r>
        <w:rPr>
          <w:rFonts w:hint="eastAsia" w:ascii="宋体" w:hAnsi="宋体" w:eastAsia="宋体" w:cs="宋体"/>
          <w:bCs w:val="0"/>
          <w:color w:val="auto"/>
          <w:sz w:val="32"/>
          <w:szCs w:val="32"/>
          <w:highlight w:val="none"/>
        </w:rPr>
        <w:t>第三章 供应商须知</w:t>
      </w:r>
      <w:bookmarkEnd w:id="47"/>
      <w:bookmarkEnd w:id="48"/>
      <w:bookmarkEnd w:id="49"/>
      <w:bookmarkEnd w:id="50"/>
      <w:bookmarkEnd w:id="51"/>
      <w:bookmarkEnd w:id="52"/>
      <w:bookmarkEnd w:id="53"/>
      <w:bookmarkEnd w:id="54"/>
    </w:p>
    <w:p w14:paraId="553EB8FB">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color w:val="auto"/>
          <w:highlight w:val="none"/>
        </w:rPr>
      </w:pPr>
      <w:bookmarkStart w:id="55" w:name="_Toc80886928"/>
      <w:bookmarkStart w:id="56" w:name="_Toc9482"/>
      <w:bookmarkStart w:id="57" w:name="_Toc30660"/>
      <w:r>
        <w:rPr>
          <w:rFonts w:hint="eastAsia" w:ascii="宋体" w:hAnsi="宋体" w:eastAsia="宋体" w:cs="宋体"/>
          <w:b w:val="0"/>
          <w:color w:val="auto"/>
          <w:highlight w:val="none"/>
        </w:rPr>
        <w:t>第一节 供应商须知前附表</w:t>
      </w:r>
      <w:bookmarkEnd w:id="55"/>
      <w:bookmarkEnd w:id="56"/>
      <w:bookmarkEnd w:id="57"/>
    </w:p>
    <w:tbl>
      <w:tblPr>
        <w:tblStyle w:val="28"/>
        <w:tblW w:w="103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3"/>
        <w:gridCol w:w="2548"/>
        <w:gridCol w:w="6853"/>
      </w:tblGrid>
      <w:tr w14:paraId="76D30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63" w:type="dxa"/>
            <w:noWrap w:val="0"/>
            <w:vAlign w:val="top"/>
          </w:tcPr>
          <w:p w14:paraId="269DB4F1">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2548" w:type="dxa"/>
            <w:noWrap w:val="0"/>
            <w:vAlign w:val="center"/>
          </w:tcPr>
          <w:p w14:paraId="316960F6">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条款内容</w:t>
            </w:r>
          </w:p>
        </w:tc>
        <w:tc>
          <w:tcPr>
            <w:tcW w:w="6853" w:type="dxa"/>
            <w:noWrap w:val="0"/>
            <w:vAlign w:val="top"/>
          </w:tcPr>
          <w:p w14:paraId="311B2CD3">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具体要求</w:t>
            </w:r>
          </w:p>
        </w:tc>
      </w:tr>
      <w:tr w14:paraId="28B26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68700FFF">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7</w:t>
            </w:r>
          </w:p>
        </w:tc>
        <w:tc>
          <w:tcPr>
            <w:tcW w:w="2548" w:type="dxa"/>
            <w:noWrap w:val="0"/>
            <w:vAlign w:val="center"/>
          </w:tcPr>
          <w:p w14:paraId="05F1FE2C">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color w:val="auto"/>
                <w:sz w:val="21"/>
                <w:szCs w:val="21"/>
                <w:highlight w:val="none"/>
              </w:rPr>
              <w:t>实质性要求</w:t>
            </w:r>
          </w:p>
        </w:tc>
        <w:tc>
          <w:tcPr>
            <w:tcW w:w="6853" w:type="dxa"/>
            <w:noWrap w:val="0"/>
            <w:vAlign w:val="top"/>
          </w:tcPr>
          <w:p w14:paraId="1E427106">
            <w:pPr>
              <w:keepNext w:val="0"/>
              <w:keepLines w:val="0"/>
              <w:pageBreakBefore w:val="0"/>
              <w:widowControl w:val="0"/>
              <w:kinsoku/>
              <w:wordWrap/>
              <w:overflowPunct/>
              <w:topLinePunct w:val="0"/>
              <w:bidi w:val="0"/>
              <w:adjustRightInd/>
              <w:spacing w:line="360" w:lineRule="auto"/>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color w:val="auto"/>
                <w:sz w:val="21"/>
                <w:szCs w:val="21"/>
                <w:highlight w:val="none"/>
              </w:rPr>
              <w:t>指</w:t>
            </w:r>
            <w:r>
              <w:rPr>
                <w:rFonts w:hint="eastAsia" w:ascii="宋体" w:hAnsi="宋体" w:eastAsia="宋体" w:cs="宋体"/>
                <w:b w:val="0"/>
                <w:bCs w:val="0"/>
                <w:color w:val="auto"/>
                <w:sz w:val="21"/>
                <w:szCs w:val="21"/>
                <w:highlight w:val="none"/>
                <w:lang w:eastAsia="zh-CN"/>
              </w:rPr>
              <w:t>竞争性</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文件中已经指明</w:t>
            </w:r>
            <w:r>
              <w:rPr>
                <w:rFonts w:hint="eastAsia" w:ascii="宋体" w:hAnsi="宋体" w:eastAsia="宋体" w:cs="宋体"/>
                <w:b w:val="0"/>
                <w:bCs w:val="0"/>
                <w:color w:val="auto"/>
                <w:sz w:val="21"/>
                <w:szCs w:val="21"/>
                <w:highlight w:val="none"/>
                <w:lang w:eastAsia="zh-CN"/>
              </w:rPr>
              <w:t>不提供或</w:t>
            </w:r>
            <w:r>
              <w:rPr>
                <w:rFonts w:hint="eastAsia" w:ascii="宋体" w:hAnsi="宋体" w:eastAsia="宋体" w:cs="宋体"/>
                <w:b w:val="0"/>
                <w:bCs w:val="0"/>
                <w:color w:val="auto"/>
                <w:sz w:val="21"/>
                <w:szCs w:val="21"/>
                <w:highlight w:val="none"/>
              </w:rPr>
              <w:t>不满足则响应文件</w:t>
            </w:r>
            <w:r>
              <w:rPr>
                <w:rFonts w:hint="eastAsia" w:ascii="宋体" w:hAnsi="宋体" w:eastAsia="宋体" w:cs="宋体"/>
                <w:b w:val="0"/>
                <w:bCs w:val="0"/>
                <w:color w:val="auto"/>
                <w:sz w:val="21"/>
                <w:szCs w:val="21"/>
                <w:highlight w:val="none"/>
                <w:lang w:eastAsia="zh-CN"/>
              </w:rPr>
              <w:t>作</w:t>
            </w:r>
            <w:r>
              <w:rPr>
                <w:rFonts w:hint="eastAsia" w:ascii="宋体" w:hAnsi="宋体" w:eastAsia="宋体" w:cs="宋体"/>
                <w:b w:val="0"/>
                <w:bCs w:val="0"/>
                <w:color w:val="auto"/>
                <w:sz w:val="21"/>
                <w:szCs w:val="21"/>
                <w:highlight w:val="none"/>
              </w:rPr>
              <w:t>无效响应处理的条款，或者</w:t>
            </w:r>
            <w:r>
              <w:rPr>
                <w:rFonts w:hint="eastAsia" w:ascii="宋体" w:hAnsi="宋体" w:eastAsia="宋体" w:cs="宋体"/>
                <w:color w:val="auto"/>
                <w:sz w:val="21"/>
                <w:szCs w:val="21"/>
                <w:highlight w:val="none"/>
              </w:rPr>
              <w:t>第二章“采购需求”及第</w:t>
            </w:r>
            <w:r>
              <w:rPr>
                <w:rFonts w:hint="eastAsia" w:ascii="宋体" w:hAnsi="宋体" w:eastAsia="宋体" w:cs="宋体"/>
                <w:color w:val="auto"/>
                <w:sz w:val="21"/>
                <w:szCs w:val="21"/>
                <w:highlight w:val="none"/>
                <w:lang w:eastAsia="zh-CN"/>
              </w:rPr>
              <w:t>五</w:t>
            </w:r>
            <w:r>
              <w:rPr>
                <w:rFonts w:hint="eastAsia" w:ascii="宋体" w:hAnsi="宋体" w:eastAsia="宋体" w:cs="宋体"/>
                <w:color w:val="auto"/>
                <w:sz w:val="21"/>
                <w:szCs w:val="21"/>
                <w:highlight w:val="none"/>
              </w:rPr>
              <w:t>章“</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文件格式”</w:t>
            </w:r>
            <w:r>
              <w:rPr>
                <w:rFonts w:hint="eastAsia" w:ascii="宋体" w:hAnsi="宋体" w:eastAsia="宋体" w:cs="宋体"/>
                <w:b w:val="0"/>
                <w:bCs w:val="0"/>
                <w:color w:val="auto"/>
                <w:sz w:val="21"/>
                <w:szCs w:val="21"/>
                <w:highlight w:val="none"/>
              </w:rPr>
              <w:t>中带“▲”的条款</w:t>
            </w:r>
            <w:r>
              <w:rPr>
                <w:rFonts w:hint="eastAsia" w:ascii="宋体" w:hAnsi="宋体" w:eastAsia="宋体" w:cs="宋体"/>
                <w:color w:val="auto"/>
                <w:sz w:val="21"/>
                <w:szCs w:val="21"/>
                <w:highlight w:val="none"/>
              </w:rPr>
              <w:t>。</w:t>
            </w:r>
          </w:p>
        </w:tc>
      </w:tr>
      <w:tr w14:paraId="3596C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4DA8D1B2">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p>
        </w:tc>
        <w:tc>
          <w:tcPr>
            <w:tcW w:w="2548" w:type="dxa"/>
            <w:noWrap w:val="0"/>
            <w:vAlign w:val="center"/>
          </w:tcPr>
          <w:p w14:paraId="129EA3B9">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供应商资格条件</w:t>
            </w:r>
          </w:p>
        </w:tc>
        <w:tc>
          <w:tcPr>
            <w:tcW w:w="6853" w:type="dxa"/>
            <w:noWrap w:val="0"/>
            <w:vAlign w:val="top"/>
          </w:tcPr>
          <w:p w14:paraId="1F763E84">
            <w:pPr>
              <w:keepNext w:val="0"/>
              <w:keepLines w:val="0"/>
              <w:pageBreakBefore w:val="0"/>
              <w:widowControl w:val="0"/>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详见竞争性磋商公告。</w:t>
            </w:r>
          </w:p>
        </w:tc>
      </w:tr>
      <w:tr w14:paraId="7BF12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548BCAC3">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p>
        </w:tc>
        <w:tc>
          <w:tcPr>
            <w:tcW w:w="2548" w:type="dxa"/>
            <w:noWrap w:val="0"/>
            <w:vAlign w:val="center"/>
          </w:tcPr>
          <w:p w14:paraId="7AF47639">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是否接受联合体竞标</w:t>
            </w:r>
          </w:p>
        </w:tc>
        <w:tc>
          <w:tcPr>
            <w:tcW w:w="6853" w:type="dxa"/>
            <w:noWrap w:val="0"/>
            <w:vAlign w:val="center"/>
          </w:tcPr>
          <w:p w14:paraId="6ACA5879">
            <w:pPr>
              <w:keepNext w:val="0"/>
              <w:keepLines w:val="0"/>
              <w:pageBreakBefore w:val="0"/>
              <w:widowControl w:val="0"/>
              <w:kinsoku/>
              <w:wordWrap/>
              <w:overflowPunct/>
              <w:topLinePunct w:val="0"/>
              <w:bidi w:val="0"/>
              <w:adjustRightInd/>
              <w:spacing w:line="360" w:lineRule="auto"/>
              <w:rPr>
                <w:rFonts w:hint="eastAsia" w:ascii="宋体" w:hAnsi="宋体" w:eastAsia="宋体" w:cs="宋体"/>
                <w:color w:val="auto"/>
                <w:sz w:val="21"/>
                <w:szCs w:val="21"/>
                <w:highlight w:val="none"/>
              </w:rPr>
            </w:pPr>
            <w:bookmarkStart w:id="58" w:name="PO_3000001868_PM007"/>
            <w:r>
              <w:rPr>
                <w:rFonts w:hint="eastAsia" w:ascii="宋体" w:hAnsi="宋体" w:eastAsia="宋体" w:cs="宋体"/>
                <w:color w:val="auto"/>
                <w:sz w:val="21"/>
                <w:szCs w:val="21"/>
                <w:highlight w:val="none"/>
              </w:rPr>
              <w:t>详见竞争性磋商公告</w:t>
            </w:r>
            <w:bookmarkEnd w:id="58"/>
          </w:p>
        </w:tc>
      </w:tr>
      <w:tr w14:paraId="616ED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63A58AD1">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w:t>
            </w:r>
          </w:p>
        </w:tc>
        <w:tc>
          <w:tcPr>
            <w:tcW w:w="2548" w:type="dxa"/>
            <w:noWrap w:val="0"/>
            <w:vAlign w:val="center"/>
          </w:tcPr>
          <w:p w14:paraId="2ACB4E7F">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联合体竞标要求</w:t>
            </w:r>
          </w:p>
        </w:tc>
        <w:tc>
          <w:tcPr>
            <w:tcW w:w="6853" w:type="dxa"/>
            <w:noWrap w:val="0"/>
            <w:vAlign w:val="center"/>
          </w:tcPr>
          <w:p w14:paraId="63772DF2">
            <w:pPr>
              <w:pStyle w:val="10"/>
              <w:keepNext w:val="0"/>
              <w:keepLines w:val="0"/>
              <w:pageBreakBefore w:val="0"/>
              <w:widowControl w:val="0"/>
              <w:kinsoku/>
              <w:wordWrap/>
              <w:overflowPunct/>
              <w:topLinePunct w:val="0"/>
              <w:bidi w:val="0"/>
              <w:adjustRightInd/>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☑不接受联合体。</w:t>
            </w:r>
          </w:p>
          <w:p w14:paraId="62717011">
            <w:pPr>
              <w:pStyle w:val="10"/>
              <w:keepNext w:val="0"/>
              <w:keepLines w:val="0"/>
              <w:pageBreakBefore w:val="0"/>
              <w:widowControl w:val="0"/>
              <w:kinsoku/>
              <w:wordWrap/>
              <w:overflowPunct/>
              <w:topLinePunct w:val="0"/>
              <w:bidi w:val="0"/>
              <w:adjustRightInd/>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接受联合体：</w:t>
            </w:r>
          </w:p>
          <w:p w14:paraId="32364FF1">
            <w:pPr>
              <w:pStyle w:val="10"/>
              <w:keepNext w:val="0"/>
              <w:keepLines w:val="0"/>
              <w:pageBreakBefore w:val="0"/>
              <w:widowControl w:val="0"/>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1.两个以上供应商可以组成一个竞标联合体，以一个供应商的身份共同参加竞标。联合体竞标的，须提供《联合体竞标协议书》（格式后附）。</w:t>
            </w:r>
          </w:p>
          <w:p w14:paraId="766A0E3B">
            <w:pPr>
              <w:pStyle w:val="10"/>
              <w:keepNext w:val="0"/>
              <w:keepLines w:val="0"/>
              <w:pageBreakBefore w:val="0"/>
              <w:widowControl w:val="0"/>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w:t>
            </w:r>
            <w:r>
              <w:rPr>
                <w:rFonts w:hint="eastAsia" w:ascii="宋体" w:hAnsi="宋体" w:eastAsia="宋体" w:cs="宋体"/>
                <w:color w:val="auto"/>
                <w:sz w:val="21"/>
                <w:szCs w:val="21"/>
                <w:highlight w:val="none"/>
                <w:lang w:eastAsia="zh-CN"/>
              </w:rPr>
              <w:t>竞争性</w:t>
            </w:r>
            <w:r>
              <w:rPr>
                <w:rFonts w:hint="eastAsia" w:ascii="宋体" w:hAnsi="宋体" w:eastAsia="宋体" w:cs="宋体"/>
                <w:color w:val="auto"/>
                <w:sz w:val="21"/>
                <w:szCs w:val="21"/>
                <w:highlight w:val="none"/>
              </w:rPr>
              <w:t>磋商文件规定的特定条件。</w:t>
            </w:r>
          </w:p>
          <w:p w14:paraId="1A846674">
            <w:pPr>
              <w:pStyle w:val="10"/>
              <w:keepNext w:val="0"/>
              <w:keepLines w:val="0"/>
              <w:pageBreakBefore w:val="0"/>
              <w:widowControl w:val="0"/>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3.联合体各方之间必须签订联合竞标协议，协议书必须明确主体方（或者牵头方）并明确约定联合体各方承担的工作和相应的责任（各方承担责任与义务的分工必须符合采购需求，</w:t>
            </w:r>
            <w:r>
              <w:rPr>
                <w:rFonts w:hint="eastAsia" w:ascii="宋体" w:hAnsi="宋体" w:eastAsia="宋体" w:cs="宋体"/>
                <w:b/>
                <w:bCs/>
                <w:color w:val="auto"/>
                <w:sz w:val="21"/>
                <w:szCs w:val="21"/>
                <w:highlight w:val="none"/>
              </w:rPr>
              <w:t>否则，联合体竞标无效</w:t>
            </w:r>
            <w:r>
              <w:rPr>
                <w:rFonts w:hint="eastAsia" w:ascii="宋体" w:hAnsi="宋体" w:eastAsia="宋体" w:cs="宋体"/>
                <w:color w:val="auto"/>
                <w:sz w:val="21"/>
                <w:szCs w:val="21"/>
                <w:highlight w:val="none"/>
              </w:rPr>
              <w:t>），并将联合竞标协议放入响应文件。联合体各方必须共同与采购人签订采购合同，就采购合同约定的事项对采购人承担连带责任。</w:t>
            </w:r>
          </w:p>
          <w:p w14:paraId="19E3E0B4">
            <w:pPr>
              <w:pStyle w:val="10"/>
              <w:keepNext w:val="0"/>
              <w:keepLines w:val="0"/>
              <w:pageBreakBefore w:val="0"/>
              <w:widowControl w:val="0"/>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4.以联合体形式参加政府采购活动的，联合体各方不得再单独参加或者与</w:t>
            </w:r>
            <w:r>
              <w:rPr>
                <w:rFonts w:hint="eastAsia" w:ascii="宋体" w:hAnsi="宋体" w:eastAsia="宋体" w:cs="宋体"/>
                <w:color w:val="auto"/>
                <w:sz w:val="21"/>
                <w:szCs w:val="21"/>
                <w:highlight w:val="none"/>
                <w:lang w:eastAsia="zh-CN"/>
              </w:rPr>
              <w:t>其他</w:t>
            </w:r>
            <w:r>
              <w:rPr>
                <w:rFonts w:hint="eastAsia" w:ascii="宋体" w:hAnsi="宋体" w:eastAsia="宋体" w:cs="宋体"/>
                <w:color w:val="auto"/>
                <w:sz w:val="21"/>
                <w:szCs w:val="21"/>
                <w:highlight w:val="none"/>
              </w:rPr>
              <w:t>供应商另外组成联合体参加同一合同项下的政府采购活动。</w:t>
            </w:r>
          </w:p>
          <w:p w14:paraId="264F5904">
            <w:pPr>
              <w:pStyle w:val="10"/>
              <w:keepNext w:val="0"/>
              <w:keepLines w:val="0"/>
              <w:pageBreakBefore w:val="0"/>
              <w:widowControl w:val="0"/>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5.联合体中有同类资质的供应商按照联合体分工承担相同工作的，应当按照资质等级较低的供应商确定资质等级。</w:t>
            </w:r>
          </w:p>
          <w:p w14:paraId="26558A0E">
            <w:pPr>
              <w:pStyle w:val="10"/>
              <w:keepNext w:val="0"/>
              <w:keepLines w:val="0"/>
              <w:pageBreakBefore w:val="0"/>
              <w:widowControl w:val="0"/>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6.联合体竞标业绩、履约能力按照联合体各方中较高的一方认定并计算（</w:t>
            </w:r>
            <w:r>
              <w:rPr>
                <w:rFonts w:hint="eastAsia" w:ascii="宋体" w:hAnsi="宋体" w:eastAsia="宋体" w:cs="宋体"/>
                <w:color w:val="auto"/>
                <w:sz w:val="21"/>
                <w:szCs w:val="21"/>
                <w:highlight w:val="none"/>
                <w:lang w:eastAsia="zh-CN"/>
              </w:rPr>
              <w:t>竞争性</w:t>
            </w:r>
            <w:r>
              <w:rPr>
                <w:rFonts w:hint="eastAsia" w:ascii="宋体" w:hAnsi="宋体" w:eastAsia="宋体" w:cs="宋体"/>
                <w:color w:val="auto"/>
                <w:sz w:val="21"/>
                <w:szCs w:val="21"/>
                <w:highlight w:val="none"/>
              </w:rPr>
              <w:t>磋商文件另有规定的除外）。</w:t>
            </w:r>
          </w:p>
          <w:p w14:paraId="781ADDBC">
            <w:pPr>
              <w:pStyle w:val="10"/>
              <w:keepNext w:val="0"/>
              <w:keepLines w:val="0"/>
              <w:pageBreakBefore w:val="0"/>
              <w:widowControl w:val="0"/>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7.供应商为联合体的，可以由联合体中的一方或者多方共同</w:t>
            </w:r>
            <w:r>
              <w:rPr>
                <w:rFonts w:hint="eastAsia" w:ascii="宋体" w:hAnsi="宋体" w:eastAsia="宋体" w:cs="宋体"/>
                <w:color w:val="auto"/>
                <w:sz w:val="21"/>
                <w:szCs w:val="21"/>
                <w:highlight w:val="none"/>
                <w:lang w:eastAsia="zh-CN"/>
              </w:rPr>
              <w:t>缴</w:t>
            </w:r>
            <w:r>
              <w:rPr>
                <w:rFonts w:hint="eastAsia" w:ascii="宋体" w:hAnsi="宋体" w:eastAsia="宋体" w:cs="宋体"/>
                <w:color w:val="auto"/>
                <w:sz w:val="21"/>
                <w:szCs w:val="21"/>
                <w:highlight w:val="none"/>
              </w:rPr>
              <w:t>纳磋商保证金，其</w:t>
            </w:r>
            <w:r>
              <w:rPr>
                <w:rFonts w:hint="eastAsia" w:ascii="宋体" w:hAnsi="宋体" w:eastAsia="宋体" w:cs="宋体"/>
                <w:color w:val="auto"/>
                <w:sz w:val="21"/>
                <w:szCs w:val="21"/>
                <w:highlight w:val="none"/>
                <w:lang w:eastAsia="zh-CN"/>
              </w:rPr>
              <w:t>缴</w:t>
            </w:r>
            <w:r>
              <w:rPr>
                <w:rFonts w:hint="eastAsia" w:ascii="宋体" w:hAnsi="宋体" w:eastAsia="宋体" w:cs="宋体"/>
                <w:color w:val="auto"/>
                <w:sz w:val="21"/>
                <w:szCs w:val="21"/>
                <w:highlight w:val="none"/>
              </w:rPr>
              <w:t>纳的磋商保证金对联合体各方均具有约束力。</w:t>
            </w:r>
          </w:p>
          <w:p w14:paraId="3B937C3E">
            <w:pPr>
              <w:pStyle w:val="10"/>
              <w:keepNext w:val="0"/>
              <w:keepLines w:val="0"/>
              <w:pageBreakBefore w:val="0"/>
              <w:widowControl w:val="0"/>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8.联合体各方均应按照</w:t>
            </w:r>
            <w:r>
              <w:rPr>
                <w:rFonts w:hint="eastAsia" w:ascii="宋体" w:hAnsi="宋体" w:eastAsia="宋体" w:cs="宋体"/>
                <w:color w:val="auto"/>
                <w:sz w:val="21"/>
                <w:szCs w:val="21"/>
                <w:highlight w:val="none"/>
                <w:lang w:eastAsia="zh-CN"/>
              </w:rPr>
              <w:t>竞争性</w:t>
            </w:r>
            <w:r>
              <w:rPr>
                <w:rFonts w:hint="eastAsia" w:ascii="宋体" w:hAnsi="宋体" w:eastAsia="宋体" w:cs="宋体"/>
                <w:color w:val="auto"/>
                <w:sz w:val="21"/>
                <w:szCs w:val="21"/>
                <w:highlight w:val="none"/>
              </w:rPr>
              <w:t>磋商文件的规定提交资格文件。</w:t>
            </w:r>
          </w:p>
        </w:tc>
      </w:tr>
      <w:tr w14:paraId="269B0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6872BFDA">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w:t>
            </w:r>
          </w:p>
        </w:tc>
        <w:tc>
          <w:tcPr>
            <w:tcW w:w="2548" w:type="dxa"/>
            <w:noWrap w:val="0"/>
            <w:vAlign w:val="center"/>
          </w:tcPr>
          <w:p w14:paraId="04472AB1">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是否允许分包</w:t>
            </w:r>
          </w:p>
        </w:tc>
        <w:tc>
          <w:tcPr>
            <w:tcW w:w="6853" w:type="dxa"/>
            <w:noWrap w:val="0"/>
            <w:vAlign w:val="center"/>
          </w:tcPr>
          <w:p w14:paraId="3BEDC259">
            <w:pPr>
              <w:pStyle w:val="10"/>
              <w:keepNext w:val="0"/>
              <w:keepLines w:val="0"/>
              <w:pageBreakBefore w:val="0"/>
              <w:widowControl w:val="0"/>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不允许分包</w:t>
            </w:r>
          </w:p>
          <w:p w14:paraId="7B13D7EA">
            <w:pPr>
              <w:pStyle w:val="10"/>
              <w:keepNext w:val="0"/>
              <w:keepLines w:val="0"/>
              <w:pageBreakBefore w:val="0"/>
              <w:widowControl w:val="0"/>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□允许分包</w:t>
            </w:r>
          </w:p>
          <w:p w14:paraId="45EE0E22">
            <w:pPr>
              <w:pStyle w:val="10"/>
              <w:keepNext w:val="0"/>
              <w:keepLines w:val="0"/>
              <w:pageBreakBefore w:val="0"/>
              <w:widowControl w:val="0"/>
              <w:kinsoku/>
              <w:wordWrap/>
              <w:overflowPunct/>
              <w:topLinePunct w:val="0"/>
              <w:bidi w:val="0"/>
              <w:adjustRightInd/>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分包内容：</w:t>
            </w:r>
            <w:r>
              <w:rPr>
                <w:rFonts w:hint="eastAsia" w:ascii="宋体" w:hAnsi="宋体" w:eastAsia="宋体" w:cs="宋体"/>
                <w:color w:val="auto"/>
                <w:sz w:val="21"/>
                <w:szCs w:val="21"/>
                <w:highlight w:val="none"/>
                <w:u w:val="single"/>
              </w:rPr>
              <w:t xml:space="preserve">                                     。</w:t>
            </w:r>
          </w:p>
          <w:p w14:paraId="770DAE13">
            <w:pPr>
              <w:pStyle w:val="10"/>
              <w:keepNext w:val="0"/>
              <w:keepLines w:val="0"/>
              <w:pageBreakBefore w:val="0"/>
              <w:widowControl w:val="0"/>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分包金额或者比例：</w:t>
            </w:r>
            <w:r>
              <w:rPr>
                <w:rFonts w:hint="eastAsia" w:ascii="宋体" w:hAnsi="宋体" w:eastAsia="宋体" w:cs="宋体"/>
                <w:color w:val="auto"/>
                <w:sz w:val="21"/>
                <w:szCs w:val="21"/>
                <w:highlight w:val="none"/>
                <w:u w:val="single"/>
              </w:rPr>
              <w:t xml:space="preserve">                                     。</w:t>
            </w:r>
          </w:p>
        </w:tc>
      </w:tr>
      <w:tr w14:paraId="6D178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28C5D49E">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12.1.1</w:t>
            </w:r>
          </w:p>
        </w:tc>
        <w:tc>
          <w:tcPr>
            <w:tcW w:w="2548" w:type="dxa"/>
            <w:noWrap w:val="0"/>
            <w:vAlign w:val="center"/>
          </w:tcPr>
          <w:p w14:paraId="07E522B9">
            <w:pPr>
              <w:keepNext w:val="0"/>
              <w:keepLines w:val="0"/>
              <w:pageBreakBefore w:val="0"/>
              <w:widowControl w:val="0"/>
              <w:kinsoku/>
              <w:wordWrap/>
              <w:overflowPunct/>
              <w:topLinePunct w:val="0"/>
              <w:bidi w:val="0"/>
              <w:adjustRightInd/>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资格文件组成</w:t>
            </w:r>
          </w:p>
        </w:tc>
        <w:tc>
          <w:tcPr>
            <w:tcW w:w="6853" w:type="dxa"/>
            <w:noWrap w:val="0"/>
            <w:vAlign w:val="center"/>
          </w:tcPr>
          <w:p w14:paraId="1B088E92">
            <w:pPr>
              <w:pStyle w:val="10"/>
              <w:keepNext w:val="0"/>
              <w:keepLines w:val="0"/>
              <w:pageBreakBefore w:val="0"/>
              <w:widowControl w:val="0"/>
              <w:numPr>
                <w:ilvl w:val="0"/>
                <w:numId w:val="0"/>
              </w:numPr>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lang w:val="en-US" w:eastAsia="zh-CN"/>
              </w:rPr>
              <w:t>供应商为法人或者其他组织的，提供营业执照等证明文件复印件（如营业执照或者事业单位法人证书或者执业许可证等），供应商为自然人的，提供有效身份证正反面复印件；银行、保险、石油石化、电力、电信等有行业特殊情况的，法人的分支机构经法人授权后可以分支机构的身份参加政府采购。如供应商为分支机构的，必须在响应文件中同时提供经法人授权供应商以分支机构名义参加竞标的授权委托书、法人营业执照及分支机构营业执照的复印件</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794ED341">
            <w:pPr>
              <w:keepNext w:val="0"/>
              <w:keepLines w:val="0"/>
              <w:pageBreakBefore w:val="0"/>
              <w:widowControl w:val="0"/>
              <w:kinsoku/>
              <w:wordWrap/>
              <w:overflowPunct/>
              <w:topLinePunct w:val="0"/>
              <w:bidi w:val="0"/>
              <w:adjustRightInd/>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2.供应商依法缴纳税收的相关材料（</w:t>
            </w:r>
            <w:r>
              <w:rPr>
                <w:rFonts w:hint="eastAsia" w:ascii="宋体" w:hAnsi="宋体" w:eastAsia="宋体" w:cs="宋体"/>
                <w:color w:val="auto"/>
                <w:sz w:val="21"/>
                <w:szCs w:val="21"/>
                <w:highlight w:val="none"/>
                <w:u w:val="none"/>
                <w:lang w:val="en-US" w:eastAsia="zh-CN"/>
              </w:rPr>
              <w:t>提供税款所属时期为</w:t>
            </w:r>
            <w:r>
              <w:rPr>
                <w:rFonts w:hint="eastAsia" w:ascii="宋体" w:hAnsi="宋体" w:eastAsia="宋体" w:cs="宋体"/>
                <w:color w:val="auto"/>
                <w:sz w:val="21"/>
                <w:szCs w:val="21"/>
                <w:highlight w:val="none"/>
                <w:u w:val="single"/>
                <w:lang w:val="en-US" w:eastAsia="zh-CN"/>
              </w:rPr>
              <w:t>2025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10</w:t>
            </w:r>
            <w:r>
              <w:rPr>
                <w:rFonts w:hint="eastAsia" w:ascii="宋体" w:hAnsi="宋体" w:eastAsia="宋体" w:cs="宋体"/>
                <w:color w:val="auto"/>
                <w:sz w:val="21"/>
                <w:szCs w:val="21"/>
                <w:highlight w:val="none"/>
              </w:rPr>
              <w:t>月至</w:t>
            </w:r>
            <w:r>
              <w:rPr>
                <w:rFonts w:hint="eastAsia" w:ascii="宋体" w:hAnsi="宋体" w:eastAsia="宋体" w:cs="宋体"/>
                <w:color w:val="auto"/>
                <w:sz w:val="21"/>
                <w:szCs w:val="21"/>
                <w:highlight w:val="none"/>
                <w:lang w:val="en-US" w:eastAsia="zh-CN"/>
              </w:rPr>
              <w:t>首次响应</w:t>
            </w:r>
            <w:r>
              <w:rPr>
                <w:rFonts w:hint="eastAsia" w:ascii="宋体" w:hAnsi="宋体" w:eastAsia="宋体" w:cs="宋体"/>
                <w:color w:val="auto"/>
                <w:sz w:val="21"/>
                <w:szCs w:val="21"/>
                <w:highlight w:val="none"/>
              </w:rPr>
              <w:t>文件提交截止时间止</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lang w:eastAsia="zh-CN"/>
              </w:rPr>
              <w:t>任意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月的依法缴纳税收的凭据复印件；依法免税的供应商，必须提供相应文件证明其依法免税。从取得营业执照时间起到首次响应文件提交截止时间为止不足要求月数的，只需提供从取得营业执照起的依法缴纳税收相应证明文件）；（</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02B4DF6A">
            <w:pPr>
              <w:keepNext w:val="0"/>
              <w:keepLines w:val="0"/>
              <w:pageBreakBefore w:val="0"/>
              <w:widowControl w:val="0"/>
              <w:kinsoku/>
              <w:wordWrap/>
              <w:overflowPunct/>
              <w:topLinePunct w:val="0"/>
              <w:bidi w:val="0"/>
              <w:adjustRightInd/>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3.供应商依法缴纳社会保障资金的相关材料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none"/>
                <w:lang w:val="en-US" w:eastAsia="zh-CN"/>
              </w:rPr>
              <w:t>提供税款所属时期或缴费起始时间为</w:t>
            </w:r>
            <w:r>
              <w:rPr>
                <w:rFonts w:hint="eastAsia" w:ascii="宋体" w:hAnsi="宋体" w:eastAsia="宋体" w:cs="宋体"/>
                <w:color w:val="auto"/>
                <w:sz w:val="21"/>
                <w:szCs w:val="21"/>
                <w:highlight w:val="none"/>
                <w:u w:val="single"/>
                <w:lang w:val="en-US" w:eastAsia="zh-CN"/>
              </w:rPr>
              <w:t>2025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10</w:t>
            </w:r>
            <w:r>
              <w:rPr>
                <w:rFonts w:hint="eastAsia" w:ascii="宋体" w:hAnsi="宋体" w:eastAsia="宋体" w:cs="宋体"/>
                <w:color w:val="auto"/>
                <w:sz w:val="21"/>
                <w:szCs w:val="21"/>
                <w:highlight w:val="none"/>
              </w:rPr>
              <w:t>月至</w:t>
            </w:r>
            <w:r>
              <w:rPr>
                <w:rFonts w:hint="eastAsia" w:ascii="宋体" w:hAnsi="宋体" w:eastAsia="宋体" w:cs="宋体"/>
                <w:color w:val="auto"/>
                <w:sz w:val="21"/>
                <w:szCs w:val="21"/>
                <w:highlight w:val="none"/>
                <w:lang w:val="en-US" w:eastAsia="zh-CN"/>
              </w:rPr>
              <w:t>首次响应</w:t>
            </w:r>
            <w:r>
              <w:rPr>
                <w:rFonts w:hint="eastAsia" w:ascii="宋体" w:hAnsi="宋体" w:eastAsia="宋体" w:cs="宋体"/>
                <w:color w:val="auto"/>
                <w:sz w:val="21"/>
                <w:szCs w:val="21"/>
                <w:highlight w:val="none"/>
              </w:rPr>
              <w:t>文件提交截止时间止</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lang w:eastAsia="zh-CN"/>
              </w:rPr>
              <w:t>任意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月的依法缴纳社会保障资金的缴费凭证复印件；依法不需要缴纳社会保障资金的供应商，必须提供相应文件证明不需要缴纳社会保障资金。从取得营业执照时间起到首次响应文件提交截止时间为止不足要求月数的只需提供从取得营业执照起的依法缴纳社会保障资金的相应证明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2212E3CB">
            <w:pPr>
              <w:keepNext w:val="0"/>
              <w:keepLines w:val="0"/>
              <w:pageBreakBefore w:val="0"/>
              <w:widowControl w:val="0"/>
              <w:kinsoku/>
              <w:wordWrap/>
              <w:overflowPunct/>
              <w:topLinePunct w:val="0"/>
              <w:bidi w:val="0"/>
              <w:adjustRightInd/>
              <w:snapToGrid w:val="0"/>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4.供应商财务状况报告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u w:val="single"/>
                <w:lang w:val="en-US" w:eastAsia="zh-CN"/>
              </w:rPr>
              <w:t xml:space="preserve"> 2024 </w:t>
            </w:r>
            <w:r>
              <w:rPr>
                <w:rFonts w:hint="eastAsia" w:ascii="宋体" w:hAnsi="宋体" w:eastAsia="宋体" w:cs="宋体"/>
                <w:color w:val="auto"/>
                <w:sz w:val="21"/>
                <w:szCs w:val="21"/>
                <w:highlight w:val="none"/>
              </w:rPr>
              <w:t>年度经审计的财务报告</w:t>
            </w:r>
            <w:r>
              <w:rPr>
                <w:rFonts w:hint="eastAsia" w:ascii="宋体" w:hAnsi="宋体" w:eastAsia="宋体" w:cs="宋体"/>
                <w:color w:val="auto"/>
                <w:sz w:val="21"/>
                <w:szCs w:val="21"/>
                <w:highlight w:val="none"/>
                <w:lang w:eastAsia="zh-CN"/>
              </w:rPr>
              <w:t>复印件</w:t>
            </w:r>
            <w:r>
              <w:rPr>
                <w:rFonts w:hint="eastAsia" w:ascii="宋体" w:hAnsi="宋体" w:eastAsia="宋体" w:cs="宋体"/>
                <w:color w:val="auto"/>
                <w:sz w:val="21"/>
                <w:szCs w:val="21"/>
                <w:highlight w:val="none"/>
              </w:rPr>
              <w:t>或</w:t>
            </w:r>
            <w:r>
              <w:rPr>
                <w:rFonts w:hint="eastAsia" w:ascii="宋体" w:hAnsi="宋体" w:eastAsia="宋体" w:cs="宋体"/>
                <w:color w:val="auto"/>
                <w:sz w:val="21"/>
                <w:szCs w:val="21"/>
                <w:highlight w:val="none"/>
                <w:lang w:eastAsia="zh-CN"/>
              </w:rPr>
              <w:t>者</w:t>
            </w:r>
            <w:r>
              <w:rPr>
                <w:rFonts w:hint="eastAsia" w:ascii="宋体" w:hAnsi="宋体" w:eastAsia="宋体" w:cs="宋体"/>
                <w:color w:val="auto"/>
                <w:sz w:val="21"/>
                <w:szCs w:val="21"/>
                <w:highlight w:val="none"/>
              </w:rPr>
              <w:t>截标时间前半年内至少一个月能反映财务状况的报表或</w:t>
            </w:r>
            <w:r>
              <w:rPr>
                <w:rFonts w:hint="eastAsia" w:ascii="宋体" w:hAnsi="宋体" w:eastAsia="宋体" w:cs="宋体"/>
                <w:color w:val="auto"/>
                <w:sz w:val="21"/>
                <w:szCs w:val="21"/>
                <w:highlight w:val="none"/>
                <w:lang w:eastAsia="zh-CN"/>
              </w:rPr>
              <w:t>者供应商</w:t>
            </w:r>
            <w:r>
              <w:rPr>
                <w:rFonts w:hint="eastAsia" w:ascii="宋体" w:hAnsi="宋体" w:eastAsia="宋体" w:cs="宋体"/>
                <w:color w:val="auto"/>
                <w:sz w:val="21"/>
                <w:szCs w:val="21"/>
                <w:highlight w:val="none"/>
              </w:rPr>
              <w:t>自拟的截标时间前半年内至少一个月的财务情况说明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bCs/>
                <w:color w:val="auto"/>
                <w:sz w:val="21"/>
                <w:szCs w:val="21"/>
                <w:highlight w:val="none"/>
              </w:rPr>
              <w:t>）</w:t>
            </w:r>
          </w:p>
          <w:p w14:paraId="6214D45B">
            <w:pPr>
              <w:keepNext w:val="0"/>
              <w:keepLines w:val="0"/>
              <w:pageBreakBefore w:val="0"/>
              <w:widowControl w:val="0"/>
              <w:kinsoku/>
              <w:wordWrap/>
              <w:overflowPunct/>
              <w:topLinePunct w:val="0"/>
              <w:bidi w:val="0"/>
              <w:adjustRightInd/>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5.本项目的特定资格要求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 xml:space="preserve">  无  </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lang w:eastAsia="zh-CN"/>
              </w:rPr>
              <w:t>如有要求，则</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1D8EB1CD">
            <w:pPr>
              <w:keepNext w:val="0"/>
              <w:keepLines w:val="0"/>
              <w:pageBreakBefore w:val="0"/>
              <w:widowControl w:val="0"/>
              <w:numPr>
                <w:ilvl w:val="0"/>
                <w:numId w:val="0"/>
              </w:numPr>
              <w:kinsoku/>
              <w:wordWrap/>
              <w:overflowPunct/>
              <w:topLinePunct w:val="0"/>
              <w:bidi w:val="0"/>
              <w:adjustRightInd/>
              <w:snapToGrid w:val="0"/>
              <w:spacing w:line="36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直接控股股东信息表（格式后附）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w:t>
            </w:r>
            <w:r>
              <w:rPr>
                <w:rFonts w:hint="eastAsia" w:ascii="宋体" w:hAnsi="宋体" w:eastAsia="宋体" w:cs="宋体"/>
                <w:b/>
                <w:color w:val="auto"/>
                <w:sz w:val="21"/>
                <w:szCs w:val="21"/>
                <w:highlight w:val="none"/>
              </w:rPr>
              <w:t>否则响应文件按无效响应处理</w:t>
            </w:r>
            <w:r>
              <w:rPr>
                <w:rFonts w:hint="eastAsia" w:ascii="宋体" w:hAnsi="宋体" w:eastAsia="宋体" w:cs="宋体"/>
                <w:color w:val="auto"/>
                <w:sz w:val="21"/>
                <w:szCs w:val="21"/>
                <w:highlight w:val="none"/>
              </w:rPr>
              <w:t>）</w:t>
            </w:r>
          </w:p>
          <w:p w14:paraId="3791339E">
            <w:pPr>
              <w:keepNext w:val="0"/>
              <w:keepLines w:val="0"/>
              <w:pageBreakBefore w:val="0"/>
              <w:widowControl w:val="0"/>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直接管理关系信息表（格式后附）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w:t>
            </w:r>
            <w:r>
              <w:rPr>
                <w:rFonts w:hint="eastAsia" w:ascii="宋体" w:hAnsi="宋体" w:eastAsia="宋体" w:cs="宋体"/>
                <w:b/>
                <w:color w:val="auto"/>
                <w:sz w:val="21"/>
                <w:szCs w:val="21"/>
                <w:highlight w:val="none"/>
              </w:rPr>
              <w:t>否则响应文件按无效响应处理</w:t>
            </w:r>
            <w:r>
              <w:rPr>
                <w:rFonts w:hint="eastAsia" w:ascii="宋体" w:hAnsi="宋体" w:eastAsia="宋体" w:cs="宋体"/>
                <w:color w:val="auto"/>
                <w:sz w:val="21"/>
                <w:szCs w:val="21"/>
                <w:highlight w:val="none"/>
              </w:rPr>
              <w:t>）</w:t>
            </w:r>
          </w:p>
          <w:p w14:paraId="54868BCD">
            <w:pPr>
              <w:keepNext w:val="0"/>
              <w:keepLines w:val="0"/>
              <w:pageBreakBefore w:val="0"/>
              <w:widowControl w:val="0"/>
              <w:kinsoku/>
              <w:wordWrap/>
              <w:overflowPunct/>
              <w:topLinePunct w:val="0"/>
              <w:bidi w:val="0"/>
              <w:adjustRightInd/>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本项目为专门面向中小企业采购的项目。</w:t>
            </w:r>
            <w:r>
              <w:rPr>
                <w:rFonts w:hint="eastAsia" w:ascii="宋体" w:hAnsi="宋体" w:eastAsia="宋体" w:cs="宋体"/>
                <w:color w:val="auto"/>
                <w:sz w:val="21"/>
                <w:szCs w:val="21"/>
                <w:highlight w:val="none"/>
                <w:lang w:val="en-US" w:eastAsia="zh-CN"/>
              </w:rPr>
              <w:t>供应商必须</w:t>
            </w:r>
            <w:r>
              <w:rPr>
                <w:rFonts w:hint="eastAsia" w:ascii="宋体" w:hAnsi="宋体" w:eastAsia="宋体" w:cs="宋体"/>
                <w:color w:val="auto"/>
                <w:sz w:val="21"/>
                <w:szCs w:val="21"/>
                <w:highlight w:val="none"/>
                <w:lang w:eastAsia="zh-CN"/>
              </w:rPr>
              <w:t>提供中小企业声明函或者残疾人福利性单位声明函（格式后附）或者供应商属于监狱企业的需提供由省级以上监狱管理局、戒毒管理局（含新疆生产建设兵团）出具的属于监狱企业的证明文件；</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2328A43D">
            <w:pPr>
              <w:keepNext w:val="0"/>
              <w:keepLines w:val="0"/>
              <w:pageBreakBefore w:val="0"/>
              <w:widowControl w:val="0"/>
              <w:kinsoku/>
              <w:wordWrap/>
              <w:overflowPunct/>
              <w:topLinePunct w:val="0"/>
              <w:bidi w:val="0"/>
              <w:adjustRightInd/>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声明</w:t>
            </w:r>
            <w:r>
              <w:rPr>
                <w:rFonts w:hint="eastAsia" w:ascii="宋体" w:hAnsi="宋体" w:eastAsia="宋体" w:cs="宋体"/>
                <w:color w:val="auto"/>
                <w:sz w:val="21"/>
                <w:szCs w:val="21"/>
                <w:highlight w:val="none"/>
                <w:lang w:eastAsia="zh-CN"/>
              </w:rPr>
              <w:t>函</w:t>
            </w:r>
            <w:r>
              <w:rPr>
                <w:rFonts w:hint="eastAsia" w:ascii="宋体" w:hAnsi="宋体" w:eastAsia="宋体" w:cs="宋体"/>
                <w:color w:val="auto"/>
                <w:sz w:val="21"/>
                <w:szCs w:val="21"/>
                <w:highlight w:val="none"/>
              </w:rPr>
              <w:t>（格式后附）；（</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1422ABDD">
            <w:pPr>
              <w:keepNext w:val="0"/>
              <w:keepLines w:val="0"/>
              <w:pageBreakBefore w:val="0"/>
              <w:widowControl w:val="0"/>
              <w:kinsoku/>
              <w:wordWrap/>
              <w:overflowPunct/>
              <w:topLinePunct w:val="0"/>
              <w:bidi w:val="0"/>
              <w:adjustRightInd/>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.联合体</w:t>
            </w:r>
            <w:r>
              <w:rPr>
                <w:rFonts w:hint="eastAsia" w:ascii="宋体" w:hAnsi="宋体" w:eastAsia="宋体" w:cs="宋体"/>
                <w:color w:val="auto"/>
                <w:sz w:val="21"/>
                <w:szCs w:val="21"/>
                <w:highlight w:val="none"/>
                <w:lang w:eastAsia="zh-CN"/>
              </w:rPr>
              <w:t>竞标</w:t>
            </w:r>
            <w:r>
              <w:rPr>
                <w:rFonts w:hint="eastAsia" w:ascii="宋体" w:hAnsi="宋体" w:eastAsia="宋体" w:cs="宋体"/>
                <w:color w:val="auto"/>
                <w:sz w:val="21"/>
                <w:szCs w:val="21"/>
                <w:highlight w:val="none"/>
              </w:rPr>
              <w:t>协议书（格式后附）；（</w:t>
            </w:r>
            <w:r>
              <w:rPr>
                <w:rFonts w:hint="eastAsia" w:ascii="宋体" w:hAnsi="宋体" w:eastAsia="宋体" w:cs="宋体"/>
                <w:b/>
                <w:color w:val="auto"/>
                <w:sz w:val="21"/>
                <w:szCs w:val="21"/>
                <w:highlight w:val="none"/>
              </w:rPr>
              <w:t>联合体竞标时必须提供，否则响应文件按无效响应处理</w:t>
            </w:r>
            <w:r>
              <w:rPr>
                <w:rFonts w:hint="eastAsia" w:ascii="宋体" w:hAnsi="宋体" w:eastAsia="宋体" w:cs="宋体"/>
                <w:color w:val="auto"/>
                <w:sz w:val="21"/>
                <w:szCs w:val="21"/>
                <w:highlight w:val="none"/>
              </w:rPr>
              <w:t>）</w:t>
            </w:r>
          </w:p>
          <w:p w14:paraId="722424EA">
            <w:pPr>
              <w:keepNext w:val="0"/>
              <w:keepLines w:val="0"/>
              <w:pageBreakBefore w:val="0"/>
              <w:widowControl w:val="0"/>
              <w:kinsoku/>
              <w:wordWrap/>
              <w:overflowPunct/>
              <w:topLinePunct w:val="0"/>
              <w:bidi w:val="0"/>
              <w:adjustRightInd/>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.除</w:t>
            </w:r>
            <w:r>
              <w:rPr>
                <w:rFonts w:hint="eastAsia" w:ascii="宋体" w:hAnsi="宋体" w:eastAsia="宋体" w:cs="宋体"/>
                <w:color w:val="auto"/>
                <w:sz w:val="21"/>
                <w:szCs w:val="21"/>
                <w:highlight w:val="none"/>
                <w:lang w:eastAsia="zh-CN"/>
              </w:rPr>
              <w:t>竞争性</w:t>
            </w:r>
            <w:r>
              <w:rPr>
                <w:rFonts w:hint="eastAsia" w:ascii="宋体" w:hAnsi="宋体" w:eastAsia="宋体" w:cs="宋体"/>
                <w:color w:val="auto"/>
                <w:sz w:val="21"/>
                <w:szCs w:val="21"/>
                <w:highlight w:val="none"/>
              </w:rPr>
              <w:t>磋商文件规定必须提供以外，供应商认为需要提供的</w:t>
            </w:r>
            <w:r>
              <w:rPr>
                <w:rFonts w:hint="eastAsia" w:ascii="宋体" w:hAnsi="宋体" w:eastAsia="宋体" w:cs="宋体"/>
                <w:color w:val="auto"/>
                <w:sz w:val="21"/>
                <w:szCs w:val="21"/>
                <w:highlight w:val="none"/>
                <w:lang w:eastAsia="zh-CN"/>
              </w:rPr>
              <w:t>其他</w:t>
            </w:r>
            <w:r>
              <w:rPr>
                <w:rFonts w:hint="eastAsia" w:ascii="宋体" w:hAnsi="宋体" w:eastAsia="宋体" w:cs="宋体"/>
                <w:color w:val="auto"/>
                <w:sz w:val="21"/>
                <w:szCs w:val="21"/>
                <w:highlight w:val="none"/>
              </w:rPr>
              <w:t>证明材料（格式自拟）</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如有，请提供</w:t>
            </w:r>
            <w:r>
              <w:rPr>
                <w:rFonts w:hint="eastAsia" w:ascii="宋体" w:hAnsi="宋体" w:eastAsia="宋体" w:cs="宋体"/>
                <w:color w:val="auto"/>
                <w:sz w:val="21"/>
                <w:szCs w:val="21"/>
                <w:highlight w:val="none"/>
                <w:lang w:eastAsia="zh-CN"/>
              </w:rPr>
              <w:t>）</w:t>
            </w:r>
          </w:p>
          <w:p w14:paraId="45CD0959">
            <w:pPr>
              <w:pStyle w:val="10"/>
              <w:keepNext w:val="0"/>
              <w:keepLines w:val="0"/>
              <w:pageBreakBefore w:val="0"/>
              <w:widowControl w:val="0"/>
              <w:kinsoku/>
              <w:wordWrap/>
              <w:overflowPunct/>
              <w:topLinePunct w:val="0"/>
              <w:bidi w:val="0"/>
              <w:adjustRightInd/>
              <w:spacing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w:t>
            </w:r>
          </w:p>
          <w:p w14:paraId="7416A6DE">
            <w:pPr>
              <w:pStyle w:val="10"/>
              <w:keepNext w:val="0"/>
              <w:keepLines w:val="0"/>
              <w:pageBreakBefore w:val="0"/>
              <w:widowControl w:val="0"/>
              <w:kinsoku/>
              <w:wordWrap/>
              <w:overflowPunct/>
              <w:topLinePunct w:val="0"/>
              <w:bidi w:val="0"/>
              <w:adjustRightInd/>
              <w:spacing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　　</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以上标明“必须提供”的材料属于复印件的扫描件的，必须加盖供应商公章，否则响应文件按无效响应处理。</w:t>
            </w:r>
          </w:p>
          <w:p w14:paraId="4DECBA5A">
            <w:pPr>
              <w:pStyle w:val="10"/>
              <w:keepNext w:val="0"/>
              <w:keepLines w:val="0"/>
              <w:pageBreakBefore w:val="0"/>
              <w:widowControl w:val="0"/>
              <w:kinsoku/>
              <w:wordWrap/>
              <w:overflowPunct/>
              <w:topLinePunct w:val="0"/>
              <w:bidi w:val="0"/>
              <w:adjustRightInd/>
              <w:spacing w:line="360" w:lineRule="auto"/>
              <w:ind w:firstLine="422" w:firstLineChars="20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2.联合体竞标时，第1-7项资格文件联合体各方均必须分别提供，联合体各方分别盖章，否则响应文件按无效响应处理。</w:t>
            </w:r>
          </w:p>
        </w:tc>
      </w:tr>
      <w:tr w14:paraId="17EEE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restart"/>
            <w:noWrap w:val="0"/>
            <w:vAlign w:val="center"/>
          </w:tcPr>
          <w:p w14:paraId="3413B002">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12.1.2</w:t>
            </w:r>
          </w:p>
        </w:tc>
        <w:tc>
          <w:tcPr>
            <w:tcW w:w="2548" w:type="dxa"/>
            <w:noWrap w:val="0"/>
            <w:vAlign w:val="center"/>
          </w:tcPr>
          <w:p w14:paraId="3AFC41D0">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商务文件组成</w:t>
            </w:r>
          </w:p>
        </w:tc>
        <w:tc>
          <w:tcPr>
            <w:tcW w:w="6853" w:type="dxa"/>
            <w:noWrap w:val="0"/>
            <w:vAlign w:val="center"/>
          </w:tcPr>
          <w:p w14:paraId="2FFA740D">
            <w:pPr>
              <w:keepNext w:val="0"/>
              <w:keepLines w:val="0"/>
              <w:pageBreakBefore w:val="0"/>
              <w:widowControl w:val="0"/>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1.无串通竞标行为的承诺函（格式后附）</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202754BE">
            <w:pPr>
              <w:keepNext w:val="0"/>
              <w:keepLines w:val="0"/>
              <w:pageBreakBefore w:val="0"/>
              <w:widowControl w:val="0"/>
              <w:kinsoku/>
              <w:wordWrap/>
              <w:overflowPunct/>
              <w:topLinePunct w:val="0"/>
              <w:bidi w:val="0"/>
              <w:adjustRightInd/>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法定代表人身份证明及法定代表人有效身份证正反面复印件（格式后附）</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除自然人竞标外</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126BCF1E">
            <w:pPr>
              <w:keepNext w:val="0"/>
              <w:keepLines w:val="0"/>
              <w:pageBreakBefore w:val="0"/>
              <w:widowControl w:val="0"/>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.法定代表人授权委托书及委托代理人有效身份证正反面复印件（格式后附）</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委托时必须提供，否则响应文件按无效响应处理</w:t>
            </w:r>
            <w:r>
              <w:rPr>
                <w:rFonts w:hint="eastAsia" w:ascii="宋体" w:hAnsi="宋体" w:eastAsia="宋体" w:cs="宋体"/>
                <w:color w:val="auto"/>
                <w:sz w:val="21"/>
                <w:szCs w:val="21"/>
                <w:highlight w:val="none"/>
              </w:rPr>
              <w:t>）</w:t>
            </w:r>
          </w:p>
          <w:p w14:paraId="7583A163">
            <w:pPr>
              <w:keepNext w:val="0"/>
              <w:keepLines w:val="0"/>
              <w:pageBreakBefore w:val="0"/>
              <w:widowControl w:val="0"/>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磋商保证金提交凭证；（</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079E78DB">
            <w:pPr>
              <w:keepNext w:val="0"/>
              <w:keepLines w:val="0"/>
              <w:pageBreakBefore w:val="0"/>
              <w:widowControl w:val="0"/>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.商务条款偏离表（格式后附）</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11F69D01">
            <w:pPr>
              <w:keepNext w:val="0"/>
              <w:keepLines w:val="0"/>
              <w:pageBreakBefore w:val="0"/>
              <w:widowControl w:val="0"/>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情况介绍（格式自拟）</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如有，请提供</w:t>
            </w:r>
            <w:r>
              <w:rPr>
                <w:rFonts w:hint="eastAsia" w:ascii="宋体" w:hAnsi="宋体" w:eastAsia="宋体" w:cs="宋体"/>
                <w:color w:val="auto"/>
                <w:sz w:val="21"/>
                <w:szCs w:val="21"/>
                <w:highlight w:val="none"/>
                <w:lang w:eastAsia="zh-CN"/>
              </w:rPr>
              <w:t>）</w:t>
            </w:r>
          </w:p>
          <w:p w14:paraId="46B051FF">
            <w:pPr>
              <w:keepNext w:val="0"/>
              <w:keepLines w:val="0"/>
              <w:pageBreakBefore w:val="0"/>
              <w:widowControl w:val="0"/>
              <w:kinsoku/>
              <w:wordWrap/>
              <w:overflowPunct/>
              <w:topLinePunct w:val="0"/>
              <w:bidi w:val="0"/>
              <w:adjustRightInd/>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.对应采购需求的商务条款提供的其他文件资料（格式自拟）</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如有，请提供</w:t>
            </w:r>
            <w:r>
              <w:rPr>
                <w:rFonts w:hint="eastAsia" w:ascii="宋体" w:hAnsi="宋体" w:eastAsia="宋体" w:cs="宋体"/>
                <w:color w:val="auto"/>
                <w:sz w:val="21"/>
                <w:szCs w:val="21"/>
                <w:highlight w:val="none"/>
                <w:lang w:eastAsia="zh-CN"/>
              </w:rPr>
              <w:t>）</w:t>
            </w:r>
          </w:p>
          <w:p w14:paraId="0000AC50">
            <w:pPr>
              <w:keepNext w:val="0"/>
              <w:keepLines w:val="0"/>
              <w:pageBreakBefore w:val="0"/>
              <w:widowControl w:val="0"/>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.供应商认为需要提供的其他有关资料（格式自拟）</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如有，请提供</w:t>
            </w:r>
            <w:r>
              <w:rPr>
                <w:rFonts w:hint="eastAsia" w:ascii="宋体" w:hAnsi="宋体" w:eastAsia="宋体" w:cs="宋体"/>
                <w:color w:val="auto"/>
                <w:sz w:val="21"/>
                <w:szCs w:val="21"/>
                <w:highlight w:val="none"/>
                <w:lang w:eastAsia="zh-CN"/>
              </w:rPr>
              <w:t>）</w:t>
            </w:r>
          </w:p>
          <w:p w14:paraId="4C9E43BC">
            <w:pPr>
              <w:keepNext w:val="0"/>
              <w:keepLines w:val="0"/>
              <w:pageBreakBefore w:val="0"/>
              <w:widowControl w:val="0"/>
              <w:kinsoku/>
              <w:wordWrap/>
              <w:overflowPunct/>
              <w:topLinePunct w:val="0"/>
              <w:bidi w:val="0"/>
              <w:adjustRightInd/>
              <w:snapToGrid w:val="0"/>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注： </w:t>
            </w:r>
          </w:p>
          <w:p w14:paraId="2E18ABD1">
            <w:pPr>
              <w:keepNext w:val="0"/>
              <w:keepLines w:val="0"/>
              <w:pageBreakBefore w:val="0"/>
              <w:widowControl w:val="0"/>
              <w:kinsoku/>
              <w:wordWrap/>
              <w:overflowPunct/>
              <w:topLinePunct w:val="0"/>
              <w:bidi w:val="0"/>
              <w:adjustRightInd/>
              <w:snapToGrid w:val="0"/>
              <w:spacing w:line="360" w:lineRule="auto"/>
              <w:ind w:firstLine="413" w:firstLineChars="196"/>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1.法定代表人授权委托书必须由法定代表人及</w:t>
            </w:r>
            <w:r>
              <w:rPr>
                <w:rFonts w:hint="eastAsia" w:ascii="宋体" w:hAnsi="宋体" w:eastAsia="宋体" w:cs="宋体"/>
                <w:b/>
                <w:color w:val="auto"/>
                <w:sz w:val="21"/>
                <w:szCs w:val="21"/>
                <w:highlight w:val="none"/>
                <w:lang w:eastAsia="zh-CN"/>
              </w:rPr>
              <w:t>其</w:t>
            </w:r>
            <w:r>
              <w:rPr>
                <w:rFonts w:hint="eastAsia" w:ascii="宋体" w:hAnsi="宋体" w:eastAsia="宋体" w:cs="宋体"/>
                <w:b/>
                <w:color w:val="auto"/>
                <w:sz w:val="21"/>
                <w:szCs w:val="21"/>
                <w:highlight w:val="none"/>
              </w:rPr>
              <w:t>委托代理人签字，并加盖供应商公章，否则响应文件按无效响应处理。</w:t>
            </w:r>
          </w:p>
          <w:p w14:paraId="5655C4E5">
            <w:pPr>
              <w:keepNext w:val="0"/>
              <w:keepLines w:val="0"/>
              <w:pageBreakBefore w:val="0"/>
              <w:widowControl w:val="0"/>
              <w:kinsoku/>
              <w:wordWrap/>
              <w:overflowPunct/>
              <w:topLinePunct w:val="0"/>
              <w:bidi w:val="0"/>
              <w:adjustRightInd/>
              <w:spacing w:line="360" w:lineRule="auto"/>
              <w:ind w:firstLine="413" w:firstLineChars="196"/>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2.以上标明“必须提供”的材料属于复印件的扫描件的，必须加盖供应商公章，否则响应文件按无效响应处理。</w:t>
            </w:r>
          </w:p>
        </w:tc>
      </w:tr>
      <w:tr w14:paraId="38A1B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8" w:hRule="atLeast"/>
          <w:jc w:val="center"/>
        </w:trPr>
        <w:tc>
          <w:tcPr>
            <w:tcW w:w="963" w:type="dxa"/>
            <w:vMerge w:val="continue"/>
            <w:noWrap w:val="0"/>
            <w:vAlign w:val="center"/>
          </w:tcPr>
          <w:p w14:paraId="57BE166F">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color w:val="auto"/>
                <w:sz w:val="21"/>
                <w:szCs w:val="21"/>
                <w:highlight w:val="none"/>
              </w:rPr>
            </w:pPr>
          </w:p>
        </w:tc>
        <w:tc>
          <w:tcPr>
            <w:tcW w:w="2548" w:type="dxa"/>
            <w:noWrap w:val="0"/>
            <w:vAlign w:val="center"/>
          </w:tcPr>
          <w:p w14:paraId="3B57A607">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技术文件组成</w:t>
            </w:r>
          </w:p>
        </w:tc>
        <w:tc>
          <w:tcPr>
            <w:tcW w:w="6853" w:type="dxa"/>
            <w:noWrap w:val="0"/>
            <w:vAlign w:val="center"/>
          </w:tcPr>
          <w:p w14:paraId="1D51F324">
            <w:pPr>
              <w:keepNext w:val="0"/>
              <w:keepLines w:val="0"/>
              <w:pageBreakBefore w:val="0"/>
              <w:widowControl w:val="0"/>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服务要求</w:t>
            </w:r>
            <w:r>
              <w:rPr>
                <w:rFonts w:hint="eastAsia" w:ascii="宋体" w:hAnsi="宋体" w:eastAsia="宋体" w:cs="宋体"/>
                <w:color w:val="auto"/>
                <w:sz w:val="21"/>
                <w:szCs w:val="21"/>
                <w:highlight w:val="none"/>
              </w:rPr>
              <w:t>偏离表（格式后附）</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3E17E8E5">
            <w:pPr>
              <w:keepNext w:val="0"/>
              <w:keepLines w:val="0"/>
              <w:pageBreakBefore w:val="0"/>
              <w:widowControl w:val="0"/>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2.服务方案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w:t>
            </w:r>
            <w:r>
              <w:rPr>
                <w:rFonts w:hint="eastAsia" w:ascii="宋体" w:hAnsi="宋体" w:eastAsia="宋体" w:cs="宋体"/>
                <w:b/>
                <w:color w:val="auto"/>
                <w:sz w:val="21"/>
                <w:szCs w:val="21"/>
                <w:highlight w:val="none"/>
              </w:rPr>
              <w:t>否则响应文件按无效响应处理</w:t>
            </w:r>
            <w:r>
              <w:rPr>
                <w:rFonts w:hint="eastAsia" w:ascii="宋体" w:hAnsi="宋体" w:eastAsia="宋体" w:cs="宋体"/>
                <w:color w:val="auto"/>
                <w:sz w:val="21"/>
                <w:szCs w:val="21"/>
                <w:highlight w:val="none"/>
              </w:rPr>
              <w:t>）</w:t>
            </w:r>
          </w:p>
          <w:p w14:paraId="305A25BF">
            <w:pPr>
              <w:keepNext w:val="0"/>
              <w:keepLines w:val="0"/>
              <w:pageBreakBefore w:val="0"/>
              <w:widowControl w:val="0"/>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.项目实施人员一览表；（</w:t>
            </w:r>
            <w:r>
              <w:rPr>
                <w:rFonts w:hint="eastAsia" w:ascii="宋体" w:hAnsi="宋体" w:eastAsia="宋体" w:cs="宋体"/>
                <w:b/>
                <w:color w:val="auto"/>
                <w:sz w:val="21"/>
                <w:szCs w:val="21"/>
                <w:highlight w:val="none"/>
              </w:rPr>
              <w:t>必须提供，</w:t>
            </w:r>
            <w:r>
              <w:rPr>
                <w:rFonts w:hint="eastAsia" w:ascii="宋体" w:hAnsi="宋体" w:eastAsia="宋体" w:cs="宋体"/>
                <w:b/>
                <w:color w:val="auto"/>
                <w:sz w:val="21"/>
                <w:szCs w:val="21"/>
                <w:highlight w:val="none"/>
              </w:rPr>
              <w:t>否则响应文件按无效响应处理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 xml:space="preserve"> </w:t>
            </w:r>
          </w:p>
          <w:p w14:paraId="12F25C33">
            <w:pPr>
              <w:keepNext w:val="0"/>
              <w:keepLines w:val="0"/>
              <w:pageBreakBefore w:val="0"/>
              <w:widowControl w:val="0"/>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.除</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文件规定必须提供以外，</w:t>
            </w:r>
            <w:r>
              <w:rPr>
                <w:rFonts w:hint="eastAsia" w:ascii="宋体" w:hAnsi="宋体" w:eastAsia="宋体" w:cs="宋体"/>
                <w:color w:val="auto"/>
                <w:sz w:val="21"/>
                <w:szCs w:val="21"/>
                <w:highlight w:val="none"/>
              </w:rPr>
              <w:t>供应商认为需要提供的其他有关资料（格式自拟）</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如有，请提供</w:t>
            </w:r>
            <w:r>
              <w:rPr>
                <w:rFonts w:hint="eastAsia" w:ascii="宋体" w:hAnsi="宋体" w:eastAsia="宋体" w:cs="宋体"/>
                <w:color w:val="auto"/>
                <w:sz w:val="21"/>
                <w:szCs w:val="21"/>
                <w:highlight w:val="none"/>
                <w:lang w:eastAsia="zh-CN"/>
              </w:rPr>
              <w:t>）</w:t>
            </w:r>
          </w:p>
          <w:p w14:paraId="6C621E48">
            <w:pPr>
              <w:keepNext w:val="0"/>
              <w:keepLines w:val="0"/>
              <w:pageBreakBefore w:val="0"/>
              <w:widowControl w:val="0"/>
              <w:kinsoku/>
              <w:wordWrap/>
              <w:overflowPunct/>
              <w:topLinePunct w:val="0"/>
              <w:bidi w:val="0"/>
              <w:adjustRightInd/>
              <w:spacing w:line="360" w:lineRule="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注：以上标明“必须提供”的材料属于复印件的扫描件的，必须加盖供应商公章，否则响应文件按无效响应处理。</w:t>
            </w:r>
          </w:p>
        </w:tc>
      </w:tr>
      <w:tr w14:paraId="3C265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25AF3FA5">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12.1.</w:t>
            </w:r>
            <w:r>
              <w:rPr>
                <w:rFonts w:hint="eastAsia" w:ascii="宋体" w:hAnsi="宋体" w:eastAsia="宋体" w:cs="宋体"/>
                <w:color w:val="auto"/>
                <w:sz w:val="21"/>
                <w:szCs w:val="21"/>
                <w:highlight w:val="none"/>
                <w:lang w:val="en-US" w:eastAsia="zh-CN"/>
              </w:rPr>
              <w:t>3</w:t>
            </w:r>
          </w:p>
        </w:tc>
        <w:tc>
          <w:tcPr>
            <w:tcW w:w="2548" w:type="dxa"/>
            <w:noWrap w:val="0"/>
            <w:vAlign w:val="center"/>
          </w:tcPr>
          <w:p w14:paraId="58EC7FF3">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报价文件组成</w:t>
            </w:r>
          </w:p>
        </w:tc>
        <w:tc>
          <w:tcPr>
            <w:tcW w:w="6853" w:type="dxa"/>
            <w:noWrap w:val="0"/>
            <w:vAlign w:val="center"/>
          </w:tcPr>
          <w:p w14:paraId="687BA833">
            <w:pPr>
              <w:keepNext w:val="0"/>
              <w:keepLines w:val="0"/>
              <w:pageBreakBefore w:val="0"/>
              <w:widowControl w:val="0"/>
              <w:kinsoku/>
              <w:wordWrap/>
              <w:overflowPunct/>
              <w:topLinePunct w:val="0"/>
              <w:bidi w:val="0"/>
              <w:adjustRightInd/>
              <w:snapToGrid/>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1.响应函（格式后附）</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w:t>
            </w:r>
            <w:r>
              <w:rPr>
                <w:rFonts w:hint="eastAsia" w:ascii="宋体" w:hAnsi="宋体" w:eastAsia="宋体" w:cs="宋体"/>
                <w:b/>
                <w:color w:val="auto"/>
                <w:sz w:val="21"/>
                <w:szCs w:val="21"/>
                <w:highlight w:val="none"/>
                <w:lang w:eastAsia="zh-CN"/>
              </w:rPr>
              <w:t>响应文件按</w:t>
            </w:r>
            <w:r>
              <w:rPr>
                <w:rFonts w:hint="eastAsia" w:ascii="宋体" w:hAnsi="宋体" w:eastAsia="宋体" w:cs="宋体"/>
                <w:b/>
                <w:color w:val="auto"/>
                <w:sz w:val="21"/>
                <w:szCs w:val="21"/>
                <w:highlight w:val="none"/>
              </w:rPr>
              <w:t>无效响应处理）</w:t>
            </w:r>
          </w:p>
          <w:p w14:paraId="54A8115C">
            <w:pPr>
              <w:keepNext w:val="0"/>
              <w:keepLines w:val="0"/>
              <w:pageBreakBefore w:val="0"/>
              <w:widowControl w:val="0"/>
              <w:kinsoku/>
              <w:wordWrap/>
              <w:overflowPunct/>
              <w:topLinePunct w:val="0"/>
              <w:bidi w:val="0"/>
              <w:adjustRightInd/>
              <w:snapToGrid/>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rPr>
              <w:t>响应</w:t>
            </w:r>
            <w:r>
              <w:rPr>
                <w:rFonts w:hint="eastAsia" w:ascii="宋体" w:hAnsi="宋体" w:eastAsia="宋体" w:cs="宋体"/>
                <w:color w:val="auto"/>
                <w:sz w:val="21"/>
                <w:szCs w:val="21"/>
                <w:highlight w:val="none"/>
              </w:rPr>
              <w:t>报价表（格式后附）</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5D946757">
            <w:pPr>
              <w:keepNext w:val="0"/>
              <w:keepLines w:val="0"/>
              <w:pageBreakBefore w:val="0"/>
              <w:widowControl w:val="0"/>
              <w:kinsoku/>
              <w:wordWrap/>
              <w:overflowPunct/>
              <w:topLinePunct w:val="0"/>
              <w:bidi w:val="0"/>
              <w:adjustRightInd/>
              <w:snapToGrid/>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针对报价需要说明的其他文件和说明（格式自拟）</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lang w:eastAsia="zh-CN"/>
              </w:rPr>
              <w:t>如有，请提供</w:t>
            </w:r>
            <w:r>
              <w:rPr>
                <w:rFonts w:hint="eastAsia" w:ascii="宋体" w:hAnsi="宋体" w:eastAsia="宋体" w:cs="宋体"/>
                <w:color w:val="auto"/>
                <w:sz w:val="21"/>
                <w:szCs w:val="21"/>
                <w:highlight w:val="none"/>
                <w:lang w:eastAsia="zh-CN"/>
              </w:rPr>
              <w:t>）</w:t>
            </w:r>
          </w:p>
        </w:tc>
      </w:tr>
      <w:tr w14:paraId="5D645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4B47C9EC">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w:t>
            </w:r>
          </w:p>
        </w:tc>
        <w:tc>
          <w:tcPr>
            <w:tcW w:w="2548" w:type="dxa"/>
            <w:noWrap w:val="0"/>
            <w:vAlign w:val="center"/>
          </w:tcPr>
          <w:p w14:paraId="745B8ED4">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响应文件电子版要求</w:t>
            </w:r>
          </w:p>
        </w:tc>
        <w:tc>
          <w:tcPr>
            <w:tcW w:w="6853" w:type="dxa"/>
            <w:noWrap w:val="0"/>
            <w:vAlign w:val="center"/>
          </w:tcPr>
          <w:p w14:paraId="33195980">
            <w:pPr>
              <w:keepNext w:val="0"/>
              <w:keepLines w:val="0"/>
              <w:pageBreakBefore w:val="0"/>
              <w:widowControl w:val="0"/>
              <w:kinsoku/>
              <w:wordWrap/>
              <w:overflowPunct/>
              <w:topLinePunct w:val="0"/>
              <w:bidi w:val="0"/>
              <w:adjustRightInd/>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1.响应文件电子版要求：按照本</w:t>
            </w:r>
            <w:r>
              <w:rPr>
                <w:rFonts w:hint="eastAsia" w:ascii="宋体" w:hAnsi="宋体" w:eastAsia="宋体" w:cs="宋体"/>
                <w:color w:val="auto"/>
                <w:sz w:val="21"/>
                <w:szCs w:val="21"/>
                <w:highlight w:val="none"/>
                <w:lang w:val="en-US" w:eastAsia="zh-CN"/>
              </w:rPr>
              <w:t>竞争性磋商</w:t>
            </w:r>
            <w:r>
              <w:rPr>
                <w:rFonts w:hint="eastAsia" w:ascii="宋体" w:hAnsi="宋体" w:eastAsia="宋体" w:cs="宋体"/>
                <w:color w:val="auto"/>
                <w:sz w:val="21"/>
                <w:szCs w:val="21"/>
                <w:highlight w:val="none"/>
              </w:rPr>
              <w:t>文件“第五章 响应文件格式”编写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第五章未附格式的，由供应商自行拟定。</w:t>
            </w:r>
          </w:p>
          <w:p w14:paraId="6A9CA9CA">
            <w:pPr>
              <w:keepNext w:val="0"/>
              <w:keepLines w:val="0"/>
              <w:pageBreakBefore w:val="0"/>
              <w:widowControl w:val="0"/>
              <w:kinsoku/>
              <w:wordWrap/>
              <w:overflowPunct/>
              <w:topLinePunct w:val="0"/>
              <w:bidi w:val="0"/>
              <w:adjustRightInd/>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2.响应文件电子版</w:t>
            </w:r>
            <w:r>
              <w:rPr>
                <w:rFonts w:hint="eastAsia" w:ascii="宋体" w:hAnsi="宋体" w:eastAsia="宋体" w:cs="宋体"/>
                <w:color w:val="auto"/>
                <w:sz w:val="21"/>
                <w:szCs w:val="21"/>
                <w:highlight w:val="none"/>
                <w:lang w:eastAsia="zh-CN"/>
              </w:rPr>
              <w:t>加密提交</w:t>
            </w:r>
            <w:r>
              <w:rPr>
                <w:rFonts w:hint="eastAsia" w:ascii="宋体" w:hAnsi="宋体" w:eastAsia="宋体" w:cs="宋体"/>
                <w:color w:val="auto"/>
                <w:sz w:val="21"/>
                <w:szCs w:val="21"/>
                <w:highlight w:val="none"/>
              </w:rPr>
              <w:t>方式：电子响应文件通过平台有效CA加密后在</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sz w:val="21"/>
                <w:szCs w:val="21"/>
                <w:highlight w:val="none"/>
                <w:lang w:eastAsia="zh-CN"/>
              </w:rPr>
              <w:t>提交</w:t>
            </w:r>
            <w:r>
              <w:rPr>
                <w:rFonts w:hint="eastAsia" w:ascii="宋体" w:hAnsi="宋体" w:eastAsia="宋体" w:cs="宋体"/>
                <w:color w:val="auto"/>
                <w:sz w:val="21"/>
                <w:szCs w:val="21"/>
                <w:highlight w:val="none"/>
              </w:rPr>
              <w:t>。</w:t>
            </w:r>
          </w:p>
        </w:tc>
      </w:tr>
      <w:tr w14:paraId="71F45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1" w:hRule="atLeast"/>
          <w:jc w:val="center"/>
        </w:trPr>
        <w:tc>
          <w:tcPr>
            <w:tcW w:w="963" w:type="dxa"/>
            <w:noWrap w:val="0"/>
            <w:vAlign w:val="center"/>
          </w:tcPr>
          <w:p w14:paraId="71060044">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w:t>
            </w:r>
          </w:p>
        </w:tc>
        <w:tc>
          <w:tcPr>
            <w:tcW w:w="2548" w:type="dxa"/>
            <w:noWrap w:val="0"/>
            <w:vAlign w:val="center"/>
          </w:tcPr>
          <w:p w14:paraId="7893B5A9">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响应</w:t>
            </w:r>
            <w:r>
              <w:rPr>
                <w:rFonts w:hint="eastAsia" w:ascii="宋体" w:hAnsi="宋体" w:eastAsia="宋体" w:cs="宋体"/>
                <w:color w:val="auto"/>
                <w:sz w:val="21"/>
                <w:szCs w:val="21"/>
                <w:highlight w:val="none"/>
              </w:rPr>
              <w:t>报价要求</w:t>
            </w:r>
          </w:p>
        </w:tc>
        <w:tc>
          <w:tcPr>
            <w:tcW w:w="6853" w:type="dxa"/>
            <w:noWrap w:val="0"/>
            <w:vAlign w:val="center"/>
          </w:tcPr>
          <w:p w14:paraId="589A6302">
            <w:pPr>
              <w:keepNext w:val="0"/>
              <w:keepLines w:val="0"/>
              <w:pageBreakBefore w:val="0"/>
              <w:widowControl w:val="0"/>
              <w:kinsoku/>
              <w:wordWrap/>
              <w:overflowPunct/>
              <w:topLinePunct w:val="0"/>
              <w:bidi w:val="0"/>
              <w:adjustRightInd/>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响应</w:t>
            </w:r>
            <w:r>
              <w:rPr>
                <w:rFonts w:hint="eastAsia" w:ascii="宋体" w:hAnsi="宋体" w:eastAsia="宋体" w:cs="宋体"/>
                <w:color w:val="auto"/>
                <w:sz w:val="21"/>
                <w:szCs w:val="21"/>
                <w:highlight w:val="none"/>
              </w:rPr>
              <w:t>报价必须包含本项目全部服务内容所产生的所有费用，包括但不限于：服务费、设备使用费、差旅费、保险费、各项税金及其他不可预见的费用。因磋商供应商自身原因造成漏报、少报皆由磋商供应商自行承担责任，采购人不再补偿。</w:t>
            </w:r>
          </w:p>
          <w:p w14:paraId="43484BF6">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☑响应</w:t>
            </w:r>
            <w:r>
              <w:rPr>
                <w:rFonts w:hint="eastAsia" w:ascii="宋体" w:hAnsi="宋体" w:eastAsia="宋体" w:cs="宋体"/>
                <w:b/>
                <w:color w:val="auto"/>
                <w:sz w:val="21"/>
                <w:szCs w:val="21"/>
                <w:highlight w:val="none"/>
              </w:rPr>
              <w:t>报价包含验收费用</w:t>
            </w:r>
          </w:p>
          <w:p w14:paraId="16003DEF">
            <w:pPr>
              <w:pStyle w:val="12"/>
              <w:keepNext w:val="0"/>
              <w:keepLines w:val="0"/>
              <w:pageBreakBefore w:val="0"/>
              <w:widowControl w:val="0"/>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响应</w:t>
            </w:r>
            <w:r>
              <w:rPr>
                <w:rFonts w:hint="eastAsia" w:ascii="宋体" w:hAnsi="宋体" w:eastAsia="宋体" w:cs="宋体"/>
                <w:b/>
                <w:color w:val="auto"/>
                <w:sz w:val="21"/>
                <w:szCs w:val="21"/>
                <w:highlight w:val="none"/>
              </w:rPr>
              <w:t>报价不包含验收费用</w:t>
            </w:r>
          </w:p>
        </w:tc>
      </w:tr>
      <w:tr w14:paraId="7A103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25AE788C">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w:t>
            </w:r>
          </w:p>
        </w:tc>
        <w:tc>
          <w:tcPr>
            <w:tcW w:w="2548" w:type="dxa"/>
            <w:noWrap w:val="0"/>
            <w:vAlign w:val="center"/>
          </w:tcPr>
          <w:p w14:paraId="7FD67E1D">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竞标有效期</w:t>
            </w:r>
          </w:p>
        </w:tc>
        <w:tc>
          <w:tcPr>
            <w:tcW w:w="6853" w:type="dxa"/>
            <w:noWrap w:val="0"/>
            <w:vAlign w:val="center"/>
          </w:tcPr>
          <w:p w14:paraId="1742E2DC">
            <w:pPr>
              <w:pStyle w:val="9"/>
              <w:keepNext w:val="0"/>
              <w:keepLines w:val="0"/>
              <w:pageBreakBefore w:val="0"/>
              <w:widowControl w:val="0"/>
              <w:tabs>
                <w:tab w:val="clear" w:pos="454"/>
              </w:tabs>
              <w:kinsoku/>
              <w:wordWrap/>
              <w:overflowPunct/>
              <w:topLinePunct w:val="0"/>
              <w:bidi w:val="0"/>
              <w:adjustRightInd/>
              <w:snapToGrid w:val="0"/>
              <w:spacing w:afterLines="0" w:line="360" w:lineRule="auto"/>
              <w:ind w:left="283" w:hanging="283" w:hangingChars="135"/>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r>
              <w:rPr>
                <w:rFonts w:hint="eastAsia" w:ascii="宋体" w:hAnsi="宋体" w:eastAsia="宋体" w:cs="宋体"/>
                <w:color w:val="auto"/>
                <w:kern w:val="2"/>
                <w:sz w:val="21"/>
                <w:szCs w:val="21"/>
                <w:highlight w:val="none"/>
                <w:u w:val="single"/>
                <w:lang w:val="en-US" w:eastAsia="zh-CN"/>
              </w:rPr>
              <w:t xml:space="preserve"> 90 </w:t>
            </w:r>
            <w:r>
              <w:rPr>
                <w:rFonts w:hint="eastAsia" w:ascii="宋体" w:hAnsi="宋体" w:eastAsia="宋体" w:cs="宋体"/>
                <w:color w:val="auto"/>
                <w:kern w:val="2"/>
                <w:sz w:val="21"/>
                <w:szCs w:val="21"/>
                <w:highlight w:val="none"/>
              </w:rPr>
              <w:t>日。</w:t>
            </w:r>
          </w:p>
        </w:tc>
      </w:tr>
      <w:tr w14:paraId="083C3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459B2938">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w:t>
            </w:r>
          </w:p>
        </w:tc>
        <w:tc>
          <w:tcPr>
            <w:tcW w:w="2548" w:type="dxa"/>
            <w:noWrap w:val="0"/>
            <w:vAlign w:val="center"/>
          </w:tcPr>
          <w:p w14:paraId="7F9DB22A">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磋商保证金</w:t>
            </w:r>
          </w:p>
        </w:tc>
        <w:tc>
          <w:tcPr>
            <w:tcW w:w="6853" w:type="dxa"/>
            <w:noWrap w:val="0"/>
            <w:vAlign w:val="center"/>
          </w:tcPr>
          <w:p w14:paraId="5793E655">
            <w:pPr>
              <w:keepNext w:val="0"/>
              <w:keepLines w:val="0"/>
              <w:pageBreakBefore w:val="0"/>
              <w:widowControl w:val="0"/>
              <w:kinsoku/>
              <w:wordWrap/>
              <w:overflowPunct/>
              <w:topLinePunct w:val="0"/>
              <w:bidi w:val="0"/>
              <w:adjustRightInd/>
              <w:spacing w:line="360" w:lineRule="auto"/>
              <w:ind w:firstLine="0" w:firstLineChars="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 xml:space="preserve"> </w:t>
            </w:r>
            <w:r>
              <w:rPr>
                <w:rFonts w:hint="eastAsia" w:ascii="宋体" w:hAnsi="宋体" w:eastAsia="宋体" w:cs="宋体"/>
                <w:b/>
                <w:bCs/>
                <w:color w:val="auto"/>
                <w:sz w:val="21"/>
                <w:szCs w:val="21"/>
                <w:highlight w:val="none"/>
                <w:lang w:eastAsia="zh-CN"/>
              </w:rPr>
              <w:t>本项目不需要缴</w:t>
            </w:r>
            <w:r>
              <w:rPr>
                <w:rFonts w:hint="eastAsia" w:ascii="宋体" w:hAnsi="宋体" w:eastAsia="宋体" w:cs="宋体"/>
                <w:b/>
                <w:bCs/>
                <w:color w:val="auto"/>
                <w:kern w:val="0"/>
                <w:sz w:val="21"/>
                <w:szCs w:val="21"/>
                <w:highlight w:val="none"/>
              </w:rPr>
              <w:t>纳</w:t>
            </w:r>
            <w:r>
              <w:rPr>
                <w:rFonts w:hint="eastAsia" w:ascii="宋体" w:hAnsi="宋体" w:eastAsia="宋体" w:cs="宋体"/>
                <w:b/>
                <w:bCs/>
                <w:color w:val="auto"/>
                <w:sz w:val="21"/>
                <w:szCs w:val="21"/>
                <w:highlight w:val="none"/>
                <w:lang w:eastAsia="zh-CN"/>
              </w:rPr>
              <w:t>磋商保证金。</w:t>
            </w:r>
          </w:p>
          <w:p w14:paraId="17EA856C">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 xml:space="preserve"> </w:t>
            </w:r>
            <w:r>
              <w:rPr>
                <w:rFonts w:hint="eastAsia" w:ascii="宋体" w:hAnsi="宋体" w:eastAsia="宋体" w:cs="宋体"/>
                <w:b/>
                <w:bCs/>
                <w:color w:val="auto"/>
                <w:sz w:val="21"/>
                <w:szCs w:val="21"/>
                <w:highlight w:val="none"/>
                <w:lang w:eastAsia="zh-CN"/>
              </w:rPr>
              <w:t>本项目需要缴</w:t>
            </w:r>
            <w:r>
              <w:rPr>
                <w:rFonts w:hint="eastAsia" w:ascii="宋体" w:hAnsi="宋体" w:eastAsia="宋体" w:cs="宋体"/>
                <w:b/>
                <w:bCs/>
                <w:color w:val="auto"/>
                <w:kern w:val="0"/>
                <w:sz w:val="21"/>
                <w:szCs w:val="21"/>
                <w:highlight w:val="none"/>
              </w:rPr>
              <w:t>纳</w:t>
            </w:r>
            <w:r>
              <w:rPr>
                <w:rFonts w:hint="eastAsia" w:ascii="宋体" w:hAnsi="宋体" w:eastAsia="宋体" w:cs="宋体"/>
                <w:b/>
                <w:bCs/>
                <w:color w:val="auto"/>
                <w:sz w:val="21"/>
                <w:szCs w:val="21"/>
                <w:highlight w:val="none"/>
                <w:lang w:eastAsia="zh-CN"/>
              </w:rPr>
              <w:t>磋商保证金，</w:t>
            </w:r>
            <w:r>
              <w:rPr>
                <w:rFonts w:hint="eastAsia" w:ascii="宋体" w:hAnsi="宋体" w:eastAsia="宋体" w:cs="宋体"/>
                <w:b/>
                <w:bCs/>
                <w:color w:val="auto"/>
                <w:sz w:val="21"/>
                <w:szCs w:val="21"/>
                <w:highlight w:val="none"/>
              </w:rPr>
              <w:t>相关要求</w:t>
            </w:r>
            <w:r>
              <w:rPr>
                <w:rFonts w:hint="eastAsia" w:ascii="宋体" w:hAnsi="宋体" w:eastAsia="宋体" w:cs="宋体"/>
                <w:b/>
                <w:bCs/>
                <w:color w:val="auto"/>
                <w:sz w:val="21"/>
                <w:szCs w:val="21"/>
                <w:highlight w:val="none"/>
                <w:lang w:eastAsia="zh-CN"/>
              </w:rPr>
              <w:t>如下</w:t>
            </w:r>
            <w:r>
              <w:rPr>
                <w:rFonts w:hint="eastAsia" w:ascii="宋体" w:hAnsi="宋体" w:eastAsia="宋体" w:cs="宋体"/>
                <w:b/>
                <w:bCs/>
                <w:color w:val="auto"/>
                <w:sz w:val="21"/>
                <w:szCs w:val="21"/>
                <w:highlight w:val="none"/>
              </w:rPr>
              <w:t>：</w:t>
            </w:r>
          </w:p>
          <w:p w14:paraId="79240AF5">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磋商保证金的</w:t>
            </w:r>
            <w:r>
              <w:rPr>
                <w:rFonts w:hint="eastAsia" w:ascii="宋体" w:hAnsi="宋体" w:eastAsia="宋体" w:cs="宋体"/>
                <w:color w:val="auto"/>
                <w:sz w:val="21"/>
                <w:szCs w:val="21"/>
                <w:highlight w:val="none"/>
                <w:lang w:eastAsia="zh-CN"/>
              </w:rPr>
              <w:t>缴</w:t>
            </w:r>
            <w:r>
              <w:rPr>
                <w:rFonts w:hint="eastAsia" w:ascii="宋体" w:hAnsi="宋体" w:eastAsia="宋体" w:cs="宋体"/>
                <w:color w:val="auto"/>
                <w:sz w:val="21"/>
                <w:szCs w:val="21"/>
                <w:highlight w:val="none"/>
              </w:rPr>
              <w:t>纳方式：详见竞争性磋商公告。</w:t>
            </w:r>
          </w:p>
          <w:p w14:paraId="34CECBF7">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磋商保证金的金额：详见竞争性磋商公告。</w:t>
            </w:r>
          </w:p>
          <w:p w14:paraId="06A06FD4">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.磋商保证金采用银行转账</w:t>
            </w:r>
            <w:r>
              <w:rPr>
                <w:rFonts w:hint="eastAsia" w:ascii="宋体" w:hAnsi="宋体" w:eastAsia="宋体" w:cs="宋体"/>
                <w:color w:val="auto"/>
                <w:sz w:val="21"/>
                <w:szCs w:val="21"/>
                <w:highlight w:val="none"/>
                <w:lang w:eastAsia="zh-CN"/>
              </w:rPr>
              <w:t>缴</w:t>
            </w:r>
            <w:r>
              <w:rPr>
                <w:rFonts w:hint="eastAsia" w:ascii="宋体" w:hAnsi="宋体" w:eastAsia="宋体" w:cs="宋体"/>
                <w:color w:val="auto"/>
                <w:sz w:val="21"/>
                <w:szCs w:val="21"/>
                <w:highlight w:val="none"/>
              </w:rPr>
              <w:t>纳方式的，在首次响应文件提交截止时间前交至采购代理机构指定账户并且到账，供应商应将银行转账底单的复印件作为磋商保证金提交凭证，放置于商务文件中，</w:t>
            </w:r>
            <w:r>
              <w:rPr>
                <w:rFonts w:hint="eastAsia" w:ascii="宋体" w:hAnsi="宋体" w:eastAsia="宋体" w:cs="宋体"/>
                <w:b/>
                <w:color w:val="auto"/>
                <w:sz w:val="21"/>
                <w:szCs w:val="21"/>
                <w:highlight w:val="none"/>
              </w:rPr>
              <w:t>否则响应文件按无效响应处理</w:t>
            </w:r>
            <w:r>
              <w:rPr>
                <w:rFonts w:hint="eastAsia" w:ascii="宋体" w:hAnsi="宋体" w:eastAsia="宋体" w:cs="宋体"/>
                <w:color w:val="auto"/>
                <w:sz w:val="21"/>
                <w:szCs w:val="21"/>
                <w:highlight w:val="none"/>
              </w:rPr>
              <w:t>。</w:t>
            </w:r>
          </w:p>
          <w:p w14:paraId="290428CF">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.磋商保证金采用支票、汇票、本票或者金融机构、担保机构出具的保函</w:t>
            </w:r>
            <w:r>
              <w:rPr>
                <w:rFonts w:hint="eastAsia" w:ascii="宋体" w:hAnsi="宋体" w:eastAsia="宋体" w:cs="宋体"/>
                <w:color w:val="auto"/>
                <w:sz w:val="21"/>
                <w:szCs w:val="21"/>
                <w:highlight w:val="none"/>
                <w:lang w:eastAsia="zh-CN"/>
              </w:rPr>
              <w:t>等缴</w:t>
            </w:r>
            <w:r>
              <w:rPr>
                <w:rFonts w:hint="eastAsia" w:ascii="宋体" w:hAnsi="宋体" w:eastAsia="宋体" w:cs="宋体"/>
                <w:color w:val="auto"/>
                <w:sz w:val="21"/>
                <w:szCs w:val="21"/>
                <w:highlight w:val="none"/>
              </w:rPr>
              <w:t>纳方式的，供应商应将支票、汇票、本票或者金融</w:t>
            </w:r>
            <w:r>
              <w:rPr>
                <w:rFonts w:hint="eastAsia" w:ascii="宋体" w:hAnsi="宋体" w:eastAsia="宋体" w:cs="宋体"/>
                <w:color w:val="auto"/>
                <w:sz w:val="21"/>
                <w:szCs w:val="21"/>
                <w:highlight w:val="none"/>
                <w:lang w:eastAsia="zh-CN"/>
              </w:rPr>
              <w:t>机构</w:t>
            </w:r>
            <w:r>
              <w:rPr>
                <w:rFonts w:hint="eastAsia" w:ascii="宋体" w:hAnsi="宋体" w:eastAsia="宋体" w:cs="宋体"/>
                <w:color w:val="auto"/>
                <w:sz w:val="21"/>
                <w:szCs w:val="21"/>
                <w:highlight w:val="none"/>
              </w:rPr>
              <w:t>、担保机构出具的保函</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rPr>
              <w:t>的复印件</w:t>
            </w:r>
            <w:r>
              <w:rPr>
                <w:rFonts w:hint="eastAsia" w:ascii="宋体" w:hAnsi="宋体" w:eastAsia="宋体" w:cs="宋体"/>
                <w:color w:val="auto"/>
                <w:sz w:val="21"/>
                <w:szCs w:val="21"/>
                <w:highlight w:val="none"/>
              </w:rPr>
              <w:t>或者金融</w:t>
            </w:r>
            <w:r>
              <w:rPr>
                <w:rFonts w:hint="eastAsia" w:ascii="宋体" w:hAnsi="宋体" w:eastAsia="宋体" w:cs="宋体"/>
                <w:color w:val="auto"/>
                <w:sz w:val="21"/>
                <w:szCs w:val="21"/>
                <w:highlight w:val="none"/>
                <w:lang w:eastAsia="zh-CN"/>
              </w:rPr>
              <w:t>机构</w:t>
            </w:r>
            <w:r>
              <w:rPr>
                <w:rFonts w:hint="eastAsia" w:ascii="宋体" w:hAnsi="宋体" w:eastAsia="宋体" w:cs="宋体"/>
                <w:color w:val="auto"/>
                <w:sz w:val="21"/>
                <w:szCs w:val="21"/>
                <w:highlight w:val="none"/>
              </w:rPr>
              <w:t>、担保机构出具的</w:t>
            </w:r>
            <w:r>
              <w:rPr>
                <w:rFonts w:hint="eastAsia" w:ascii="宋体" w:hAnsi="宋体" w:eastAsia="宋体" w:cs="宋体"/>
                <w:color w:val="auto"/>
                <w:kern w:val="0"/>
                <w:sz w:val="21"/>
                <w:szCs w:val="21"/>
                <w:highlight w:val="none"/>
                <w:lang w:val="en-US" w:eastAsia="zh-CN"/>
              </w:rPr>
              <w:t>电子保函</w:t>
            </w:r>
            <w:r>
              <w:rPr>
                <w:rFonts w:hint="eastAsia" w:ascii="宋体" w:hAnsi="宋体" w:eastAsia="宋体" w:cs="宋体"/>
                <w:color w:val="auto"/>
                <w:sz w:val="21"/>
                <w:szCs w:val="21"/>
                <w:highlight w:val="none"/>
              </w:rPr>
              <w:t>作为磋商保证金提交凭证，放置于商务文件中，</w:t>
            </w:r>
            <w:r>
              <w:rPr>
                <w:rFonts w:hint="eastAsia" w:ascii="宋体" w:hAnsi="宋体" w:eastAsia="宋体" w:cs="宋体"/>
                <w:b/>
                <w:color w:val="auto"/>
                <w:sz w:val="21"/>
                <w:szCs w:val="21"/>
                <w:highlight w:val="none"/>
              </w:rPr>
              <w:t>否则响应文件按无效响应处理</w:t>
            </w:r>
            <w:r>
              <w:rPr>
                <w:rFonts w:hint="eastAsia" w:ascii="宋体" w:hAnsi="宋体" w:eastAsia="宋体" w:cs="宋体"/>
                <w:color w:val="auto"/>
                <w:sz w:val="21"/>
                <w:szCs w:val="21"/>
                <w:highlight w:val="none"/>
              </w:rPr>
              <w:t>。供应商必须</w:t>
            </w:r>
            <w:r>
              <w:rPr>
                <w:rFonts w:hint="eastAsia" w:ascii="宋体" w:hAnsi="宋体" w:eastAsia="宋体" w:cs="宋体"/>
                <w:color w:val="auto"/>
                <w:sz w:val="21"/>
                <w:szCs w:val="21"/>
                <w:highlight w:val="none"/>
                <w:lang w:eastAsia="zh-CN"/>
              </w:rPr>
              <w:t>在</w:t>
            </w:r>
            <w:r>
              <w:rPr>
                <w:rFonts w:hint="eastAsia" w:ascii="宋体" w:hAnsi="宋体" w:eastAsia="宋体" w:cs="宋体"/>
                <w:color w:val="auto"/>
                <w:kern w:val="0"/>
                <w:sz w:val="21"/>
                <w:szCs w:val="21"/>
                <w:highlight w:val="none"/>
              </w:rPr>
              <w:t>首次响应文件提交截止时间前</w:t>
            </w:r>
            <w:r>
              <w:rPr>
                <w:rFonts w:hint="eastAsia" w:ascii="宋体" w:hAnsi="宋体" w:eastAsia="宋体" w:cs="宋体"/>
                <w:color w:val="auto"/>
                <w:sz w:val="21"/>
                <w:szCs w:val="21"/>
                <w:highlight w:val="none"/>
              </w:rPr>
              <w:t>将支票、汇票、本票或者金融</w:t>
            </w:r>
            <w:r>
              <w:rPr>
                <w:rFonts w:hint="eastAsia" w:ascii="宋体" w:hAnsi="宋体" w:eastAsia="宋体" w:cs="宋体"/>
                <w:color w:val="auto"/>
                <w:sz w:val="21"/>
                <w:szCs w:val="21"/>
                <w:highlight w:val="none"/>
                <w:lang w:eastAsia="zh-CN"/>
              </w:rPr>
              <w:t>机构</w:t>
            </w:r>
            <w:r>
              <w:rPr>
                <w:rFonts w:hint="eastAsia" w:ascii="宋体" w:hAnsi="宋体" w:eastAsia="宋体" w:cs="宋体"/>
                <w:color w:val="auto"/>
                <w:sz w:val="21"/>
                <w:szCs w:val="21"/>
                <w:highlight w:val="none"/>
              </w:rPr>
              <w:t>、担保机构出具的保函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rPr>
              <w:t>电子保函除外</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rPr>
              <w:t>原件提交给采购代理机构，由采购代理机构向供应商出具回执，并妥善保管。</w:t>
            </w:r>
          </w:p>
          <w:p w14:paraId="1182536A">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.磋商保证金指定</w:t>
            </w:r>
            <w:r>
              <w:rPr>
                <w:rFonts w:hint="eastAsia" w:ascii="宋体" w:hAnsi="宋体" w:eastAsia="宋体" w:cs="宋体"/>
                <w:color w:val="auto"/>
                <w:sz w:val="21"/>
                <w:szCs w:val="21"/>
                <w:highlight w:val="none"/>
                <w:lang w:eastAsia="zh-CN"/>
              </w:rPr>
              <w:t>账</w:t>
            </w:r>
            <w:r>
              <w:rPr>
                <w:rFonts w:hint="eastAsia" w:ascii="宋体" w:hAnsi="宋体" w:eastAsia="宋体" w:cs="宋体"/>
                <w:color w:val="auto"/>
                <w:sz w:val="21"/>
                <w:szCs w:val="21"/>
                <w:highlight w:val="none"/>
              </w:rPr>
              <w:t>户：详见竞争性磋商公告。</w:t>
            </w:r>
          </w:p>
          <w:p w14:paraId="064460B2">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.供应商为联合体的，可以由联合体中的一方或者多方共同</w:t>
            </w:r>
            <w:r>
              <w:rPr>
                <w:rFonts w:hint="eastAsia" w:ascii="宋体" w:hAnsi="宋体" w:eastAsia="宋体" w:cs="宋体"/>
                <w:color w:val="auto"/>
                <w:sz w:val="21"/>
                <w:szCs w:val="21"/>
                <w:highlight w:val="none"/>
                <w:lang w:eastAsia="zh-CN"/>
              </w:rPr>
              <w:t>缴</w:t>
            </w:r>
            <w:r>
              <w:rPr>
                <w:rFonts w:hint="eastAsia" w:ascii="宋体" w:hAnsi="宋体" w:eastAsia="宋体" w:cs="宋体"/>
                <w:color w:val="auto"/>
                <w:sz w:val="21"/>
                <w:szCs w:val="21"/>
                <w:highlight w:val="none"/>
              </w:rPr>
              <w:t>纳磋商保证金，其</w:t>
            </w:r>
            <w:r>
              <w:rPr>
                <w:rFonts w:hint="eastAsia" w:ascii="宋体" w:hAnsi="宋体" w:eastAsia="宋体" w:cs="宋体"/>
                <w:color w:val="auto"/>
                <w:sz w:val="21"/>
                <w:szCs w:val="21"/>
                <w:highlight w:val="none"/>
                <w:lang w:eastAsia="zh-CN"/>
              </w:rPr>
              <w:t>缴</w:t>
            </w:r>
            <w:r>
              <w:rPr>
                <w:rFonts w:hint="eastAsia" w:ascii="宋体" w:hAnsi="宋体" w:eastAsia="宋体" w:cs="宋体"/>
                <w:color w:val="auto"/>
                <w:sz w:val="21"/>
                <w:szCs w:val="21"/>
                <w:highlight w:val="none"/>
              </w:rPr>
              <w:t>纳的磋商保证金对联合体各方均具有约束力。</w:t>
            </w:r>
          </w:p>
          <w:p w14:paraId="1FB1B2A1">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备注： </w:t>
            </w:r>
          </w:p>
          <w:p w14:paraId="6A513404">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1.磋商保证金在首次响应文件提交截止时间后提交的，或者不按规定</w:t>
            </w:r>
            <w:r>
              <w:rPr>
                <w:rFonts w:hint="eastAsia" w:ascii="宋体" w:hAnsi="宋体" w:eastAsia="宋体" w:cs="宋体"/>
                <w:b/>
                <w:color w:val="auto"/>
                <w:sz w:val="21"/>
                <w:szCs w:val="21"/>
                <w:highlight w:val="none"/>
                <w:lang w:eastAsia="zh-CN"/>
              </w:rPr>
              <w:t>缴</w:t>
            </w:r>
            <w:r>
              <w:rPr>
                <w:rFonts w:hint="eastAsia" w:ascii="宋体" w:hAnsi="宋体" w:eastAsia="宋体" w:cs="宋体"/>
                <w:b/>
                <w:color w:val="auto"/>
                <w:sz w:val="21"/>
                <w:szCs w:val="21"/>
                <w:highlight w:val="none"/>
              </w:rPr>
              <w:t>纳方式</w:t>
            </w:r>
            <w:r>
              <w:rPr>
                <w:rFonts w:hint="eastAsia" w:ascii="宋体" w:hAnsi="宋体" w:eastAsia="宋体" w:cs="宋体"/>
                <w:b/>
                <w:color w:val="auto"/>
                <w:sz w:val="21"/>
                <w:szCs w:val="21"/>
                <w:highlight w:val="none"/>
                <w:lang w:eastAsia="zh-CN"/>
              </w:rPr>
              <w:t>缴</w:t>
            </w:r>
            <w:r>
              <w:rPr>
                <w:rFonts w:hint="eastAsia" w:ascii="宋体" w:hAnsi="宋体" w:eastAsia="宋体" w:cs="宋体"/>
                <w:b/>
                <w:color w:val="auto"/>
                <w:sz w:val="21"/>
                <w:szCs w:val="21"/>
                <w:highlight w:val="none"/>
              </w:rPr>
              <w:t>纳的，或者未足额</w:t>
            </w:r>
            <w:r>
              <w:rPr>
                <w:rFonts w:hint="eastAsia" w:ascii="宋体" w:hAnsi="宋体" w:eastAsia="宋体" w:cs="宋体"/>
                <w:b/>
                <w:color w:val="auto"/>
                <w:sz w:val="21"/>
                <w:szCs w:val="21"/>
                <w:highlight w:val="none"/>
                <w:lang w:eastAsia="zh-CN"/>
              </w:rPr>
              <w:t>缴</w:t>
            </w:r>
            <w:r>
              <w:rPr>
                <w:rFonts w:hint="eastAsia" w:ascii="宋体" w:hAnsi="宋体" w:eastAsia="宋体" w:cs="宋体"/>
                <w:b/>
                <w:color w:val="auto"/>
                <w:sz w:val="21"/>
                <w:szCs w:val="21"/>
                <w:highlight w:val="none"/>
              </w:rPr>
              <w:t>纳的（包含保函额度不足的），视为无效磋商保证金。</w:t>
            </w:r>
          </w:p>
          <w:p w14:paraId="56C9AA94">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2.供应商采用现</w:t>
            </w:r>
            <w:r>
              <w:rPr>
                <w:rFonts w:hint="eastAsia" w:ascii="宋体" w:hAnsi="宋体" w:eastAsia="宋体" w:cs="宋体"/>
                <w:b/>
                <w:color w:val="auto"/>
                <w:sz w:val="21"/>
                <w:szCs w:val="21"/>
                <w:highlight w:val="none"/>
                <w:lang w:eastAsia="zh-CN"/>
              </w:rPr>
              <w:t>金</w:t>
            </w:r>
            <w:r>
              <w:rPr>
                <w:rFonts w:hint="eastAsia" w:ascii="宋体" w:hAnsi="宋体" w:eastAsia="宋体" w:cs="宋体"/>
                <w:b/>
                <w:color w:val="auto"/>
                <w:sz w:val="21"/>
                <w:szCs w:val="21"/>
                <w:highlight w:val="none"/>
              </w:rPr>
              <w:t>方式或者从个人账户（自然人竞标除外）转出的磋商保证金，视为无效磋商保证金。</w:t>
            </w:r>
          </w:p>
          <w:p w14:paraId="598BB05C">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3.支票、汇票或者本票出现无效或者背书情形的，视为无效磋商保证金。</w:t>
            </w:r>
          </w:p>
          <w:p w14:paraId="376018C4">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4.保函有效期低于竞标有效期的，视为无效磋商保证金。</w:t>
            </w:r>
          </w:p>
          <w:p w14:paraId="43A1AD0B">
            <w:pPr>
              <w:keepNext w:val="0"/>
              <w:keepLines w:val="0"/>
              <w:pageBreakBefore w:val="0"/>
              <w:widowControl w:val="0"/>
              <w:kinsoku/>
              <w:wordWrap/>
              <w:overflowPunct/>
              <w:topLinePunct w:val="0"/>
              <w:autoSpaceDE w:val="0"/>
              <w:autoSpaceDN w:val="0"/>
              <w:bidi w:val="0"/>
              <w:adjustRightInd/>
              <w:snapToGrid w:val="0"/>
              <w:spacing w:line="360" w:lineRule="auto"/>
              <w:textAlignment w:val="bottom"/>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5.采用金融、担保机构出具保函的，必须为无条件保函，否则视为无效磋商保证金。</w:t>
            </w:r>
          </w:p>
        </w:tc>
      </w:tr>
      <w:tr w14:paraId="6418F2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63" w:type="dxa"/>
            <w:vMerge w:val="restart"/>
            <w:noWrap w:val="0"/>
            <w:vAlign w:val="center"/>
          </w:tcPr>
          <w:p w14:paraId="07BC3321">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20.1</w:t>
            </w:r>
          </w:p>
        </w:tc>
        <w:tc>
          <w:tcPr>
            <w:tcW w:w="2548" w:type="dxa"/>
            <w:noWrap w:val="0"/>
            <w:vAlign w:val="center"/>
          </w:tcPr>
          <w:p w14:paraId="38E57E29">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首次响应文件提交</w:t>
            </w:r>
            <w:r>
              <w:rPr>
                <w:rFonts w:hint="eastAsia" w:ascii="宋体" w:hAnsi="宋体" w:eastAsia="宋体" w:cs="宋体"/>
                <w:color w:val="auto"/>
                <w:sz w:val="21"/>
                <w:szCs w:val="21"/>
                <w:highlight w:val="none"/>
                <w:lang w:eastAsia="zh-CN"/>
              </w:rPr>
              <w:t>截</w:t>
            </w:r>
            <w:r>
              <w:rPr>
                <w:rFonts w:hint="eastAsia" w:ascii="宋体" w:hAnsi="宋体" w:eastAsia="宋体" w:cs="宋体"/>
                <w:color w:val="auto"/>
                <w:sz w:val="21"/>
                <w:szCs w:val="21"/>
                <w:highlight w:val="none"/>
              </w:rPr>
              <w:t>止</w:t>
            </w:r>
          </w:p>
          <w:p w14:paraId="6BA71569">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p>
        </w:tc>
        <w:tc>
          <w:tcPr>
            <w:tcW w:w="6853" w:type="dxa"/>
            <w:noWrap w:val="0"/>
            <w:vAlign w:val="center"/>
          </w:tcPr>
          <w:p w14:paraId="00958DCF">
            <w:pPr>
              <w:keepNext w:val="0"/>
              <w:keepLines w:val="0"/>
              <w:pageBreakBefore w:val="0"/>
              <w:widowControl w:val="0"/>
              <w:kinsoku/>
              <w:wordWrap/>
              <w:overflowPunct/>
              <w:topLinePunct w:val="0"/>
              <w:bidi w:val="0"/>
              <w:adjustRightInd/>
              <w:snapToGrid w:val="0"/>
              <w:spacing w:line="360" w:lineRule="auto"/>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详见竞争性磋商公告。</w:t>
            </w:r>
          </w:p>
        </w:tc>
      </w:tr>
      <w:tr w14:paraId="7E2ED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63" w:type="dxa"/>
            <w:vMerge w:val="continue"/>
            <w:noWrap w:val="0"/>
            <w:vAlign w:val="center"/>
          </w:tcPr>
          <w:p w14:paraId="76885311">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color w:val="auto"/>
                <w:sz w:val="21"/>
                <w:szCs w:val="21"/>
                <w:highlight w:val="none"/>
              </w:rPr>
            </w:pPr>
          </w:p>
        </w:tc>
        <w:tc>
          <w:tcPr>
            <w:tcW w:w="2548" w:type="dxa"/>
            <w:noWrap w:val="0"/>
            <w:vAlign w:val="center"/>
          </w:tcPr>
          <w:p w14:paraId="2B083414">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首次响应文件</w:t>
            </w:r>
            <w:r>
              <w:rPr>
                <w:rFonts w:hint="eastAsia" w:ascii="宋体" w:hAnsi="宋体" w:eastAsia="宋体" w:cs="宋体"/>
                <w:color w:val="auto"/>
                <w:sz w:val="21"/>
                <w:szCs w:val="21"/>
                <w:highlight w:val="none"/>
                <w:lang w:eastAsia="zh-CN"/>
              </w:rPr>
              <w:t>开启</w:t>
            </w:r>
          </w:p>
          <w:p w14:paraId="66A1658C">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p>
        </w:tc>
        <w:tc>
          <w:tcPr>
            <w:tcW w:w="6853" w:type="dxa"/>
            <w:noWrap w:val="0"/>
            <w:vAlign w:val="center"/>
          </w:tcPr>
          <w:p w14:paraId="67C10F41">
            <w:pPr>
              <w:keepNext w:val="0"/>
              <w:keepLines w:val="0"/>
              <w:pageBreakBefore w:val="0"/>
              <w:widowControl w:val="0"/>
              <w:kinsoku/>
              <w:wordWrap/>
              <w:overflowPunct/>
              <w:topLinePunct w:val="0"/>
              <w:bidi w:val="0"/>
              <w:adjustRightInd/>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详见竞争性磋商公告。</w:t>
            </w:r>
          </w:p>
        </w:tc>
      </w:tr>
      <w:tr w14:paraId="60982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vMerge w:val="continue"/>
            <w:noWrap w:val="0"/>
            <w:vAlign w:val="center"/>
          </w:tcPr>
          <w:p w14:paraId="683A92A4">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color w:val="auto"/>
                <w:sz w:val="21"/>
                <w:szCs w:val="21"/>
                <w:highlight w:val="none"/>
              </w:rPr>
            </w:pPr>
          </w:p>
        </w:tc>
        <w:tc>
          <w:tcPr>
            <w:tcW w:w="2548" w:type="dxa"/>
            <w:noWrap w:val="0"/>
            <w:vAlign w:val="center"/>
          </w:tcPr>
          <w:p w14:paraId="79D94A21">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首次响应文件提交地点</w:t>
            </w:r>
          </w:p>
        </w:tc>
        <w:tc>
          <w:tcPr>
            <w:tcW w:w="6853" w:type="dxa"/>
            <w:noWrap w:val="0"/>
            <w:vAlign w:val="center"/>
          </w:tcPr>
          <w:p w14:paraId="7BA5EA7B">
            <w:pPr>
              <w:keepNext w:val="0"/>
              <w:keepLines w:val="0"/>
              <w:pageBreakBefore w:val="0"/>
              <w:widowControl w:val="0"/>
              <w:kinsoku/>
              <w:wordWrap/>
              <w:overflowPunct/>
              <w:topLinePunct w:val="0"/>
              <w:bidi w:val="0"/>
              <w:adjustRightInd/>
              <w:snapToGrid w:val="0"/>
              <w:spacing w:line="360" w:lineRule="auto"/>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详见竞争性磋商公告。</w:t>
            </w:r>
          </w:p>
        </w:tc>
      </w:tr>
      <w:tr w14:paraId="64891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noWrap w:val="0"/>
            <w:vAlign w:val="center"/>
          </w:tcPr>
          <w:p w14:paraId="0C2F1CDE">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20.6</w:t>
            </w:r>
          </w:p>
        </w:tc>
        <w:tc>
          <w:tcPr>
            <w:tcW w:w="2548" w:type="dxa"/>
            <w:noWrap w:val="0"/>
            <w:vAlign w:val="center"/>
          </w:tcPr>
          <w:p w14:paraId="6F8B079C">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备份响应文件</w:t>
            </w:r>
          </w:p>
        </w:tc>
        <w:tc>
          <w:tcPr>
            <w:tcW w:w="6853" w:type="dxa"/>
            <w:noWrap w:val="0"/>
            <w:vAlign w:val="center"/>
          </w:tcPr>
          <w:p w14:paraId="168143CD">
            <w:pPr>
              <w:keepNext w:val="0"/>
              <w:keepLines w:val="0"/>
              <w:pageBreakBefore w:val="0"/>
              <w:widowControl w:val="0"/>
              <w:kinsoku/>
              <w:wordWrap/>
              <w:overflowPunct/>
              <w:topLinePunct w:val="0"/>
              <w:bidi w:val="0"/>
              <w:adjustRightInd/>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本项目不接受备份响应文件。</w:t>
            </w:r>
          </w:p>
        </w:tc>
      </w:tr>
      <w:tr w14:paraId="5A224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noWrap w:val="0"/>
            <w:vAlign w:val="center"/>
          </w:tcPr>
          <w:p w14:paraId="775E172B">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rPr>
              <w:t>1</w:t>
            </w:r>
          </w:p>
        </w:tc>
        <w:tc>
          <w:tcPr>
            <w:tcW w:w="2548" w:type="dxa"/>
            <w:noWrap w:val="0"/>
            <w:vAlign w:val="center"/>
          </w:tcPr>
          <w:p w14:paraId="00C243F6">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首次响应文件的</w:t>
            </w:r>
            <w:r>
              <w:rPr>
                <w:rFonts w:hint="eastAsia" w:ascii="宋体" w:hAnsi="宋体" w:eastAsia="宋体" w:cs="宋体"/>
                <w:b w:val="0"/>
                <w:bCs w:val="0"/>
                <w:color w:val="auto"/>
                <w:sz w:val="21"/>
                <w:szCs w:val="21"/>
                <w:highlight w:val="none"/>
              </w:rPr>
              <w:t>补充、修改与撤回</w:t>
            </w:r>
          </w:p>
        </w:tc>
        <w:tc>
          <w:tcPr>
            <w:tcW w:w="6853" w:type="dxa"/>
            <w:noWrap w:val="0"/>
            <w:vAlign w:val="center"/>
          </w:tcPr>
          <w:p w14:paraId="7731A1E9">
            <w:pPr>
              <w:keepNext w:val="0"/>
              <w:keepLines w:val="0"/>
              <w:pageBreakBefore w:val="0"/>
              <w:widowControl w:val="0"/>
              <w:kinsoku/>
              <w:wordWrap/>
              <w:overflowPunct/>
              <w:topLinePunct w:val="0"/>
              <w:bidi w:val="0"/>
              <w:adjustRightInd/>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w:t>
            </w:r>
            <w:r>
              <w:rPr>
                <w:rFonts w:hint="eastAsia" w:ascii="宋体" w:hAnsi="宋体" w:eastAsia="宋体" w:cs="宋体"/>
                <w:b w:val="0"/>
                <w:bCs/>
                <w:color w:val="auto"/>
                <w:sz w:val="21"/>
                <w:szCs w:val="21"/>
                <w:highlight w:val="none"/>
              </w:rPr>
              <w:t>供应商须知正文</w:t>
            </w:r>
            <w:r>
              <w:rPr>
                <w:rFonts w:hint="eastAsia" w:ascii="宋体" w:hAnsi="宋体" w:eastAsia="宋体" w:cs="宋体"/>
                <w:color w:val="auto"/>
                <w:sz w:val="21"/>
                <w:szCs w:val="21"/>
                <w:highlight w:val="none"/>
              </w:rPr>
              <w:t>。</w:t>
            </w:r>
          </w:p>
        </w:tc>
      </w:tr>
      <w:tr w14:paraId="10C0E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restart"/>
            <w:noWrap w:val="0"/>
            <w:vAlign w:val="center"/>
          </w:tcPr>
          <w:p w14:paraId="2DB26B50">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w:t>
            </w:r>
          </w:p>
        </w:tc>
        <w:tc>
          <w:tcPr>
            <w:tcW w:w="2548" w:type="dxa"/>
            <w:noWrap w:val="0"/>
            <w:vAlign w:val="center"/>
          </w:tcPr>
          <w:p w14:paraId="33E5A4D2">
            <w:pPr>
              <w:keepNext w:val="0"/>
              <w:keepLines w:val="0"/>
              <w:pageBreakBefore w:val="0"/>
              <w:widowControl w:val="0"/>
              <w:kinsoku/>
              <w:wordWrap/>
              <w:overflowPunct/>
              <w:topLinePunct w:val="0"/>
              <w:bidi w:val="0"/>
              <w:adjustRightInd/>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方法</w:t>
            </w:r>
          </w:p>
        </w:tc>
        <w:tc>
          <w:tcPr>
            <w:tcW w:w="6853" w:type="dxa"/>
            <w:noWrap w:val="0"/>
            <w:vAlign w:val="center"/>
          </w:tcPr>
          <w:p w14:paraId="582CC92F">
            <w:pPr>
              <w:pStyle w:val="10"/>
              <w:keepNext w:val="0"/>
              <w:keepLines w:val="0"/>
              <w:pageBreakBefore w:val="0"/>
              <w:widowControl w:val="0"/>
              <w:kinsoku/>
              <w:wordWrap/>
              <w:overflowPunct/>
              <w:topLinePunct w:val="0"/>
              <w:bidi w:val="0"/>
              <w:adjustRightInd/>
              <w:spacing w:line="360"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本项目采用综合评分法。综合评分法是指响应文件满足竞争性磋商文件全部实质性要求且按评审因素的量化指标评审得分最高的供应商为成交候选供应商的评审方法。</w:t>
            </w:r>
          </w:p>
        </w:tc>
      </w:tr>
      <w:tr w14:paraId="7DE3A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noWrap w:val="0"/>
            <w:vAlign w:val="center"/>
          </w:tcPr>
          <w:p w14:paraId="4E38927F">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color w:val="auto"/>
                <w:sz w:val="21"/>
                <w:szCs w:val="21"/>
                <w:highlight w:val="none"/>
                <w:lang w:val="en-US" w:eastAsia="zh-CN"/>
              </w:rPr>
            </w:pPr>
          </w:p>
        </w:tc>
        <w:tc>
          <w:tcPr>
            <w:tcW w:w="2548" w:type="dxa"/>
            <w:noWrap w:val="0"/>
            <w:vAlign w:val="center"/>
          </w:tcPr>
          <w:p w14:paraId="75CB010C">
            <w:pPr>
              <w:keepNext w:val="0"/>
              <w:keepLines w:val="0"/>
              <w:pageBreakBefore w:val="0"/>
              <w:widowControl w:val="0"/>
              <w:kinsoku/>
              <w:wordWrap/>
              <w:overflowPunct/>
              <w:topLinePunct w:val="0"/>
              <w:bidi w:val="0"/>
              <w:adjustRightInd/>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磋商的顺序</w:t>
            </w:r>
          </w:p>
        </w:tc>
        <w:tc>
          <w:tcPr>
            <w:tcW w:w="6853" w:type="dxa"/>
            <w:noWrap w:val="0"/>
            <w:vAlign w:val="center"/>
          </w:tcPr>
          <w:p w14:paraId="79075C2B">
            <w:pPr>
              <w:pStyle w:val="10"/>
              <w:keepNext w:val="0"/>
              <w:keepLines w:val="0"/>
              <w:pageBreakBefore w:val="0"/>
              <w:widowControl w:val="0"/>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按照提交首次响应文件的顺序，通知磋商时，若某供应商不在通知现场时，该供应商排序到最后磋商，按照签到的顺序由其下一位供应商先参与磋商。</w:t>
            </w:r>
          </w:p>
          <w:p w14:paraId="1244EB2A">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随机排序。</w:t>
            </w:r>
          </w:p>
          <w:p w14:paraId="2614EFAF">
            <w:pPr>
              <w:pStyle w:val="10"/>
              <w:keepNext w:val="0"/>
              <w:keepLines w:val="0"/>
              <w:pageBreakBefore w:val="0"/>
              <w:widowControl w:val="0"/>
              <w:kinsoku/>
              <w:wordWrap/>
              <w:overflowPunct/>
              <w:topLinePunct w:val="0"/>
              <w:bidi w:val="0"/>
              <w:adjustRightInd/>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参与磋商前，磋商小组</w:t>
            </w:r>
            <w:r>
              <w:rPr>
                <w:rFonts w:hint="eastAsia" w:ascii="宋体" w:hAnsi="宋体" w:eastAsia="宋体" w:cs="宋体"/>
                <w:b/>
                <w:color w:val="auto"/>
                <w:sz w:val="21"/>
                <w:szCs w:val="21"/>
                <w:highlight w:val="none"/>
                <w:lang w:eastAsia="zh-CN"/>
              </w:rPr>
              <w:t>如有要求，</w:t>
            </w:r>
            <w:r>
              <w:rPr>
                <w:rFonts w:hint="eastAsia" w:ascii="宋体" w:hAnsi="宋体" w:eastAsia="宋体" w:cs="宋体"/>
                <w:b/>
                <w:color w:val="auto"/>
                <w:sz w:val="21"/>
                <w:szCs w:val="21"/>
                <w:highlight w:val="none"/>
              </w:rPr>
              <w:t>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6F0BF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0999B8A9">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7</w:t>
            </w:r>
          </w:p>
        </w:tc>
        <w:tc>
          <w:tcPr>
            <w:tcW w:w="2548" w:type="dxa"/>
            <w:noWrap w:val="0"/>
            <w:vAlign w:val="center"/>
          </w:tcPr>
          <w:p w14:paraId="2C3EEE86">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6853" w:type="dxa"/>
            <w:noWrap w:val="0"/>
            <w:vAlign w:val="center"/>
          </w:tcPr>
          <w:p w14:paraId="25B47B93">
            <w:pPr>
              <w:keepNext w:val="0"/>
              <w:keepLines w:val="0"/>
              <w:pageBreakBefore w:val="0"/>
              <w:widowControl w:val="0"/>
              <w:kinsoku/>
              <w:wordWrap/>
              <w:overflowPunct/>
              <w:topLinePunct w:val="0"/>
              <w:bidi w:val="0"/>
              <w:adjustRightInd/>
              <w:spacing w:line="360" w:lineRule="auto"/>
              <w:ind w:firstLine="0" w:firstLineChars="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 xml:space="preserve"> </w:t>
            </w:r>
            <w:r>
              <w:rPr>
                <w:rFonts w:hint="eastAsia" w:ascii="宋体" w:hAnsi="宋体" w:eastAsia="宋体" w:cs="宋体"/>
                <w:b/>
                <w:bCs/>
                <w:color w:val="auto"/>
                <w:sz w:val="21"/>
                <w:szCs w:val="21"/>
                <w:highlight w:val="none"/>
                <w:lang w:eastAsia="zh-CN"/>
              </w:rPr>
              <w:t>本项目不需要缴</w:t>
            </w:r>
            <w:r>
              <w:rPr>
                <w:rFonts w:hint="eastAsia" w:ascii="宋体" w:hAnsi="宋体" w:eastAsia="宋体" w:cs="宋体"/>
                <w:b/>
                <w:bCs/>
                <w:color w:val="auto"/>
                <w:kern w:val="0"/>
                <w:sz w:val="21"/>
                <w:szCs w:val="21"/>
                <w:highlight w:val="none"/>
              </w:rPr>
              <w:t>纳</w:t>
            </w:r>
            <w:r>
              <w:rPr>
                <w:rFonts w:hint="eastAsia" w:ascii="宋体" w:hAnsi="宋体" w:eastAsia="宋体" w:cs="宋体"/>
                <w:b/>
                <w:bCs/>
                <w:color w:val="auto"/>
                <w:sz w:val="21"/>
                <w:szCs w:val="21"/>
                <w:highlight w:val="none"/>
              </w:rPr>
              <w:t>履约</w:t>
            </w:r>
            <w:r>
              <w:rPr>
                <w:rFonts w:hint="eastAsia" w:ascii="宋体" w:hAnsi="宋体" w:eastAsia="宋体" w:cs="宋体"/>
                <w:b/>
                <w:bCs/>
                <w:color w:val="auto"/>
                <w:sz w:val="21"/>
                <w:szCs w:val="21"/>
                <w:highlight w:val="none"/>
                <w:lang w:eastAsia="zh-CN"/>
              </w:rPr>
              <w:t>保证金。</w:t>
            </w:r>
          </w:p>
          <w:p w14:paraId="669CEA5C">
            <w:pPr>
              <w:keepNext w:val="0"/>
              <w:keepLines w:val="0"/>
              <w:pageBreakBefore w:val="0"/>
              <w:widowControl w:val="0"/>
              <w:kinsoku/>
              <w:wordWrap/>
              <w:overflowPunct/>
              <w:topLinePunct w:val="0"/>
              <w:bidi w:val="0"/>
              <w:adjustRightInd/>
              <w:spacing w:line="360" w:lineRule="auto"/>
              <w:ind w:firstLine="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 xml:space="preserve"> </w:t>
            </w:r>
            <w:r>
              <w:rPr>
                <w:rFonts w:hint="eastAsia" w:ascii="宋体" w:hAnsi="宋体" w:eastAsia="宋体" w:cs="宋体"/>
                <w:b/>
                <w:bCs/>
                <w:color w:val="auto"/>
                <w:sz w:val="21"/>
                <w:szCs w:val="21"/>
                <w:highlight w:val="none"/>
                <w:lang w:eastAsia="zh-CN"/>
              </w:rPr>
              <w:t>本项目需要缴</w:t>
            </w:r>
            <w:r>
              <w:rPr>
                <w:rFonts w:hint="eastAsia" w:ascii="宋体" w:hAnsi="宋体" w:eastAsia="宋体" w:cs="宋体"/>
                <w:b/>
                <w:bCs/>
                <w:color w:val="auto"/>
                <w:kern w:val="0"/>
                <w:sz w:val="21"/>
                <w:szCs w:val="21"/>
                <w:highlight w:val="none"/>
              </w:rPr>
              <w:t>纳</w:t>
            </w:r>
            <w:r>
              <w:rPr>
                <w:rFonts w:hint="eastAsia" w:ascii="宋体" w:hAnsi="宋体" w:eastAsia="宋体" w:cs="宋体"/>
                <w:b/>
                <w:bCs/>
                <w:color w:val="auto"/>
                <w:sz w:val="21"/>
                <w:szCs w:val="21"/>
                <w:highlight w:val="none"/>
              </w:rPr>
              <w:t>履约</w:t>
            </w:r>
            <w:r>
              <w:rPr>
                <w:rFonts w:hint="eastAsia" w:ascii="宋体" w:hAnsi="宋体" w:eastAsia="宋体" w:cs="宋体"/>
                <w:b/>
                <w:bCs/>
                <w:color w:val="auto"/>
                <w:sz w:val="21"/>
                <w:szCs w:val="21"/>
                <w:highlight w:val="none"/>
                <w:lang w:eastAsia="zh-CN"/>
              </w:rPr>
              <w:t>保证金，</w:t>
            </w:r>
            <w:r>
              <w:rPr>
                <w:rFonts w:hint="eastAsia" w:ascii="宋体" w:hAnsi="宋体" w:eastAsia="宋体" w:cs="宋体"/>
                <w:b/>
                <w:bCs/>
                <w:color w:val="auto"/>
                <w:sz w:val="21"/>
                <w:szCs w:val="21"/>
                <w:highlight w:val="none"/>
              </w:rPr>
              <w:t>相关要求</w:t>
            </w:r>
            <w:r>
              <w:rPr>
                <w:rFonts w:hint="eastAsia" w:ascii="宋体" w:hAnsi="宋体" w:eastAsia="宋体" w:cs="宋体"/>
                <w:b/>
                <w:bCs/>
                <w:color w:val="auto"/>
                <w:sz w:val="21"/>
                <w:szCs w:val="21"/>
                <w:highlight w:val="none"/>
                <w:lang w:eastAsia="zh-CN"/>
              </w:rPr>
              <w:t>如下</w:t>
            </w:r>
            <w:r>
              <w:rPr>
                <w:rFonts w:hint="eastAsia" w:ascii="宋体" w:hAnsi="宋体" w:eastAsia="宋体" w:cs="宋体"/>
                <w:b/>
                <w:bCs/>
                <w:color w:val="auto"/>
                <w:sz w:val="21"/>
                <w:szCs w:val="21"/>
                <w:highlight w:val="none"/>
              </w:rPr>
              <w:t>：</w:t>
            </w:r>
          </w:p>
          <w:p w14:paraId="1AA1D60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iCs/>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履约保证金金额：</w:t>
            </w:r>
            <w:r>
              <w:rPr>
                <w:rFonts w:hint="eastAsia" w:ascii="宋体" w:hAnsi="宋体" w:eastAsia="宋体" w:cs="宋体"/>
                <w:color w:val="auto"/>
                <w:sz w:val="21"/>
                <w:szCs w:val="21"/>
                <w:highlight w:val="none"/>
              </w:rPr>
              <w:t>按</w:t>
            </w:r>
            <w:r>
              <w:rPr>
                <w:rFonts w:hint="eastAsia" w:ascii="宋体" w:hAnsi="宋体" w:eastAsia="宋体" w:cs="宋体"/>
                <w:color w:val="auto"/>
                <w:sz w:val="21"/>
                <w:szCs w:val="21"/>
                <w:highlight w:val="none"/>
                <w:lang w:eastAsia="zh-CN"/>
              </w:rPr>
              <w:t>项目成交总</w:t>
            </w:r>
            <w:r>
              <w:rPr>
                <w:rFonts w:hint="eastAsia" w:ascii="宋体" w:hAnsi="宋体" w:eastAsia="宋体" w:cs="宋体"/>
                <w:color w:val="auto"/>
                <w:sz w:val="21"/>
                <w:szCs w:val="21"/>
                <w:highlight w:val="none"/>
              </w:rPr>
              <w:t>金额的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p>
          <w:p w14:paraId="6C5C9473">
            <w:pPr>
              <w:keepNext w:val="0"/>
              <w:keepLines w:val="0"/>
              <w:pageBreakBefore w:val="0"/>
              <w:widowControl w:val="0"/>
              <w:kinsoku/>
              <w:wordWrap/>
              <w:overflowPunct/>
              <w:topLinePunct w:val="0"/>
              <w:bidi w:val="0"/>
              <w:adjustRightInd/>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履约保证金提交方式：</w:t>
            </w:r>
            <w:r>
              <w:rPr>
                <w:rFonts w:hint="eastAsia" w:ascii="宋体" w:hAnsi="宋体" w:eastAsia="宋体" w:cs="宋体"/>
                <w:color w:val="auto"/>
                <w:sz w:val="21"/>
                <w:szCs w:val="21"/>
                <w:highlight w:val="none"/>
                <w:lang w:eastAsia="zh-CN"/>
              </w:rPr>
              <w:t>成交供应商在</w:t>
            </w:r>
            <w:r>
              <w:rPr>
                <w:rFonts w:hint="eastAsia" w:ascii="宋体" w:hAnsi="宋体" w:eastAsia="宋体" w:cs="宋体"/>
                <w:color w:val="auto"/>
                <w:kern w:val="0"/>
                <w:sz w:val="21"/>
                <w:szCs w:val="21"/>
                <w:highlight w:val="none"/>
                <w:u w:val="single"/>
              </w:rPr>
              <w:t>签订合同</w:t>
            </w:r>
            <w:r>
              <w:rPr>
                <w:rFonts w:hint="eastAsia" w:ascii="宋体" w:hAnsi="宋体" w:eastAsia="宋体" w:cs="宋体"/>
                <w:color w:val="auto"/>
                <w:sz w:val="21"/>
                <w:szCs w:val="21"/>
                <w:highlight w:val="none"/>
                <w:u w:val="single"/>
                <w:lang w:val="en-US" w:eastAsia="zh-CN"/>
              </w:rPr>
              <w:t>前</w:t>
            </w:r>
            <w:r>
              <w:rPr>
                <w:rFonts w:hint="eastAsia" w:ascii="宋体" w:hAnsi="宋体" w:eastAsia="宋体" w:cs="宋体"/>
                <w:color w:val="auto"/>
                <w:sz w:val="21"/>
                <w:szCs w:val="21"/>
                <w:highlight w:val="none"/>
                <w:u w:val="none"/>
                <w:lang w:val="en-US" w:eastAsia="zh-CN"/>
              </w:rPr>
              <w:t>以</w:t>
            </w:r>
            <w:r>
              <w:rPr>
                <w:rFonts w:hint="eastAsia" w:ascii="宋体" w:hAnsi="宋体" w:eastAsia="宋体" w:cs="宋体"/>
                <w:color w:val="auto"/>
                <w:sz w:val="21"/>
                <w:szCs w:val="21"/>
                <w:highlight w:val="none"/>
              </w:rPr>
              <w:t>银行转账、支票、汇票、本票或者金融机构、担保机构出具的保函等非现金方式</w:t>
            </w:r>
            <w:r>
              <w:rPr>
                <w:rFonts w:hint="eastAsia" w:ascii="宋体" w:hAnsi="宋体" w:eastAsia="宋体" w:cs="宋体"/>
                <w:color w:val="auto"/>
                <w:sz w:val="21"/>
                <w:szCs w:val="21"/>
                <w:highlight w:val="none"/>
                <w:lang w:eastAsia="zh-CN"/>
              </w:rPr>
              <w:t>向</w:t>
            </w:r>
            <w:r>
              <w:rPr>
                <w:rFonts w:hint="eastAsia" w:ascii="宋体" w:hAnsi="宋体" w:eastAsia="宋体" w:cs="宋体"/>
                <w:color w:val="auto"/>
                <w:sz w:val="21"/>
                <w:szCs w:val="21"/>
                <w:highlight w:val="none"/>
                <w:u w:val="single"/>
                <w:lang w:val="en-US" w:eastAsia="zh-CN"/>
              </w:rPr>
              <w:t>采购人</w:t>
            </w:r>
            <w:r>
              <w:rPr>
                <w:rFonts w:hint="eastAsia" w:ascii="宋体" w:hAnsi="宋体" w:eastAsia="宋体" w:cs="宋体"/>
                <w:color w:val="auto"/>
                <w:sz w:val="21"/>
                <w:szCs w:val="21"/>
                <w:highlight w:val="none"/>
                <w:u w:val="none"/>
                <w:lang w:val="en-US" w:eastAsia="zh-CN"/>
              </w:rPr>
              <w:t>提交</w:t>
            </w:r>
            <w:r>
              <w:rPr>
                <w:rFonts w:hint="eastAsia" w:ascii="宋体" w:hAnsi="宋体" w:eastAsia="宋体" w:cs="宋体"/>
                <w:color w:val="auto"/>
                <w:sz w:val="21"/>
                <w:szCs w:val="21"/>
                <w:highlight w:val="none"/>
              </w:rPr>
              <w:t>。</w:t>
            </w:r>
          </w:p>
          <w:p w14:paraId="0343463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履约保证金退付方式、时间及条件：</w:t>
            </w:r>
            <w:r>
              <w:rPr>
                <w:rFonts w:hint="eastAsia" w:ascii="宋体" w:hAnsi="宋体" w:eastAsia="宋体" w:cs="宋体"/>
                <w:color w:val="auto"/>
                <w:sz w:val="21"/>
                <w:szCs w:val="21"/>
                <w:highlight w:val="none"/>
                <w:u w:val="single"/>
              </w:rPr>
              <w:t xml:space="preserve">                      。</w:t>
            </w:r>
            <w:r>
              <w:rPr>
                <w:rFonts w:hint="eastAsia" w:ascii="宋体" w:hAnsi="宋体" w:eastAsia="宋体" w:cs="宋体"/>
                <w:b w:val="0"/>
                <w:bCs w:val="0"/>
                <w:i/>
                <w:iCs/>
                <w:color w:val="auto"/>
                <w:sz w:val="21"/>
                <w:szCs w:val="21"/>
                <w:highlight w:val="none"/>
              </w:rPr>
              <w:t>（注：验收合格的政府采购项目，采购人应当按照合同约定的退还方式，在5个工作日内办理履约保证金退还手续。）</w:t>
            </w:r>
          </w:p>
          <w:p w14:paraId="48966986">
            <w:pPr>
              <w:keepNext w:val="0"/>
              <w:keepLines w:val="0"/>
              <w:pageBreakBefore w:val="0"/>
              <w:widowControl w:val="0"/>
              <w:kinsoku/>
              <w:wordWrap/>
              <w:overflowPunct/>
              <w:topLinePunct w:val="0"/>
              <w:bidi w:val="0"/>
              <w:adjustRightInd/>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缴纳</w:t>
            </w:r>
            <w:r>
              <w:rPr>
                <w:rFonts w:hint="eastAsia" w:ascii="宋体" w:hAnsi="宋体" w:eastAsia="宋体" w:cs="宋体"/>
                <w:color w:val="auto"/>
                <w:sz w:val="21"/>
                <w:szCs w:val="21"/>
                <w:highlight w:val="none"/>
              </w:rPr>
              <w:t>履约保证金指定账户</w:t>
            </w:r>
            <w:r>
              <w:rPr>
                <w:rFonts w:hint="eastAsia" w:ascii="宋体" w:hAnsi="宋体" w:eastAsia="宋体" w:cs="宋体"/>
                <w:color w:val="auto"/>
                <w:sz w:val="21"/>
                <w:szCs w:val="21"/>
                <w:highlight w:val="none"/>
                <w:lang w:eastAsia="zh-CN"/>
              </w:rPr>
              <w:t>的信息</w:t>
            </w:r>
            <w:r>
              <w:rPr>
                <w:rFonts w:hint="eastAsia" w:ascii="宋体" w:hAnsi="宋体" w:eastAsia="宋体" w:cs="宋体"/>
                <w:color w:val="auto"/>
                <w:sz w:val="21"/>
                <w:szCs w:val="21"/>
                <w:highlight w:val="none"/>
              </w:rPr>
              <w:t>：</w:t>
            </w:r>
          </w:p>
          <w:p w14:paraId="1F1B2567">
            <w:pPr>
              <w:keepNext w:val="0"/>
              <w:keepLines w:val="0"/>
              <w:pageBreakBefore w:val="0"/>
              <w:widowControl w:val="0"/>
              <w:kinsoku/>
              <w:wordWrap/>
              <w:overflowPunct/>
              <w:topLinePunct w:val="0"/>
              <w:bidi w:val="0"/>
              <w:adjustRightInd/>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r>
              <w:rPr>
                <w:rFonts w:hint="eastAsia" w:ascii="宋体" w:hAnsi="宋体" w:eastAsia="宋体" w:cs="宋体"/>
                <w:color w:val="auto"/>
                <w:sz w:val="21"/>
                <w:szCs w:val="21"/>
                <w:highlight w:val="none"/>
                <w:u w:val="single"/>
              </w:rPr>
              <w:t xml:space="preserve">                </w:t>
            </w:r>
          </w:p>
          <w:p w14:paraId="58392D12">
            <w:pPr>
              <w:keepNext w:val="0"/>
              <w:keepLines w:val="0"/>
              <w:pageBreakBefore w:val="0"/>
              <w:widowControl w:val="0"/>
              <w:kinsoku/>
              <w:wordWrap/>
              <w:overflowPunct/>
              <w:topLinePunct w:val="0"/>
              <w:bidi w:val="0"/>
              <w:adjustRightInd/>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p w14:paraId="74C90FC4">
            <w:pPr>
              <w:keepNext w:val="0"/>
              <w:keepLines w:val="0"/>
              <w:pageBreakBefore w:val="0"/>
              <w:widowControl w:val="0"/>
              <w:kinsoku/>
              <w:wordWrap/>
              <w:overflowPunct/>
              <w:topLinePunct w:val="0"/>
              <w:bidi w:val="0"/>
              <w:adjustRightInd/>
              <w:snapToGrid/>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银行账号：</w:t>
            </w:r>
            <w:r>
              <w:rPr>
                <w:rFonts w:hint="eastAsia" w:ascii="宋体" w:hAnsi="宋体" w:eastAsia="宋体" w:cs="宋体"/>
                <w:color w:val="auto"/>
                <w:sz w:val="21"/>
                <w:szCs w:val="21"/>
                <w:highlight w:val="none"/>
                <w:u w:val="single"/>
              </w:rPr>
              <w:t xml:space="preserve">                </w:t>
            </w:r>
          </w:p>
          <w:p w14:paraId="11694B6C">
            <w:pPr>
              <w:keepNext w:val="0"/>
              <w:keepLines w:val="0"/>
              <w:pageBreakBefore w:val="0"/>
              <w:widowControl w:val="0"/>
              <w:kinsoku/>
              <w:wordWrap/>
              <w:overflowPunct/>
              <w:topLinePunct w:val="0"/>
              <w:bidi w:val="0"/>
              <w:adjustRightInd/>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开户行行号：</w:t>
            </w:r>
            <w:r>
              <w:rPr>
                <w:rFonts w:hint="eastAsia" w:ascii="宋体" w:hAnsi="宋体" w:eastAsia="宋体" w:cs="宋体"/>
                <w:color w:val="auto"/>
                <w:sz w:val="21"/>
                <w:szCs w:val="21"/>
                <w:highlight w:val="none"/>
                <w:u w:val="single"/>
              </w:rPr>
              <w:t xml:space="preserve">              </w:t>
            </w:r>
          </w:p>
          <w:p w14:paraId="43B68C7A">
            <w:pPr>
              <w:keepNext w:val="0"/>
              <w:keepLines w:val="0"/>
              <w:pageBreakBefore w:val="0"/>
              <w:widowControl w:val="0"/>
              <w:kinsoku/>
              <w:wordWrap/>
              <w:overflowPunct/>
              <w:topLinePunct w:val="0"/>
              <w:bidi w:val="0"/>
              <w:adjustRightInd/>
              <w:spacing w:line="360" w:lineRule="auto"/>
              <w:rPr>
                <w:rFonts w:hint="eastAsia" w:ascii="宋体" w:hAnsi="宋体" w:eastAsia="宋体" w:cs="宋体"/>
                <w:b/>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b/>
                <w:color w:val="auto"/>
                <w:sz w:val="21"/>
                <w:szCs w:val="21"/>
                <w:highlight w:val="none"/>
                <w:lang w:val="en-US" w:eastAsia="zh-CN"/>
              </w:rPr>
              <w:t>1.履约保证金不足额缴纳的（包含保函额度不足的），或者不按规定提交方式提交的，或者保函有效期低于合同履行期限的（即合同中规定的当事人履行自己的义务，如交付标的物、价款或者报酬，履行劳务、完成工作的时间界限）的，视为未按规定提交履约保证金。</w:t>
            </w:r>
            <w:r>
              <w:rPr>
                <w:rFonts w:hint="eastAsia" w:ascii="宋体" w:hAnsi="宋体" w:eastAsia="宋体" w:cs="宋体"/>
                <w:b/>
                <w:color w:val="auto"/>
                <w:sz w:val="21"/>
                <w:szCs w:val="21"/>
                <w:highlight w:val="none"/>
                <w:lang w:val="en-US" w:eastAsia="zh-CN"/>
              </w:rPr>
              <w:br w:type="textWrapping"/>
            </w:r>
            <w:r>
              <w:rPr>
                <w:rFonts w:hint="eastAsia" w:ascii="宋体" w:hAnsi="宋体" w:eastAsia="宋体" w:cs="宋体"/>
                <w:b/>
                <w:color w:val="auto"/>
                <w:sz w:val="21"/>
                <w:szCs w:val="21"/>
                <w:highlight w:val="none"/>
                <w:lang w:val="en-US" w:eastAsia="zh-CN"/>
              </w:rPr>
              <w:t>2.采用金融、担保机构出具保函的，必须为无条件保函，否则视为未按规定提交履约保证金。</w:t>
            </w:r>
          </w:p>
          <w:p w14:paraId="08677DE2">
            <w:pPr>
              <w:keepNext w:val="0"/>
              <w:keepLines w:val="0"/>
              <w:pageBreakBefore w:val="0"/>
              <w:widowControl w:val="0"/>
              <w:kinsoku/>
              <w:wordWrap/>
              <w:overflowPunct/>
              <w:topLinePunct w:val="0"/>
              <w:bidi w:val="0"/>
              <w:adjustRightInd/>
              <w:snapToGrid/>
              <w:spacing w:line="36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.供应商为联合体的，可由联合体任意一方或者联合体各方共同提交的履约保证金，视为有效履约保证金。</w:t>
            </w:r>
            <w:r>
              <w:rPr>
                <w:rFonts w:hint="eastAsia" w:ascii="宋体" w:hAnsi="宋体" w:eastAsia="宋体" w:cs="宋体"/>
                <w:color w:val="auto"/>
                <w:sz w:val="21"/>
                <w:szCs w:val="21"/>
                <w:highlight w:val="none"/>
              </w:rPr>
              <w:t xml:space="preserve"> </w:t>
            </w:r>
          </w:p>
        </w:tc>
      </w:tr>
      <w:tr w14:paraId="52362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39506451">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.5</w:t>
            </w:r>
          </w:p>
        </w:tc>
        <w:tc>
          <w:tcPr>
            <w:tcW w:w="2548" w:type="dxa"/>
            <w:noWrap w:val="0"/>
            <w:vAlign w:val="center"/>
          </w:tcPr>
          <w:p w14:paraId="7B38AE7B">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签订合同携带的材料</w:t>
            </w:r>
          </w:p>
        </w:tc>
        <w:tc>
          <w:tcPr>
            <w:tcW w:w="6853" w:type="dxa"/>
            <w:noWrap w:val="0"/>
            <w:vAlign w:val="center"/>
          </w:tcPr>
          <w:p w14:paraId="19A50CD8">
            <w:pPr>
              <w:keepNext w:val="0"/>
              <w:keepLines w:val="0"/>
              <w:pageBreakBefore w:val="0"/>
              <w:widowControl w:val="0"/>
              <w:kinsoku/>
              <w:wordWrap/>
              <w:overflowPunct/>
              <w:topLinePunct w:val="0"/>
              <w:autoSpaceDE w:val="0"/>
              <w:autoSpaceDN w:val="0"/>
              <w:bidi w:val="0"/>
              <w:adjustRightInd/>
              <w:snapToGrid w:val="0"/>
              <w:spacing w:line="36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委托代理人负责签订合同的，须携带</w:t>
            </w:r>
            <w:r>
              <w:rPr>
                <w:rFonts w:hint="eastAsia" w:ascii="宋体" w:hAnsi="宋体" w:eastAsia="宋体" w:cs="宋体"/>
                <w:color w:val="auto"/>
                <w:sz w:val="21"/>
                <w:szCs w:val="21"/>
                <w:highlight w:val="none"/>
                <w:lang w:eastAsia="zh-CN"/>
              </w:rPr>
              <w:t>有效的法定代表人</w:t>
            </w:r>
            <w:r>
              <w:rPr>
                <w:rFonts w:hint="eastAsia" w:ascii="宋体" w:hAnsi="宋体" w:eastAsia="宋体" w:cs="宋体"/>
                <w:color w:val="auto"/>
                <w:sz w:val="21"/>
                <w:szCs w:val="21"/>
                <w:highlight w:val="none"/>
              </w:rPr>
              <w:t>授权委托书及</w:t>
            </w:r>
            <w:r>
              <w:rPr>
                <w:rFonts w:hint="eastAsia" w:ascii="宋体" w:hAnsi="宋体" w:eastAsia="宋体" w:cs="宋体"/>
                <w:color w:val="auto"/>
                <w:sz w:val="21"/>
                <w:szCs w:val="21"/>
                <w:highlight w:val="none"/>
                <w:lang w:eastAsia="zh-CN"/>
              </w:rPr>
              <w:t>其</w:t>
            </w:r>
            <w:r>
              <w:rPr>
                <w:rFonts w:hint="eastAsia" w:ascii="宋体" w:hAnsi="宋体" w:eastAsia="宋体" w:cs="宋体"/>
                <w:color w:val="auto"/>
                <w:sz w:val="21"/>
                <w:szCs w:val="21"/>
                <w:highlight w:val="none"/>
              </w:rPr>
              <w:t>委托代理人身份证原件等</w:t>
            </w:r>
            <w:r>
              <w:rPr>
                <w:rFonts w:hint="eastAsia" w:ascii="宋体" w:hAnsi="宋体" w:eastAsia="宋体" w:cs="宋体"/>
                <w:color w:val="auto"/>
                <w:sz w:val="21"/>
                <w:szCs w:val="21"/>
                <w:highlight w:val="none"/>
                <w:lang w:eastAsia="zh-CN"/>
              </w:rPr>
              <w:t>其他</w:t>
            </w:r>
            <w:r>
              <w:rPr>
                <w:rFonts w:hint="eastAsia" w:ascii="宋体" w:hAnsi="宋体" w:eastAsia="宋体" w:cs="宋体"/>
                <w:color w:val="auto"/>
                <w:sz w:val="21"/>
                <w:szCs w:val="21"/>
                <w:highlight w:val="none"/>
              </w:rPr>
              <w:t>资格证件。</w:t>
            </w:r>
          </w:p>
          <w:p w14:paraId="6D839DC4">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b/>
                <w:bCs/>
                <w:i/>
                <w:iCs/>
                <w:color w:val="auto"/>
                <w:sz w:val="21"/>
                <w:szCs w:val="21"/>
                <w:highlight w:val="none"/>
                <w:lang w:eastAsia="zh-CN"/>
              </w:rPr>
            </w:pPr>
            <w:r>
              <w:rPr>
                <w:rFonts w:hint="eastAsia" w:ascii="宋体" w:hAnsi="宋体" w:eastAsia="宋体" w:cs="宋体"/>
                <w:color w:val="auto"/>
                <w:sz w:val="21"/>
                <w:szCs w:val="21"/>
                <w:highlight w:val="none"/>
              </w:rPr>
              <w:t>法定代表人负责签订合同的，须携带法定代表人身份证明原件及身份证原件等</w:t>
            </w:r>
            <w:r>
              <w:rPr>
                <w:rFonts w:hint="eastAsia" w:ascii="宋体" w:hAnsi="宋体" w:eastAsia="宋体" w:cs="宋体"/>
                <w:color w:val="auto"/>
                <w:sz w:val="21"/>
                <w:szCs w:val="21"/>
                <w:highlight w:val="none"/>
                <w:lang w:eastAsia="zh-CN"/>
              </w:rPr>
              <w:t>其他</w:t>
            </w:r>
            <w:r>
              <w:rPr>
                <w:rFonts w:hint="eastAsia" w:ascii="宋体" w:hAnsi="宋体" w:eastAsia="宋体" w:cs="宋体"/>
                <w:color w:val="auto"/>
                <w:sz w:val="21"/>
                <w:szCs w:val="21"/>
                <w:highlight w:val="none"/>
              </w:rPr>
              <w:t>证明材料。</w:t>
            </w:r>
          </w:p>
        </w:tc>
      </w:tr>
      <w:tr w14:paraId="04F53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restart"/>
            <w:noWrap w:val="0"/>
            <w:vAlign w:val="center"/>
          </w:tcPr>
          <w:p w14:paraId="59A581CC">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.2</w:t>
            </w:r>
          </w:p>
        </w:tc>
        <w:tc>
          <w:tcPr>
            <w:tcW w:w="2548" w:type="dxa"/>
            <w:noWrap w:val="0"/>
            <w:vAlign w:val="center"/>
          </w:tcPr>
          <w:p w14:paraId="196EA30B">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接收质疑函方式</w:t>
            </w:r>
          </w:p>
        </w:tc>
        <w:tc>
          <w:tcPr>
            <w:tcW w:w="6853" w:type="dxa"/>
            <w:noWrap w:val="0"/>
            <w:vAlign w:val="center"/>
          </w:tcPr>
          <w:p w14:paraId="6C32F061">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以书面形式</w:t>
            </w:r>
          </w:p>
        </w:tc>
      </w:tr>
      <w:tr w14:paraId="79F73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noWrap w:val="0"/>
            <w:vAlign w:val="center"/>
          </w:tcPr>
          <w:p w14:paraId="1231FA37">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color w:val="auto"/>
                <w:sz w:val="21"/>
                <w:szCs w:val="21"/>
                <w:highlight w:val="none"/>
              </w:rPr>
            </w:pPr>
          </w:p>
        </w:tc>
        <w:tc>
          <w:tcPr>
            <w:tcW w:w="2548" w:type="dxa"/>
            <w:noWrap w:val="0"/>
            <w:vAlign w:val="center"/>
          </w:tcPr>
          <w:p w14:paraId="065625FF">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质疑联系部门及联系</w:t>
            </w:r>
          </w:p>
          <w:p w14:paraId="74F0CAE4">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方式</w:t>
            </w:r>
          </w:p>
        </w:tc>
        <w:tc>
          <w:tcPr>
            <w:tcW w:w="6853" w:type="dxa"/>
            <w:noWrap w:val="0"/>
            <w:vAlign w:val="center"/>
          </w:tcPr>
          <w:p w14:paraId="71EDDC38">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bookmarkStart w:id="59" w:name="PO_3000001868_PM031_3"/>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名称：</w:t>
            </w:r>
            <w:bookmarkEnd w:id="59"/>
            <w:r>
              <w:rPr>
                <w:rFonts w:hint="eastAsia" w:ascii="宋体" w:hAnsi="宋体" w:eastAsia="宋体" w:cs="宋体"/>
                <w:i w:val="0"/>
                <w:iCs w:val="0"/>
                <w:color w:val="auto"/>
                <w:sz w:val="21"/>
                <w:szCs w:val="21"/>
                <w:highlight w:val="none"/>
                <w:lang w:eastAsia="zh-CN"/>
              </w:rPr>
              <w:t>（采购人）</w:t>
            </w:r>
          </w:p>
          <w:p w14:paraId="038BEA39">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lang w:val="en-US" w:eastAsia="zh-CN"/>
              </w:rPr>
              <w:t>/</w:t>
            </w:r>
          </w:p>
          <w:p w14:paraId="2CB6E8AD">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通讯地址：</w:t>
            </w:r>
            <w:r>
              <w:rPr>
                <w:rFonts w:hint="eastAsia" w:ascii="宋体" w:hAnsi="宋体" w:eastAsia="宋体" w:cs="宋体"/>
                <w:color w:val="auto"/>
                <w:sz w:val="21"/>
                <w:szCs w:val="21"/>
                <w:highlight w:val="none"/>
                <w:lang w:val="en-US" w:eastAsia="zh-CN"/>
              </w:rPr>
              <w:t>/</w:t>
            </w:r>
          </w:p>
          <w:p w14:paraId="39701B07">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名称：广西科联招标中心有限公司</w:t>
            </w:r>
          </w:p>
          <w:p w14:paraId="37AFFDFB">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联系电话：0771-3486228</w:t>
            </w:r>
          </w:p>
          <w:p w14:paraId="4FBF9D66">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通讯地址：广西科联招标中心有限公司10</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室（广西南宁市大学东路170号）</w:t>
            </w:r>
          </w:p>
        </w:tc>
      </w:tr>
      <w:tr w14:paraId="79451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noWrap w:val="0"/>
            <w:vAlign w:val="center"/>
          </w:tcPr>
          <w:p w14:paraId="13012050">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color w:val="auto"/>
                <w:sz w:val="21"/>
                <w:szCs w:val="21"/>
                <w:highlight w:val="none"/>
              </w:rPr>
            </w:pPr>
          </w:p>
        </w:tc>
        <w:tc>
          <w:tcPr>
            <w:tcW w:w="2548" w:type="dxa"/>
            <w:noWrap w:val="0"/>
            <w:vAlign w:val="center"/>
          </w:tcPr>
          <w:p w14:paraId="10816FDC">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现场提交质疑办理业务</w:t>
            </w:r>
          </w:p>
          <w:p w14:paraId="75E898D2">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p>
        </w:tc>
        <w:tc>
          <w:tcPr>
            <w:tcW w:w="6853" w:type="dxa"/>
            <w:noWrap w:val="0"/>
            <w:vAlign w:val="center"/>
          </w:tcPr>
          <w:p w14:paraId="5302FB0B">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质疑期内每个工作日</w:t>
            </w:r>
            <w:r>
              <w:rPr>
                <w:rFonts w:hint="eastAsia" w:ascii="宋体" w:hAnsi="宋体" w:eastAsia="宋体" w:cs="宋体"/>
                <w:color w:val="auto"/>
                <w:sz w:val="21"/>
                <w:szCs w:val="21"/>
                <w:highlight w:val="none"/>
                <w:lang w:val="en-US" w:eastAsia="zh-CN"/>
              </w:rPr>
              <w:t>（北京时间）</w:t>
            </w:r>
            <w:r>
              <w:rPr>
                <w:rFonts w:hint="eastAsia" w:ascii="宋体" w:hAnsi="宋体" w:eastAsia="宋体" w:cs="宋体"/>
                <w:color w:val="auto"/>
                <w:sz w:val="21"/>
                <w:szCs w:val="21"/>
                <w:highlight w:val="none"/>
              </w:rPr>
              <w:t>上午</w:t>
            </w:r>
            <w:r>
              <w:rPr>
                <w:rFonts w:hint="eastAsia" w:ascii="宋体" w:hAnsi="宋体" w:eastAsia="宋体" w:cs="宋体"/>
                <w:color w:val="auto"/>
                <w:sz w:val="21"/>
                <w:szCs w:val="21"/>
                <w:highlight w:val="none"/>
                <w:u w:val="single"/>
                <w:lang w:val="en-US"/>
              </w:rPr>
              <w:t>8</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lang w:val="en-US"/>
              </w:rPr>
              <w:t>00</w:t>
            </w:r>
            <w:r>
              <w:rPr>
                <w:rFonts w:hint="eastAsia" w:ascii="宋体" w:hAnsi="宋体" w:eastAsia="宋体" w:cs="宋体"/>
                <w:color w:val="auto"/>
                <w:sz w:val="21"/>
                <w:szCs w:val="21"/>
                <w:highlight w:val="none"/>
              </w:rPr>
              <w:t>分到</w:t>
            </w:r>
            <w:r>
              <w:rPr>
                <w:rFonts w:hint="eastAsia" w:ascii="宋体" w:hAnsi="宋体" w:eastAsia="宋体" w:cs="宋体"/>
                <w:color w:val="auto"/>
                <w:sz w:val="21"/>
                <w:szCs w:val="21"/>
                <w:highlight w:val="none"/>
                <w:u w:val="single"/>
                <w:lang w:val="en-US"/>
              </w:rPr>
              <w:t>12</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lang w:val="en-US"/>
              </w:rPr>
              <w:t>00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下午</w:t>
            </w:r>
            <w:r>
              <w:rPr>
                <w:rFonts w:hint="eastAsia" w:ascii="宋体" w:hAnsi="宋体" w:eastAsia="宋体" w:cs="宋体"/>
                <w:color w:val="auto"/>
                <w:sz w:val="21"/>
                <w:szCs w:val="21"/>
                <w:highlight w:val="none"/>
                <w:u w:val="single"/>
                <w:lang w:val="en-US"/>
              </w:rPr>
              <w:t>15</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分到</w:t>
            </w:r>
            <w:r>
              <w:rPr>
                <w:rFonts w:hint="eastAsia" w:ascii="宋体" w:hAnsi="宋体" w:eastAsia="宋体" w:cs="宋体"/>
                <w:color w:val="auto"/>
                <w:sz w:val="21"/>
                <w:szCs w:val="21"/>
                <w:highlight w:val="none"/>
                <w:u w:val="single"/>
              </w:rPr>
              <w:t>18</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tc>
      </w:tr>
      <w:tr w14:paraId="45576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00F7CF82">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.6</w:t>
            </w:r>
          </w:p>
        </w:tc>
        <w:tc>
          <w:tcPr>
            <w:tcW w:w="2548" w:type="dxa"/>
            <w:noWrap w:val="0"/>
            <w:vAlign w:val="center"/>
          </w:tcPr>
          <w:p w14:paraId="108A2805">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受理投诉方式</w:t>
            </w:r>
          </w:p>
        </w:tc>
        <w:tc>
          <w:tcPr>
            <w:tcW w:w="6853" w:type="dxa"/>
            <w:noWrap w:val="0"/>
            <w:vAlign w:val="center"/>
          </w:tcPr>
          <w:p w14:paraId="306A058E">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受理方式：纸质方式受理，投诉书正、副本（经过质疑的事项才可投诉）。</w:t>
            </w:r>
          </w:p>
          <w:p w14:paraId="144F8D0C">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通讯方式</w:t>
            </w:r>
          </w:p>
          <w:p w14:paraId="5952CFD6">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名称：广西壮族自治区财政厅政府采购监督管理处</w:t>
            </w:r>
          </w:p>
          <w:p w14:paraId="37DA9F09">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地址：南宁市桃源路69号广西财政大厦7楼</w:t>
            </w:r>
          </w:p>
          <w:p w14:paraId="6AFDDE0E">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联系电话：0771-5331544</w:t>
            </w:r>
          </w:p>
        </w:tc>
      </w:tr>
      <w:tr w14:paraId="18B27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4ABCAFE6">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2</w:t>
            </w:r>
          </w:p>
        </w:tc>
        <w:tc>
          <w:tcPr>
            <w:tcW w:w="2548" w:type="dxa"/>
            <w:noWrap w:val="0"/>
            <w:vAlign w:val="center"/>
          </w:tcPr>
          <w:p w14:paraId="714445AB">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w:t>
            </w: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rPr>
              <w:t>费</w:t>
            </w:r>
          </w:p>
        </w:tc>
        <w:tc>
          <w:tcPr>
            <w:tcW w:w="6853" w:type="dxa"/>
            <w:noWrap w:val="0"/>
            <w:vAlign w:val="center"/>
          </w:tcPr>
          <w:p w14:paraId="18A0DCA7">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1.是否收取采购代理</w:t>
            </w:r>
            <w:r>
              <w:rPr>
                <w:rFonts w:hint="eastAsia" w:ascii="宋体" w:hAnsi="宋体" w:eastAsia="宋体" w:cs="宋体"/>
                <w:color w:val="auto"/>
                <w:kern w:val="0"/>
                <w:sz w:val="21"/>
                <w:szCs w:val="21"/>
                <w:highlight w:val="none"/>
                <w:lang w:eastAsia="zh-CN"/>
              </w:rPr>
              <w:t>服务</w:t>
            </w:r>
            <w:r>
              <w:rPr>
                <w:rFonts w:hint="eastAsia" w:ascii="宋体" w:hAnsi="宋体" w:eastAsia="宋体" w:cs="宋体"/>
                <w:color w:val="auto"/>
                <w:kern w:val="0"/>
                <w:sz w:val="21"/>
                <w:szCs w:val="21"/>
                <w:highlight w:val="none"/>
              </w:rPr>
              <w:t>费：</w:t>
            </w:r>
          </w:p>
          <w:p w14:paraId="3F855BFF">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是    □ 否</w:t>
            </w:r>
          </w:p>
          <w:p w14:paraId="4F5BF0A6">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2.采购代理</w:t>
            </w:r>
            <w:r>
              <w:rPr>
                <w:rFonts w:hint="eastAsia" w:ascii="宋体" w:hAnsi="宋体" w:eastAsia="宋体" w:cs="宋体"/>
                <w:color w:val="auto"/>
                <w:kern w:val="0"/>
                <w:sz w:val="21"/>
                <w:szCs w:val="21"/>
                <w:highlight w:val="none"/>
                <w:lang w:eastAsia="zh-CN"/>
              </w:rPr>
              <w:t>服务</w:t>
            </w:r>
            <w:r>
              <w:rPr>
                <w:rFonts w:hint="eastAsia" w:ascii="宋体" w:hAnsi="宋体" w:eastAsia="宋体" w:cs="宋体"/>
                <w:color w:val="auto"/>
                <w:kern w:val="0"/>
                <w:sz w:val="21"/>
                <w:szCs w:val="21"/>
                <w:highlight w:val="none"/>
              </w:rPr>
              <w:t>费支付方式：</w:t>
            </w:r>
          </w:p>
          <w:p w14:paraId="202454F0">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本项目</w:t>
            </w:r>
            <w:r>
              <w:rPr>
                <w:rFonts w:hint="eastAsia" w:ascii="宋体" w:hAnsi="宋体" w:eastAsia="宋体" w:cs="宋体"/>
                <w:color w:val="auto"/>
                <w:kern w:val="0"/>
                <w:sz w:val="21"/>
                <w:szCs w:val="21"/>
                <w:highlight w:val="none"/>
                <w:lang w:eastAsia="zh-CN"/>
              </w:rPr>
              <w:t>采购</w:t>
            </w:r>
            <w:r>
              <w:rPr>
                <w:rFonts w:hint="eastAsia" w:ascii="宋体" w:hAnsi="宋体" w:eastAsia="宋体" w:cs="宋体"/>
                <w:color w:val="auto"/>
                <w:kern w:val="0"/>
                <w:sz w:val="21"/>
                <w:szCs w:val="21"/>
                <w:highlight w:val="none"/>
              </w:rPr>
              <w:t>代理服务费由</w:t>
            </w:r>
            <w:r>
              <w:rPr>
                <w:rFonts w:hint="eastAsia" w:ascii="宋体" w:hAnsi="宋体" w:eastAsia="宋体" w:cs="宋体"/>
                <w:color w:val="auto"/>
                <w:kern w:val="0"/>
                <w:sz w:val="21"/>
                <w:szCs w:val="21"/>
                <w:highlight w:val="none"/>
                <w:u w:val="single"/>
              </w:rPr>
              <w:t>成交供应商</w:t>
            </w:r>
            <w:r>
              <w:rPr>
                <w:rFonts w:hint="eastAsia" w:ascii="宋体" w:hAnsi="宋体" w:eastAsia="宋体" w:cs="宋体"/>
                <w:color w:val="auto"/>
                <w:kern w:val="0"/>
                <w:sz w:val="21"/>
                <w:szCs w:val="21"/>
                <w:highlight w:val="none"/>
                <w:u w:val="none"/>
              </w:rPr>
              <w:t>在签订合同前</w:t>
            </w:r>
            <w:r>
              <w:rPr>
                <w:rFonts w:hint="eastAsia" w:ascii="宋体" w:hAnsi="宋体" w:eastAsia="宋体" w:cs="宋体"/>
                <w:color w:val="auto"/>
                <w:kern w:val="0"/>
                <w:sz w:val="21"/>
                <w:szCs w:val="21"/>
                <w:highlight w:val="none"/>
                <w:u w:val="none"/>
                <w:lang w:eastAsia="zh-CN"/>
              </w:rPr>
              <w:t>，</w:t>
            </w:r>
            <w:r>
              <w:rPr>
                <w:rFonts w:hint="eastAsia" w:ascii="宋体" w:hAnsi="宋体" w:eastAsia="宋体" w:cs="宋体"/>
                <w:color w:val="auto"/>
                <w:sz w:val="21"/>
                <w:szCs w:val="21"/>
                <w:highlight w:val="none"/>
                <w:lang w:val="en-US" w:eastAsia="zh-CN"/>
              </w:rPr>
              <w:t>以银行转账、电汇等方式</w:t>
            </w:r>
            <w:r>
              <w:rPr>
                <w:rFonts w:hint="eastAsia" w:ascii="宋体" w:hAnsi="宋体" w:eastAsia="宋体" w:cs="宋体"/>
                <w:color w:val="auto"/>
                <w:kern w:val="0"/>
                <w:sz w:val="21"/>
                <w:szCs w:val="21"/>
                <w:highlight w:val="none"/>
              </w:rPr>
              <w:t>一次性向采购代理机构支付。</w:t>
            </w:r>
          </w:p>
          <w:p w14:paraId="15125BA3">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□采购人支付</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u w:val="single"/>
                <w:lang w:val="en-US" w:eastAsia="zh-CN"/>
              </w:rPr>
              <w:t xml:space="preserve"> / </w:t>
            </w:r>
            <w:r>
              <w:rPr>
                <w:rFonts w:hint="eastAsia" w:ascii="宋体" w:hAnsi="宋体" w:eastAsia="宋体" w:cs="宋体"/>
                <w:color w:val="auto"/>
                <w:kern w:val="0"/>
                <w:sz w:val="21"/>
                <w:szCs w:val="21"/>
                <w:highlight w:val="none"/>
                <w:u w:val="none"/>
                <w:lang w:val="en-US" w:eastAsia="zh-CN"/>
              </w:rPr>
              <w:t>。</w:t>
            </w:r>
          </w:p>
          <w:p w14:paraId="323B6357">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3.采购代理</w:t>
            </w:r>
            <w:r>
              <w:rPr>
                <w:rFonts w:hint="eastAsia" w:ascii="宋体" w:hAnsi="宋体" w:eastAsia="宋体" w:cs="宋体"/>
                <w:color w:val="auto"/>
                <w:kern w:val="0"/>
                <w:sz w:val="21"/>
                <w:szCs w:val="21"/>
                <w:highlight w:val="none"/>
                <w:lang w:eastAsia="zh-CN"/>
              </w:rPr>
              <w:t>服务</w:t>
            </w:r>
            <w:r>
              <w:rPr>
                <w:rFonts w:hint="eastAsia" w:ascii="宋体" w:hAnsi="宋体" w:eastAsia="宋体" w:cs="宋体"/>
                <w:color w:val="auto"/>
                <w:kern w:val="0"/>
                <w:sz w:val="21"/>
                <w:szCs w:val="21"/>
                <w:highlight w:val="none"/>
              </w:rPr>
              <w:t>费收取标准：</w:t>
            </w:r>
          </w:p>
          <w:p w14:paraId="6C971E4F">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以</w:t>
            </w:r>
            <w:r>
              <w:rPr>
                <w:rFonts w:hint="eastAsia" w:ascii="宋体" w:hAnsi="宋体" w:eastAsia="宋体" w:cs="宋体"/>
                <w:color w:val="auto"/>
                <w:kern w:val="0"/>
                <w:sz w:val="21"/>
                <w:szCs w:val="21"/>
                <w:highlight w:val="none"/>
                <w:lang w:val="en-US" w:eastAsia="zh-CN"/>
              </w:rPr>
              <w:t>项目</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成交</w:t>
            </w:r>
            <w:r>
              <w:rPr>
                <w:rFonts w:hint="eastAsia" w:ascii="宋体" w:hAnsi="宋体" w:eastAsia="宋体" w:cs="宋体"/>
                <w:color w:val="auto"/>
                <w:kern w:val="0"/>
                <w:sz w:val="21"/>
                <w:szCs w:val="21"/>
                <w:highlight w:val="none"/>
                <w:lang w:eastAsia="zh-CN"/>
              </w:rPr>
              <w:t>总</w:t>
            </w:r>
            <w:r>
              <w:rPr>
                <w:rFonts w:hint="eastAsia" w:ascii="宋体" w:hAnsi="宋体" w:eastAsia="宋体" w:cs="宋体"/>
                <w:color w:val="auto"/>
                <w:kern w:val="0"/>
                <w:sz w:val="21"/>
                <w:szCs w:val="21"/>
                <w:highlight w:val="none"/>
              </w:rPr>
              <w:t>金额/□采购预算/</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暂定成交金额/□其他</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）为计费额，按</w:t>
            </w:r>
            <w:r>
              <w:rPr>
                <w:rFonts w:hint="eastAsia" w:ascii="宋体" w:hAnsi="宋体" w:eastAsia="宋体" w:cs="宋体"/>
                <w:color w:val="auto"/>
                <w:sz w:val="21"/>
                <w:szCs w:val="21"/>
                <w:highlight w:val="none"/>
                <w:lang w:val="en-US" w:eastAsia="zh-CN"/>
              </w:rPr>
              <w:t>本须知正文第32.2条规定的收费计算标准（</w:t>
            </w:r>
            <w:r>
              <w:rPr>
                <w:rFonts w:hint="eastAsia" w:ascii="宋体" w:hAnsi="宋体" w:eastAsia="宋体" w:cs="宋体"/>
                <w:b/>
                <w:bCs/>
                <w:color w:val="auto"/>
                <w:kern w:val="0"/>
                <w:sz w:val="21"/>
                <w:szCs w:val="21"/>
                <w:highlight w:val="none"/>
                <w:u w:val="single"/>
              </w:rPr>
              <w:t>服务类</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kern w:val="0"/>
                <w:sz w:val="21"/>
                <w:szCs w:val="21"/>
                <w:highlight w:val="none"/>
              </w:rPr>
              <w:t>采用差额定率累进法计算出收费基准价格，采购代理</w:t>
            </w:r>
            <w:r>
              <w:rPr>
                <w:rFonts w:hint="eastAsia" w:ascii="宋体" w:hAnsi="宋体" w:eastAsia="宋体" w:cs="宋体"/>
                <w:color w:val="auto"/>
                <w:kern w:val="0"/>
                <w:sz w:val="21"/>
                <w:szCs w:val="21"/>
                <w:highlight w:val="none"/>
                <w:lang w:eastAsia="zh-CN"/>
              </w:rPr>
              <w:t>机构</w:t>
            </w:r>
            <w:r>
              <w:rPr>
                <w:rFonts w:hint="eastAsia" w:ascii="宋体" w:hAnsi="宋体" w:eastAsia="宋体" w:cs="宋体"/>
                <w:color w:val="auto"/>
                <w:kern w:val="0"/>
                <w:sz w:val="21"/>
                <w:szCs w:val="21"/>
                <w:highlight w:val="none"/>
              </w:rPr>
              <w:t>收费以（</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收费基准价格/</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收费基准价格下浮</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rPr>
              <w:t>/□收费基准价格上浮</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）收取。</w:t>
            </w:r>
          </w:p>
          <w:p w14:paraId="4017C53D">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color w:val="auto"/>
                <w:kern w:val="0"/>
                <w:sz w:val="21"/>
                <w:szCs w:val="21"/>
                <w:highlight w:val="none"/>
                <w:u w:val="single"/>
                <w:lang w:val="en-US"/>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固定采购代理收费：</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p>
          <w:p w14:paraId="27C6C7B6">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4.采购代理</w:t>
            </w:r>
            <w:r>
              <w:rPr>
                <w:rFonts w:hint="eastAsia" w:ascii="宋体" w:hAnsi="宋体" w:eastAsia="宋体" w:cs="宋体"/>
                <w:color w:val="auto"/>
                <w:kern w:val="0"/>
                <w:sz w:val="21"/>
                <w:szCs w:val="21"/>
                <w:highlight w:val="none"/>
                <w:lang w:eastAsia="zh-CN"/>
              </w:rPr>
              <w:t>服务</w:t>
            </w:r>
            <w:r>
              <w:rPr>
                <w:rFonts w:hint="eastAsia" w:ascii="宋体" w:hAnsi="宋体" w:eastAsia="宋体" w:cs="宋体"/>
                <w:color w:val="auto"/>
                <w:kern w:val="0"/>
                <w:sz w:val="21"/>
                <w:szCs w:val="21"/>
                <w:highlight w:val="none"/>
              </w:rPr>
              <w:t>费收取银行账户</w:t>
            </w:r>
            <w:r>
              <w:rPr>
                <w:rFonts w:hint="eastAsia" w:ascii="宋体" w:hAnsi="宋体" w:eastAsia="宋体" w:cs="宋体"/>
                <w:color w:val="auto"/>
                <w:kern w:val="0"/>
                <w:sz w:val="21"/>
                <w:szCs w:val="21"/>
                <w:highlight w:val="none"/>
                <w:lang w:eastAsia="zh-CN"/>
              </w:rPr>
              <w:t>的信息</w:t>
            </w:r>
          </w:p>
          <w:p w14:paraId="5DB2E444">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开户名称：广西科联招标中心有限公司</w:t>
            </w:r>
          </w:p>
          <w:p w14:paraId="7C1E072C">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开户银行：中国工商银行南宁市高新科技支行</w:t>
            </w:r>
          </w:p>
          <w:p w14:paraId="6FE3BAF7">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银行账号：2102111229300032105</w:t>
            </w:r>
          </w:p>
        </w:tc>
      </w:tr>
      <w:tr w14:paraId="5694F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22906CB6">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w:t>
            </w:r>
          </w:p>
        </w:tc>
        <w:tc>
          <w:tcPr>
            <w:tcW w:w="2548" w:type="dxa"/>
            <w:noWrap w:val="0"/>
            <w:vAlign w:val="center"/>
          </w:tcPr>
          <w:p w14:paraId="0FF7A90F">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解释</w:t>
            </w:r>
          </w:p>
        </w:tc>
        <w:tc>
          <w:tcPr>
            <w:tcW w:w="6853" w:type="dxa"/>
            <w:noWrap w:val="0"/>
            <w:vAlign w:val="center"/>
          </w:tcPr>
          <w:p w14:paraId="2DC80A3C">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解释：</w:t>
            </w:r>
            <w:r>
              <w:rPr>
                <w:rFonts w:hint="eastAsia" w:ascii="宋体" w:hAnsi="宋体" w:eastAsia="宋体" w:cs="宋体"/>
                <w:color w:val="auto"/>
                <w:kern w:val="0"/>
                <w:sz w:val="21"/>
                <w:szCs w:val="21"/>
                <w:highlight w:val="none"/>
              </w:rPr>
              <w:t>构成本</w:t>
            </w:r>
            <w:r>
              <w:rPr>
                <w:rFonts w:hint="eastAsia" w:ascii="宋体" w:hAnsi="宋体" w:eastAsia="宋体" w:cs="宋体"/>
                <w:color w:val="auto"/>
                <w:kern w:val="0"/>
                <w:sz w:val="21"/>
                <w:szCs w:val="21"/>
                <w:highlight w:val="none"/>
                <w:lang w:eastAsia="zh-CN"/>
              </w:rPr>
              <w:t>竞争性</w:t>
            </w:r>
            <w:r>
              <w:rPr>
                <w:rFonts w:hint="eastAsia" w:ascii="宋体" w:hAnsi="宋体" w:eastAsia="宋体" w:cs="宋体"/>
                <w:color w:val="auto"/>
                <w:kern w:val="0"/>
                <w:sz w:val="21"/>
                <w:szCs w:val="21"/>
                <w:highlight w:val="none"/>
              </w:rPr>
              <w:t>磋商文件的各个组成文件应互为解释，互为说明；除</w:t>
            </w:r>
            <w:r>
              <w:rPr>
                <w:rFonts w:hint="eastAsia" w:ascii="宋体" w:hAnsi="宋体" w:eastAsia="宋体" w:cs="宋体"/>
                <w:color w:val="auto"/>
                <w:kern w:val="0"/>
                <w:sz w:val="21"/>
                <w:szCs w:val="21"/>
                <w:highlight w:val="none"/>
                <w:lang w:eastAsia="zh-CN"/>
              </w:rPr>
              <w:t>竞争性</w:t>
            </w:r>
            <w:r>
              <w:rPr>
                <w:rFonts w:hint="eastAsia" w:ascii="宋体" w:hAnsi="宋体" w:eastAsia="宋体" w:cs="宋体"/>
                <w:color w:val="auto"/>
                <w:kern w:val="0"/>
                <w:sz w:val="21"/>
                <w:szCs w:val="21"/>
                <w:highlight w:val="none"/>
              </w:rPr>
              <w:t>磋商文件中有特别规定外，仅适用于竞标阶段的规定，按更正公告（澄清公告）、竞争性磋商公告、采购需求、供应商须知、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eastAsia="宋体" w:cs="宋体"/>
                <w:b/>
                <w:color w:val="auto"/>
                <w:kern w:val="0"/>
                <w:sz w:val="21"/>
                <w:szCs w:val="21"/>
                <w:highlight w:val="none"/>
              </w:rPr>
              <w:t>由采购人或者采购代理机构负责解释。</w:t>
            </w:r>
          </w:p>
          <w:p w14:paraId="5D4616C3">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法律责任：</w:t>
            </w:r>
          </w:p>
          <w:p w14:paraId="7E284C89">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本采购文件根据《中华人民共和国政府采购法》、《中华人民共和国民法典》</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《中华人民共和国政府采购法实施条例》、《政府采购竞争性磋商采购方式管理暂行办法》等有关法律、法规编制，参与本项目的各政府采购当事人依法享有上述法律法规所赋予的权利与义务。</w:t>
            </w:r>
          </w:p>
        </w:tc>
      </w:tr>
      <w:tr w14:paraId="6E298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3C5AD486">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.2</w:t>
            </w:r>
          </w:p>
        </w:tc>
        <w:tc>
          <w:tcPr>
            <w:tcW w:w="2548" w:type="dxa"/>
            <w:noWrap w:val="0"/>
            <w:vAlign w:val="center"/>
          </w:tcPr>
          <w:p w14:paraId="07AD9A42">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tc>
        <w:tc>
          <w:tcPr>
            <w:tcW w:w="6853" w:type="dxa"/>
            <w:noWrap w:val="0"/>
            <w:vAlign w:val="center"/>
          </w:tcPr>
          <w:p w14:paraId="7E9EE370">
            <w:pPr>
              <w:pStyle w:val="10"/>
              <w:keepNext w:val="0"/>
              <w:keepLines w:val="0"/>
              <w:pageBreakBefore w:val="0"/>
              <w:widowControl w:val="0"/>
              <w:kinsoku/>
              <w:wordWrap/>
              <w:overflowPunct/>
              <w:topLinePunct w:val="0"/>
              <w:bidi w:val="0"/>
              <w:adjustRightInd/>
              <w:spacing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1.本</w:t>
            </w:r>
            <w:r>
              <w:rPr>
                <w:rFonts w:hint="eastAsia" w:ascii="宋体" w:hAnsi="宋体" w:eastAsia="宋体" w:cs="宋体"/>
                <w:color w:val="auto"/>
                <w:kern w:val="2"/>
                <w:sz w:val="21"/>
                <w:szCs w:val="21"/>
                <w:highlight w:val="none"/>
                <w:lang w:eastAsia="zh-CN"/>
              </w:rPr>
              <w:t>竞争性磋商文件</w:t>
            </w:r>
            <w:r>
              <w:rPr>
                <w:rFonts w:hint="eastAsia" w:ascii="宋体" w:hAnsi="宋体" w:eastAsia="宋体" w:cs="宋体"/>
                <w:color w:val="auto"/>
                <w:kern w:val="2"/>
                <w:sz w:val="21"/>
                <w:szCs w:val="21"/>
                <w:highlight w:val="none"/>
              </w:rPr>
              <w:t>中描述</w:t>
            </w:r>
            <w:r>
              <w:rPr>
                <w:rFonts w:hint="eastAsia" w:ascii="宋体" w:hAnsi="宋体" w:eastAsia="宋体" w:cs="宋体"/>
                <w:color w:val="auto"/>
                <w:kern w:val="2"/>
                <w:sz w:val="21"/>
                <w:szCs w:val="21"/>
                <w:highlight w:val="none"/>
                <w:lang w:eastAsia="zh-CN"/>
              </w:rPr>
              <w:t>供应商</w:t>
            </w:r>
            <w:r>
              <w:rPr>
                <w:rFonts w:hint="eastAsia" w:ascii="宋体" w:hAnsi="宋体" w:eastAsia="宋体" w:cs="宋体"/>
                <w:color w:val="auto"/>
                <w:kern w:val="2"/>
                <w:sz w:val="21"/>
                <w:szCs w:val="21"/>
                <w:highlight w:val="none"/>
              </w:rPr>
              <w:t>的“公章”是指根据我国对公章的管理规定，用</w:t>
            </w:r>
            <w:r>
              <w:rPr>
                <w:rFonts w:hint="eastAsia" w:ascii="宋体" w:hAnsi="宋体" w:eastAsia="宋体" w:cs="宋体"/>
                <w:color w:val="auto"/>
                <w:kern w:val="2"/>
                <w:sz w:val="21"/>
                <w:szCs w:val="21"/>
                <w:highlight w:val="none"/>
                <w:lang w:eastAsia="zh-CN"/>
              </w:rPr>
              <w:t>供应商</w:t>
            </w:r>
            <w:r>
              <w:rPr>
                <w:rFonts w:hint="eastAsia" w:ascii="宋体" w:hAnsi="宋体" w:eastAsia="宋体" w:cs="宋体"/>
                <w:color w:val="auto"/>
                <w:kern w:val="2"/>
                <w:sz w:val="21"/>
                <w:szCs w:val="21"/>
                <w:highlight w:val="none"/>
              </w:rPr>
              <w:t>法定主体行为名称制作的</w:t>
            </w:r>
            <w:r>
              <w:rPr>
                <w:rFonts w:hint="eastAsia" w:ascii="宋体" w:hAnsi="宋体" w:eastAsia="宋体" w:cs="宋体"/>
                <w:color w:val="auto"/>
                <w:kern w:val="2"/>
                <w:sz w:val="21"/>
                <w:szCs w:val="21"/>
                <w:highlight w:val="none"/>
                <w:lang w:eastAsia="zh-CN"/>
              </w:rPr>
              <w:t>实物</w:t>
            </w:r>
            <w:r>
              <w:rPr>
                <w:rFonts w:hint="eastAsia" w:ascii="宋体" w:hAnsi="宋体" w:eastAsia="宋体" w:cs="宋体"/>
                <w:color w:val="auto"/>
                <w:kern w:val="2"/>
                <w:sz w:val="21"/>
                <w:szCs w:val="21"/>
                <w:highlight w:val="none"/>
              </w:rPr>
              <w:t>印章</w:t>
            </w:r>
            <w:r>
              <w:rPr>
                <w:rFonts w:hint="eastAsia" w:ascii="宋体" w:hAnsi="宋体" w:eastAsia="宋体" w:cs="宋体"/>
                <w:color w:val="auto"/>
                <w:kern w:val="2"/>
                <w:sz w:val="21"/>
                <w:szCs w:val="21"/>
                <w:highlight w:val="none"/>
                <w:lang w:eastAsia="zh-CN"/>
              </w:rPr>
              <w:t>或供应商</w:t>
            </w:r>
            <w:r>
              <w:rPr>
                <w:rFonts w:hint="eastAsia" w:ascii="宋体" w:hAnsi="宋体" w:eastAsia="宋体" w:cs="宋体"/>
                <w:color w:val="auto"/>
                <w:kern w:val="2"/>
                <w:sz w:val="21"/>
                <w:szCs w:val="21"/>
                <w:highlight w:val="none"/>
              </w:rPr>
              <w:t>通过指定电子化政府采购平台办理数字证书（CA认证）获得的以法定主体行为名称制作的电子印章。除本</w:t>
            </w:r>
            <w:r>
              <w:rPr>
                <w:rFonts w:hint="eastAsia" w:ascii="宋体" w:hAnsi="宋体" w:eastAsia="宋体" w:cs="宋体"/>
                <w:color w:val="auto"/>
                <w:kern w:val="2"/>
                <w:sz w:val="21"/>
                <w:szCs w:val="21"/>
                <w:highlight w:val="none"/>
                <w:lang w:eastAsia="zh-CN"/>
              </w:rPr>
              <w:t>竞争性磋商文件</w:t>
            </w:r>
            <w:r>
              <w:rPr>
                <w:rFonts w:hint="eastAsia" w:ascii="宋体" w:hAnsi="宋体" w:eastAsia="宋体" w:cs="宋体"/>
                <w:color w:val="auto"/>
                <w:kern w:val="2"/>
                <w:sz w:val="21"/>
                <w:szCs w:val="21"/>
                <w:highlight w:val="none"/>
              </w:rPr>
              <w:t>有特殊规定外，</w:t>
            </w:r>
            <w:r>
              <w:rPr>
                <w:rFonts w:hint="eastAsia" w:ascii="宋体" w:hAnsi="宋体" w:eastAsia="宋体" w:cs="宋体"/>
                <w:color w:val="auto"/>
                <w:kern w:val="2"/>
                <w:sz w:val="21"/>
                <w:szCs w:val="21"/>
                <w:highlight w:val="none"/>
                <w:lang w:eastAsia="zh-CN"/>
              </w:rPr>
              <w:t>供应商</w:t>
            </w:r>
            <w:r>
              <w:rPr>
                <w:rFonts w:hint="eastAsia" w:ascii="宋体" w:hAnsi="宋体" w:eastAsia="宋体" w:cs="宋体"/>
                <w:color w:val="auto"/>
                <w:kern w:val="2"/>
                <w:sz w:val="21"/>
                <w:szCs w:val="21"/>
                <w:highlight w:val="none"/>
              </w:rPr>
              <w:t>的财务章、部门章、分公司章、工会章、合同章、</w:t>
            </w:r>
            <w:r>
              <w:rPr>
                <w:rFonts w:hint="eastAsia" w:ascii="宋体" w:hAnsi="宋体" w:eastAsia="宋体" w:cs="宋体"/>
                <w:color w:val="auto"/>
                <w:kern w:val="2"/>
                <w:sz w:val="21"/>
                <w:szCs w:val="21"/>
                <w:highlight w:val="none"/>
                <w:lang w:val="en-US" w:eastAsia="zh-CN"/>
              </w:rPr>
              <w:t>竞标</w:t>
            </w:r>
            <w:r>
              <w:rPr>
                <w:rFonts w:hint="eastAsia" w:ascii="宋体" w:hAnsi="宋体" w:eastAsia="宋体" w:cs="宋体"/>
                <w:color w:val="auto"/>
                <w:kern w:val="2"/>
                <w:sz w:val="21"/>
                <w:szCs w:val="21"/>
                <w:highlight w:val="none"/>
              </w:rPr>
              <w:t>专用章、业务专用章及银行的转账章、现金收讫章、现金付讫章等其他形式印章均不能代替公章。</w:t>
            </w:r>
          </w:p>
          <w:p w14:paraId="055D5012">
            <w:pPr>
              <w:pStyle w:val="10"/>
              <w:keepNext w:val="0"/>
              <w:keepLines w:val="0"/>
              <w:pageBreakBefore w:val="0"/>
              <w:widowControl w:val="0"/>
              <w:kinsoku/>
              <w:wordWrap/>
              <w:overflowPunct/>
              <w:topLinePunct w:val="0"/>
              <w:bidi w:val="0"/>
              <w:adjustRightInd/>
              <w:spacing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2.本</w:t>
            </w:r>
            <w:r>
              <w:rPr>
                <w:rFonts w:hint="eastAsia" w:ascii="宋体" w:hAnsi="宋体" w:eastAsia="宋体" w:cs="宋体"/>
                <w:color w:val="auto"/>
                <w:kern w:val="2"/>
                <w:sz w:val="21"/>
                <w:szCs w:val="21"/>
                <w:highlight w:val="none"/>
                <w:lang w:eastAsia="zh-CN"/>
              </w:rPr>
              <w:t>竞争性磋商文件</w:t>
            </w:r>
            <w:r>
              <w:rPr>
                <w:rFonts w:hint="eastAsia" w:ascii="宋体" w:hAnsi="宋体" w:eastAsia="宋体" w:cs="宋体"/>
                <w:color w:val="auto"/>
                <w:kern w:val="2"/>
                <w:sz w:val="21"/>
                <w:szCs w:val="21"/>
                <w:highlight w:val="none"/>
              </w:rPr>
              <w:t>中描述</w:t>
            </w:r>
            <w:r>
              <w:rPr>
                <w:rFonts w:hint="eastAsia" w:ascii="宋体" w:hAnsi="宋体" w:eastAsia="宋体" w:cs="宋体"/>
                <w:color w:val="auto"/>
                <w:kern w:val="2"/>
                <w:sz w:val="21"/>
                <w:szCs w:val="21"/>
                <w:highlight w:val="none"/>
                <w:lang w:eastAsia="zh-CN"/>
              </w:rPr>
              <w:t>供应商</w:t>
            </w:r>
            <w:r>
              <w:rPr>
                <w:rFonts w:hint="eastAsia" w:ascii="宋体" w:hAnsi="宋体" w:eastAsia="宋体" w:cs="宋体"/>
                <w:color w:val="auto"/>
                <w:kern w:val="2"/>
                <w:sz w:val="21"/>
                <w:szCs w:val="21"/>
                <w:highlight w:val="none"/>
              </w:rPr>
              <w:t>的“签字”是指</w:t>
            </w:r>
            <w:r>
              <w:rPr>
                <w:rFonts w:hint="eastAsia" w:ascii="宋体" w:hAnsi="宋体" w:eastAsia="宋体" w:cs="宋体"/>
                <w:color w:val="auto"/>
                <w:kern w:val="2"/>
                <w:sz w:val="21"/>
                <w:szCs w:val="21"/>
                <w:highlight w:val="none"/>
                <w:lang w:eastAsia="zh-CN"/>
              </w:rPr>
              <w:t>供应商</w:t>
            </w:r>
            <w:r>
              <w:rPr>
                <w:rFonts w:hint="eastAsia" w:ascii="宋体" w:hAnsi="宋体" w:eastAsia="宋体" w:cs="宋体"/>
                <w:color w:val="auto"/>
                <w:kern w:val="2"/>
                <w:sz w:val="21"/>
                <w:szCs w:val="21"/>
                <w:highlight w:val="none"/>
              </w:rPr>
              <w:t>通过指定电子化政府采购平台办理数字证书（CA认证）获得的以</w:t>
            </w:r>
            <w:r>
              <w:rPr>
                <w:rFonts w:hint="eastAsia" w:ascii="宋体" w:hAnsi="宋体" w:eastAsia="宋体" w:cs="宋体"/>
                <w:color w:val="auto"/>
                <w:kern w:val="2"/>
                <w:sz w:val="21"/>
                <w:szCs w:val="21"/>
                <w:highlight w:val="none"/>
                <w:lang w:eastAsia="zh-CN"/>
              </w:rPr>
              <w:t>供应商</w:t>
            </w:r>
            <w:r>
              <w:rPr>
                <w:rFonts w:hint="eastAsia" w:ascii="宋体" w:hAnsi="宋体" w:eastAsia="宋体" w:cs="宋体"/>
                <w:color w:val="auto"/>
                <w:kern w:val="2"/>
                <w:sz w:val="21"/>
                <w:szCs w:val="21"/>
                <w:highlight w:val="none"/>
              </w:rPr>
              <w:t>法定代表人或者委托代理人姓名制作的电子印章或手写签字。</w:t>
            </w:r>
          </w:p>
          <w:p w14:paraId="7DB51F44">
            <w:pPr>
              <w:pStyle w:val="10"/>
              <w:keepNext w:val="0"/>
              <w:keepLines w:val="0"/>
              <w:pageBreakBefore w:val="0"/>
              <w:widowControl w:val="0"/>
              <w:tabs>
                <w:tab w:val="center" w:pos="4153"/>
                <w:tab w:val="right" w:pos="8306"/>
              </w:tabs>
              <w:kinsoku/>
              <w:wordWrap/>
              <w:overflowPunct/>
              <w:topLinePunct w:val="0"/>
              <w:bidi w:val="0"/>
              <w:adjustRightInd/>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rPr>
              <w:t>3.本竞争性磋商文件所称的“电子签章”“电子签名”，是指经</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kern w:val="2"/>
                <w:sz w:val="21"/>
                <w:szCs w:val="21"/>
                <w:highlight w:val="none"/>
                <w:lang w:val="en-US" w:eastAsia="zh-CN"/>
              </w:rPr>
              <w:t>认可的CA认证的电子签名数据为表现形式的印章，可用于签署电子响应文件，电子印章与实物印章具有同等法律效力，不因其采用电子化表现形式而否定其法律效力。</w:t>
            </w:r>
          </w:p>
          <w:p w14:paraId="21896B5F">
            <w:pPr>
              <w:pStyle w:val="10"/>
              <w:keepNext w:val="0"/>
              <w:keepLines w:val="0"/>
              <w:pageBreakBefore w:val="0"/>
              <w:widowControl w:val="0"/>
              <w:kinsoku/>
              <w:wordWrap/>
              <w:overflowPunct/>
              <w:topLinePunct w:val="0"/>
              <w:bidi w:val="0"/>
              <w:adjustRightInd/>
              <w:spacing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供应商</w:t>
            </w:r>
            <w:r>
              <w:rPr>
                <w:rFonts w:hint="eastAsia" w:ascii="宋体" w:hAnsi="宋体" w:eastAsia="宋体" w:cs="宋体"/>
                <w:color w:val="auto"/>
                <w:kern w:val="2"/>
                <w:sz w:val="21"/>
                <w:szCs w:val="21"/>
                <w:highlight w:val="none"/>
              </w:rPr>
              <w:t>为其他组织或者自然人时，本</w:t>
            </w:r>
            <w:r>
              <w:rPr>
                <w:rFonts w:hint="eastAsia" w:ascii="宋体" w:hAnsi="宋体" w:eastAsia="宋体" w:cs="宋体"/>
                <w:color w:val="auto"/>
                <w:kern w:val="2"/>
                <w:sz w:val="21"/>
                <w:szCs w:val="21"/>
                <w:highlight w:val="none"/>
                <w:lang w:eastAsia="zh-CN"/>
              </w:rPr>
              <w:t>竞争性磋商文件</w:t>
            </w:r>
            <w:r>
              <w:rPr>
                <w:rFonts w:hint="eastAsia" w:ascii="宋体" w:hAnsi="宋体" w:eastAsia="宋体" w:cs="宋体"/>
                <w:color w:val="auto"/>
                <w:kern w:val="2"/>
                <w:sz w:val="21"/>
                <w:szCs w:val="21"/>
                <w:highlight w:val="none"/>
              </w:rPr>
              <w:t>规定的法定代表人指负责人或者自然人。本</w:t>
            </w:r>
            <w:r>
              <w:rPr>
                <w:rFonts w:hint="eastAsia" w:ascii="宋体" w:hAnsi="宋体" w:eastAsia="宋体" w:cs="宋体"/>
                <w:color w:val="auto"/>
                <w:kern w:val="2"/>
                <w:sz w:val="21"/>
                <w:szCs w:val="21"/>
                <w:highlight w:val="none"/>
                <w:lang w:eastAsia="zh-CN"/>
              </w:rPr>
              <w:t>竞争性磋商文件</w:t>
            </w:r>
            <w:r>
              <w:rPr>
                <w:rFonts w:hint="eastAsia" w:ascii="宋体" w:hAnsi="宋体" w:eastAsia="宋体" w:cs="宋体"/>
                <w:color w:val="auto"/>
                <w:kern w:val="2"/>
                <w:sz w:val="21"/>
                <w:szCs w:val="21"/>
                <w:highlight w:val="none"/>
              </w:rPr>
              <w:t>所称负责人是指参加</w:t>
            </w:r>
            <w:r>
              <w:rPr>
                <w:rFonts w:hint="eastAsia" w:ascii="宋体" w:hAnsi="宋体" w:eastAsia="宋体" w:cs="宋体"/>
                <w:color w:val="auto"/>
                <w:kern w:val="2"/>
                <w:sz w:val="21"/>
                <w:szCs w:val="21"/>
                <w:highlight w:val="none"/>
                <w:lang w:eastAsia="zh-CN"/>
              </w:rPr>
              <w:t>竞</w:t>
            </w:r>
            <w:r>
              <w:rPr>
                <w:rFonts w:hint="eastAsia" w:ascii="宋体" w:hAnsi="宋体" w:eastAsia="宋体" w:cs="宋体"/>
                <w:color w:val="auto"/>
                <w:kern w:val="2"/>
                <w:sz w:val="21"/>
                <w:szCs w:val="21"/>
                <w:highlight w:val="none"/>
              </w:rPr>
              <w:t>标的其他组织营业执照上的负责人，本</w:t>
            </w:r>
            <w:r>
              <w:rPr>
                <w:rFonts w:hint="eastAsia" w:ascii="宋体" w:hAnsi="宋体" w:eastAsia="宋体" w:cs="宋体"/>
                <w:color w:val="auto"/>
                <w:kern w:val="2"/>
                <w:sz w:val="21"/>
                <w:szCs w:val="21"/>
                <w:highlight w:val="none"/>
                <w:lang w:eastAsia="zh-CN"/>
              </w:rPr>
              <w:t>竞争性磋商文件</w:t>
            </w:r>
            <w:r>
              <w:rPr>
                <w:rFonts w:hint="eastAsia" w:ascii="宋体" w:hAnsi="宋体" w:eastAsia="宋体" w:cs="宋体"/>
                <w:color w:val="auto"/>
                <w:kern w:val="2"/>
                <w:sz w:val="21"/>
                <w:szCs w:val="21"/>
                <w:highlight w:val="none"/>
              </w:rPr>
              <w:t>所称自然人指参与</w:t>
            </w:r>
            <w:r>
              <w:rPr>
                <w:rFonts w:hint="eastAsia" w:ascii="宋体" w:hAnsi="宋体" w:eastAsia="宋体" w:cs="宋体"/>
                <w:color w:val="auto"/>
                <w:kern w:val="2"/>
                <w:sz w:val="21"/>
                <w:szCs w:val="21"/>
                <w:highlight w:val="none"/>
                <w:lang w:eastAsia="zh-CN"/>
              </w:rPr>
              <w:t>竞</w:t>
            </w:r>
            <w:r>
              <w:rPr>
                <w:rFonts w:hint="eastAsia" w:ascii="宋体" w:hAnsi="宋体" w:eastAsia="宋体" w:cs="宋体"/>
                <w:color w:val="auto"/>
                <w:kern w:val="2"/>
                <w:sz w:val="21"/>
                <w:szCs w:val="21"/>
                <w:highlight w:val="none"/>
              </w:rPr>
              <w:t>标的自然人本人。</w:t>
            </w:r>
          </w:p>
          <w:p w14:paraId="43D36AB1">
            <w:pPr>
              <w:pStyle w:val="10"/>
              <w:keepNext w:val="0"/>
              <w:keepLines w:val="0"/>
              <w:pageBreakBefore w:val="0"/>
              <w:widowControl w:val="0"/>
              <w:kinsoku/>
              <w:wordWrap/>
              <w:overflowPunct/>
              <w:topLinePunct w:val="0"/>
              <w:bidi w:val="0"/>
              <w:adjustRightInd/>
              <w:spacing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.自然人</w:t>
            </w:r>
            <w:r>
              <w:rPr>
                <w:rFonts w:hint="eastAsia" w:ascii="宋体" w:hAnsi="宋体" w:eastAsia="宋体" w:cs="宋体"/>
                <w:color w:val="auto"/>
                <w:kern w:val="2"/>
                <w:sz w:val="21"/>
                <w:szCs w:val="21"/>
                <w:highlight w:val="none"/>
                <w:lang w:eastAsia="zh-CN"/>
              </w:rPr>
              <w:t>竞</w:t>
            </w:r>
            <w:r>
              <w:rPr>
                <w:rFonts w:hint="eastAsia" w:ascii="宋体" w:hAnsi="宋体" w:eastAsia="宋体" w:cs="宋体"/>
                <w:color w:val="auto"/>
                <w:kern w:val="2"/>
                <w:sz w:val="21"/>
                <w:szCs w:val="21"/>
                <w:highlight w:val="none"/>
              </w:rPr>
              <w:t>标的，</w:t>
            </w:r>
            <w:r>
              <w:rPr>
                <w:rFonts w:hint="eastAsia" w:ascii="宋体" w:hAnsi="宋体" w:eastAsia="宋体" w:cs="宋体"/>
                <w:color w:val="auto"/>
                <w:kern w:val="2"/>
                <w:sz w:val="21"/>
                <w:szCs w:val="21"/>
                <w:highlight w:val="none"/>
                <w:lang w:eastAsia="zh-CN"/>
              </w:rPr>
              <w:t>竞争性磋商文件</w:t>
            </w:r>
            <w:r>
              <w:rPr>
                <w:rFonts w:hint="eastAsia" w:ascii="宋体" w:hAnsi="宋体" w:eastAsia="宋体" w:cs="宋体"/>
                <w:color w:val="auto"/>
                <w:kern w:val="2"/>
                <w:sz w:val="21"/>
                <w:szCs w:val="21"/>
                <w:highlight w:val="none"/>
              </w:rPr>
              <w:t>规定盖公章处由自然人摁手指指印。</w:t>
            </w:r>
          </w:p>
          <w:p w14:paraId="6E7702B3">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本</w:t>
            </w:r>
            <w:r>
              <w:rPr>
                <w:rFonts w:hint="eastAsia" w:ascii="宋体" w:hAnsi="宋体" w:eastAsia="宋体" w:cs="宋体"/>
                <w:color w:val="auto"/>
                <w:kern w:val="2"/>
                <w:sz w:val="21"/>
                <w:szCs w:val="21"/>
                <w:highlight w:val="none"/>
                <w:lang w:eastAsia="zh-CN"/>
              </w:rPr>
              <w:t>竞争性磋商文件</w:t>
            </w:r>
            <w:r>
              <w:rPr>
                <w:rFonts w:hint="eastAsia" w:ascii="宋体" w:hAnsi="宋体" w:eastAsia="宋体" w:cs="宋体"/>
                <w:color w:val="auto"/>
                <w:kern w:val="2"/>
                <w:sz w:val="21"/>
                <w:szCs w:val="21"/>
                <w:highlight w:val="none"/>
              </w:rPr>
              <w:t>所称的“以上”“以下”“以内”“届满”，包括本数；所称的“不满”“超过”“以外”，不包括本数。</w:t>
            </w:r>
          </w:p>
        </w:tc>
      </w:tr>
    </w:tbl>
    <w:p w14:paraId="604E7E77">
      <w:pPr>
        <w:pStyle w:val="3"/>
        <w:spacing w:line="420" w:lineRule="exact"/>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60" w:name="_Toc30957"/>
      <w:bookmarkStart w:id="61" w:name="_Toc80886929"/>
      <w:bookmarkStart w:id="62" w:name="_Toc27094"/>
      <w:r>
        <w:rPr>
          <w:rFonts w:hint="eastAsia" w:ascii="宋体" w:hAnsi="宋体" w:eastAsia="宋体" w:cs="宋体"/>
          <w:b w:val="0"/>
          <w:color w:val="auto"/>
          <w:highlight w:val="none"/>
        </w:rPr>
        <w:t>第二节 供应商须知正文</w:t>
      </w:r>
      <w:bookmarkEnd w:id="60"/>
      <w:bookmarkEnd w:id="61"/>
      <w:bookmarkEnd w:id="62"/>
    </w:p>
    <w:p w14:paraId="343CCC94">
      <w:pPr>
        <w:pStyle w:val="4"/>
        <w:spacing w:before="0" w:after="0" w:line="360" w:lineRule="auto"/>
        <w:ind w:firstLine="640" w:firstLineChars="200"/>
        <w:rPr>
          <w:rFonts w:hint="eastAsia" w:ascii="宋体" w:hAnsi="宋体" w:eastAsia="宋体" w:cs="宋体"/>
          <w:b w:val="0"/>
          <w:color w:val="auto"/>
          <w:highlight w:val="none"/>
        </w:rPr>
      </w:pPr>
      <w:bookmarkStart w:id="63" w:name="_Toc26166"/>
      <w:bookmarkStart w:id="64" w:name="_Toc80886930"/>
      <w:bookmarkStart w:id="65" w:name="_Toc6457"/>
      <w:r>
        <w:rPr>
          <w:rFonts w:hint="eastAsia" w:ascii="宋体" w:hAnsi="宋体" w:eastAsia="宋体" w:cs="宋体"/>
          <w:b w:val="0"/>
          <w:color w:val="auto"/>
          <w:highlight w:val="none"/>
        </w:rPr>
        <w:t>一、总则</w:t>
      </w:r>
      <w:bookmarkEnd w:id="63"/>
      <w:bookmarkEnd w:id="64"/>
      <w:bookmarkEnd w:id="65"/>
    </w:p>
    <w:p w14:paraId="3D0C5BE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5EC582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78D132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本竞争性磋商文件（以下简称磋商文件）适用于本项目的所有采购程序和环节（法律、法规另有规定的，从其规定）。</w:t>
      </w:r>
    </w:p>
    <w:p w14:paraId="3706151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431B02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5415E011">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466B3E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0BD02B1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2.4“服务”是指除货物和工程以外的其他政府采购对象。</w:t>
      </w:r>
    </w:p>
    <w:p w14:paraId="134380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2.5“竞标”是指供应商按照本项目竞争性磋商公告规定的方式获取磋商文件、提交响应文件并希望获得标的的行为。</w:t>
      </w:r>
    </w:p>
    <w:p w14:paraId="0DF4A2F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2.6“响应文件”</w:t>
      </w:r>
      <w:r>
        <w:rPr>
          <w:rFonts w:hint="eastAsia" w:ascii="宋体" w:hAnsi="宋体" w:eastAsia="宋体" w:cs="宋体"/>
          <w:color w:val="auto"/>
          <w:spacing w:val="-6"/>
          <w:szCs w:val="21"/>
          <w:highlight w:val="none"/>
        </w:rPr>
        <w:t>是指：供应商根据本磋商文件要求，编制包含资格证明、</w:t>
      </w:r>
      <w:r>
        <w:rPr>
          <w:rFonts w:hint="eastAsia" w:ascii="宋体" w:hAnsi="宋体" w:eastAsia="宋体" w:cs="宋体"/>
          <w:color w:val="auto"/>
          <w:szCs w:val="21"/>
          <w:highlight w:val="none"/>
        </w:rPr>
        <w:t>报价文件、商务和技术文件</w:t>
      </w:r>
      <w:r>
        <w:rPr>
          <w:rFonts w:hint="eastAsia" w:ascii="宋体" w:hAnsi="宋体" w:eastAsia="宋体" w:cs="宋体"/>
          <w:color w:val="auto"/>
          <w:spacing w:val="-6"/>
          <w:szCs w:val="21"/>
          <w:highlight w:val="none"/>
        </w:rPr>
        <w:t>等所有内容的文件。</w:t>
      </w:r>
    </w:p>
    <w:p w14:paraId="5F2B105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2.7“实质性要求”</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详见</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w:t>
      </w:r>
      <w:r>
        <w:rPr>
          <w:rFonts w:hint="eastAsia" w:ascii="宋体" w:hAnsi="宋体" w:eastAsia="宋体" w:cs="宋体"/>
          <w:color w:val="auto"/>
          <w:szCs w:val="21"/>
          <w:highlight w:val="none"/>
        </w:rPr>
        <w:t>。</w:t>
      </w:r>
    </w:p>
    <w:p w14:paraId="35677EA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2.8“正偏离”是指响应文件对磋商文件“采购需求”中有关条款作出的响应优于条款要求并有利于采购人的情形。</w:t>
      </w:r>
    </w:p>
    <w:p w14:paraId="16066EB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2.9“负偏离”是指响应文件对磋商文件“采购需求”中有关条款作出的响应不满足条款要求，导致采购人要求不能得到满足的情形。</w:t>
      </w:r>
    </w:p>
    <w:p w14:paraId="63AD498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“书面形式”是指合同书、信件和数据电文（包括电报、电传、传真、电子数据交换和电子邮件）等可以有形地表现所载内容的形式。</w:t>
      </w:r>
    </w:p>
    <w:p w14:paraId="52D098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“首次报价”是指供应商提交的首次响应文件中的报价。</w:t>
      </w:r>
    </w:p>
    <w:p w14:paraId="7693492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评审价</w:t>
      </w:r>
      <w:r>
        <w:rPr>
          <w:rFonts w:hint="eastAsia" w:ascii="宋体" w:hAnsi="宋体" w:eastAsia="宋体" w:cs="宋体"/>
          <w:color w:val="auto"/>
          <w:szCs w:val="21"/>
          <w:highlight w:val="none"/>
        </w:rPr>
        <w:t>”是指供应商提交的最后报价并经修正（如有）和政策功能价格扣除（如有）后的价格。</w:t>
      </w:r>
    </w:p>
    <w:p w14:paraId="6C56CFD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0125045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6F92000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4EC996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35EEC83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4AE57C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4DA6DB9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0718DF3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2B3CFD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6.1本项目不允许转包。</w:t>
      </w:r>
    </w:p>
    <w:p w14:paraId="7F40CB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本项目是否允许分包详见“供应商须知前附表”，本项目不允许违法分包。</w:t>
      </w:r>
    </w:p>
    <w:p w14:paraId="1E7C96C0">
      <w:pPr>
        <w:spacing w:line="360" w:lineRule="auto"/>
        <w:ind w:firstLine="482" w:firstLineChars="200"/>
        <w:rPr>
          <w:rFonts w:hint="eastAsia" w:ascii="宋体" w:hAnsi="宋体" w:eastAsia="宋体" w:cs="宋体"/>
          <w:b/>
          <w:bCs/>
          <w:color w:val="auto"/>
          <w:sz w:val="24"/>
          <w:highlight w:val="none"/>
        </w:rPr>
      </w:pPr>
      <w:bookmarkStart w:id="66" w:name="_Toc254970673"/>
      <w:bookmarkStart w:id="67" w:name="_Toc254970532"/>
      <w:r>
        <w:rPr>
          <w:rFonts w:hint="eastAsia" w:ascii="宋体" w:hAnsi="宋体" w:eastAsia="宋体" w:cs="宋体"/>
          <w:b/>
          <w:bCs/>
          <w:color w:val="auto"/>
          <w:sz w:val="24"/>
          <w:highlight w:val="none"/>
        </w:rPr>
        <w:t>7.特别说明</w:t>
      </w:r>
      <w:bookmarkEnd w:id="66"/>
      <w:bookmarkEnd w:id="67"/>
    </w:p>
    <w:p w14:paraId="6A94C31D">
      <w:pPr>
        <w:spacing w:line="360" w:lineRule="auto"/>
        <w:ind w:firstLine="420" w:firstLineChars="200"/>
        <w:rPr>
          <w:rFonts w:hint="eastAsia" w:ascii="宋体" w:hAnsi="宋体" w:eastAsia="宋体" w:cs="宋体"/>
          <w:color w:val="auto"/>
          <w:szCs w:val="21"/>
          <w:highlight w:val="none"/>
        </w:rPr>
      </w:pPr>
      <w:bookmarkStart w:id="68" w:name="_8.1提供相同品牌产品且通过资格审查、符合性审查的不同投标人参加同一合"/>
      <w:bookmarkEnd w:id="68"/>
      <w:r>
        <w:rPr>
          <w:rFonts w:hint="eastAsia" w:ascii="宋体" w:hAnsi="宋体" w:eastAsia="宋体" w:cs="宋体"/>
          <w:color w:val="auto"/>
          <w:szCs w:val="21"/>
          <w:highlight w:val="none"/>
        </w:rPr>
        <w:t>7.1</w:t>
      </w:r>
      <w:bookmarkStart w:id="69"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69"/>
    <w:p w14:paraId="41F33D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6152F3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w:t>
      </w:r>
      <w:r>
        <w:rPr>
          <w:rFonts w:hint="eastAsia" w:ascii="宋体" w:hAnsi="宋体" w:eastAsia="宋体" w:cs="宋体"/>
          <w:b w:val="0"/>
          <w:bCs w:val="0"/>
          <w:color w:val="auto"/>
          <w:szCs w:val="21"/>
          <w:highlight w:val="none"/>
        </w:rPr>
        <w:t>其响应文件作无效处理</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rPr>
        <w:t>将报监管部门查处；签订合同后发现的，成交供应商须依照《</w:t>
      </w:r>
      <w:r>
        <w:rPr>
          <w:rFonts w:hint="eastAsia" w:ascii="宋体" w:hAnsi="宋体" w:eastAsia="宋体" w:cs="宋体"/>
          <w:color w:val="auto"/>
          <w:szCs w:val="21"/>
          <w:highlight w:val="none"/>
          <w:lang w:val="en-US" w:eastAsia="zh-CN"/>
        </w:rPr>
        <w:t>中华人民共和国民法典</w:t>
      </w:r>
      <w:r>
        <w:rPr>
          <w:rFonts w:hint="eastAsia" w:ascii="宋体" w:hAnsi="宋体" w:eastAsia="宋体" w:cs="宋体"/>
          <w:color w:val="auto"/>
          <w:szCs w:val="21"/>
          <w:highlight w:val="none"/>
        </w:rPr>
        <w:t>》规定赔偿采购人，且民事赔偿并不免除违法供应商的行政与刑事责任。</w:t>
      </w:r>
    </w:p>
    <w:p w14:paraId="09B880F8">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7.4在政府采购活动中，采购人员及相关人员与供应商有下列利害关系之一的，应当回避：</w:t>
      </w:r>
    </w:p>
    <w:p w14:paraId="11A57C52">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（1）参加采购活动前3年内与供应商存在劳动关系；</w:t>
      </w:r>
    </w:p>
    <w:p w14:paraId="1D87AF38">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（2）参加采购活动前3年内担任供应商的董事、监事；</w:t>
      </w:r>
    </w:p>
    <w:p w14:paraId="5A806A32">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（3）参加采购活动前3年内是供应商的控股股东或者实际控制人；</w:t>
      </w:r>
    </w:p>
    <w:p w14:paraId="003B64D5">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（4）与供应商的法定代表人或者负责人有夫妻、直系血亲、三代以内旁系血亲或者近姻亲关系；</w:t>
      </w:r>
    </w:p>
    <w:p w14:paraId="37F38533">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（5）与供应商有其他可能影响政府采购活动公平、公正进行的关系。</w:t>
      </w:r>
    </w:p>
    <w:p w14:paraId="6E5582FC">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77E9E26">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7.5有下列情形之一的视为供应商相互串通竞标，响应文件将被视为无效：</w:t>
      </w:r>
    </w:p>
    <w:p w14:paraId="429B1ED2">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（1）不同供应商的响应文件由同一单位或者个人编制；或不同</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szCs w:val="21"/>
          <w:highlight w:val="none"/>
        </w:rPr>
        <w:t xml:space="preserve">报名的IP地址一致的； </w:t>
      </w:r>
    </w:p>
    <w:p w14:paraId="330BD0CC">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（2）不同供应商委托同一单位或者个人办理竞标事宜；</w:t>
      </w:r>
    </w:p>
    <w:p w14:paraId="1C46003B">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（3）不同的供应商的响应文件载明的项目管理员为同一个人；</w:t>
      </w:r>
    </w:p>
    <w:p w14:paraId="0DCE55E9">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（4）不同供应商的响应文件异常一致或者报价呈规律性差异；</w:t>
      </w:r>
    </w:p>
    <w:p w14:paraId="7C42ACE7">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（5）不同供应商的响应文件相互混装；</w:t>
      </w:r>
    </w:p>
    <w:p w14:paraId="10AF51C7">
      <w:pPr>
        <w:tabs>
          <w:tab w:val="left" w:pos="6931"/>
        </w:tabs>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（6）不同供应商的磋商保证金从同一单位或者个人账户转出。</w:t>
      </w:r>
      <w:r>
        <w:rPr>
          <w:rFonts w:hint="eastAsia" w:ascii="宋体" w:hAnsi="宋体" w:eastAsia="宋体" w:cs="宋体"/>
          <w:b/>
          <w:bCs/>
          <w:color w:val="auto"/>
          <w:szCs w:val="21"/>
          <w:highlight w:val="none"/>
        </w:rPr>
        <w:tab/>
      </w:r>
    </w:p>
    <w:p w14:paraId="521AEEF6">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7.6供应商有下列情形之一的，属于恶意串通行为，将报同级监督管理部门：</w:t>
      </w:r>
    </w:p>
    <w:p w14:paraId="617F54B3">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（1）供应商直接或者间接从采购人或者采购代理机构处获得其他供应商的相关信息并修改其响应文件；</w:t>
      </w:r>
    </w:p>
    <w:p w14:paraId="11925F9B">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（2）供应商按照采购人或者采购代理机构的授意撤换、修改响应文件；</w:t>
      </w:r>
    </w:p>
    <w:p w14:paraId="636DF0D2">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（3）供应商之间协商报价、技术方案等响应文件的实质性内容；</w:t>
      </w:r>
    </w:p>
    <w:p w14:paraId="5AF4934B">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（4）属于同一集团、协会、商会等组织成员的供应商按照该组织要求协同参加政府采购活动；</w:t>
      </w:r>
    </w:p>
    <w:p w14:paraId="037301B7">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4A112690">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（6）供应商之间商定部分供应商放弃参加政府采购活动或者放弃成交；</w:t>
      </w:r>
    </w:p>
    <w:p w14:paraId="05AF2253">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（7）供应商与采购人或者采购代理机构之间、供应商相互之间，为谋求特定供应商成交或者排斥其他供应商的其他串通行为。</w:t>
      </w:r>
    </w:p>
    <w:p w14:paraId="61F9408E">
      <w:pPr>
        <w:pStyle w:val="4"/>
        <w:spacing w:before="0" w:after="0" w:line="360" w:lineRule="auto"/>
        <w:ind w:firstLine="640" w:firstLineChars="200"/>
        <w:rPr>
          <w:rFonts w:hint="eastAsia" w:ascii="宋体" w:hAnsi="宋体" w:eastAsia="宋体" w:cs="宋体"/>
          <w:b w:val="0"/>
          <w:bCs w:val="0"/>
          <w:color w:val="auto"/>
          <w:highlight w:val="none"/>
        </w:rPr>
      </w:pPr>
      <w:bookmarkStart w:id="70" w:name="_Toc254970675"/>
      <w:bookmarkStart w:id="71" w:name="_Toc254970534"/>
      <w:bookmarkStart w:id="72" w:name="_Toc12713"/>
      <w:bookmarkStart w:id="73" w:name="_Toc27583"/>
      <w:bookmarkStart w:id="74" w:name="_Toc80886931"/>
      <w:r>
        <w:rPr>
          <w:rFonts w:hint="eastAsia" w:ascii="宋体" w:hAnsi="宋体" w:eastAsia="宋体" w:cs="宋体"/>
          <w:b w:val="0"/>
          <w:bCs w:val="0"/>
          <w:color w:val="auto"/>
          <w:highlight w:val="none"/>
        </w:rPr>
        <w:t>二、磋商文件</w:t>
      </w:r>
      <w:bookmarkEnd w:id="70"/>
      <w:bookmarkEnd w:id="71"/>
      <w:bookmarkEnd w:id="72"/>
      <w:bookmarkEnd w:id="73"/>
      <w:bookmarkEnd w:id="74"/>
    </w:p>
    <w:p w14:paraId="0B6025A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15DE92E2">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62B6B3C2">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 采购需求；</w:t>
      </w:r>
    </w:p>
    <w:p w14:paraId="7D49A39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第三章 供应商须知； </w:t>
      </w:r>
    </w:p>
    <w:p w14:paraId="2876E0E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第四章 评审程序、评审方法和评审标准；</w:t>
      </w:r>
    </w:p>
    <w:p w14:paraId="5AC0CBF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第五章 响应文件格式；</w:t>
      </w:r>
    </w:p>
    <w:p w14:paraId="1F878443">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第六章 合同文本；</w:t>
      </w:r>
    </w:p>
    <w:p w14:paraId="67BB535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第七章 质疑、投诉材料格式。</w:t>
      </w:r>
    </w:p>
    <w:p w14:paraId="611A45B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7A4DFF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14:paraId="7F635F2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780E45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6FC52175">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220A31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获取磋商文件的供应商，不足5日的，应当顺延提交首次响应文件截止</w:t>
      </w:r>
      <w:r>
        <w:rPr>
          <w:rFonts w:hint="eastAsia" w:ascii="宋体" w:hAnsi="宋体" w:eastAsia="宋体" w:cs="宋体"/>
          <w:color w:val="auto"/>
          <w:szCs w:val="21"/>
          <w:highlight w:val="none"/>
          <w:lang w:eastAsia="zh-CN"/>
        </w:rPr>
        <w:t>时间</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澄清或者</w:t>
      </w:r>
      <w:r>
        <w:rPr>
          <w:rFonts w:hint="eastAsia" w:ascii="宋体" w:hAnsi="宋体" w:eastAsia="宋体" w:cs="宋体"/>
          <w:color w:val="auto"/>
          <w:szCs w:val="21"/>
          <w:highlight w:val="none"/>
          <w:lang w:val="en-US" w:eastAsia="zh-CN"/>
        </w:rPr>
        <w:t>更正公告</w:t>
      </w:r>
      <w:r>
        <w:rPr>
          <w:rFonts w:hint="eastAsia" w:ascii="宋体" w:hAnsi="宋体" w:eastAsia="宋体" w:cs="宋体"/>
          <w:color w:val="auto"/>
          <w:szCs w:val="21"/>
          <w:highlight w:val="none"/>
          <w:lang w:eastAsia="zh-CN"/>
        </w:rPr>
        <w:t>在竞争性磋商公告发布媒体上发布</w:t>
      </w:r>
      <w:r>
        <w:rPr>
          <w:rFonts w:hint="eastAsia" w:ascii="宋体" w:hAnsi="宋体" w:eastAsia="宋体" w:cs="宋体"/>
          <w:color w:val="auto"/>
          <w:szCs w:val="21"/>
          <w:highlight w:val="none"/>
        </w:rPr>
        <w:t>，一经发布，视作已以书面形式通知所有获取竞争性磋商文件的潜在供应商，不再另行通知，所有潜在供应商应密切关注竞争性磋商公告发布媒体，因未能及时获知，由此产生的后果均应自行承担。</w:t>
      </w:r>
    </w:p>
    <w:p w14:paraId="572E958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60B4E81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10.5采购人和采购代理机构可以视采购具体情况，变更提交首次响应文件截止时间和竞谈时间，将变更时间将在</w:t>
      </w:r>
      <w:r>
        <w:rPr>
          <w:rFonts w:hint="eastAsia" w:ascii="宋体" w:hAnsi="宋体" w:eastAsia="宋体" w:cs="宋体"/>
          <w:color w:val="auto"/>
          <w:highlight w:val="none"/>
          <w:lang w:eastAsia="zh-CN"/>
        </w:rPr>
        <w:t>竞争性磋商</w:t>
      </w:r>
      <w:r>
        <w:rPr>
          <w:rFonts w:hint="eastAsia" w:ascii="宋体" w:hAnsi="宋体" w:eastAsia="宋体" w:cs="宋体"/>
          <w:color w:val="auto"/>
          <w:highlight w:val="none"/>
        </w:rPr>
        <w:t>公告中“七、其他补充事宜</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.网上查询地址”规定的政府采购信息发布媒体上发布更正公告。</w:t>
      </w:r>
    </w:p>
    <w:p w14:paraId="4092147F">
      <w:pPr>
        <w:spacing w:line="360" w:lineRule="auto"/>
        <w:ind w:firstLine="400" w:firstLineChars="20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w:t>
      </w:r>
      <w:r>
        <w:rPr>
          <w:rFonts w:hint="eastAsia" w:ascii="宋体" w:hAnsi="宋体" w:eastAsia="宋体" w:cs="宋体"/>
          <w:b/>
          <w:color w:val="auto"/>
          <w:kern w:val="0"/>
          <w:sz w:val="20"/>
          <w:szCs w:val="21"/>
          <w:highlight w:val="none"/>
        </w:rPr>
        <w:t>响应文件未按磋商文件的澄清、修改的内容编制，又不符合实质性要求的，其响应文件</w:t>
      </w:r>
      <w:r>
        <w:rPr>
          <w:rFonts w:hint="eastAsia" w:ascii="宋体" w:hAnsi="宋体" w:eastAsia="宋体" w:cs="宋体"/>
          <w:b/>
          <w:color w:val="auto"/>
          <w:kern w:val="0"/>
          <w:sz w:val="20"/>
          <w:szCs w:val="21"/>
          <w:highlight w:val="none"/>
          <w:lang w:eastAsia="zh-CN"/>
        </w:rPr>
        <w:t>按无效</w:t>
      </w:r>
      <w:r>
        <w:rPr>
          <w:rFonts w:hint="eastAsia" w:ascii="宋体" w:hAnsi="宋体" w:eastAsia="宋体" w:cs="宋体"/>
          <w:b/>
          <w:color w:val="auto"/>
          <w:kern w:val="0"/>
          <w:sz w:val="20"/>
          <w:szCs w:val="21"/>
          <w:highlight w:val="none"/>
        </w:rPr>
        <w:t>处理。</w:t>
      </w:r>
    </w:p>
    <w:p w14:paraId="7FC95445">
      <w:pPr>
        <w:pStyle w:val="4"/>
        <w:keepNext/>
        <w:keepLines/>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宋体" w:hAnsi="宋体" w:eastAsia="宋体" w:cs="宋体"/>
          <w:b w:val="0"/>
          <w:bCs w:val="0"/>
          <w:color w:val="auto"/>
          <w:highlight w:val="none"/>
        </w:rPr>
      </w:pPr>
      <w:bookmarkStart w:id="75" w:name="_Toc21480"/>
      <w:bookmarkStart w:id="76" w:name="_Toc80886932"/>
      <w:bookmarkStart w:id="77" w:name="_Toc21690"/>
      <w:r>
        <w:rPr>
          <w:rFonts w:hint="eastAsia" w:ascii="宋体" w:hAnsi="宋体" w:eastAsia="宋体" w:cs="宋体"/>
          <w:b w:val="0"/>
          <w:bCs w:val="0"/>
          <w:color w:val="auto"/>
          <w:highlight w:val="none"/>
        </w:rPr>
        <w:t>三、响应文件的编制</w:t>
      </w:r>
      <w:bookmarkEnd w:id="75"/>
      <w:bookmarkEnd w:id="76"/>
      <w:bookmarkEnd w:id="77"/>
    </w:p>
    <w:p w14:paraId="2261E50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55AC42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5B0FB47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13C6FE6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12.1响应文件由资格文件、报价文件、商务技术文件三部分组成。</w:t>
      </w:r>
    </w:p>
    <w:p w14:paraId="6EE78C8B">
      <w:pPr>
        <w:spacing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12.1.1资格文件：详见供应商须知前附表</w:t>
      </w:r>
    </w:p>
    <w:p w14:paraId="060FB792">
      <w:pPr>
        <w:spacing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12.1.2商务技术文件：详见供应商须知前附表</w:t>
      </w:r>
    </w:p>
    <w:p w14:paraId="6CAAD37F">
      <w:pPr>
        <w:spacing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12.1.3报价文件：详见供应商须知前附表</w:t>
      </w:r>
    </w:p>
    <w:p w14:paraId="6CDC718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12.2响应文件电子版：详见供应商须知前附表</w:t>
      </w:r>
    </w:p>
    <w:p w14:paraId="2BC9C11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39A8CB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5E573C5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0B75F0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50ECBF0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w:t>
      </w:r>
      <w:r>
        <w:rPr>
          <w:rFonts w:hint="eastAsia" w:ascii="宋体" w:hAnsi="宋体" w:eastAsia="宋体" w:cs="宋体"/>
          <w:b/>
          <w:bCs/>
          <w:color w:val="auto"/>
          <w:sz w:val="24"/>
          <w:highlight w:val="none"/>
          <w:lang w:val="en-US"/>
        </w:rPr>
        <w:t>响应</w:t>
      </w:r>
      <w:r>
        <w:rPr>
          <w:rFonts w:hint="eastAsia" w:ascii="宋体" w:hAnsi="宋体" w:eastAsia="宋体" w:cs="宋体"/>
          <w:b/>
          <w:bCs/>
          <w:color w:val="auto"/>
          <w:sz w:val="24"/>
          <w:highlight w:val="none"/>
        </w:rPr>
        <w:t>报价要求和构成</w:t>
      </w:r>
    </w:p>
    <w:p w14:paraId="7A7AF71D">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w:t>
      </w:r>
      <w:r>
        <w:rPr>
          <w:rFonts w:hint="eastAsia" w:ascii="宋体" w:hAnsi="宋体" w:eastAsia="宋体" w:cs="宋体"/>
          <w:color w:val="auto"/>
          <w:szCs w:val="21"/>
          <w:highlight w:val="none"/>
          <w:lang w:val="en-US"/>
        </w:rPr>
        <w:t>响应</w:t>
      </w:r>
      <w:r>
        <w:rPr>
          <w:rFonts w:hint="eastAsia" w:ascii="宋体" w:hAnsi="宋体" w:eastAsia="宋体" w:cs="宋体"/>
          <w:color w:val="auto"/>
          <w:szCs w:val="21"/>
          <w:highlight w:val="none"/>
        </w:rPr>
        <w:t>报价应按“第五章 响应文件格式”中“响应报价表”格式填写。</w:t>
      </w:r>
    </w:p>
    <w:p w14:paraId="5B47D2AA">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5839ABC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286DA5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48AE10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（1）供应商必须就“采购需求”中所竞标的的全部内容分别作完整唯一总价报价，不得存在漏项报价；</w:t>
      </w:r>
    </w:p>
    <w:p w14:paraId="043836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（2）供应商必须就所竞标的单项内容作唯一报价。</w:t>
      </w:r>
    </w:p>
    <w:p w14:paraId="483F50B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15.3.2响应报价（包含首次报价、最后报价）超过所竞标规定的采购预算金额或者最高限价的（如本项目公布了最高限价），其响应文件将</w:t>
      </w:r>
      <w:r>
        <w:rPr>
          <w:rFonts w:hint="eastAsia" w:ascii="宋体" w:hAnsi="宋体" w:eastAsia="宋体" w:cs="宋体"/>
          <w:color w:val="auto"/>
          <w:szCs w:val="21"/>
          <w:highlight w:val="none"/>
          <w:lang w:eastAsia="zh-CN"/>
        </w:rPr>
        <w:t>按无效</w:t>
      </w:r>
      <w:r>
        <w:rPr>
          <w:rFonts w:hint="eastAsia" w:ascii="宋体" w:hAnsi="宋体" w:eastAsia="宋体" w:cs="宋体"/>
          <w:color w:val="auto"/>
          <w:szCs w:val="21"/>
          <w:highlight w:val="none"/>
        </w:rPr>
        <w:t>处理。</w:t>
      </w:r>
    </w:p>
    <w:p w14:paraId="762CD7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78" w:name="_Hlk42592874"/>
      <w:r>
        <w:rPr>
          <w:rFonts w:hint="eastAsia" w:ascii="宋体" w:hAnsi="宋体" w:eastAsia="宋体" w:cs="宋体"/>
          <w:color w:val="auto"/>
          <w:szCs w:val="21"/>
          <w:highlight w:val="none"/>
        </w:rPr>
        <w:t>响应报价（包含首次报价、最后报价）超过分项采购预算金额或者最高限价的（如本项目公布了最高限价），其响应文件将</w:t>
      </w:r>
      <w:r>
        <w:rPr>
          <w:rFonts w:hint="eastAsia" w:ascii="宋体" w:hAnsi="宋体" w:eastAsia="宋体" w:cs="宋体"/>
          <w:color w:val="auto"/>
          <w:szCs w:val="21"/>
          <w:highlight w:val="none"/>
          <w:lang w:eastAsia="zh-CN"/>
        </w:rPr>
        <w:t>按无效</w:t>
      </w:r>
      <w:r>
        <w:rPr>
          <w:rFonts w:hint="eastAsia" w:ascii="宋体" w:hAnsi="宋体" w:eastAsia="宋体" w:cs="宋体"/>
          <w:color w:val="auto"/>
          <w:szCs w:val="21"/>
          <w:highlight w:val="none"/>
        </w:rPr>
        <w:t>处理。</w:t>
      </w:r>
    </w:p>
    <w:bookmarkEnd w:id="78"/>
    <w:p w14:paraId="34D1317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3E227E8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046E77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25253F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2C04C373">
      <w:pPr>
        <w:spacing w:line="360" w:lineRule="auto"/>
        <w:ind w:firstLine="482" w:firstLineChars="200"/>
        <w:rPr>
          <w:rFonts w:hint="eastAsia" w:ascii="宋体" w:hAnsi="宋体" w:eastAsia="宋体" w:cs="宋体"/>
          <w:b/>
          <w:bCs/>
          <w:i/>
          <w:iCs/>
          <w:color w:val="auto"/>
          <w:sz w:val="24"/>
          <w:highlight w:val="none"/>
          <w:lang w:eastAsia="zh-CN"/>
        </w:rPr>
      </w:pPr>
      <w:r>
        <w:rPr>
          <w:rFonts w:hint="eastAsia" w:ascii="宋体" w:hAnsi="宋体" w:eastAsia="宋体" w:cs="宋体"/>
          <w:b/>
          <w:bCs/>
          <w:color w:val="auto"/>
          <w:sz w:val="24"/>
          <w:highlight w:val="none"/>
        </w:rPr>
        <w:t>17.磋商保证金</w:t>
      </w:r>
    </w:p>
    <w:p w14:paraId="1261CF1B">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17.1供应商须按“供应商须知前附表”的规定提交磋商保证金。</w:t>
      </w:r>
    </w:p>
    <w:p w14:paraId="68F4539D">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17.2磋商保证金的退还</w:t>
      </w:r>
    </w:p>
    <w:p w14:paraId="6478CF5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17.2.1未</w:t>
      </w:r>
      <w:r>
        <w:rPr>
          <w:rFonts w:hint="eastAsia" w:ascii="宋体" w:hAnsi="宋体" w:eastAsia="宋体" w:cs="宋体"/>
          <w:color w:val="auto"/>
          <w:spacing w:val="-6"/>
          <w:szCs w:val="21"/>
          <w:highlight w:val="none"/>
        </w:rPr>
        <w:t>成交供应商的磋商保证金自成交通知书发出之日起</w:t>
      </w:r>
      <w:r>
        <w:rPr>
          <w:rFonts w:hint="eastAsia" w:ascii="宋体" w:hAnsi="宋体" w:eastAsia="宋体" w:cs="宋体"/>
          <w:color w:val="auto"/>
          <w:spacing w:val="-6"/>
          <w:szCs w:val="21"/>
          <w:highlight w:val="none"/>
          <w:lang w:val="en-US" w:eastAsia="zh-CN"/>
        </w:rPr>
        <w:t>5</w:t>
      </w:r>
      <w:r>
        <w:rPr>
          <w:rFonts w:hint="eastAsia" w:ascii="宋体" w:hAnsi="宋体" w:eastAsia="宋体" w:cs="宋体"/>
          <w:color w:val="auto"/>
          <w:spacing w:val="-6"/>
          <w:szCs w:val="21"/>
          <w:highlight w:val="none"/>
        </w:rPr>
        <w:t>个工作日内退还，退还方式如下：</w:t>
      </w:r>
    </w:p>
    <w:p w14:paraId="3277554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（1）采用银行转账方式的，以转账方式退回到供应商银行账户。</w:t>
      </w:r>
    </w:p>
    <w:p w14:paraId="69C57A1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（2）采用支票、汇票、本票或者金融机构、担保机构出具的保函</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方式的，由供应商代表持相关授权证明材料至采购代理机构办理支票、汇票、本票或者金融机构、担保机构出具的保函</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原件退还手续。</w:t>
      </w:r>
    </w:p>
    <w:p w14:paraId="4C47FA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17.2.2成交供应商的磋商保证金自签订合同之日起</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个工作日内退还，退还方式同未成交供应商的磋商保证金的退还方式。 </w:t>
      </w:r>
    </w:p>
    <w:p w14:paraId="65D400C8">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17.3磋商保证金不计息。</w:t>
      </w:r>
    </w:p>
    <w:p w14:paraId="53B6D603">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17.4供应商有下列情形之一的，磋商保证金将不予退还： </w:t>
      </w:r>
    </w:p>
    <w:p w14:paraId="63367DED">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（1）供应商在提交响应文件截止时间后撤回响应文件的；</w:t>
      </w:r>
    </w:p>
    <w:p w14:paraId="452EDEF4">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（2）供应商在响应文件中提供虚假材料的；</w:t>
      </w:r>
    </w:p>
    <w:p w14:paraId="45C06B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（3）除因不可抗力或者磋商文件认可的情形以外，成交供应商不与采购人签订合同的；</w:t>
      </w:r>
    </w:p>
    <w:p w14:paraId="03D69E3F">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（4）供应商与采购人、</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供应商或者采购代理机构恶意串通的；</w:t>
      </w:r>
    </w:p>
    <w:p w14:paraId="28BFF81A">
      <w:pPr>
        <w:spacing w:line="360" w:lineRule="auto"/>
        <w:ind w:left="420" w:leftChars="20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（5）磋商文件规定的</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情形。</w:t>
      </w:r>
    </w:p>
    <w:p w14:paraId="53D5E02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16E063D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66C94D6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18.2响应文件应按资格文件、报价</w:t>
      </w:r>
      <w:r>
        <w:rPr>
          <w:rFonts w:hint="eastAsia" w:ascii="宋体" w:hAnsi="宋体" w:eastAsia="宋体" w:cs="宋体"/>
          <w:color w:val="auto"/>
          <w:szCs w:val="21"/>
          <w:highlight w:val="none"/>
          <w:lang w:eastAsia="zh-CN"/>
        </w:rPr>
        <w:t>文件</w:t>
      </w:r>
      <w:r>
        <w:rPr>
          <w:rFonts w:hint="eastAsia" w:ascii="宋体" w:hAnsi="宋体" w:eastAsia="宋体" w:cs="宋体"/>
          <w:color w:val="auto"/>
          <w:szCs w:val="21"/>
          <w:highlight w:val="none"/>
        </w:rPr>
        <w:t>分别编制，商务</w:t>
      </w:r>
      <w:r>
        <w:rPr>
          <w:rFonts w:hint="eastAsia" w:ascii="宋体" w:hAnsi="宋体" w:eastAsia="宋体" w:cs="宋体"/>
          <w:color w:val="auto"/>
          <w:szCs w:val="21"/>
          <w:highlight w:val="none"/>
          <w:lang w:eastAsia="zh-CN"/>
        </w:rPr>
        <w:t>文件与</w:t>
      </w:r>
      <w:r>
        <w:rPr>
          <w:rFonts w:hint="eastAsia" w:ascii="宋体" w:hAnsi="宋体" w:eastAsia="宋体" w:cs="宋体"/>
          <w:color w:val="auto"/>
          <w:szCs w:val="21"/>
          <w:highlight w:val="none"/>
        </w:rPr>
        <w:t>技术文件合并编制，本磋商只接受电子版响应文件，要求见本章“12.2响应文件电子版要求”。</w:t>
      </w:r>
    </w:p>
    <w:p w14:paraId="7FF36AE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79" w:name="_Hlk65832699"/>
      <w:r>
        <w:rPr>
          <w:rFonts w:hint="eastAsia" w:ascii="宋体" w:hAnsi="宋体" w:eastAsia="宋体" w:cs="宋体"/>
          <w:color w:val="auto"/>
          <w:szCs w:val="21"/>
          <w:highlight w:val="none"/>
        </w:rPr>
        <w:t>3响应文件须由供应商</w:t>
      </w:r>
      <w:r>
        <w:rPr>
          <w:rFonts w:hint="eastAsia" w:ascii="宋体" w:hAnsi="宋体" w:eastAsia="宋体" w:cs="宋体"/>
          <w:color w:val="auto"/>
          <w:szCs w:val="21"/>
          <w:highlight w:val="none"/>
          <w:lang w:eastAsia="zh-CN"/>
        </w:rPr>
        <w:t>按</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第五章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lang w:eastAsia="zh-CN"/>
        </w:rPr>
        <w:t>要求</w:t>
      </w:r>
      <w:r>
        <w:rPr>
          <w:rFonts w:hint="eastAsia" w:ascii="宋体" w:hAnsi="宋体" w:eastAsia="宋体" w:cs="宋体"/>
          <w:color w:val="auto"/>
          <w:szCs w:val="21"/>
          <w:highlight w:val="none"/>
        </w:rPr>
        <w:t>进行签署、盖章</w:t>
      </w:r>
      <w:bookmarkEnd w:id="79"/>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否则其响应文件按无效响应处理</w:t>
      </w:r>
      <w:r>
        <w:rPr>
          <w:rFonts w:hint="eastAsia" w:ascii="宋体" w:hAnsi="宋体" w:eastAsia="宋体" w:cs="宋体"/>
          <w:color w:val="auto"/>
          <w:szCs w:val="21"/>
          <w:highlight w:val="none"/>
        </w:rPr>
        <w:t>。</w:t>
      </w:r>
    </w:p>
    <w:p w14:paraId="38BFEA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公章一致，</w:t>
      </w:r>
      <w:r>
        <w:rPr>
          <w:rFonts w:hint="eastAsia" w:ascii="宋体" w:hAnsi="宋体" w:eastAsia="宋体" w:cs="宋体"/>
          <w:b/>
          <w:bCs/>
          <w:color w:val="auto"/>
          <w:szCs w:val="21"/>
          <w:highlight w:val="none"/>
        </w:rPr>
        <w:t>否则其响应文件按无效响应处理。</w:t>
      </w:r>
    </w:p>
    <w:p w14:paraId="5EA939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w:t>
      </w:r>
    </w:p>
    <w:p w14:paraId="49016D58">
      <w:pPr>
        <w:spacing w:line="360" w:lineRule="auto"/>
        <w:ind w:firstLine="482" w:firstLineChars="2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19.响应文件的</w:t>
      </w:r>
      <w:r>
        <w:rPr>
          <w:rFonts w:hint="eastAsia" w:ascii="宋体" w:hAnsi="宋体" w:eastAsia="宋体" w:cs="宋体"/>
          <w:b/>
          <w:bCs/>
          <w:color w:val="auto"/>
          <w:sz w:val="24"/>
          <w:highlight w:val="none"/>
          <w:lang w:eastAsia="zh-CN"/>
        </w:rPr>
        <w:t>加密</w:t>
      </w:r>
    </w:p>
    <w:p w14:paraId="31F8C616">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19.1供应商进行电子交易应安装客户端软件—“</w:t>
      </w:r>
      <w:r>
        <w:rPr>
          <w:rFonts w:hint="eastAsia" w:ascii="宋体" w:hAnsi="宋体" w:eastAsia="宋体" w:cs="宋体"/>
          <w:b w:val="0"/>
          <w:bCs w:val="0"/>
          <w:color w:val="auto"/>
          <w:sz w:val="21"/>
          <w:szCs w:val="21"/>
          <w:highlight w:val="none"/>
          <w:lang w:val="en-US" w:eastAsia="zh-CN"/>
        </w:rPr>
        <w:t>广西政府采购云平台新版客户端</w:t>
      </w:r>
      <w:r>
        <w:rPr>
          <w:rFonts w:hint="eastAsia" w:ascii="宋体" w:hAnsi="宋体" w:eastAsia="宋体" w:cs="宋体"/>
          <w:color w:val="auto"/>
          <w:kern w:val="0"/>
          <w:szCs w:val="21"/>
          <w:highlight w:val="none"/>
          <w:lang w:val="zh-CN"/>
        </w:rPr>
        <w:t>”，并按照磋商文件和电子交易平台的要求编制并加密响应文件。供应商未按规定加密的响应文件，电子交易平台将拒收并提示。</w:t>
      </w:r>
    </w:p>
    <w:p w14:paraId="380B84FF">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w:t>
      </w:r>
      <w:r>
        <w:rPr>
          <w:rFonts w:hint="eastAsia" w:ascii="宋体" w:hAnsi="宋体" w:eastAsia="宋体" w:cs="宋体"/>
          <w:color w:val="auto"/>
          <w:kern w:val="0"/>
          <w:szCs w:val="21"/>
          <w:highlight w:val="none"/>
          <w:lang w:val="en-US" w:eastAsia="zh-CN"/>
        </w:rPr>
        <w:t>广西政府采购云平台</w:t>
      </w:r>
      <w:r>
        <w:rPr>
          <w:rFonts w:hint="eastAsia" w:ascii="宋体" w:hAnsi="宋体" w:eastAsia="宋体" w:cs="宋体"/>
          <w:color w:val="auto"/>
          <w:kern w:val="0"/>
          <w:szCs w:val="21"/>
          <w:highlight w:val="none"/>
          <w:lang w:val="zh-CN"/>
        </w:rPr>
        <w:t>电子交易客户端”需要提前申领CA数字证书。</w:t>
      </w:r>
    </w:p>
    <w:p w14:paraId="74491FB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19.3为确保网上操作合法、有效和安全，供应商应当在响应文件提交截止时间前完成在“</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kern w:val="0"/>
          <w:szCs w:val="21"/>
          <w:highlight w:val="none"/>
        </w:rPr>
        <w:t>”的身份认证，确保在电子交易过程中能够对相关数据电文进行加密和使用电子签名。</w:t>
      </w:r>
    </w:p>
    <w:p w14:paraId="6C4C914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591BAF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52C20A7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4557EE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w:t>
      </w:r>
    </w:p>
    <w:p w14:paraId="020590F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2365E1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4F28972C">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eastAsia="宋体" w:cs="宋体"/>
          <w:bCs/>
          <w:color w:val="auto"/>
          <w:szCs w:val="21"/>
          <w:highlight w:val="none"/>
        </w:rPr>
        <w:t>详见“供应商须知前附表”。</w:t>
      </w:r>
    </w:p>
    <w:p w14:paraId="2BB435F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17B5F29B">
      <w:pPr>
        <w:adjustRightIn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r>
        <w:rPr>
          <w:rFonts w:hint="eastAsia" w:ascii="宋体" w:hAnsi="宋体" w:eastAsia="宋体" w:cs="宋体"/>
          <w:color w:val="auto"/>
          <w:szCs w:val="21"/>
          <w:highlight w:val="none"/>
        </w:rPr>
        <w:t>。</w:t>
      </w:r>
      <w:bookmarkStart w:id="80" w:name="_Hlk45702405"/>
    </w:p>
    <w:p w14:paraId="59CF870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w:t>
      </w: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 截止时间后的撤回</w:t>
      </w:r>
      <w:bookmarkEnd w:id="80"/>
    </w:p>
    <w:p w14:paraId="4F95FDE0">
      <w:pPr>
        <w:spacing w:line="360" w:lineRule="auto"/>
        <w:ind w:firstLine="420" w:firstLineChars="200"/>
        <w:rPr>
          <w:rFonts w:hint="eastAsia" w:ascii="宋体" w:hAnsi="宋体" w:eastAsia="宋体" w:cs="宋体"/>
          <w:b/>
          <w:bCs/>
          <w:color w:val="auto"/>
          <w:highlight w:val="none"/>
        </w:rPr>
      </w:pPr>
      <w:r>
        <w:rPr>
          <w:rFonts w:hint="eastAsia" w:ascii="宋体" w:hAnsi="宋体" w:eastAsia="宋体" w:cs="宋体"/>
          <w:color w:val="auto"/>
          <w:highlight w:val="none"/>
        </w:rPr>
        <w:t>供应商在首次响应文件提交截止时间后向采购人、采购代理机构书面申请撤回</w:t>
      </w:r>
      <w:r>
        <w:rPr>
          <w:rFonts w:hint="eastAsia" w:ascii="宋体" w:hAnsi="宋体" w:eastAsia="宋体" w:cs="宋体"/>
          <w:color w:val="auto"/>
          <w:highlight w:val="none"/>
          <w:lang w:eastAsia="zh-CN"/>
        </w:rPr>
        <w:t>电子</w:t>
      </w:r>
      <w:r>
        <w:rPr>
          <w:rFonts w:hint="eastAsia" w:ascii="宋体" w:hAnsi="宋体" w:eastAsia="宋体" w:cs="宋体"/>
          <w:color w:val="auto"/>
          <w:highlight w:val="none"/>
        </w:rPr>
        <w:t>响应文件的，将根据本须知正文17.4的规定不予退还其磋商保证金</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如有</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w:t>
      </w:r>
    </w:p>
    <w:p w14:paraId="09B4B0CE">
      <w:pPr>
        <w:pStyle w:val="4"/>
        <w:keepNext/>
        <w:keepLines/>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宋体" w:hAnsi="宋体" w:eastAsia="宋体" w:cs="宋体"/>
          <w:b w:val="0"/>
          <w:bCs w:val="0"/>
          <w:color w:val="auto"/>
          <w:highlight w:val="none"/>
        </w:rPr>
      </w:pPr>
      <w:bookmarkStart w:id="81" w:name="_Toc20044"/>
      <w:bookmarkStart w:id="82" w:name="_Toc17876"/>
      <w:bookmarkStart w:id="83" w:name="_Toc80886933"/>
      <w:r>
        <w:rPr>
          <w:rFonts w:hint="eastAsia" w:ascii="宋体" w:hAnsi="宋体" w:eastAsia="宋体" w:cs="宋体"/>
          <w:b w:val="0"/>
          <w:bCs w:val="0"/>
          <w:color w:val="auto"/>
          <w:highlight w:val="none"/>
        </w:rPr>
        <w:t>四、评审及磋商</w:t>
      </w:r>
      <w:bookmarkEnd w:id="81"/>
      <w:bookmarkEnd w:id="82"/>
      <w:bookmarkEnd w:id="83"/>
    </w:p>
    <w:p w14:paraId="06B4A1C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w:t>
      </w: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.磋商小组成立</w:t>
      </w:r>
    </w:p>
    <w:p w14:paraId="08F686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12AFB1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w:t>
      </w:r>
    </w:p>
    <w:p w14:paraId="25FDE7B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w:t>
      </w: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rPr>
        <w:t>.首次响应文件的开启</w:t>
      </w:r>
    </w:p>
    <w:p w14:paraId="2222E3E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.1首次响应文件由磋商小组或者采购代理机构在“供应商须知前附表”规定的时间开启。</w:t>
      </w:r>
    </w:p>
    <w:p w14:paraId="40C9E79E">
      <w:pPr>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bCs/>
          <w:color w:val="auto"/>
          <w:kern w:val="0"/>
          <w:szCs w:val="21"/>
          <w:highlight w:val="none"/>
        </w:rPr>
        <w:t>响应文件解密</w:t>
      </w:r>
    </w:p>
    <w:p w14:paraId="0514548D">
      <w:pPr>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采购代理机构将在“供应商须知前附表”规定的时</w:t>
      </w:r>
      <w:r>
        <w:rPr>
          <w:rFonts w:hint="eastAsia" w:ascii="宋体" w:hAnsi="宋体" w:eastAsia="宋体" w:cs="宋体"/>
          <w:color w:val="auto"/>
          <w:kern w:val="0"/>
          <w:szCs w:val="21"/>
          <w:highlight w:val="none"/>
        </w:rPr>
        <w:t>间通过电子交易平台组织响应文件开启，采购机构依托电子交易平台发起开始解密指令，供应商的法定代表人或其委托代理人</w:t>
      </w:r>
      <w:r>
        <w:rPr>
          <w:rFonts w:hint="eastAsia" w:ascii="宋体" w:hAnsi="宋体" w:eastAsia="宋体" w:cs="宋体"/>
          <w:b/>
          <w:color w:val="auto"/>
          <w:kern w:val="0"/>
          <w:szCs w:val="21"/>
          <w:highlight w:val="none"/>
        </w:rPr>
        <w:t>须携带加密时所用的CA锁按平台提示和采购文件的规定登录到</w:t>
      </w:r>
      <w:r>
        <w:rPr>
          <w:rFonts w:hint="eastAsia" w:ascii="宋体" w:hAnsi="宋体" w:eastAsia="宋体" w:cs="宋体"/>
          <w:b/>
          <w:bCs w:val="0"/>
          <w:color w:val="auto"/>
          <w:kern w:val="0"/>
          <w:sz w:val="21"/>
          <w:szCs w:val="21"/>
          <w:highlight w:val="none"/>
          <w:lang w:val="en-US" w:eastAsia="zh-CN"/>
        </w:rPr>
        <w:t>广西政府采购云平台</w:t>
      </w:r>
      <w:r>
        <w:rPr>
          <w:rFonts w:hint="eastAsia" w:ascii="宋体" w:hAnsi="宋体" w:eastAsia="宋体" w:cs="宋体"/>
          <w:b/>
          <w:color w:val="auto"/>
          <w:kern w:val="0"/>
          <w:szCs w:val="21"/>
          <w:highlight w:val="none"/>
        </w:rPr>
        <w:t>电子开标大厅签到并在规定的时间内完成对电子响应文件在线解密</w:t>
      </w:r>
      <w:r>
        <w:rPr>
          <w:rFonts w:hint="eastAsia" w:ascii="宋体" w:hAnsi="宋体" w:eastAsia="宋体" w:cs="宋体"/>
          <w:color w:val="auto"/>
          <w:kern w:val="0"/>
          <w:szCs w:val="21"/>
          <w:highlight w:val="none"/>
        </w:rPr>
        <w:t>。</w:t>
      </w:r>
      <w:r>
        <w:rPr>
          <w:rFonts w:hint="eastAsia" w:ascii="宋体" w:hAnsi="宋体" w:eastAsia="宋体" w:cs="宋体"/>
          <w:color w:val="auto"/>
          <w:kern w:val="1"/>
          <w:szCs w:val="21"/>
          <w:highlight w:val="none"/>
          <w:lang w:eastAsia="zh-CN"/>
        </w:rPr>
        <w:t>响应</w:t>
      </w:r>
      <w:r>
        <w:rPr>
          <w:rFonts w:hint="eastAsia" w:ascii="宋体" w:hAnsi="宋体" w:eastAsia="宋体" w:cs="宋体"/>
          <w:color w:val="auto"/>
          <w:kern w:val="1"/>
          <w:szCs w:val="21"/>
          <w:highlight w:val="none"/>
        </w:rPr>
        <w:t>文件未按时解密的</w:t>
      </w:r>
      <w:r>
        <w:rPr>
          <w:rFonts w:hint="eastAsia" w:ascii="宋体" w:hAnsi="宋体" w:eastAsia="宋体" w:cs="宋体"/>
          <w:color w:val="auto"/>
          <w:kern w:val="0"/>
          <w:szCs w:val="21"/>
          <w:highlight w:val="none"/>
        </w:rPr>
        <w:t>，</w:t>
      </w:r>
      <w:r>
        <w:rPr>
          <w:rFonts w:hint="eastAsia" w:ascii="宋体" w:hAnsi="宋体" w:eastAsia="宋体" w:cs="宋体"/>
          <w:b/>
          <w:color w:val="auto"/>
          <w:kern w:val="0"/>
          <w:szCs w:val="21"/>
          <w:highlight w:val="none"/>
        </w:rPr>
        <w:t>视为响应文件无效。</w:t>
      </w:r>
      <w:r>
        <w:rPr>
          <w:rFonts w:hint="eastAsia" w:ascii="宋体" w:hAnsi="宋体" w:eastAsia="宋体" w:cs="宋体"/>
          <w:color w:val="auto"/>
          <w:kern w:val="0"/>
          <w:szCs w:val="21"/>
          <w:highlight w:val="none"/>
        </w:rPr>
        <w:t>（解密</w:t>
      </w:r>
      <w:r>
        <w:rPr>
          <w:rFonts w:hint="eastAsia" w:ascii="宋体" w:hAnsi="宋体" w:eastAsia="宋体" w:cs="宋体"/>
          <w:bCs/>
          <w:color w:val="auto"/>
          <w:kern w:val="0"/>
          <w:szCs w:val="21"/>
          <w:highlight w:val="none"/>
        </w:rPr>
        <w:t>异常情况处理：详见本章</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电子交易活动的中止。）</w:t>
      </w:r>
    </w:p>
    <w:p w14:paraId="37721BCB">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如</w:t>
      </w:r>
      <w:r>
        <w:rPr>
          <w:rFonts w:hint="eastAsia" w:ascii="宋体" w:hAnsi="宋体" w:eastAsia="宋体" w:cs="宋体"/>
          <w:bCs/>
          <w:color w:val="auto"/>
          <w:kern w:val="0"/>
          <w:szCs w:val="21"/>
          <w:highlight w:val="none"/>
        </w:rPr>
        <w:t>供应商成功解密响应文件，但未在“</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bCs/>
          <w:color w:val="auto"/>
          <w:kern w:val="0"/>
          <w:szCs w:val="21"/>
          <w:highlight w:val="none"/>
        </w:rPr>
        <w:t>”电子开标大厅参加</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的，视同认可</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过程和结果，</w:t>
      </w:r>
      <w:r>
        <w:rPr>
          <w:rFonts w:hint="eastAsia" w:ascii="宋体" w:hAnsi="宋体" w:eastAsia="宋体" w:cs="宋体"/>
          <w:color w:val="auto"/>
          <w:kern w:val="0"/>
          <w:szCs w:val="21"/>
          <w:highlight w:val="none"/>
        </w:rPr>
        <w:t>由此产生的后果由供应商自行负责。 参与</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的供应商不足3家的，不得</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w:t>
      </w:r>
    </w:p>
    <w:p w14:paraId="2721CB3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w:t>
      </w:r>
      <w:r>
        <w:rPr>
          <w:rFonts w:hint="eastAsia" w:ascii="宋体" w:hAnsi="宋体" w:eastAsia="宋体" w:cs="宋体"/>
          <w:b/>
          <w:bCs/>
          <w:color w:val="auto"/>
          <w:sz w:val="24"/>
          <w:highlight w:val="none"/>
          <w:lang w:val="en-US" w:eastAsia="zh-CN"/>
        </w:rPr>
        <w:t>5</w:t>
      </w:r>
      <w:r>
        <w:rPr>
          <w:rFonts w:hint="eastAsia" w:ascii="宋体" w:hAnsi="宋体" w:eastAsia="宋体" w:cs="宋体"/>
          <w:b/>
          <w:bCs/>
          <w:color w:val="auto"/>
          <w:sz w:val="24"/>
          <w:highlight w:val="none"/>
        </w:rPr>
        <w:t>.评审程序、评审方法和评审标准</w:t>
      </w:r>
    </w:p>
    <w:p w14:paraId="358A3D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.1</w:t>
      </w:r>
      <w:r>
        <w:rPr>
          <w:rFonts w:hint="eastAsia" w:ascii="宋体" w:hAnsi="宋体" w:eastAsia="宋体" w:cs="宋体"/>
          <w:color w:val="auto"/>
          <w:highlight w:val="none"/>
        </w:rPr>
        <w:t>本项目的</w:t>
      </w:r>
      <w:r>
        <w:rPr>
          <w:rFonts w:hint="eastAsia" w:ascii="宋体" w:hAnsi="宋体" w:eastAsia="宋体" w:cs="宋体"/>
          <w:color w:val="auto"/>
          <w:highlight w:val="none"/>
          <w:lang w:eastAsia="zh-CN"/>
        </w:rPr>
        <w:t>评审方法</w:t>
      </w:r>
      <w:r>
        <w:rPr>
          <w:rFonts w:hint="eastAsia" w:ascii="宋体" w:hAnsi="宋体" w:eastAsia="宋体" w:cs="宋体"/>
          <w:color w:val="auto"/>
          <w:highlight w:val="none"/>
        </w:rPr>
        <w:t>详见“</w:t>
      </w: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t>须知前附表”</w:t>
      </w:r>
      <w:r>
        <w:rPr>
          <w:rFonts w:hint="eastAsia" w:ascii="宋体" w:hAnsi="宋体" w:eastAsia="宋体" w:cs="宋体"/>
          <w:color w:val="auto"/>
          <w:highlight w:val="none"/>
          <w:lang w:eastAsia="zh-CN"/>
        </w:rPr>
        <w:t>。</w:t>
      </w:r>
      <w:r>
        <w:rPr>
          <w:rFonts w:hint="eastAsia" w:ascii="宋体" w:hAnsi="宋体" w:eastAsia="宋体" w:cs="宋体"/>
          <w:color w:val="auto"/>
          <w:szCs w:val="21"/>
          <w:highlight w:val="none"/>
        </w:rPr>
        <w:t>磋商小组按照“第四章 评审程序、评审方法和评审标准”规定的方法、评审因素、标准和程序对响应文件进行评审。</w:t>
      </w:r>
    </w:p>
    <w:p w14:paraId="6F2F5AB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.2磋商文件内容违反国家有关强制性规定的，磋商小组应当停止评审并向采购人或者采购代理机构说明情况，并在评审报告中书面体现。</w:t>
      </w:r>
    </w:p>
    <w:p w14:paraId="1409040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磋商</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顺序详见“供应商须知前附表”。</w:t>
      </w:r>
    </w:p>
    <w:p w14:paraId="6D14518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电子交易活动的中止。采购过程中出现以下情形，导致电子交易平台无法正常运行，或者无法保证电子交易的公平、公正和安全时，采购机构可中止电子交易活动：</w:t>
      </w:r>
    </w:p>
    <w:p w14:paraId="05FDF7E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6F977B6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31E9FDB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6B9C864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27F04EF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）其他无法保证电子交易的公平、公正和安全的情况。</w:t>
      </w:r>
    </w:p>
    <w:p w14:paraId="5DDD9FA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32D1E968">
      <w:pPr>
        <w:pStyle w:val="4"/>
        <w:spacing w:before="0" w:after="0" w:line="360" w:lineRule="auto"/>
        <w:ind w:firstLine="480" w:firstLineChars="150"/>
        <w:rPr>
          <w:rFonts w:hint="eastAsia" w:ascii="宋体" w:hAnsi="宋体" w:eastAsia="宋体" w:cs="宋体"/>
          <w:b w:val="0"/>
          <w:bCs w:val="0"/>
          <w:color w:val="auto"/>
          <w:highlight w:val="none"/>
        </w:rPr>
      </w:pPr>
      <w:bookmarkStart w:id="84" w:name="_Toc80886934"/>
      <w:bookmarkStart w:id="85" w:name="_Toc17745"/>
      <w:bookmarkStart w:id="86" w:name="_Toc12018"/>
      <w:r>
        <w:rPr>
          <w:rFonts w:hint="eastAsia" w:ascii="宋体" w:hAnsi="宋体" w:eastAsia="宋体" w:cs="宋体"/>
          <w:b w:val="0"/>
          <w:bCs w:val="0"/>
          <w:color w:val="auto"/>
          <w:highlight w:val="none"/>
        </w:rPr>
        <w:t>五、成交及合同</w:t>
      </w:r>
      <w:bookmarkEnd w:id="84"/>
      <w:bookmarkEnd w:id="85"/>
      <w:bookmarkEnd w:id="86"/>
    </w:p>
    <w:p w14:paraId="14EDB2FB">
      <w:pPr>
        <w:spacing w:line="360" w:lineRule="auto"/>
        <w:ind w:firstLine="482" w:firstLineChars="2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2</w:t>
      </w:r>
      <w:r>
        <w:rPr>
          <w:rFonts w:hint="eastAsia" w:ascii="宋体" w:hAnsi="宋体" w:eastAsia="宋体" w:cs="宋体"/>
          <w:b/>
          <w:bCs/>
          <w:color w:val="auto"/>
          <w:sz w:val="24"/>
          <w:highlight w:val="none"/>
          <w:lang w:val="en-US" w:eastAsia="zh-CN"/>
        </w:rPr>
        <w:t>6</w:t>
      </w:r>
      <w:r>
        <w:rPr>
          <w:rFonts w:hint="eastAsia" w:ascii="宋体" w:hAnsi="宋体" w:eastAsia="宋体" w:cs="宋体"/>
          <w:b/>
          <w:bCs/>
          <w:color w:val="auto"/>
          <w:sz w:val="24"/>
          <w:highlight w:val="none"/>
        </w:rPr>
        <w:t>.确定成交供应商及结果公告</w:t>
      </w:r>
      <w:r>
        <w:rPr>
          <w:rFonts w:hint="eastAsia" w:ascii="宋体" w:hAnsi="宋体" w:eastAsia="宋体" w:cs="宋体"/>
          <w:b/>
          <w:bCs/>
          <w:color w:val="auto"/>
          <w:sz w:val="24"/>
          <w:highlight w:val="none"/>
          <w:lang w:eastAsia="zh-CN"/>
        </w:rPr>
        <w:tab/>
      </w:r>
    </w:p>
    <w:p w14:paraId="727515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.1确定成交供应商。</w:t>
      </w:r>
      <w:r>
        <w:rPr>
          <w:rFonts w:hint="eastAsia" w:ascii="宋体" w:hAnsi="宋体" w:eastAsia="宋体" w:cs="宋体"/>
          <w:color w:val="auto"/>
          <w:szCs w:val="21"/>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E45BA6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.2成交通知及成交结果公告。</w:t>
      </w:r>
      <w:r>
        <w:rPr>
          <w:rFonts w:hint="eastAsia" w:ascii="宋体" w:hAnsi="宋体" w:eastAsia="宋体" w:cs="宋体"/>
          <w:color w:val="auto"/>
          <w:szCs w:val="21"/>
          <w:highlight w:val="none"/>
        </w:rPr>
        <w:t>采购代理机构应当在</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供应商确定后2个工作日内，在省级以上财政部门指定的媒体上公告成交结果，同时向成交供应商发出成交通知书</w:t>
      </w:r>
      <w:r>
        <w:rPr>
          <w:rFonts w:hint="eastAsia" w:ascii="宋体" w:hAnsi="宋体" w:eastAsia="宋体" w:cs="宋体"/>
          <w:color w:val="auto"/>
          <w:szCs w:val="21"/>
          <w:highlight w:val="none"/>
        </w:rPr>
        <w:t>。</w:t>
      </w:r>
    </w:p>
    <w:p w14:paraId="241DF2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.3采购人或者采购代理机构发出成交通知书前，应当对成交供应商信用进行查询核实，对列入失信被执行人、</w:t>
      </w:r>
      <w:r>
        <w:rPr>
          <w:rFonts w:hint="eastAsia" w:ascii="宋体" w:hAnsi="宋体" w:eastAsia="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、政府采购严重违法失信行为记录名单及其他不符合《中华人民共和国政府采购法》第二十二条规定条件的供应商，取消其成交资格，并</w:t>
      </w:r>
      <w:r>
        <w:rPr>
          <w:rFonts w:hint="eastAsia" w:ascii="宋体" w:hAnsi="宋体" w:eastAsia="宋体" w:cs="宋体"/>
          <w:color w:val="auto"/>
          <w:szCs w:val="21"/>
          <w:highlight w:val="none"/>
          <w:lang w:eastAsia="zh-CN"/>
        </w:rPr>
        <w:t>依法</w:t>
      </w:r>
      <w:r>
        <w:rPr>
          <w:rFonts w:hint="eastAsia" w:ascii="宋体" w:hAnsi="宋体" w:eastAsia="宋体" w:cs="宋体"/>
          <w:color w:val="auto"/>
          <w:szCs w:val="21"/>
          <w:highlight w:val="none"/>
        </w:rPr>
        <w:t>确定排名第二的成交候选人为成交供应商。排名第二的成交候选人因上述规定的同样原因被取消成交资格的，采购人可以</w:t>
      </w:r>
      <w:r>
        <w:rPr>
          <w:rFonts w:hint="eastAsia" w:ascii="宋体" w:hAnsi="宋体" w:eastAsia="宋体" w:cs="宋体"/>
          <w:color w:val="auto"/>
          <w:szCs w:val="21"/>
          <w:highlight w:val="none"/>
          <w:lang w:eastAsia="zh-CN"/>
        </w:rPr>
        <w:t>依法</w:t>
      </w:r>
      <w:r>
        <w:rPr>
          <w:rFonts w:hint="eastAsia" w:ascii="宋体" w:hAnsi="宋体" w:eastAsia="宋体" w:cs="宋体"/>
          <w:color w:val="auto"/>
          <w:szCs w:val="21"/>
          <w:highlight w:val="none"/>
        </w:rPr>
        <w:t>确定排名第三的成交候选人为成交供应商，以此类推。以上信息查询记录及相关证据与</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文件一并保存。成交供应商享受《政府采购促进中小企业发展管理办法》（财库〔2020〕46号）规定的中小企业扶持政策的，采购人、采购代理机构应当随成交结果公开成交供应商的《中小企业声明函》。</w:t>
      </w:r>
    </w:p>
    <w:p w14:paraId="22DC72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77BC99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bCs/>
          <w:color w:val="auto"/>
          <w:szCs w:val="21"/>
          <w:highlight w:val="none"/>
          <w:lang w:val="en-US" w:eastAsia="zh-CN"/>
        </w:rPr>
        <w:t>6</w:t>
      </w:r>
      <w:r>
        <w:rPr>
          <w:rFonts w:hint="eastAsia" w:ascii="宋体" w:hAnsi="宋体" w:eastAsia="宋体" w:cs="宋体"/>
          <w:bCs/>
          <w:color w:val="auto"/>
          <w:szCs w:val="21"/>
          <w:highlight w:val="none"/>
        </w:rPr>
        <w:t>.5</w:t>
      </w:r>
      <w:r>
        <w:rPr>
          <w:rFonts w:hint="eastAsia" w:ascii="宋体" w:hAnsi="宋体" w:eastAsia="宋体" w:cs="宋体"/>
          <w:bCs/>
          <w:color w:val="auto"/>
          <w:szCs w:val="21"/>
          <w:highlight w:val="none"/>
        </w:rPr>
        <w:t>排名第一的成交候选人放弃成交，</w:t>
      </w:r>
      <w:r>
        <w:rPr>
          <w:rFonts w:hint="eastAsia" w:ascii="宋体" w:hAnsi="宋体" w:eastAsia="宋体" w:cs="宋体"/>
          <w:b w:val="0"/>
          <w:bCs/>
          <w:color w:val="auto"/>
          <w:sz w:val="21"/>
          <w:szCs w:val="21"/>
          <w:highlight w:val="none"/>
        </w:rPr>
        <w:t>采购人可以按照评审报告推荐的</w:t>
      </w:r>
      <w:r>
        <w:rPr>
          <w:rFonts w:hint="eastAsia" w:ascii="宋体" w:hAnsi="宋体" w:eastAsia="宋体" w:cs="宋体"/>
          <w:b w:val="0"/>
          <w:bCs/>
          <w:color w:val="auto"/>
          <w:sz w:val="21"/>
          <w:szCs w:val="21"/>
          <w:highlight w:val="none"/>
          <w:lang w:eastAsia="zh-CN"/>
        </w:rPr>
        <w:t>成交</w:t>
      </w:r>
      <w:r>
        <w:rPr>
          <w:rFonts w:hint="eastAsia" w:ascii="宋体" w:hAnsi="宋体" w:eastAsia="宋体" w:cs="宋体"/>
          <w:b w:val="0"/>
          <w:bCs/>
          <w:color w:val="auto"/>
          <w:sz w:val="21"/>
          <w:szCs w:val="21"/>
          <w:highlight w:val="none"/>
        </w:rPr>
        <w:t>候选人名单排序，</w:t>
      </w:r>
      <w:r>
        <w:rPr>
          <w:rFonts w:hint="eastAsia" w:ascii="宋体" w:hAnsi="宋体" w:eastAsia="宋体" w:cs="宋体"/>
          <w:b w:val="0"/>
          <w:bCs/>
          <w:color w:val="auto"/>
          <w:sz w:val="21"/>
          <w:szCs w:val="21"/>
          <w:highlight w:val="none"/>
          <w:lang w:eastAsia="zh-CN"/>
        </w:rPr>
        <w:t>依法</w:t>
      </w:r>
      <w:r>
        <w:rPr>
          <w:rFonts w:hint="eastAsia" w:ascii="宋体" w:hAnsi="宋体" w:eastAsia="宋体" w:cs="宋体"/>
          <w:b w:val="0"/>
          <w:bCs/>
          <w:color w:val="auto"/>
          <w:sz w:val="21"/>
          <w:szCs w:val="21"/>
          <w:highlight w:val="none"/>
        </w:rPr>
        <w:t>确定下一候选人为</w:t>
      </w:r>
      <w:r>
        <w:rPr>
          <w:rFonts w:hint="eastAsia" w:ascii="宋体" w:hAnsi="宋体" w:eastAsia="宋体" w:cs="宋体"/>
          <w:b w:val="0"/>
          <w:bCs/>
          <w:color w:val="auto"/>
          <w:sz w:val="21"/>
          <w:szCs w:val="21"/>
          <w:highlight w:val="none"/>
          <w:lang w:eastAsia="zh-CN"/>
        </w:rPr>
        <w:t>成交</w:t>
      </w:r>
      <w:r>
        <w:rPr>
          <w:rFonts w:hint="eastAsia" w:ascii="宋体" w:hAnsi="宋体" w:eastAsia="宋体" w:cs="宋体"/>
          <w:color w:val="auto"/>
          <w:szCs w:val="21"/>
          <w:highlight w:val="none"/>
        </w:rPr>
        <w:t>供应商</w:t>
      </w:r>
      <w:r>
        <w:rPr>
          <w:rFonts w:hint="eastAsia" w:ascii="宋体" w:hAnsi="宋体" w:eastAsia="宋体" w:cs="宋体"/>
          <w:b w:val="0"/>
          <w:bCs/>
          <w:color w:val="auto"/>
          <w:sz w:val="21"/>
          <w:szCs w:val="21"/>
          <w:highlight w:val="none"/>
        </w:rPr>
        <w:t>，也可以重新开展政府采购活动</w:t>
      </w:r>
      <w:r>
        <w:rPr>
          <w:rFonts w:hint="eastAsia" w:ascii="宋体" w:hAnsi="宋体" w:eastAsia="宋体" w:cs="宋体"/>
          <w:color w:val="auto"/>
          <w:szCs w:val="21"/>
          <w:highlight w:val="none"/>
        </w:rPr>
        <w:t>。</w:t>
      </w:r>
    </w:p>
    <w:p w14:paraId="3AC224B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w:t>
      </w: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rPr>
        <w:t>.履约保证金</w:t>
      </w:r>
    </w:p>
    <w:p w14:paraId="17E576A9">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.1履约保证金的金额、提交方式、退付的时间和条件详见 “供应商须知前附表”。成交供应商未按规定提交履约保证金的，视为拒绝</w:t>
      </w:r>
      <w:r>
        <w:rPr>
          <w:rFonts w:hint="eastAsia" w:ascii="宋体" w:hAnsi="宋体" w:eastAsia="宋体" w:cs="宋体"/>
          <w:color w:val="auto"/>
          <w:highlight w:val="none"/>
        </w:rPr>
        <w:t>与采购人</w:t>
      </w:r>
      <w:r>
        <w:rPr>
          <w:rFonts w:hint="eastAsia" w:ascii="宋体" w:hAnsi="宋体" w:eastAsia="宋体" w:cs="宋体"/>
          <w:color w:val="auto"/>
          <w:szCs w:val="21"/>
          <w:highlight w:val="none"/>
        </w:rPr>
        <w:t>签订合同，采购人可以按照评审报告推荐的成交候选人名单排序，</w:t>
      </w:r>
      <w:r>
        <w:rPr>
          <w:rFonts w:hint="eastAsia" w:ascii="宋体" w:hAnsi="宋体" w:eastAsia="宋体" w:cs="宋体"/>
          <w:color w:val="auto"/>
          <w:szCs w:val="21"/>
          <w:highlight w:val="none"/>
          <w:lang w:eastAsia="zh-CN"/>
        </w:rPr>
        <w:t>依法</w:t>
      </w:r>
      <w:r>
        <w:rPr>
          <w:rFonts w:hint="eastAsia" w:ascii="宋体" w:hAnsi="宋体" w:eastAsia="宋体" w:cs="宋体"/>
          <w:color w:val="auto"/>
          <w:szCs w:val="21"/>
          <w:highlight w:val="none"/>
        </w:rPr>
        <w:t>确定下一候选人为成交供应商，也可以重新开展政府采购活动。</w:t>
      </w:r>
    </w:p>
    <w:p w14:paraId="74A38F1B">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.2签订合同后，如成交供应商不按双方签订的合同规定履约，则没收其全部履约保证金，履约保证金不足以赔偿损失的，按实际损失赔偿。</w:t>
      </w:r>
    </w:p>
    <w:p w14:paraId="73D0A5FC">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.3在履约保证金退还日期前，若成交供应商的开户名称、开户银行、</w:t>
      </w:r>
      <w:r>
        <w:rPr>
          <w:rFonts w:hint="eastAsia" w:ascii="宋体" w:hAnsi="宋体" w:eastAsia="宋体" w:cs="宋体"/>
          <w:color w:val="auto"/>
          <w:szCs w:val="21"/>
          <w:highlight w:val="none"/>
          <w:lang w:eastAsia="zh-CN"/>
        </w:rPr>
        <w:t>账</w:t>
      </w:r>
      <w:r>
        <w:rPr>
          <w:rFonts w:hint="eastAsia" w:ascii="宋体" w:hAnsi="宋体" w:eastAsia="宋体" w:cs="宋体"/>
          <w:color w:val="auto"/>
          <w:szCs w:val="21"/>
          <w:highlight w:val="none"/>
        </w:rPr>
        <w:t>号有变动的，请以书面形式通知履约保证金收取单位，否则由此产生的后果由成交供应商自行承担。</w:t>
      </w:r>
    </w:p>
    <w:p w14:paraId="04F85F8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w:t>
      </w:r>
      <w:r>
        <w:rPr>
          <w:rFonts w:hint="eastAsia" w:ascii="宋体" w:hAnsi="宋体" w:eastAsia="宋体" w:cs="宋体"/>
          <w:b/>
          <w:bCs/>
          <w:color w:val="auto"/>
          <w:sz w:val="24"/>
          <w:highlight w:val="none"/>
          <w:lang w:val="en-US" w:eastAsia="zh-CN"/>
        </w:rPr>
        <w:t>8</w:t>
      </w:r>
      <w:r>
        <w:rPr>
          <w:rFonts w:hint="eastAsia" w:ascii="宋体" w:hAnsi="宋体" w:eastAsia="宋体" w:cs="宋体"/>
          <w:b/>
          <w:bCs/>
          <w:color w:val="auto"/>
          <w:sz w:val="24"/>
          <w:highlight w:val="none"/>
        </w:rPr>
        <w:t>.签订合同</w:t>
      </w:r>
    </w:p>
    <w:p w14:paraId="66C90228">
      <w:pPr>
        <w:pStyle w:val="60"/>
        <w:snapToGrid w:val="0"/>
        <w:spacing w:before="0"/>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.1采购人与成交供应商应当在成交通知书规定的时间内，按照磋商文件确定的合同文本以及采购标的、服务技术、采购金额、采购数量、</w:t>
      </w:r>
      <w:r>
        <w:rPr>
          <w:rFonts w:hint="eastAsia" w:ascii="宋体" w:hAnsi="宋体" w:eastAsia="宋体" w:cs="宋体"/>
          <w:color w:val="auto"/>
          <w:sz w:val="21"/>
          <w:szCs w:val="21"/>
          <w:highlight w:val="none"/>
          <w:lang w:eastAsia="zh-CN"/>
        </w:rPr>
        <w:t>商务</w:t>
      </w:r>
      <w:r>
        <w:rPr>
          <w:rFonts w:hint="eastAsia" w:ascii="宋体" w:hAnsi="宋体" w:eastAsia="宋体" w:cs="宋体"/>
          <w:color w:val="auto"/>
          <w:sz w:val="21"/>
          <w:szCs w:val="21"/>
          <w:highlight w:val="none"/>
        </w:rPr>
        <w:t>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220D23B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.2采购人不得向成交供应商提出超出磋商文件以外的任何要求作为签订合同的条件，不得与成交供应商订立背离磋商文件确定的合同文本以及采购标的、服务技术、采购金额、采购数量、</w:t>
      </w:r>
      <w:r>
        <w:rPr>
          <w:rFonts w:hint="eastAsia" w:ascii="宋体" w:hAnsi="宋体" w:eastAsia="宋体" w:cs="宋体"/>
          <w:color w:val="auto"/>
          <w:szCs w:val="21"/>
          <w:highlight w:val="none"/>
          <w:lang w:eastAsia="zh-CN"/>
        </w:rPr>
        <w:t>商务</w:t>
      </w:r>
      <w:r>
        <w:rPr>
          <w:rFonts w:hint="eastAsia" w:ascii="宋体" w:hAnsi="宋体" w:eastAsia="宋体" w:cs="宋体"/>
          <w:color w:val="auto"/>
          <w:szCs w:val="21"/>
          <w:highlight w:val="none"/>
        </w:rPr>
        <w:t>和服务要求等实质性内容的协议。</w:t>
      </w:r>
    </w:p>
    <w:p w14:paraId="2E43E6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.3成交供应商拒绝签订政府采购合同的，采购人可以按照评审报告推荐的成交候选人名单排序，</w:t>
      </w:r>
      <w:r>
        <w:rPr>
          <w:rFonts w:hint="eastAsia" w:ascii="宋体" w:hAnsi="宋体" w:eastAsia="宋体" w:cs="宋体"/>
          <w:color w:val="auto"/>
          <w:szCs w:val="21"/>
          <w:highlight w:val="none"/>
          <w:lang w:eastAsia="zh-CN"/>
        </w:rPr>
        <w:t>依法</w:t>
      </w:r>
      <w:r>
        <w:rPr>
          <w:rFonts w:hint="eastAsia" w:ascii="宋体" w:hAnsi="宋体" w:eastAsia="宋体" w:cs="宋体"/>
          <w:color w:val="auto"/>
          <w:szCs w:val="21"/>
          <w:highlight w:val="none"/>
        </w:rPr>
        <w:t>确定下一候选人为成交供应商，也可以重新开展采购活动。拒绝签订政府采购合同的成交供应商不得参加对该项目重新开展的采购活动。</w:t>
      </w:r>
    </w:p>
    <w:p w14:paraId="0AA1549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.4如签订合同并生效后，供应商无故拒绝或延期，除按照合同条款处理外，列入不良行为记录，并给予通报。</w:t>
      </w:r>
    </w:p>
    <w:p w14:paraId="4C9688BC">
      <w:pPr>
        <w:spacing w:line="360" w:lineRule="auto"/>
        <w:ind w:firstLine="420" w:firstLineChars="200"/>
        <w:rPr>
          <w:rFonts w:hint="eastAsia" w:ascii="宋体" w:hAnsi="宋体" w:eastAsia="宋体" w:cs="宋体"/>
          <w:b/>
          <w:bCs/>
          <w:i/>
          <w:iCs/>
          <w:color w:val="auto"/>
          <w:szCs w:val="21"/>
          <w:highlight w:val="none"/>
          <w:lang w:eastAsia="zh-CN"/>
        </w:rPr>
      </w:pPr>
      <w:r>
        <w:rPr>
          <w:rFonts w:hint="eastAsia" w:ascii="宋体" w:hAnsi="宋体" w:eastAsia="宋体" w:cs="宋体"/>
          <w:color w:val="auto"/>
          <w:sz w:val="21"/>
          <w:szCs w:val="21"/>
          <w:highlight w:val="none"/>
          <w:lang w:val="en-US" w:eastAsia="zh-CN"/>
        </w:rPr>
        <w:t>28.5</w:t>
      </w:r>
      <w:r>
        <w:rPr>
          <w:rFonts w:hint="eastAsia" w:ascii="宋体" w:hAnsi="宋体" w:eastAsia="宋体" w:cs="宋体"/>
          <w:color w:val="auto"/>
          <w:sz w:val="21"/>
          <w:szCs w:val="21"/>
          <w:highlight w:val="none"/>
        </w:rPr>
        <w:t>采购合同由采购人与成交供应商根据磋商文件、响应文件等内容签订，成交供应商应当在签订合同时向采购人出示相关证明材料，具体内容详见 “供应商须知前附表”，经采购人核验合格后方可签订合同</w:t>
      </w:r>
      <w:r>
        <w:rPr>
          <w:rFonts w:hint="eastAsia" w:ascii="宋体" w:hAnsi="宋体" w:eastAsia="宋体" w:cs="宋体"/>
          <w:color w:val="auto"/>
          <w:sz w:val="21"/>
          <w:szCs w:val="21"/>
          <w:highlight w:val="none"/>
          <w:lang w:eastAsia="zh-CN"/>
        </w:rPr>
        <w:t>。</w:t>
      </w:r>
    </w:p>
    <w:p w14:paraId="2BE9F4B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29</w:t>
      </w:r>
      <w:r>
        <w:rPr>
          <w:rFonts w:hint="eastAsia" w:ascii="宋体" w:hAnsi="宋体" w:eastAsia="宋体" w:cs="宋体"/>
          <w:b/>
          <w:bCs/>
          <w:color w:val="auto"/>
          <w:sz w:val="24"/>
          <w:highlight w:val="none"/>
        </w:rPr>
        <w:t>.政府采购合同公告</w:t>
      </w:r>
    </w:p>
    <w:p w14:paraId="1F825C7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采购人应当自政府采购合同签订之日起2个工作日内，将政府采购合同在省级以上人民政府财政部门指定的媒体上公告，但政府采购合同中涉及国家秘密、商业秘密的内容除外</w:t>
      </w:r>
      <w:r>
        <w:rPr>
          <w:rFonts w:hint="eastAsia" w:ascii="宋体" w:hAnsi="宋体" w:eastAsia="宋体" w:cs="宋体"/>
          <w:color w:val="auto"/>
          <w:highlight w:val="none"/>
        </w:rPr>
        <w:t>。</w:t>
      </w:r>
    </w:p>
    <w:p w14:paraId="0318BE0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w:t>
      </w:r>
      <w:r>
        <w:rPr>
          <w:rFonts w:hint="eastAsia" w:ascii="宋体" w:hAnsi="宋体" w:eastAsia="宋体" w:cs="宋体"/>
          <w:b/>
          <w:bCs/>
          <w:color w:val="auto"/>
          <w:sz w:val="24"/>
          <w:highlight w:val="none"/>
          <w:lang w:val="en-US" w:eastAsia="zh-CN"/>
        </w:rPr>
        <w:t>0</w:t>
      </w:r>
      <w:r>
        <w:rPr>
          <w:rFonts w:hint="eastAsia" w:ascii="宋体" w:hAnsi="宋体" w:eastAsia="宋体" w:cs="宋体"/>
          <w:b/>
          <w:bCs/>
          <w:color w:val="auto"/>
          <w:sz w:val="24"/>
          <w:highlight w:val="none"/>
        </w:rPr>
        <w:t>.询问、质疑和投诉</w:t>
      </w:r>
    </w:p>
    <w:p w14:paraId="3E61C54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.1供应商对政府采购活动事项有疑问的，可以向采购人</w:t>
      </w:r>
      <w:r>
        <w:rPr>
          <w:rFonts w:hint="eastAsia" w:ascii="宋体" w:hAnsi="宋体" w:eastAsia="宋体" w:cs="宋体"/>
          <w:color w:val="auto"/>
          <w:highlight w:val="none"/>
          <w:lang w:eastAsia="zh-CN"/>
        </w:rPr>
        <w:t>或者</w:t>
      </w:r>
      <w:r>
        <w:rPr>
          <w:rFonts w:hint="eastAsia" w:ascii="宋体" w:hAnsi="宋体" w:eastAsia="宋体" w:cs="宋体"/>
          <w:color w:val="auto"/>
          <w:highlight w:val="none"/>
        </w:rPr>
        <w:t>采购代理机构提出询问，采购人或者采购代理机构应当在3个工作日内对供应商依法提出的询问作出答复。</w:t>
      </w:r>
    </w:p>
    <w:p w14:paraId="4D46AA0E">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.2供应商认为磋商文件、采购过程或者成交结果使自己的合法权益受到损害的，应当在知道或者应知其权益受到损害之日起7个工作日内，以书面形式向采购人</w:t>
      </w:r>
      <w:r>
        <w:rPr>
          <w:rFonts w:hint="eastAsia" w:ascii="宋体" w:hAnsi="宋体" w:eastAsia="宋体" w:cs="宋体"/>
          <w:color w:val="auto"/>
          <w:highlight w:val="none"/>
          <w:lang w:eastAsia="zh-CN"/>
        </w:rPr>
        <w:t>或者</w:t>
      </w:r>
      <w:r>
        <w:rPr>
          <w:rFonts w:hint="eastAsia" w:ascii="宋体" w:hAnsi="宋体" w:eastAsia="宋体" w:cs="宋体"/>
          <w:color w:val="auto"/>
          <w:highlight w:val="none"/>
        </w:rPr>
        <w:t>采购代理机构提出质疑，</w:t>
      </w:r>
      <w:r>
        <w:rPr>
          <w:rFonts w:hint="eastAsia" w:ascii="宋体" w:hAnsi="宋体" w:eastAsia="宋体" w:cs="宋体"/>
          <w:color w:val="auto"/>
          <w:szCs w:val="24"/>
          <w:highlight w:val="none"/>
        </w:rPr>
        <w:t>采购人或者采购代理机构应当在</w:t>
      </w:r>
      <w:r>
        <w:rPr>
          <w:rFonts w:hint="eastAsia" w:ascii="宋体" w:hAnsi="宋体" w:eastAsia="宋体" w:cs="宋体"/>
          <w:color w:val="auto"/>
          <w:szCs w:val="24"/>
          <w:highlight w:val="none"/>
          <w:lang w:val="en-US" w:eastAsia="zh-CN"/>
        </w:rPr>
        <w:t>7</w:t>
      </w:r>
      <w:r>
        <w:rPr>
          <w:rFonts w:hint="eastAsia" w:ascii="宋体" w:hAnsi="宋体" w:eastAsia="宋体" w:cs="宋体"/>
          <w:color w:val="auto"/>
          <w:szCs w:val="24"/>
          <w:highlight w:val="none"/>
        </w:rPr>
        <w:t>个工作日内对供应商依法提出的</w:t>
      </w:r>
      <w:r>
        <w:rPr>
          <w:rFonts w:hint="eastAsia" w:ascii="宋体" w:hAnsi="宋体" w:eastAsia="宋体" w:cs="宋体"/>
          <w:color w:val="auto"/>
          <w:szCs w:val="24"/>
          <w:highlight w:val="none"/>
          <w:lang w:eastAsia="zh-CN"/>
        </w:rPr>
        <w:t>质疑</w:t>
      </w:r>
      <w:r>
        <w:rPr>
          <w:rFonts w:hint="eastAsia" w:ascii="宋体" w:hAnsi="宋体" w:eastAsia="宋体" w:cs="宋体"/>
          <w:color w:val="auto"/>
          <w:szCs w:val="24"/>
          <w:highlight w:val="none"/>
        </w:rPr>
        <w:t>作出答复。</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3F21E449">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（1）潜在供应商依法获取采购文件后，认为采购文件使自己的权益受到损害的，应当在竞争性磋商文件公告期限届满之日起7个工作日内提出质疑。</w:t>
      </w:r>
    </w:p>
    <w:p w14:paraId="75996DE4">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w:t>
      </w:r>
      <w:r>
        <w:rPr>
          <w:rFonts w:hint="eastAsia" w:ascii="宋体" w:hAnsi="宋体" w:eastAsia="宋体" w:cs="宋体"/>
          <w:bCs/>
          <w:color w:val="auto"/>
          <w:highlight w:val="none"/>
          <w:lang w:eastAsia="zh-CN"/>
        </w:rPr>
        <w:t>者采购</w:t>
      </w:r>
      <w:r>
        <w:rPr>
          <w:rFonts w:hint="eastAsia" w:ascii="宋体" w:hAnsi="宋体" w:eastAsia="宋体" w:cs="宋体"/>
          <w:bCs/>
          <w:color w:val="auto"/>
          <w:highlight w:val="none"/>
        </w:rPr>
        <w:t>代理机构提出，由采购人或</w:t>
      </w:r>
      <w:r>
        <w:rPr>
          <w:rFonts w:hint="eastAsia" w:ascii="宋体" w:hAnsi="宋体" w:eastAsia="宋体" w:cs="宋体"/>
          <w:bCs/>
          <w:color w:val="auto"/>
          <w:highlight w:val="none"/>
          <w:lang w:eastAsia="zh-CN"/>
        </w:rPr>
        <w:t>者采购</w:t>
      </w:r>
      <w:r>
        <w:rPr>
          <w:rFonts w:hint="eastAsia" w:ascii="宋体" w:hAnsi="宋体" w:eastAsia="宋体" w:cs="宋体"/>
          <w:bCs/>
          <w:color w:val="auto"/>
          <w:highlight w:val="none"/>
        </w:rPr>
        <w:t>代理机构受理并负责答复；对采购过程中采购执行程序的质疑由采购代理机构受理并负责答复。</w:t>
      </w:r>
    </w:p>
    <w:p w14:paraId="68D51709">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09CAA2E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5F63B644">
      <w:pPr>
        <w:spacing w:line="360" w:lineRule="auto"/>
        <w:ind w:firstLine="422" w:firstLineChars="200"/>
        <w:rPr>
          <w:rFonts w:hint="eastAsia" w:ascii="宋体" w:hAnsi="宋体" w:eastAsia="宋体" w:cs="宋体"/>
          <w:color w:val="auto"/>
          <w:highlight w:val="none"/>
        </w:rPr>
      </w:pPr>
      <w:r>
        <w:rPr>
          <w:rFonts w:hint="eastAsia" w:ascii="宋体" w:hAnsi="宋体" w:eastAsia="宋体" w:cs="宋体"/>
          <w:b/>
          <w:bCs/>
          <w:color w:val="auto"/>
          <w:highlight w:val="none"/>
        </w:rPr>
        <w:t>3</w:t>
      </w:r>
      <w:r>
        <w:rPr>
          <w:rFonts w:hint="eastAsia" w:ascii="宋体" w:hAnsi="宋体" w:eastAsia="宋体" w:cs="宋体"/>
          <w:b/>
          <w:bCs/>
          <w:color w:val="auto"/>
          <w:highlight w:val="none"/>
          <w:lang w:val="en-US" w:eastAsia="zh-CN"/>
        </w:rPr>
        <w:t>0</w:t>
      </w:r>
      <w:r>
        <w:rPr>
          <w:rFonts w:hint="eastAsia" w:ascii="宋体" w:hAnsi="宋体" w:eastAsia="宋体" w:cs="宋体"/>
          <w:b/>
          <w:bCs/>
          <w:color w:val="auto"/>
          <w:highlight w:val="none"/>
        </w:rPr>
        <w:t>.4供应商提出质疑应当提交质疑函和必要的证明材料，针对同一采购程序环节的质疑必须在法定质疑期内一次性提出。质疑函应当包括下列内容（质疑函格式后附）：</w:t>
      </w:r>
    </w:p>
    <w:p w14:paraId="7A9BF3C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0726B4D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6BF706C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19412E4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6295840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45D276E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66A1609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72E8E45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.5采购人、采购代理机构认为供应商质疑不成立，或者成立但未对成交结果构成影响的，继续开展采购活动；认为供应商质疑成立且影响或者可能影响成交结果的，按照下列情况处理：</w:t>
      </w:r>
    </w:p>
    <w:p w14:paraId="4015444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26915B4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45A8299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51A32861">
      <w:pPr>
        <w:spacing w:line="360" w:lineRule="auto"/>
        <w:ind w:firstLine="422" w:firstLineChars="200"/>
        <w:rPr>
          <w:rFonts w:hint="eastAsia" w:ascii="宋体" w:hAnsi="宋体" w:eastAsia="宋体" w:cs="宋体"/>
          <w:color w:val="auto"/>
          <w:highlight w:val="none"/>
        </w:rPr>
      </w:pPr>
      <w:r>
        <w:rPr>
          <w:rFonts w:hint="eastAsia" w:ascii="宋体" w:hAnsi="宋体" w:eastAsia="宋体" w:cs="宋体"/>
          <w:b/>
          <w:bCs/>
          <w:color w:val="auto"/>
          <w:highlight w:val="none"/>
        </w:rPr>
        <w:t>3</w:t>
      </w:r>
      <w:r>
        <w:rPr>
          <w:rFonts w:hint="eastAsia" w:ascii="宋体" w:hAnsi="宋体" w:eastAsia="宋体" w:cs="宋体"/>
          <w:b/>
          <w:bCs/>
          <w:color w:val="auto"/>
          <w:highlight w:val="none"/>
          <w:lang w:val="en-US" w:eastAsia="zh-CN"/>
        </w:rPr>
        <w:t>0</w:t>
      </w:r>
      <w:r>
        <w:rPr>
          <w:rFonts w:hint="eastAsia" w:ascii="宋体" w:hAnsi="宋体" w:eastAsia="宋体" w:cs="宋体"/>
          <w:b/>
          <w:bCs/>
          <w:color w:val="auto"/>
          <w:highlight w:val="none"/>
        </w:rPr>
        <w:t>.6投诉的权利。质疑供应商对采购人</w:t>
      </w:r>
      <w:r>
        <w:rPr>
          <w:rFonts w:hint="eastAsia" w:ascii="宋体" w:hAnsi="宋体" w:eastAsia="宋体" w:cs="宋体"/>
          <w:b/>
          <w:bCs/>
          <w:color w:val="auto"/>
          <w:highlight w:val="none"/>
          <w:lang w:eastAsia="zh-CN"/>
        </w:rPr>
        <w:t>或</w:t>
      </w:r>
      <w:r>
        <w:rPr>
          <w:rFonts w:hint="eastAsia" w:ascii="宋体" w:hAnsi="宋体" w:eastAsia="宋体" w:cs="宋体"/>
          <w:b/>
          <w:bCs/>
          <w:color w:val="auto"/>
          <w:highlight w:val="none"/>
        </w:rPr>
        <w:t>采购代理机构的答复不满意，或者采购人</w:t>
      </w:r>
      <w:r>
        <w:rPr>
          <w:rFonts w:hint="eastAsia" w:ascii="宋体" w:hAnsi="宋体" w:eastAsia="宋体" w:cs="宋体"/>
          <w:b/>
          <w:bCs/>
          <w:color w:val="auto"/>
          <w:highlight w:val="none"/>
          <w:lang w:eastAsia="zh-CN"/>
        </w:rPr>
        <w:t>或</w:t>
      </w:r>
      <w:r>
        <w:rPr>
          <w:rFonts w:hint="eastAsia" w:ascii="宋体" w:hAnsi="宋体" w:eastAsia="宋体" w:cs="宋体"/>
          <w:b/>
          <w:bCs/>
          <w:color w:val="auto"/>
          <w:highlight w:val="none"/>
        </w:rPr>
        <w:t>采购代理机构未在规定时间内作出答复的，可以在答复期满后15个工作日内向《政府采购质疑和投诉办法》（财政部令第94号）第六条规定的财政部门提起投诉（投诉书格式后附），受理投诉方式见“供应商须知前附表”</w:t>
      </w:r>
      <w:r>
        <w:rPr>
          <w:rFonts w:hint="eastAsia" w:ascii="宋体" w:hAnsi="宋体" w:eastAsia="宋体" w:cs="宋体"/>
          <w:color w:val="auto"/>
          <w:highlight w:val="none"/>
        </w:rPr>
        <w:t>。</w:t>
      </w:r>
      <w:bookmarkStart w:id="87" w:name="_Toc80205930"/>
    </w:p>
    <w:p w14:paraId="78FF20F3">
      <w:pPr>
        <w:pStyle w:val="4"/>
        <w:spacing w:before="0" w:after="0" w:line="360" w:lineRule="auto"/>
        <w:ind w:firstLine="480" w:firstLineChars="150"/>
        <w:rPr>
          <w:rFonts w:hint="eastAsia" w:ascii="宋体" w:hAnsi="宋体" w:eastAsia="宋体" w:cs="宋体"/>
          <w:b/>
          <w:bCs/>
          <w:color w:val="auto"/>
          <w:highlight w:val="none"/>
        </w:rPr>
      </w:pPr>
      <w:bookmarkStart w:id="88" w:name="_Toc80886935"/>
      <w:bookmarkStart w:id="89" w:name="_Toc26989"/>
      <w:bookmarkStart w:id="90" w:name="_Toc9275"/>
      <w:r>
        <w:rPr>
          <w:rFonts w:hint="eastAsia" w:ascii="宋体" w:hAnsi="宋体" w:eastAsia="宋体" w:cs="宋体"/>
          <w:b w:val="0"/>
          <w:bCs w:val="0"/>
          <w:color w:val="auto"/>
          <w:highlight w:val="none"/>
        </w:rPr>
        <w:t>六、验收</w:t>
      </w:r>
      <w:bookmarkEnd w:id="87"/>
      <w:bookmarkEnd w:id="88"/>
      <w:bookmarkEnd w:id="89"/>
      <w:bookmarkEnd w:id="90"/>
    </w:p>
    <w:p w14:paraId="23114594">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w:t>
      </w: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rPr>
        <w:t>.验收</w:t>
      </w:r>
    </w:p>
    <w:p w14:paraId="6270E577">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1583BD15">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.2采购人可以邀请参加本项目的其他供应商或者第三方机构参与验收。参与验收的供应商或者第三方机构的意见作为验收书的参考资料一并存档。</w:t>
      </w:r>
    </w:p>
    <w:p w14:paraId="2FCD97FF">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如有</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返还条件挂钩。履约验收的各项资料应当存档备查。</w:t>
      </w:r>
    </w:p>
    <w:p w14:paraId="1CFA13B7">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BA31E7E">
      <w:pPr>
        <w:pStyle w:val="4"/>
        <w:keepNext/>
        <w:keepLines/>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宋体" w:hAnsi="宋体" w:eastAsia="宋体" w:cs="宋体"/>
          <w:b w:val="0"/>
          <w:bCs w:val="0"/>
          <w:color w:val="auto"/>
          <w:highlight w:val="none"/>
        </w:rPr>
      </w:pPr>
      <w:bookmarkStart w:id="91" w:name="_Toc80886936"/>
      <w:bookmarkStart w:id="92" w:name="_Toc1170"/>
      <w:bookmarkStart w:id="93" w:name="_Toc10913"/>
      <w:r>
        <w:rPr>
          <w:rFonts w:hint="eastAsia" w:ascii="宋体" w:hAnsi="宋体" w:eastAsia="宋体" w:cs="宋体"/>
          <w:b w:val="0"/>
          <w:bCs w:val="0"/>
          <w:color w:val="auto"/>
          <w:highlight w:val="none"/>
        </w:rPr>
        <w:t>七、其他事项</w:t>
      </w:r>
      <w:bookmarkEnd w:id="91"/>
      <w:bookmarkEnd w:id="92"/>
      <w:bookmarkEnd w:id="93"/>
    </w:p>
    <w:p w14:paraId="6D8FB19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w:t>
      </w: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eastAsia="zh-CN"/>
        </w:rPr>
        <w:t>采购</w:t>
      </w:r>
      <w:r>
        <w:rPr>
          <w:rFonts w:hint="eastAsia" w:ascii="宋体" w:hAnsi="宋体" w:eastAsia="宋体" w:cs="宋体"/>
          <w:b/>
          <w:bCs/>
          <w:color w:val="auto"/>
          <w:sz w:val="24"/>
          <w:highlight w:val="none"/>
        </w:rPr>
        <w:t>代理服务费</w:t>
      </w:r>
    </w:p>
    <w:p w14:paraId="31B10D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32.1 </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代理服务</w:t>
      </w:r>
      <w:r>
        <w:rPr>
          <w:rFonts w:hint="eastAsia" w:ascii="宋体" w:hAnsi="宋体" w:eastAsia="宋体" w:cs="宋体"/>
          <w:color w:val="auto"/>
          <w:szCs w:val="21"/>
          <w:highlight w:val="none"/>
          <w:lang w:eastAsia="zh-CN"/>
        </w:rPr>
        <w:t>费</w:t>
      </w:r>
      <w:r>
        <w:rPr>
          <w:rFonts w:hint="eastAsia" w:ascii="宋体" w:hAnsi="宋体" w:eastAsia="宋体" w:cs="宋体"/>
          <w:color w:val="auto"/>
          <w:szCs w:val="21"/>
          <w:highlight w:val="none"/>
        </w:rPr>
        <w:t>收费标准及缴费账户详见“供应商须知前附表”，供应商为联合体的，可以由联合体中的一方或者多方共同</w:t>
      </w:r>
      <w:r>
        <w:rPr>
          <w:rFonts w:hint="eastAsia" w:ascii="宋体" w:hAnsi="宋体" w:eastAsia="宋体" w:cs="宋体"/>
          <w:color w:val="auto"/>
          <w:szCs w:val="21"/>
          <w:highlight w:val="none"/>
        </w:rPr>
        <w:t>缴纳采购</w:t>
      </w:r>
      <w:r>
        <w:rPr>
          <w:rFonts w:hint="eastAsia" w:ascii="宋体" w:hAnsi="宋体" w:eastAsia="宋体" w:cs="宋体"/>
          <w:color w:val="auto"/>
          <w:szCs w:val="21"/>
          <w:highlight w:val="none"/>
        </w:rPr>
        <w:t>代理服务费。</w:t>
      </w:r>
    </w:p>
    <w:p w14:paraId="7EA7994E">
      <w:pPr>
        <w:pStyle w:val="12"/>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lang w:val="en-US" w:eastAsia="zh-CN"/>
        </w:rPr>
        <w:t>32.2</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代理服务费收费计算标准</w:t>
      </w:r>
      <w:r>
        <w:rPr>
          <w:rFonts w:hint="eastAsia" w:ascii="宋体" w:hAnsi="宋体" w:eastAsia="宋体" w:cs="宋体"/>
          <w:color w:val="auto"/>
          <w:szCs w:val="21"/>
          <w:highlight w:val="none"/>
          <w:lang w:eastAsia="zh-CN"/>
        </w:rPr>
        <w:t>：</w:t>
      </w:r>
    </w:p>
    <w:tbl>
      <w:tblPr>
        <w:tblStyle w:val="2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0AF5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35D0888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费率</w:t>
            </w:r>
          </w:p>
          <w:p w14:paraId="607BBDA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w:t>
            </w:r>
          </w:p>
        </w:tc>
        <w:tc>
          <w:tcPr>
            <w:tcW w:w="1659" w:type="dxa"/>
            <w:noWrap w:val="0"/>
            <w:vAlign w:val="center"/>
          </w:tcPr>
          <w:p w14:paraId="6141397F">
            <w:pPr>
              <w:spacing w:line="360" w:lineRule="auto"/>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货物类</w:t>
            </w:r>
          </w:p>
        </w:tc>
        <w:tc>
          <w:tcPr>
            <w:tcW w:w="1532" w:type="dxa"/>
            <w:noWrap w:val="0"/>
            <w:vAlign w:val="center"/>
          </w:tcPr>
          <w:p w14:paraId="05B4D7B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服务类</w:t>
            </w:r>
          </w:p>
        </w:tc>
        <w:tc>
          <w:tcPr>
            <w:tcW w:w="1546" w:type="dxa"/>
            <w:noWrap w:val="0"/>
            <w:vAlign w:val="center"/>
          </w:tcPr>
          <w:p w14:paraId="60AD1C6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工程类</w:t>
            </w:r>
          </w:p>
        </w:tc>
      </w:tr>
      <w:tr w14:paraId="3C05F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929A4B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1659" w:type="dxa"/>
            <w:noWrap w:val="0"/>
            <w:vAlign w:val="top"/>
          </w:tcPr>
          <w:p w14:paraId="7908BDB7">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1.5%                </w:t>
            </w:r>
          </w:p>
        </w:tc>
        <w:tc>
          <w:tcPr>
            <w:tcW w:w="1532" w:type="dxa"/>
            <w:noWrap w:val="0"/>
            <w:vAlign w:val="top"/>
          </w:tcPr>
          <w:p w14:paraId="33CB837F">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1546" w:type="dxa"/>
            <w:noWrap w:val="0"/>
            <w:vAlign w:val="top"/>
          </w:tcPr>
          <w:p w14:paraId="1B375EFA">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1.0% </w:t>
            </w:r>
          </w:p>
        </w:tc>
      </w:tr>
      <w:tr w14:paraId="20809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7489F7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100～500万元</w:t>
            </w:r>
          </w:p>
        </w:tc>
        <w:tc>
          <w:tcPr>
            <w:tcW w:w="1659" w:type="dxa"/>
            <w:noWrap w:val="0"/>
            <w:vAlign w:val="top"/>
          </w:tcPr>
          <w:p w14:paraId="1E697300">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1.1%                 </w:t>
            </w:r>
          </w:p>
        </w:tc>
        <w:tc>
          <w:tcPr>
            <w:tcW w:w="1532" w:type="dxa"/>
            <w:noWrap w:val="0"/>
            <w:vAlign w:val="top"/>
          </w:tcPr>
          <w:p w14:paraId="28A9FA20">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0.8%</w:t>
            </w:r>
          </w:p>
        </w:tc>
        <w:tc>
          <w:tcPr>
            <w:tcW w:w="1546" w:type="dxa"/>
            <w:noWrap w:val="0"/>
            <w:vAlign w:val="top"/>
          </w:tcPr>
          <w:p w14:paraId="431E3BC8">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0.7% </w:t>
            </w:r>
          </w:p>
        </w:tc>
      </w:tr>
      <w:tr w14:paraId="61F27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5102F4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500～1000万元</w:t>
            </w:r>
          </w:p>
        </w:tc>
        <w:tc>
          <w:tcPr>
            <w:tcW w:w="1659" w:type="dxa"/>
            <w:noWrap w:val="0"/>
            <w:vAlign w:val="top"/>
          </w:tcPr>
          <w:p w14:paraId="133D4FF2">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                </w:t>
            </w:r>
          </w:p>
        </w:tc>
        <w:tc>
          <w:tcPr>
            <w:tcW w:w="1532" w:type="dxa"/>
            <w:noWrap w:val="0"/>
            <w:vAlign w:val="top"/>
          </w:tcPr>
          <w:p w14:paraId="46CC0B94">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0.45%</w:t>
            </w:r>
          </w:p>
        </w:tc>
        <w:tc>
          <w:tcPr>
            <w:tcW w:w="1546" w:type="dxa"/>
            <w:noWrap w:val="0"/>
            <w:vAlign w:val="top"/>
          </w:tcPr>
          <w:p w14:paraId="2FAC69B4">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0.55%</w:t>
            </w:r>
          </w:p>
        </w:tc>
      </w:tr>
      <w:tr w14:paraId="18B27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A77E01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1000～5000万元</w:t>
            </w:r>
          </w:p>
        </w:tc>
        <w:tc>
          <w:tcPr>
            <w:tcW w:w="1659" w:type="dxa"/>
            <w:noWrap w:val="0"/>
            <w:vAlign w:val="top"/>
          </w:tcPr>
          <w:p w14:paraId="41ADAF15">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0.5%                </w:t>
            </w:r>
          </w:p>
        </w:tc>
        <w:tc>
          <w:tcPr>
            <w:tcW w:w="1532" w:type="dxa"/>
            <w:noWrap w:val="0"/>
            <w:vAlign w:val="top"/>
          </w:tcPr>
          <w:p w14:paraId="5A9A8570">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0.25%</w:t>
            </w:r>
          </w:p>
        </w:tc>
        <w:tc>
          <w:tcPr>
            <w:tcW w:w="1546" w:type="dxa"/>
            <w:noWrap w:val="0"/>
            <w:vAlign w:val="top"/>
          </w:tcPr>
          <w:p w14:paraId="508DD00D">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0.35% </w:t>
            </w:r>
          </w:p>
        </w:tc>
      </w:tr>
      <w:tr w14:paraId="7B526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D528F1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1659" w:type="dxa"/>
            <w:noWrap w:val="0"/>
            <w:vAlign w:val="top"/>
          </w:tcPr>
          <w:p w14:paraId="5D0496C8">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0.25%                 </w:t>
            </w:r>
          </w:p>
        </w:tc>
        <w:tc>
          <w:tcPr>
            <w:tcW w:w="1532" w:type="dxa"/>
            <w:noWrap w:val="0"/>
            <w:vAlign w:val="top"/>
          </w:tcPr>
          <w:p w14:paraId="21D25192">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0.1%</w:t>
            </w:r>
          </w:p>
        </w:tc>
        <w:tc>
          <w:tcPr>
            <w:tcW w:w="1546" w:type="dxa"/>
            <w:noWrap w:val="0"/>
            <w:vAlign w:val="top"/>
          </w:tcPr>
          <w:p w14:paraId="3927191A">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w:t>
            </w:r>
          </w:p>
        </w:tc>
      </w:tr>
      <w:tr w14:paraId="3DA09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28D6D4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1～5亿元</w:t>
            </w:r>
          </w:p>
        </w:tc>
        <w:tc>
          <w:tcPr>
            <w:tcW w:w="1659" w:type="dxa"/>
            <w:noWrap w:val="0"/>
            <w:vAlign w:val="top"/>
          </w:tcPr>
          <w:p w14:paraId="214F9A78">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532" w:type="dxa"/>
            <w:noWrap w:val="0"/>
            <w:vAlign w:val="top"/>
          </w:tcPr>
          <w:p w14:paraId="3034482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c>
          <w:tcPr>
            <w:tcW w:w="1546" w:type="dxa"/>
            <w:noWrap w:val="0"/>
            <w:vAlign w:val="top"/>
          </w:tcPr>
          <w:p w14:paraId="5217BB5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r>
      <w:tr w14:paraId="3ACF9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538CA1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5～10亿元</w:t>
            </w:r>
          </w:p>
        </w:tc>
        <w:tc>
          <w:tcPr>
            <w:tcW w:w="1659" w:type="dxa"/>
            <w:noWrap w:val="0"/>
            <w:vAlign w:val="top"/>
          </w:tcPr>
          <w:p w14:paraId="1E73242B">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532" w:type="dxa"/>
            <w:noWrap w:val="0"/>
            <w:vAlign w:val="top"/>
          </w:tcPr>
          <w:p w14:paraId="0DB6057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0.035%</w:t>
            </w:r>
          </w:p>
        </w:tc>
        <w:tc>
          <w:tcPr>
            <w:tcW w:w="1546" w:type="dxa"/>
            <w:noWrap w:val="0"/>
            <w:vAlign w:val="top"/>
          </w:tcPr>
          <w:p w14:paraId="0FACA192">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r>
      <w:tr w14:paraId="0EABF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54C68F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10～50亿元</w:t>
            </w:r>
          </w:p>
        </w:tc>
        <w:tc>
          <w:tcPr>
            <w:tcW w:w="1659" w:type="dxa"/>
            <w:noWrap w:val="0"/>
            <w:vAlign w:val="top"/>
          </w:tcPr>
          <w:p w14:paraId="7B154808">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532" w:type="dxa"/>
            <w:noWrap w:val="0"/>
            <w:vAlign w:val="top"/>
          </w:tcPr>
          <w:p w14:paraId="5735A5B5">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546" w:type="dxa"/>
            <w:noWrap w:val="0"/>
            <w:vAlign w:val="top"/>
          </w:tcPr>
          <w:p w14:paraId="08DA03F5">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r>
      <w:tr w14:paraId="77EE9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5B8464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50～100亿元</w:t>
            </w:r>
          </w:p>
        </w:tc>
        <w:tc>
          <w:tcPr>
            <w:tcW w:w="1659" w:type="dxa"/>
            <w:noWrap w:val="0"/>
            <w:vAlign w:val="top"/>
          </w:tcPr>
          <w:p w14:paraId="102FB37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0.006%</w:t>
            </w:r>
          </w:p>
        </w:tc>
        <w:tc>
          <w:tcPr>
            <w:tcW w:w="1532" w:type="dxa"/>
            <w:noWrap w:val="0"/>
            <w:vAlign w:val="top"/>
          </w:tcPr>
          <w:p w14:paraId="30AD1831">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546" w:type="dxa"/>
            <w:noWrap w:val="0"/>
            <w:vAlign w:val="top"/>
          </w:tcPr>
          <w:p w14:paraId="754F44E9">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r>
      <w:tr w14:paraId="0C64F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7D04BF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100亿</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rPr>
              <w:t>以上</w:t>
            </w:r>
          </w:p>
        </w:tc>
        <w:tc>
          <w:tcPr>
            <w:tcW w:w="1659" w:type="dxa"/>
            <w:noWrap w:val="0"/>
            <w:vAlign w:val="top"/>
          </w:tcPr>
          <w:p w14:paraId="21180D8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0.004%</w:t>
            </w:r>
          </w:p>
        </w:tc>
        <w:tc>
          <w:tcPr>
            <w:tcW w:w="1532" w:type="dxa"/>
            <w:noWrap w:val="0"/>
            <w:vAlign w:val="top"/>
          </w:tcPr>
          <w:p w14:paraId="7361A2A4">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546" w:type="dxa"/>
            <w:noWrap w:val="0"/>
            <w:vAlign w:val="top"/>
          </w:tcPr>
          <w:p w14:paraId="0EEA3B78">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14:paraId="232A4F1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注：</w:t>
      </w:r>
    </w:p>
    <w:p w14:paraId="1A91B60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（1）按本表费率计算的收费为采购代理的收费基准价格；</w:t>
      </w:r>
    </w:p>
    <w:p w14:paraId="48D50B6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（2）采购代理收费按差额定率累进法计算。</w:t>
      </w:r>
    </w:p>
    <w:p w14:paraId="6B82BF3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例如：某服务采购代理业务成交金额或者暂定价为150万元，计算采购代理收费额如下：</w:t>
      </w:r>
    </w:p>
    <w:p w14:paraId="1CD01A8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100 万元 ×l.5 ％＝ 1.5 万元</w:t>
      </w:r>
    </w:p>
    <w:p w14:paraId="5B1D8A3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150 － 100 ）万元 ×0.8％＝ 0.4万元</w:t>
      </w:r>
    </w:p>
    <w:p w14:paraId="0E51A08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合计收费＝ 1.5 ＋ 0.4＝ 1.9 万元</w:t>
      </w:r>
    </w:p>
    <w:p w14:paraId="6AA6363A">
      <w:pPr>
        <w:spacing w:line="360" w:lineRule="auto"/>
        <w:ind w:firstLine="420" w:firstLineChars="200"/>
        <w:rPr>
          <w:rFonts w:hint="eastAsia" w:ascii="宋体" w:hAnsi="宋体" w:eastAsia="宋体" w:cs="宋体"/>
          <w:color w:val="auto"/>
          <w:highlight w:val="none"/>
        </w:rPr>
      </w:pPr>
    </w:p>
    <w:p w14:paraId="22F7E9D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w:t>
      </w: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.需要补充的其他内容</w:t>
      </w:r>
    </w:p>
    <w:p w14:paraId="69C1D71B">
      <w:pPr>
        <w:spacing w:line="360" w:lineRule="auto"/>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.1本磋商文件解释规则详见“供应商须知前附表”。</w:t>
      </w:r>
    </w:p>
    <w:p w14:paraId="646FF320">
      <w:pPr>
        <w:spacing w:line="360" w:lineRule="auto"/>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.2 其他事项详见“供应商须知前附表”。</w:t>
      </w:r>
    </w:p>
    <w:p w14:paraId="3FCFEBE7">
      <w:pPr>
        <w:spacing w:line="360" w:lineRule="auto"/>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kern w:val="0"/>
          <w:szCs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ascii="宋体" w:hAnsi="宋体" w:eastAsia="宋体" w:cs="宋体"/>
          <w:color w:val="auto"/>
          <w:szCs w:val="21"/>
          <w:highlight w:val="none"/>
        </w:rPr>
        <w:t>，享受本文件规定的中小企业扶持政策。</w:t>
      </w:r>
    </w:p>
    <w:p w14:paraId="6B3214E0">
      <w:pPr>
        <w:spacing w:line="360" w:lineRule="auto"/>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以联合体形式参加政府采购活动，联合体各方均为中小企业的，联合体视同中小企业。其中，联合体各方均为小微企业的，联合体视同小微企业。</w:t>
      </w:r>
    </w:p>
    <w:p w14:paraId="3B3E749E">
      <w:pPr>
        <w:spacing w:line="360" w:lineRule="auto"/>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依据本文件规定享受扶持政策获得政府采购合同的，小微企业不得将合同分包给大中型企业，中型企业不得将合同分包给大型企业。</w:t>
      </w:r>
    </w:p>
    <w:p w14:paraId="24DBB936">
      <w:pPr>
        <w:spacing w:line="360" w:lineRule="auto"/>
        <w:ind w:firstLine="420" w:firstLineChars="200"/>
        <w:textAlignment w:val="center"/>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33.4</w:t>
      </w:r>
      <w:r>
        <w:rPr>
          <w:rFonts w:hint="eastAsia" w:ascii="宋体" w:hAnsi="宋体" w:eastAsia="宋体" w:cs="宋体"/>
          <w:color w:val="auto"/>
          <w:szCs w:val="21"/>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19592A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w:t>
      </w: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rPr>
        <w:t>.广西线上</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政采贷</w:t>
      </w:r>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szCs w:val="24"/>
          <w:highlight w:val="none"/>
        </w:rPr>
        <w:t>政策告知函</w:t>
      </w:r>
    </w:p>
    <w:p w14:paraId="47000893">
      <w:pPr>
        <w:spacing w:line="580" w:lineRule="exact"/>
        <w:ind w:firstLine="0" w:firstLineChars="0"/>
        <w:jc w:val="center"/>
        <w:rPr>
          <w:rFonts w:hint="eastAsia" w:ascii="宋体" w:hAnsi="宋体" w:eastAsia="宋体" w:cs="宋体"/>
          <w:color w:val="auto"/>
          <w:szCs w:val="32"/>
          <w:highlight w:val="none"/>
        </w:rPr>
      </w:pPr>
      <w:r>
        <w:rPr>
          <w:rFonts w:hint="eastAsia" w:ascii="宋体" w:hAnsi="宋体" w:eastAsia="宋体" w:cs="宋体"/>
          <w:color w:val="auto"/>
          <w:sz w:val="32"/>
          <w:szCs w:val="32"/>
          <w:highlight w:val="none"/>
        </w:rPr>
        <w:t>广西线上“政采贷”政策告知函</w:t>
      </w:r>
    </w:p>
    <w:p w14:paraId="1413B58B">
      <w:pPr>
        <w:spacing w:line="5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各供应商：</w:t>
      </w:r>
    </w:p>
    <w:p w14:paraId="4AE5130D">
      <w:pPr>
        <w:spacing w:line="5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欢迎贵公司参与广西政府采购活动！</w:t>
      </w:r>
    </w:p>
    <w:p w14:paraId="308DF806">
      <w:pPr>
        <w:spacing w:line="5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宋体" w:hAnsi="宋体" w:eastAsia="宋体" w:cs="宋体"/>
          <w:color w:val="auto"/>
          <w:kern w:val="2"/>
          <w:sz w:val="21"/>
          <w:szCs w:val="21"/>
          <w:highlight w:val="none"/>
          <w:lang w:val="en-US" w:eastAsia="zh-CN" w:bidi="ar-SA"/>
        </w:rPr>
        <w:t>银行业金融机构</w:t>
      </w:r>
      <w:r>
        <w:rPr>
          <w:rFonts w:hint="eastAsia" w:ascii="宋体" w:hAnsi="宋体" w:eastAsia="宋体" w:cs="宋体"/>
          <w:color w:val="auto"/>
          <w:szCs w:val="21"/>
          <w:highlight w:val="none"/>
        </w:rPr>
        <w:t>申请贷款，融资机构将根据《中国人民银行南宁中心支行 广西壮族自治区财政厅关于推广线上“政采贷”融资模式的通知》（南宁银发〔2021〕</w:t>
      </w:r>
      <w:r>
        <w:rPr>
          <w:rFonts w:hint="eastAsia" w:ascii="宋体" w:hAnsi="宋体" w:eastAsia="宋体" w:cs="宋体"/>
          <w:color w:val="auto"/>
          <w:szCs w:val="21"/>
          <w:highlight w:val="none"/>
          <w:lang w:val="en-US" w:eastAsia="zh-CN"/>
        </w:rPr>
        <w:t>258</w:t>
      </w:r>
      <w:r>
        <w:rPr>
          <w:rFonts w:hint="eastAsia" w:ascii="宋体" w:hAnsi="宋体" w:eastAsia="宋体" w:cs="宋体"/>
          <w:color w:val="auto"/>
          <w:szCs w:val="21"/>
          <w:highlight w:val="none"/>
        </w:rPr>
        <w:t>号），按照双方自愿的原则提供便捷、优惠的贷款服务。</w:t>
      </w:r>
    </w:p>
    <w:p w14:paraId="43E82518">
      <w:pPr>
        <w:spacing w:line="58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相关金融产品和</w:t>
      </w:r>
      <w:r>
        <w:rPr>
          <w:rFonts w:hint="eastAsia" w:ascii="宋体" w:hAnsi="宋体" w:eastAsia="宋体" w:cs="宋体"/>
          <w:color w:val="auto"/>
          <w:kern w:val="2"/>
          <w:sz w:val="21"/>
          <w:szCs w:val="21"/>
          <w:highlight w:val="none"/>
          <w:lang w:val="en-US" w:eastAsia="zh-CN" w:bidi="ar-SA"/>
        </w:rPr>
        <w:t>银行业金融机构</w:t>
      </w:r>
      <w:r>
        <w:rPr>
          <w:rFonts w:hint="eastAsia" w:ascii="宋体" w:hAnsi="宋体" w:eastAsia="宋体" w:cs="宋体"/>
          <w:color w:val="auto"/>
          <w:szCs w:val="21"/>
          <w:highlight w:val="none"/>
        </w:rPr>
        <w:t>联系方式，可在中征应收账款融资服务平台查询</w:t>
      </w:r>
      <w:r>
        <w:rPr>
          <w:rFonts w:hint="eastAsia" w:ascii="宋体" w:hAnsi="宋体" w:eastAsia="宋体" w:cs="宋体"/>
          <w:color w:val="auto"/>
          <w:szCs w:val="21"/>
          <w:highlight w:val="none"/>
          <w:lang w:eastAsia="zh-CN"/>
        </w:rPr>
        <w:t>（网址：</w:t>
      </w:r>
      <w:r>
        <w:rPr>
          <w:rFonts w:hint="eastAsia" w:ascii="宋体" w:hAnsi="宋体" w:eastAsia="宋体" w:cs="宋体"/>
          <w:color w:val="auto"/>
          <w:szCs w:val="21"/>
          <w:highlight w:val="none"/>
          <w:lang w:eastAsia="zh-CN"/>
        </w:rPr>
        <w:fldChar w:fldCharType="begin"/>
      </w:r>
      <w:r>
        <w:rPr>
          <w:rFonts w:hint="eastAsia" w:ascii="宋体" w:hAnsi="宋体" w:eastAsia="宋体" w:cs="宋体"/>
          <w:color w:val="auto"/>
          <w:szCs w:val="21"/>
          <w:highlight w:val="none"/>
          <w:lang w:eastAsia="zh-CN"/>
        </w:rPr>
        <w:instrText xml:space="preserve"> HYPERLINK "https://www.crcrfsp.com/" </w:instrText>
      </w:r>
      <w:r>
        <w:rPr>
          <w:rFonts w:hint="eastAsia" w:ascii="宋体" w:hAnsi="宋体" w:eastAsia="宋体" w:cs="宋体"/>
          <w:color w:val="auto"/>
          <w:szCs w:val="21"/>
          <w:highlight w:val="none"/>
          <w:lang w:eastAsia="zh-CN"/>
        </w:rPr>
        <w:fldChar w:fldCharType="separate"/>
      </w:r>
      <w:r>
        <w:rPr>
          <w:rStyle w:val="34"/>
          <w:rFonts w:hint="eastAsia" w:ascii="宋体" w:hAnsi="宋体" w:eastAsia="宋体" w:cs="宋体"/>
          <w:color w:val="auto"/>
          <w:szCs w:val="21"/>
          <w:highlight w:val="none"/>
          <w:lang w:eastAsia="zh-CN"/>
        </w:rPr>
        <w:t>https://www.crcrfsp.com/</w:t>
      </w:r>
      <w:r>
        <w:rPr>
          <w:rFonts w:hint="eastAsia" w:ascii="宋体" w:hAnsi="宋体" w:eastAsia="宋体" w:cs="宋体"/>
          <w:color w:val="auto"/>
          <w:szCs w:val="21"/>
          <w:highlight w:val="none"/>
          <w:lang w:eastAsia="zh-CN"/>
        </w:rPr>
        <w:fldChar w:fldCharType="end"/>
      </w:r>
      <w:r>
        <w:rPr>
          <w:rFonts w:hint="eastAsia" w:ascii="宋体" w:hAnsi="宋体" w:eastAsia="宋体" w:cs="宋体"/>
          <w:color w:val="auto"/>
          <w:szCs w:val="21"/>
          <w:highlight w:val="none"/>
          <w:lang w:eastAsia="zh-CN"/>
        </w:rPr>
        <w:t>，客服电话：</w:t>
      </w:r>
      <w:r>
        <w:rPr>
          <w:rFonts w:hint="eastAsia" w:ascii="宋体" w:hAnsi="宋体" w:eastAsia="宋体" w:cs="宋体"/>
          <w:color w:val="auto"/>
          <w:szCs w:val="21"/>
          <w:highlight w:val="none"/>
          <w:lang w:val="en-US" w:eastAsia="zh-CN"/>
        </w:rPr>
        <w:t>400-009-0001</w:t>
      </w:r>
      <w:r>
        <w:rPr>
          <w:rFonts w:hint="eastAsia" w:ascii="宋体" w:hAnsi="宋体" w:eastAsia="宋体" w:cs="宋体"/>
          <w:color w:val="auto"/>
          <w:szCs w:val="21"/>
          <w:highlight w:val="none"/>
          <w:lang w:eastAsia="zh-CN"/>
        </w:rPr>
        <w:t>）。</w:t>
      </w:r>
    </w:p>
    <w:p w14:paraId="1719E1E7">
      <w:pPr>
        <w:pStyle w:val="21"/>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br w:type="page"/>
      </w:r>
    </w:p>
    <w:p w14:paraId="4B73176F">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highlight w:val="none"/>
        </w:rPr>
      </w:pPr>
      <w:bookmarkStart w:id="94" w:name="_Toc28979"/>
      <w:bookmarkStart w:id="95" w:name="_Toc1088"/>
      <w:bookmarkStart w:id="96" w:name="_Toc17511"/>
      <w:bookmarkStart w:id="97" w:name="_Toc80886937"/>
      <w:bookmarkStart w:id="98" w:name="_Toc8412"/>
      <w:bookmarkStart w:id="99" w:name="_Toc8593"/>
      <w:bookmarkStart w:id="100" w:name="_Toc3976"/>
      <w:bookmarkStart w:id="101" w:name="_Toc3879"/>
      <w:r>
        <w:rPr>
          <w:rFonts w:hint="eastAsia" w:ascii="宋体" w:hAnsi="宋体" w:eastAsia="宋体" w:cs="宋体"/>
          <w:color w:val="auto"/>
          <w:highlight w:val="none"/>
        </w:rPr>
        <w:t>第四章  评审程序、评审方法和评审标准</w:t>
      </w:r>
      <w:bookmarkEnd w:id="94"/>
      <w:bookmarkEnd w:id="95"/>
      <w:bookmarkEnd w:id="96"/>
      <w:bookmarkEnd w:id="97"/>
      <w:bookmarkEnd w:id="98"/>
      <w:bookmarkEnd w:id="99"/>
      <w:bookmarkEnd w:id="100"/>
      <w:bookmarkEnd w:id="101"/>
    </w:p>
    <w:p w14:paraId="6714218C">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color w:val="auto"/>
          <w:highlight w:val="none"/>
        </w:rPr>
      </w:pPr>
      <w:bookmarkStart w:id="102" w:name="_Toc80886938"/>
      <w:bookmarkStart w:id="103" w:name="_Toc17424"/>
      <w:bookmarkStart w:id="104" w:name="_Toc11607"/>
      <w:r>
        <w:rPr>
          <w:rFonts w:hint="eastAsia" w:ascii="宋体" w:hAnsi="宋体" w:eastAsia="宋体" w:cs="宋体"/>
          <w:b w:val="0"/>
          <w:color w:val="auto"/>
          <w:highlight w:val="none"/>
        </w:rPr>
        <w:t>第一节 评审程序和评审方法</w:t>
      </w:r>
      <w:bookmarkEnd w:id="102"/>
      <w:bookmarkEnd w:id="103"/>
      <w:bookmarkEnd w:id="104"/>
    </w:p>
    <w:p w14:paraId="3C2125E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04DE7B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6EF5CBA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2B482393">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2.1响应文件开启后，磋商小组依法对供应商的资格文件进行审查。</w:t>
      </w:r>
    </w:p>
    <w:p w14:paraId="0954107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251B2A42">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“信用中国”网站(</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"http://www.creditchina.gov.cn" </w:instrText>
      </w:r>
      <w:r>
        <w:rPr>
          <w:rFonts w:hint="eastAsia" w:ascii="宋体" w:hAnsi="宋体" w:eastAsia="宋体" w:cs="宋体"/>
          <w:color w:val="auto"/>
          <w:szCs w:val="21"/>
          <w:highlight w:val="none"/>
        </w:rPr>
        <w:fldChar w:fldCharType="separate"/>
      </w:r>
      <w:r>
        <w:rPr>
          <w:rStyle w:val="36"/>
          <w:rFonts w:hint="eastAsia" w:ascii="宋体" w:hAnsi="宋体" w:eastAsia="宋体" w:cs="宋体"/>
          <w:color w:val="auto"/>
          <w:highlight w:val="none"/>
        </w:rPr>
        <w:t>www.creditchina.gov.cn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)、中国政府采购网(</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"http://www.ccgp.gov.cn" </w:instrText>
      </w:r>
      <w:r>
        <w:rPr>
          <w:rFonts w:hint="eastAsia" w:ascii="宋体" w:hAnsi="宋体" w:eastAsia="宋体" w:cs="宋体"/>
          <w:color w:val="auto"/>
          <w:szCs w:val="21"/>
          <w:highlight w:val="none"/>
        </w:rPr>
        <w:fldChar w:fldCharType="separate"/>
      </w:r>
      <w:r>
        <w:rPr>
          <w:rStyle w:val="36"/>
          <w:rFonts w:hint="eastAsia" w:ascii="宋体" w:hAnsi="宋体" w:eastAsia="宋体" w:cs="宋体"/>
          <w:color w:val="auto"/>
          <w:highlight w:val="none"/>
        </w:rPr>
        <w:t>www.ccgp.gov.cn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)链接入口。</w:t>
      </w:r>
    </w:p>
    <w:p w14:paraId="18F65047">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44524495">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查询记录和证据留存方式：在查询网站中直接查询记录，截图另存为电子文档作为评审资料保存。</w:t>
      </w:r>
    </w:p>
    <w:p w14:paraId="385AB9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（3）信用信息使用规则：对在“信用中国”网站(www.creditchina.gov.cn) 、中国政府采购网(www.ccgp.gov.cn)被列入失信被执行人、</w:t>
      </w:r>
      <w:r>
        <w:rPr>
          <w:rFonts w:hint="eastAsia" w:ascii="宋体" w:hAnsi="宋体" w:eastAsia="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8733E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601D60DE">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2.3供应商有下列情形之一的，资格审查不通过，其响应文件按无效响应处理：</w:t>
      </w:r>
    </w:p>
    <w:p w14:paraId="0E60D077">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13E617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（2）响应文件未提供任一项“供应商须知前附表”资格文件规定的“必须提供”的文件资料的；</w:t>
      </w:r>
    </w:p>
    <w:p w14:paraId="7925FE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（3）响应文件提供的资格文件出现任一项不符合“供应商须知前附表”资格文件规定的“必须提供”的文件资料要求或者无效的。</w:t>
      </w:r>
    </w:p>
    <w:p w14:paraId="230ECD45">
      <w:pPr>
        <w:spacing w:line="360" w:lineRule="auto"/>
        <w:ind w:firstLine="420" w:firstLineChars="200"/>
        <w:rPr>
          <w:rFonts w:hint="eastAsia" w:ascii="宋体" w:hAnsi="宋体" w:eastAsia="宋体" w:cs="宋体"/>
          <w:color w:val="auto"/>
          <w:szCs w:val="21"/>
          <w:highlight w:val="none"/>
        </w:rPr>
      </w:pPr>
      <w:bookmarkStart w:id="105"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105"/>
    </w:p>
    <w:p w14:paraId="2FFB54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0C75138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4F0091B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315B17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114C9B0">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w:t>
      </w:r>
      <w:r>
        <w:rPr>
          <w:rFonts w:hint="eastAsia" w:ascii="宋体" w:hAnsi="宋体" w:eastAsia="宋体" w:cs="宋体"/>
          <w:color w:val="auto"/>
          <w:szCs w:val="21"/>
          <w:highlight w:val="none"/>
          <w:lang w:eastAsia="zh-CN"/>
        </w:rPr>
        <w:t>以</w:t>
      </w:r>
      <w:r>
        <w:rPr>
          <w:rFonts w:hint="eastAsia" w:ascii="宋体" w:hAnsi="宋体" w:eastAsia="宋体" w:cs="宋体"/>
          <w:color w:val="auto"/>
          <w:szCs w:val="21"/>
          <w:highlight w:val="none"/>
        </w:rPr>
        <w:t>电子回函形式按照磋商小组的要求作出明确的澄清、说明或者更正，未按磋商小组的要求作出明确澄清、说明或者更正的供应商的响应文件将按照有利于采购人的原则由磋商小组进行判定。供应商的澄清、说明或者更正必须</w:t>
      </w:r>
      <w:r>
        <w:rPr>
          <w:rFonts w:hint="eastAsia" w:ascii="宋体" w:hAnsi="宋体" w:eastAsia="宋体" w:cs="宋体"/>
          <w:b w:val="0"/>
          <w:bCs w:val="0"/>
          <w:color w:val="auto"/>
          <w:sz w:val="21"/>
          <w:szCs w:val="21"/>
          <w:highlight w:val="none"/>
        </w:rPr>
        <w:t>由法定代表人或其授权代表签字或者</w:t>
      </w:r>
      <w:r>
        <w:rPr>
          <w:rFonts w:hint="eastAsia" w:ascii="宋体" w:hAnsi="宋体" w:eastAsia="宋体" w:cs="宋体"/>
          <w:color w:val="auto"/>
          <w:szCs w:val="21"/>
          <w:highlight w:val="none"/>
        </w:rPr>
        <w:t>加盖公章</w:t>
      </w:r>
      <w:r>
        <w:rPr>
          <w:rFonts w:hint="eastAsia" w:ascii="宋体" w:hAnsi="宋体" w:eastAsia="宋体" w:cs="宋体"/>
          <w:color w:val="auto"/>
          <w:spacing w:val="-6"/>
          <w:szCs w:val="21"/>
          <w:highlight w:val="none"/>
        </w:rPr>
        <w:t>。供应商为自然人的，必须由本人签字并附身份证明。</w:t>
      </w:r>
    </w:p>
    <w:p w14:paraId="0459863D">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092F1C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报价表内容与响应文件中相应内容不一致的，以</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报价表为准；</w:t>
      </w:r>
    </w:p>
    <w:p w14:paraId="04B194E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66A40C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报价表的总价为准，并修改单价；</w:t>
      </w:r>
    </w:p>
    <w:p w14:paraId="62251F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3C8A37B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4C296E1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001138FB">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在评审时，如发现下列情形之一的，将被视为响应文件无效处理：</w:t>
      </w:r>
    </w:p>
    <w:p w14:paraId="7D31D4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39297F1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124EC4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294F2F1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）未对竞标有效期作出响应或者响应文件承诺的竞标有效期不满足磋商文件要求；</w:t>
      </w:r>
    </w:p>
    <w:p w14:paraId="4DBB1E7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）响应文件的实质性内容未使用中文表述、使用计量单位不符合磋商文件要求；</w:t>
      </w:r>
    </w:p>
    <w:p w14:paraId="155DBC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）响应文件中的文件资料因填写不齐全或者内容虚假或者出现其他情形而导致被磋商小组认定无效；</w:t>
      </w:r>
    </w:p>
    <w:p w14:paraId="0BEEE0D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）响应文件含有采购人不能接受的附加条件；</w:t>
      </w:r>
    </w:p>
    <w:p w14:paraId="2D60C8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）属于“供应商须知正文”第7.5条情形；</w:t>
      </w:r>
    </w:p>
    <w:p w14:paraId="07514FA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）虚假竞标，或者出现其他情形而导致被磋商小组认定无效；</w:t>
      </w:r>
    </w:p>
    <w:p w14:paraId="301FE8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）竞标技术方案不明确，磋商文件未允许但响应文件中存在一个或者一个以上备选（替代）竞标方案；</w:t>
      </w:r>
    </w:p>
    <w:p w14:paraId="24BD72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）响应文件标注的项目名称或者项目编号与竞争性磋商文件标注的项目名称或者项目编号不一致的；</w:t>
      </w:r>
    </w:p>
    <w:p w14:paraId="29BDDA7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）未响应磋商文件实质性要求</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w:t>
      </w:r>
    </w:p>
    <w:p w14:paraId="7C4BE830">
      <w:pPr>
        <w:pStyle w:val="12"/>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）提交的磋商保证金无效的或者未按照磋商文件的规定提交磋商保证金；</w:t>
      </w:r>
    </w:p>
    <w:p w14:paraId="2EBD6E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）法律、法规和磋商文件规定的其他无效情形。</w:t>
      </w:r>
    </w:p>
    <w:p w14:paraId="7094B7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0C3A35F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响应文件未提供“供应商须知前附表” 报价文件中规定的“响应报价表”；</w:t>
      </w:r>
    </w:p>
    <w:p w14:paraId="09C0120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052CB37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w:t>
      </w:r>
      <w:r>
        <w:rPr>
          <w:rFonts w:hint="eastAsia" w:ascii="宋体" w:hAnsi="宋体" w:eastAsia="宋体" w:cs="宋体"/>
          <w:color w:val="auto"/>
          <w:szCs w:val="21"/>
          <w:highlight w:val="none"/>
          <w:lang w:val="en-US" w:eastAsia="zh-CN"/>
        </w:rPr>
        <w:t>项目</w:t>
      </w:r>
      <w:r>
        <w:rPr>
          <w:rFonts w:hint="eastAsia" w:ascii="宋体" w:hAnsi="宋体" w:eastAsia="宋体" w:cs="宋体"/>
          <w:color w:val="auto"/>
          <w:szCs w:val="21"/>
          <w:highlight w:val="none"/>
        </w:rPr>
        <w:t>进行报价或者存在漏项报价；供应商未就所竞标</w:t>
      </w:r>
      <w:r>
        <w:rPr>
          <w:rFonts w:hint="eastAsia" w:ascii="宋体" w:hAnsi="宋体" w:eastAsia="宋体" w:cs="宋体"/>
          <w:color w:val="auto"/>
          <w:szCs w:val="21"/>
          <w:highlight w:val="none"/>
          <w:lang w:val="en-US" w:eastAsia="zh-CN"/>
        </w:rPr>
        <w:t>项目</w:t>
      </w:r>
      <w:r>
        <w:rPr>
          <w:rFonts w:hint="eastAsia" w:ascii="宋体" w:hAnsi="宋体" w:eastAsia="宋体" w:cs="宋体"/>
          <w:color w:val="auto"/>
          <w:szCs w:val="21"/>
          <w:highlight w:val="none"/>
        </w:rPr>
        <w:t>的单项内容作唯一报价；供应商未就所竞标</w:t>
      </w:r>
      <w:r>
        <w:rPr>
          <w:rFonts w:hint="eastAsia" w:ascii="宋体" w:hAnsi="宋体" w:eastAsia="宋体" w:cs="宋体"/>
          <w:color w:val="auto"/>
          <w:szCs w:val="21"/>
          <w:highlight w:val="none"/>
          <w:lang w:val="en-US" w:eastAsia="zh-CN"/>
        </w:rPr>
        <w:t>项目</w:t>
      </w:r>
      <w:r>
        <w:rPr>
          <w:rFonts w:hint="eastAsia" w:ascii="宋体" w:hAnsi="宋体" w:eastAsia="宋体" w:cs="宋体"/>
          <w:color w:val="auto"/>
          <w:szCs w:val="21"/>
          <w:highlight w:val="none"/>
        </w:rPr>
        <w:t>的全部内容作唯一总价报价；供应商响应文件中存在有选择、有条件报价的（磋商文件允许有备选方案或者其他约定的除外）；</w:t>
      </w:r>
    </w:p>
    <w:p w14:paraId="198BD4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w:t>
      </w:r>
      <w:r>
        <w:rPr>
          <w:rFonts w:hint="eastAsia" w:ascii="宋体" w:hAnsi="宋体" w:eastAsia="宋体" w:cs="宋体"/>
          <w:color w:val="auto"/>
          <w:szCs w:val="21"/>
          <w:highlight w:val="none"/>
          <w:lang w:val="en-US" w:eastAsia="zh-CN"/>
        </w:rPr>
        <w:t>项目</w:t>
      </w:r>
      <w:r>
        <w:rPr>
          <w:rFonts w:hint="eastAsia" w:ascii="宋体" w:hAnsi="宋体" w:eastAsia="宋体" w:cs="宋体"/>
          <w:color w:val="auto"/>
          <w:szCs w:val="21"/>
          <w:highlight w:val="none"/>
        </w:rPr>
        <w:t>规定的采购预算金额或者最高限价的（如本项目公布了最高限价）；响应报价（包含首次报价、最后报价）超过磋商文件分项采购预算金额或者最高限价的（如本项目公布了最高限价）；</w:t>
      </w:r>
    </w:p>
    <w:p w14:paraId="5EDFA11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w:t>
      </w:r>
      <w:r>
        <w:rPr>
          <w:rFonts w:hint="eastAsia" w:ascii="宋体" w:hAnsi="宋体" w:eastAsia="宋体" w:cs="宋体"/>
          <w:color w:val="auto"/>
          <w:szCs w:val="21"/>
          <w:highlight w:val="none"/>
          <w:lang w:val="en-US" w:eastAsia="zh-CN"/>
        </w:rPr>
        <w:t>项目</w:t>
      </w:r>
      <w:r>
        <w:rPr>
          <w:rFonts w:hint="eastAsia" w:ascii="宋体" w:hAnsi="宋体" w:eastAsia="宋体" w:cs="宋体"/>
          <w:color w:val="auto"/>
          <w:szCs w:val="21"/>
          <w:highlight w:val="none"/>
        </w:rPr>
        <w:t>规定的采购预算金额或者最高限价（如本项目公布了最高限价）；或者经供应商确认修正后响应报价（包含首次报价、最后报价）超过磋商文件分项采购预算金额或者最高限价的（如本项目公布了最高限价）。</w:t>
      </w:r>
    </w:p>
    <w:p w14:paraId="257817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6）响应文件响应的标的数量及单位与竞争性磋商文件要求实质性不一致的。</w:t>
      </w:r>
    </w:p>
    <w:p w14:paraId="1EDDC39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1ADCB9B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09293D6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08B1541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798525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w:t>
      </w:r>
      <w:r>
        <w:rPr>
          <w:rFonts w:hint="eastAsia" w:ascii="宋体" w:hAnsi="宋体" w:eastAsia="宋体" w:cs="宋体"/>
          <w:color w:val="auto"/>
          <w:szCs w:val="21"/>
          <w:highlight w:val="none"/>
          <w:lang w:eastAsia="zh-CN"/>
        </w:rPr>
        <w:t>商务</w:t>
      </w:r>
      <w:r>
        <w:rPr>
          <w:rFonts w:hint="eastAsia" w:ascii="宋体" w:hAnsi="宋体" w:eastAsia="宋体" w:cs="宋体"/>
          <w:color w:val="auto"/>
          <w:szCs w:val="21"/>
          <w:highlight w:val="none"/>
        </w:rPr>
        <w:t>、服务要求以及合同草案条款，但不得变动磋商文件中的其他内容。实质性变动的内容，须经采购人代表确认。可能实质性变动的内容为采购需求中的</w:t>
      </w:r>
      <w:r>
        <w:rPr>
          <w:rFonts w:hint="eastAsia" w:ascii="宋体" w:hAnsi="宋体" w:eastAsia="宋体" w:cs="宋体"/>
          <w:color w:val="auto"/>
          <w:szCs w:val="21"/>
          <w:highlight w:val="none"/>
          <w:lang w:eastAsia="zh-CN"/>
        </w:rPr>
        <w:t>商务</w:t>
      </w:r>
      <w:r>
        <w:rPr>
          <w:rFonts w:hint="eastAsia" w:ascii="宋体" w:hAnsi="宋体" w:eastAsia="宋体" w:cs="宋体"/>
          <w:color w:val="auto"/>
          <w:szCs w:val="21"/>
          <w:highlight w:val="none"/>
        </w:rPr>
        <w:t>、服务要求以及合同草案条款。</w:t>
      </w:r>
    </w:p>
    <w:p w14:paraId="22CDD9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3ACD02D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公章。供应商为自然人的，必须由本人签字并附身份证明。参加磋商的供应商未在规定时间内重新提交响应文件的，视同退出磋商。</w:t>
      </w:r>
    </w:p>
    <w:p w14:paraId="3412242C">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636B650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4.6磋商小组应对磋商过程和重要磋商内容进行记录，作为评</w:t>
      </w:r>
      <w:r>
        <w:rPr>
          <w:rFonts w:hint="eastAsia" w:ascii="宋体" w:hAnsi="宋体" w:eastAsia="宋体" w:cs="宋体"/>
          <w:color w:val="auto"/>
          <w:szCs w:val="21"/>
          <w:highlight w:val="none"/>
          <w:lang w:eastAsia="zh-CN"/>
        </w:rPr>
        <w:t>审</w:t>
      </w:r>
      <w:r>
        <w:rPr>
          <w:rFonts w:hint="eastAsia" w:ascii="宋体" w:hAnsi="宋体" w:eastAsia="宋体" w:cs="宋体"/>
          <w:color w:val="auto"/>
          <w:szCs w:val="21"/>
          <w:highlight w:val="none"/>
        </w:rPr>
        <w:t>报告一部分，磋商小组在记录上签字确认。</w:t>
      </w:r>
    </w:p>
    <w:p w14:paraId="091B4F3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71FECC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7B12819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 最后报价</w:t>
      </w:r>
    </w:p>
    <w:p w14:paraId="1F8100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提交最后报价，除本章第5.3条外，提交最后报价的供应商不得少于3家，否则必须重新采购。</w:t>
      </w:r>
    </w:p>
    <w:p w14:paraId="51CEDD9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提交最后报价。</w:t>
      </w:r>
    </w:p>
    <w:p w14:paraId="10F687B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685A89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3059E7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r>
        <w:rPr>
          <w:rFonts w:hint="eastAsia" w:ascii="宋体" w:hAnsi="宋体" w:eastAsia="宋体" w:cs="宋体"/>
          <w:color w:val="auto"/>
          <w:szCs w:val="21"/>
          <w:highlight w:val="none"/>
          <w:lang w:eastAsia="zh-CN"/>
        </w:rPr>
        <w:t>，其响应文件按无效处理</w:t>
      </w:r>
      <w:r>
        <w:rPr>
          <w:rFonts w:hint="eastAsia" w:ascii="宋体" w:hAnsi="宋体" w:eastAsia="宋体" w:cs="宋体"/>
          <w:color w:val="auto"/>
          <w:szCs w:val="21"/>
          <w:highlight w:val="none"/>
        </w:rPr>
        <w:t>。</w:t>
      </w:r>
    </w:p>
    <w:p w14:paraId="347BD143">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bCs/>
          <w:i w:val="0"/>
          <w:iCs w:val="0"/>
          <w:caps w:val="0"/>
          <w:color w:val="auto"/>
          <w:spacing w:val="0"/>
          <w:sz w:val="21"/>
          <w:szCs w:val="21"/>
          <w:highlight w:val="none"/>
          <w:shd w:val="clear" w:color="auto" w:fill="FFFFFF"/>
        </w:rPr>
      </w:pPr>
      <w:r>
        <w:rPr>
          <w:rFonts w:hint="eastAsia" w:ascii="宋体" w:hAnsi="宋体" w:eastAsia="宋体" w:cs="宋体"/>
          <w:color w:val="auto"/>
          <w:szCs w:val="21"/>
          <w:highlight w:val="none"/>
        </w:rPr>
        <w:t>5.6磋商小组收齐最后报价后统一开启，磋商小组对最后报价进行有效性、完整性和响应程度的审查。</w:t>
      </w:r>
    </w:p>
    <w:p w14:paraId="657788E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5BE305A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w:t>
      </w:r>
      <w:r>
        <w:rPr>
          <w:rFonts w:hint="eastAsia" w:ascii="宋体" w:hAnsi="宋体" w:eastAsia="宋体" w:cs="宋体"/>
          <w:color w:val="auto"/>
          <w:szCs w:val="21"/>
          <w:highlight w:val="none"/>
          <w:lang w:eastAsia="zh-CN"/>
        </w:rPr>
        <w:t>后</w:t>
      </w:r>
      <w:r>
        <w:rPr>
          <w:rFonts w:hint="eastAsia" w:ascii="宋体" w:hAnsi="宋体" w:eastAsia="宋体" w:cs="宋体"/>
          <w:color w:val="auto"/>
          <w:szCs w:val="21"/>
          <w:highlight w:val="none"/>
        </w:rPr>
        <w:t>报价出现下列情形的，按无效响应处理：</w:t>
      </w:r>
    </w:p>
    <w:p w14:paraId="51C4668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3AC91DD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w:t>
      </w:r>
      <w:r>
        <w:rPr>
          <w:rFonts w:hint="eastAsia" w:ascii="宋体" w:hAnsi="宋体" w:eastAsia="宋体" w:cs="宋体"/>
          <w:color w:val="auto"/>
          <w:szCs w:val="21"/>
          <w:highlight w:val="none"/>
          <w:lang w:val="en-US" w:eastAsia="zh-CN"/>
        </w:rPr>
        <w:t>项目</w:t>
      </w:r>
      <w:r>
        <w:rPr>
          <w:rFonts w:hint="eastAsia" w:ascii="宋体" w:hAnsi="宋体" w:eastAsia="宋体" w:cs="宋体"/>
          <w:color w:val="auto"/>
          <w:szCs w:val="21"/>
          <w:highlight w:val="none"/>
        </w:rPr>
        <w:t>规定的采购预算金额或者最高限价的（如本项目公布了最高限价）；</w:t>
      </w:r>
    </w:p>
    <w:p w14:paraId="4287ADA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40375D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30B688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5.10供应商出现最后报价按无效响应处理或者响应文件按无效处理时，磋商小组应当告知有关供应商</w:t>
      </w:r>
      <w:r>
        <w:rPr>
          <w:rFonts w:hint="eastAsia" w:ascii="宋体" w:hAnsi="宋体" w:eastAsia="宋体" w:cs="宋体"/>
          <w:color w:val="auto"/>
          <w:szCs w:val="21"/>
          <w:highlight w:val="none"/>
        </w:rPr>
        <w:t>。</w:t>
      </w:r>
    </w:p>
    <w:p w14:paraId="49963D3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6A84ED95">
      <w:pPr>
        <w:spacing w:line="360" w:lineRule="auto"/>
        <w:ind w:firstLine="420" w:firstLineChars="200"/>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lang w:val="en-US" w:eastAsia="zh-CN"/>
        </w:rPr>
        <w:t>5.12</w:t>
      </w:r>
      <w:r>
        <w:rPr>
          <w:rFonts w:hint="eastAsia" w:ascii="宋体" w:hAnsi="宋体" w:eastAsia="宋体" w:cs="宋体"/>
          <w:i w:val="0"/>
          <w:iCs w:val="0"/>
          <w:caps w:val="0"/>
          <w:color w:val="auto"/>
          <w:spacing w:val="0"/>
          <w:sz w:val="21"/>
          <w:szCs w:val="21"/>
          <w:highlight w:val="none"/>
          <w:shd w:val="clear" w:color="auto" w:fill="FFFFFF"/>
        </w:rPr>
        <w:t>采购评审中出现下列情形之一的，</w:t>
      </w:r>
      <w:r>
        <w:rPr>
          <w:rFonts w:hint="eastAsia" w:ascii="宋体" w:hAnsi="宋体" w:eastAsia="宋体" w:cs="宋体"/>
          <w:i w:val="0"/>
          <w:iCs w:val="0"/>
          <w:caps w:val="0"/>
          <w:color w:val="auto"/>
          <w:spacing w:val="0"/>
          <w:sz w:val="21"/>
          <w:szCs w:val="21"/>
          <w:highlight w:val="none"/>
          <w:shd w:val="clear" w:color="auto" w:fill="FFFFFF"/>
          <w:lang w:eastAsia="zh-CN"/>
        </w:rPr>
        <w:t>磋商小组</w:t>
      </w:r>
      <w:r>
        <w:rPr>
          <w:rFonts w:hint="eastAsia" w:ascii="宋体" w:hAnsi="宋体" w:eastAsia="宋体" w:cs="宋体"/>
          <w:i w:val="0"/>
          <w:iCs w:val="0"/>
          <w:caps w:val="0"/>
          <w:color w:val="auto"/>
          <w:spacing w:val="0"/>
          <w:sz w:val="21"/>
          <w:szCs w:val="21"/>
          <w:highlight w:val="none"/>
          <w:shd w:val="clear" w:color="auto" w:fill="FFFFFF"/>
        </w:rPr>
        <w:t>应当启动异常低价</w:t>
      </w:r>
      <w:r>
        <w:rPr>
          <w:rFonts w:hint="eastAsia" w:ascii="宋体" w:hAnsi="宋体" w:eastAsia="宋体" w:cs="宋体"/>
          <w:i w:val="0"/>
          <w:iCs w:val="0"/>
          <w:caps w:val="0"/>
          <w:color w:val="auto"/>
          <w:spacing w:val="0"/>
          <w:sz w:val="21"/>
          <w:szCs w:val="21"/>
          <w:highlight w:val="none"/>
          <w:shd w:val="clear" w:color="auto" w:fill="FFFFFF"/>
          <w:lang w:val="en-US" w:eastAsia="zh-CN"/>
        </w:rPr>
        <w:t>响应</w:t>
      </w:r>
      <w:r>
        <w:rPr>
          <w:rFonts w:hint="eastAsia" w:ascii="宋体" w:hAnsi="宋体" w:eastAsia="宋体" w:cs="宋体"/>
          <w:i w:val="0"/>
          <w:iCs w:val="0"/>
          <w:caps w:val="0"/>
          <w:color w:val="auto"/>
          <w:spacing w:val="0"/>
          <w:sz w:val="21"/>
          <w:szCs w:val="21"/>
          <w:highlight w:val="none"/>
          <w:shd w:val="clear" w:color="auto" w:fill="FFFFFF"/>
        </w:rPr>
        <w:t>审查程序：</w:t>
      </w:r>
    </w:p>
    <w:p w14:paraId="0831A3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lang w:val="en-US" w:eastAsia="zh-CN"/>
        </w:rPr>
        <w:t>A.最后报价</w:t>
      </w:r>
      <w:r>
        <w:rPr>
          <w:rFonts w:hint="eastAsia" w:ascii="宋体" w:hAnsi="宋体" w:eastAsia="宋体" w:cs="宋体"/>
          <w:i w:val="0"/>
          <w:iCs w:val="0"/>
          <w:caps w:val="0"/>
          <w:color w:val="auto"/>
          <w:spacing w:val="0"/>
          <w:sz w:val="21"/>
          <w:szCs w:val="21"/>
          <w:highlight w:val="none"/>
          <w:shd w:val="clear" w:color="auto" w:fill="FFFFFF"/>
        </w:rPr>
        <w:t>低于全部通过符合性审查</w:t>
      </w:r>
      <w:r>
        <w:rPr>
          <w:rFonts w:hint="eastAsia" w:ascii="宋体" w:hAnsi="宋体" w:eastAsia="宋体" w:cs="宋体"/>
          <w:i w:val="0"/>
          <w:iCs w:val="0"/>
          <w:caps w:val="0"/>
          <w:color w:val="auto"/>
          <w:spacing w:val="0"/>
          <w:sz w:val="21"/>
          <w:szCs w:val="21"/>
          <w:highlight w:val="none"/>
          <w:shd w:val="clear" w:color="auto" w:fill="FFFFFF"/>
          <w:lang w:eastAsia="zh-CN"/>
        </w:rPr>
        <w:t>供应商最后报价</w:t>
      </w:r>
      <w:r>
        <w:rPr>
          <w:rFonts w:hint="eastAsia" w:ascii="宋体" w:hAnsi="宋体" w:eastAsia="宋体" w:cs="宋体"/>
          <w:i w:val="0"/>
          <w:iCs w:val="0"/>
          <w:caps w:val="0"/>
          <w:color w:val="auto"/>
          <w:spacing w:val="0"/>
          <w:sz w:val="21"/>
          <w:szCs w:val="21"/>
          <w:highlight w:val="none"/>
          <w:shd w:val="clear" w:color="auto" w:fill="FFFFFF"/>
        </w:rPr>
        <w:t>平均值</w:t>
      </w:r>
      <w:r>
        <w:rPr>
          <w:rFonts w:hint="eastAsia" w:ascii="宋体" w:hAnsi="宋体" w:eastAsia="宋体" w:cs="宋体"/>
          <w:i w:val="0"/>
          <w:iCs w:val="0"/>
          <w:caps w:val="0"/>
          <w:color w:val="auto"/>
          <w:spacing w:val="0"/>
          <w:sz w:val="21"/>
          <w:szCs w:val="21"/>
          <w:highlight w:val="none"/>
          <w:u w:val="single"/>
          <w:shd w:val="clear" w:color="auto" w:fill="FFFFFF"/>
        </w:rPr>
        <w:t>50%</w:t>
      </w:r>
      <w:r>
        <w:rPr>
          <w:rFonts w:hint="eastAsia" w:ascii="宋体" w:hAnsi="宋体" w:eastAsia="宋体" w:cs="宋体"/>
          <w:i w:val="0"/>
          <w:iCs w:val="0"/>
          <w:caps w:val="0"/>
          <w:color w:val="auto"/>
          <w:spacing w:val="0"/>
          <w:sz w:val="21"/>
          <w:szCs w:val="21"/>
          <w:highlight w:val="none"/>
          <w:shd w:val="clear" w:color="auto" w:fill="FFFFFF"/>
        </w:rPr>
        <w:t>的，即</w:t>
      </w:r>
      <w:r>
        <w:rPr>
          <w:rFonts w:hint="eastAsia" w:ascii="宋体" w:hAnsi="宋体" w:eastAsia="宋体" w:cs="宋体"/>
          <w:i w:val="0"/>
          <w:iCs w:val="0"/>
          <w:caps w:val="0"/>
          <w:color w:val="auto"/>
          <w:spacing w:val="0"/>
          <w:sz w:val="21"/>
          <w:szCs w:val="21"/>
          <w:highlight w:val="none"/>
          <w:shd w:val="clear" w:color="auto" w:fill="FFFFFF"/>
          <w:lang w:eastAsia="zh-CN"/>
        </w:rPr>
        <w:t>最后报价</w:t>
      </w:r>
      <w:r>
        <w:rPr>
          <w:rFonts w:hint="eastAsia" w:ascii="宋体" w:hAnsi="宋体" w:eastAsia="宋体" w:cs="宋体"/>
          <w:i w:val="0"/>
          <w:iCs w:val="0"/>
          <w:caps w:val="0"/>
          <w:color w:val="auto"/>
          <w:spacing w:val="0"/>
          <w:sz w:val="21"/>
          <w:szCs w:val="21"/>
          <w:highlight w:val="none"/>
          <w:shd w:val="clear" w:color="auto" w:fill="FFFFFF"/>
        </w:rPr>
        <w:t>＜全部通过符合性审查</w:t>
      </w:r>
      <w:r>
        <w:rPr>
          <w:rFonts w:hint="eastAsia" w:ascii="宋体" w:hAnsi="宋体" w:eastAsia="宋体" w:cs="宋体"/>
          <w:i w:val="0"/>
          <w:iCs w:val="0"/>
          <w:caps w:val="0"/>
          <w:color w:val="auto"/>
          <w:spacing w:val="0"/>
          <w:sz w:val="21"/>
          <w:szCs w:val="21"/>
          <w:highlight w:val="none"/>
          <w:shd w:val="clear" w:color="auto" w:fill="FFFFFF"/>
          <w:lang w:eastAsia="zh-CN"/>
        </w:rPr>
        <w:t>供应商最后报价</w:t>
      </w:r>
      <w:r>
        <w:rPr>
          <w:rFonts w:hint="eastAsia" w:ascii="宋体" w:hAnsi="宋体" w:eastAsia="宋体" w:cs="宋体"/>
          <w:i w:val="0"/>
          <w:iCs w:val="0"/>
          <w:caps w:val="0"/>
          <w:color w:val="auto"/>
          <w:spacing w:val="0"/>
          <w:sz w:val="21"/>
          <w:szCs w:val="21"/>
          <w:highlight w:val="none"/>
          <w:shd w:val="clear" w:color="auto" w:fill="FFFFFF"/>
        </w:rPr>
        <w:t>平均值×</w:t>
      </w:r>
      <w:r>
        <w:rPr>
          <w:rFonts w:hint="eastAsia" w:ascii="宋体" w:hAnsi="宋体" w:eastAsia="宋体" w:cs="宋体"/>
          <w:i w:val="0"/>
          <w:iCs w:val="0"/>
          <w:caps w:val="0"/>
          <w:color w:val="auto"/>
          <w:spacing w:val="0"/>
          <w:sz w:val="21"/>
          <w:szCs w:val="21"/>
          <w:highlight w:val="none"/>
          <w:u w:val="single"/>
          <w:shd w:val="clear" w:color="auto" w:fill="FFFFFF"/>
        </w:rPr>
        <w:t>50%</w:t>
      </w:r>
      <w:r>
        <w:rPr>
          <w:rFonts w:hint="eastAsia" w:ascii="宋体" w:hAnsi="宋体" w:eastAsia="宋体" w:cs="宋体"/>
          <w:i w:val="0"/>
          <w:iCs w:val="0"/>
          <w:caps w:val="0"/>
          <w:color w:val="auto"/>
          <w:spacing w:val="0"/>
          <w:sz w:val="21"/>
          <w:szCs w:val="21"/>
          <w:highlight w:val="none"/>
          <w:shd w:val="clear" w:color="auto" w:fill="FFFFFF"/>
        </w:rPr>
        <w:t xml:space="preserve">； </w:t>
      </w:r>
    </w:p>
    <w:p w14:paraId="19CE39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lang w:val="en-US" w:eastAsia="zh-CN"/>
        </w:rPr>
        <w:t>B.</w:t>
      </w:r>
      <w:r>
        <w:rPr>
          <w:rFonts w:hint="eastAsia" w:ascii="宋体" w:hAnsi="宋体" w:eastAsia="宋体" w:cs="宋体"/>
          <w:i w:val="0"/>
          <w:iCs w:val="0"/>
          <w:caps w:val="0"/>
          <w:color w:val="auto"/>
          <w:spacing w:val="0"/>
          <w:sz w:val="21"/>
          <w:szCs w:val="21"/>
          <w:highlight w:val="none"/>
          <w:shd w:val="clear" w:color="auto" w:fill="FFFFFF"/>
          <w:lang w:eastAsia="zh-CN"/>
        </w:rPr>
        <w:t>最后报价</w:t>
      </w:r>
      <w:r>
        <w:rPr>
          <w:rFonts w:hint="eastAsia" w:ascii="宋体" w:hAnsi="宋体" w:eastAsia="宋体" w:cs="宋体"/>
          <w:i w:val="0"/>
          <w:iCs w:val="0"/>
          <w:caps w:val="0"/>
          <w:color w:val="auto"/>
          <w:spacing w:val="0"/>
          <w:sz w:val="21"/>
          <w:szCs w:val="21"/>
          <w:highlight w:val="none"/>
          <w:shd w:val="clear" w:color="auto" w:fill="FFFFFF"/>
        </w:rPr>
        <w:t>低于通过符合性审查的次低报价</w:t>
      </w:r>
      <w:r>
        <w:rPr>
          <w:rFonts w:hint="eastAsia" w:ascii="宋体" w:hAnsi="宋体" w:eastAsia="宋体" w:cs="宋体"/>
          <w:i w:val="0"/>
          <w:iCs w:val="0"/>
          <w:caps w:val="0"/>
          <w:color w:val="auto"/>
          <w:spacing w:val="0"/>
          <w:sz w:val="21"/>
          <w:szCs w:val="21"/>
          <w:highlight w:val="none"/>
          <w:shd w:val="clear" w:color="auto" w:fill="FFFFFF"/>
          <w:lang w:eastAsia="zh-CN"/>
        </w:rPr>
        <w:t>供应商最后报价</w:t>
      </w:r>
      <w:r>
        <w:rPr>
          <w:rFonts w:hint="eastAsia" w:ascii="宋体" w:hAnsi="宋体" w:eastAsia="宋体" w:cs="宋体"/>
          <w:i w:val="0"/>
          <w:iCs w:val="0"/>
          <w:caps w:val="0"/>
          <w:color w:val="auto"/>
          <w:spacing w:val="0"/>
          <w:sz w:val="21"/>
          <w:szCs w:val="21"/>
          <w:highlight w:val="none"/>
          <w:u w:val="single"/>
          <w:shd w:val="clear" w:color="auto" w:fill="FFFFFF"/>
        </w:rPr>
        <w:t>50%</w:t>
      </w:r>
      <w:r>
        <w:rPr>
          <w:rFonts w:hint="eastAsia" w:ascii="宋体" w:hAnsi="宋体" w:eastAsia="宋体" w:cs="宋体"/>
          <w:i w:val="0"/>
          <w:iCs w:val="0"/>
          <w:caps w:val="0"/>
          <w:color w:val="auto"/>
          <w:spacing w:val="0"/>
          <w:sz w:val="21"/>
          <w:szCs w:val="21"/>
          <w:highlight w:val="none"/>
          <w:shd w:val="clear" w:color="auto" w:fill="FFFFFF"/>
        </w:rPr>
        <w:t>的，即</w:t>
      </w:r>
      <w:r>
        <w:rPr>
          <w:rFonts w:hint="eastAsia" w:ascii="宋体" w:hAnsi="宋体" w:eastAsia="宋体" w:cs="宋体"/>
          <w:i w:val="0"/>
          <w:iCs w:val="0"/>
          <w:caps w:val="0"/>
          <w:color w:val="auto"/>
          <w:spacing w:val="0"/>
          <w:sz w:val="21"/>
          <w:szCs w:val="21"/>
          <w:highlight w:val="none"/>
          <w:shd w:val="clear" w:color="auto" w:fill="FFFFFF"/>
          <w:lang w:eastAsia="zh-CN"/>
        </w:rPr>
        <w:t>最后报价</w:t>
      </w:r>
      <w:r>
        <w:rPr>
          <w:rFonts w:hint="eastAsia" w:ascii="宋体" w:hAnsi="宋体" w:eastAsia="宋体" w:cs="宋体"/>
          <w:i w:val="0"/>
          <w:iCs w:val="0"/>
          <w:caps w:val="0"/>
          <w:color w:val="auto"/>
          <w:spacing w:val="0"/>
          <w:sz w:val="21"/>
          <w:szCs w:val="21"/>
          <w:highlight w:val="none"/>
          <w:shd w:val="clear" w:color="auto" w:fill="FFFFFF"/>
        </w:rPr>
        <w:t>＜通过符合性审查的次低报价</w:t>
      </w:r>
      <w:r>
        <w:rPr>
          <w:rFonts w:hint="eastAsia" w:ascii="宋体" w:hAnsi="宋体" w:eastAsia="宋体" w:cs="宋体"/>
          <w:i w:val="0"/>
          <w:iCs w:val="0"/>
          <w:caps w:val="0"/>
          <w:color w:val="auto"/>
          <w:spacing w:val="0"/>
          <w:sz w:val="21"/>
          <w:szCs w:val="21"/>
          <w:highlight w:val="none"/>
          <w:shd w:val="clear" w:color="auto" w:fill="FFFFFF"/>
          <w:lang w:eastAsia="zh-CN"/>
        </w:rPr>
        <w:t>供应商最后报价</w:t>
      </w:r>
      <w:r>
        <w:rPr>
          <w:rFonts w:hint="eastAsia" w:ascii="宋体" w:hAnsi="宋体" w:eastAsia="宋体" w:cs="宋体"/>
          <w:i w:val="0"/>
          <w:iCs w:val="0"/>
          <w:caps w:val="0"/>
          <w:color w:val="auto"/>
          <w:spacing w:val="0"/>
          <w:sz w:val="21"/>
          <w:szCs w:val="21"/>
          <w:highlight w:val="none"/>
          <w:shd w:val="clear" w:color="auto" w:fill="FFFFFF"/>
        </w:rPr>
        <w:t>×</w:t>
      </w:r>
      <w:r>
        <w:rPr>
          <w:rFonts w:hint="eastAsia" w:ascii="宋体" w:hAnsi="宋体" w:eastAsia="宋体" w:cs="宋体"/>
          <w:i w:val="0"/>
          <w:iCs w:val="0"/>
          <w:caps w:val="0"/>
          <w:color w:val="auto"/>
          <w:spacing w:val="0"/>
          <w:sz w:val="21"/>
          <w:szCs w:val="21"/>
          <w:highlight w:val="none"/>
          <w:u w:val="single"/>
          <w:shd w:val="clear" w:color="auto" w:fill="FFFFFF"/>
        </w:rPr>
        <w:t>50%</w:t>
      </w:r>
      <w:r>
        <w:rPr>
          <w:rFonts w:hint="eastAsia" w:ascii="宋体" w:hAnsi="宋体" w:eastAsia="宋体" w:cs="宋体"/>
          <w:i w:val="0"/>
          <w:iCs w:val="0"/>
          <w:caps w:val="0"/>
          <w:color w:val="auto"/>
          <w:spacing w:val="0"/>
          <w:sz w:val="21"/>
          <w:szCs w:val="21"/>
          <w:highlight w:val="none"/>
          <w:shd w:val="clear" w:color="auto" w:fill="FFFFFF"/>
        </w:rPr>
        <w:t xml:space="preserve">； </w:t>
      </w:r>
    </w:p>
    <w:p w14:paraId="36C7B1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lang w:val="en-US" w:eastAsia="zh-CN"/>
        </w:rPr>
        <w:t>C.</w:t>
      </w:r>
      <w:r>
        <w:rPr>
          <w:rFonts w:hint="eastAsia" w:ascii="宋体" w:hAnsi="宋体" w:eastAsia="宋体" w:cs="宋体"/>
          <w:i w:val="0"/>
          <w:iCs w:val="0"/>
          <w:caps w:val="0"/>
          <w:color w:val="auto"/>
          <w:spacing w:val="0"/>
          <w:sz w:val="21"/>
          <w:szCs w:val="21"/>
          <w:highlight w:val="none"/>
          <w:shd w:val="clear" w:color="auto" w:fill="FFFFFF"/>
          <w:lang w:eastAsia="zh-CN"/>
        </w:rPr>
        <w:t>最后报价</w:t>
      </w:r>
      <w:r>
        <w:rPr>
          <w:rFonts w:hint="eastAsia" w:ascii="宋体" w:hAnsi="宋体" w:eastAsia="宋体" w:cs="宋体"/>
          <w:i w:val="0"/>
          <w:iCs w:val="0"/>
          <w:caps w:val="0"/>
          <w:color w:val="auto"/>
          <w:spacing w:val="0"/>
          <w:sz w:val="21"/>
          <w:szCs w:val="21"/>
          <w:highlight w:val="none"/>
          <w:shd w:val="clear" w:color="auto" w:fill="FFFFFF"/>
        </w:rPr>
        <w:t>低于采购项目最高限价</w:t>
      </w:r>
      <w:r>
        <w:rPr>
          <w:rFonts w:hint="eastAsia" w:ascii="宋体" w:hAnsi="宋体" w:eastAsia="宋体" w:cs="宋体"/>
          <w:i w:val="0"/>
          <w:iCs w:val="0"/>
          <w:caps w:val="0"/>
          <w:color w:val="auto"/>
          <w:spacing w:val="0"/>
          <w:sz w:val="21"/>
          <w:szCs w:val="21"/>
          <w:highlight w:val="none"/>
          <w:u w:val="single"/>
          <w:shd w:val="clear" w:color="auto" w:fill="FFFFFF"/>
        </w:rPr>
        <w:t>45%</w:t>
      </w:r>
      <w:r>
        <w:rPr>
          <w:rFonts w:hint="eastAsia" w:ascii="宋体" w:hAnsi="宋体" w:eastAsia="宋体" w:cs="宋体"/>
          <w:i w:val="0"/>
          <w:iCs w:val="0"/>
          <w:caps w:val="0"/>
          <w:color w:val="auto"/>
          <w:spacing w:val="0"/>
          <w:sz w:val="21"/>
          <w:szCs w:val="21"/>
          <w:highlight w:val="none"/>
          <w:shd w:val="clear" w:color="auto" w:fill="FFFFFF"/>
        </w:rPr>
        <w:t>的，即</w:t>
      </w:r>
      <w:r>
        <w:rPr>
          <w:rFonts w:hint="eastAsia" w:ascii="宋体" w:hAnsi="宋体" w:eastAsia="宋体" w:cs="宋体"/>
          <w:i w:val="0"/>
          <w:iCs w:val="0"/>
          <w:caps w:val="0"/>
          <w:color w:val="auto"/>
          <w:spacing w:val="0"/>
          <w:sz w:val="21"/>
          <w:szCs w:val="21"/>
          <w:highlight w:val="none"/>
          <w:shd w:val="clear" w:color="auto" w:fill="FFFFFF"/>
          <w:lang w:eastAsia="zh-CN"/>
        </w:rPr>
        <w:t>最后报价</w:t>
      </w:r>
      <w:r>
        <w:rPr>
          <w:rFonts w:hint="eastAsia" w:ascii="宋体" w:hAnsi="宋体" w:eastAsia="宋体" w:cs="宋体"/>
          <w:i w:val="0"/>
          <w:iCs w:val="0"/>
          <w:caps w:val="0"/>
          <w:color w:val="auto"/>
          <w:spacing w:val="0"/>
          <w:sz w:val="21"/>
          <w:szCs w:val="21"/>
          <w:highlight w:val="none"/>
          <w:shd w:val="clear" w:color="auto" w:fill="FFFFFF"/>
        </w:rPr>
        <w:t>＜采购项目最高限价×</w:t>
      </w:r>
      <w:r>
        <w:rPr>
          <w:rFonts w:hint="eastAsia" w:ascii="宋体" w:hAnsi="宋体" w:eastAsia="宋体" w:cs="宋体"/>
          <w:i w:val="0"/>
          <w:iCs w:val="0"/>
          <w:caps w:val="0"/>
          <w:color w:val="auto"/>
          <w:spacing w:val="0"/>
          <w:sz w:val="21"/>
          <w:szCs w:val="21"/>
          <w:highlight w:val="none"/>
          <w:u w:val="single"/>
          <w:shd w:val="clear" w:color="auto" w:fill="FFFFFF"/>
        </w:rPr>
        <w:t>45%</w:t>
      </w:r>
      <w:r>
        <w:rPr>
          <w:rFonts w:hint="eastAsia" w:ascii="宋体" w:hAnsi="宋体" w:eastAsia="宋体" w:cs="宋体"/>
          <w:i w:val="0"/>
          <w:iCs w:val="0"/>
          <w:caps w:val="0"/>
          <w:color w:val="auto"/>
          <w:spacing w:val="0"/>
          <w:sz w:val="21"/>
          <w:szCs w:val="21"/>
          <w:highlight w:val="none"/>
          <w:shd w:val="clear" w:color="auto" w:fill="FFFFFF"/>
        </w:rPr>
        <w:t>；</w:t>
      </w:r>
    </w:p>
    <w:p w14:paraId="7954EF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lang w:val="en-US" w:eastAsia="zh-CN"/>
        </w:rPr>
        <w:t>D.</w:t>
      </w:r>
      <w:r>
        <w:rPr>
          <w:rFonts w:hint="eastAsia" w:ascii="宋体" w:hAnsi="宋体" w:eastAsia="宋体" w:cs="宋体"/>
          <w:i w:val="0"/>
          <w:iCs w:val="0"/>
          <w:caps w:val="0"/>
          <w:color w:val="auto"/>
          <w:spacing w:val="0"/>
          <w:sz w:val="21"/>
          <w:szCs w:val="21"/>
          <w:highlight w:val="none"/>
          <w:shd w:val="clear" w:color="auto" w:fill="FFFFFF"/>
          <w:lang w:eastAsia="zh-CN"/>
        </w:rPr>
        <w:t>磋商小组</w:t>
      </w:r>
      <w:r>
        <w:rPr>
          <w:rFonts w:hint="eastAsia" w:ascii="宋体" w:hAnsi="宋体" w:eastAsia="宋体" w:cs="宋体"/>
          <w:i w:val="0"/>
          <w:iCs w:val="0"/>
          <w:caps w:val="0"/>
          <w:color w:val="auto"/>
          <w:spacing w:val="0"/>
          <w:sz w:val="21"/>
          <w:szCs w:val="21"/>
          <w:highlight w:val="none"/>
          <w:shd w:val="clear" w:color="auto" w:fill="FFFFFF"/>
        </w:rPr>
        <w:t>基于专业判断，认为</w:t>
      </w:r>
      <w:r>
        <w:rPr>
          <w:rFonts w:hint="eastAsia" w:ascii="宋体" w:hAnsi="宋体" w:eastAsia="宋体" w:cs="宋体"/>
          <w:i w:val="0"/>
          <w:iCs w:val="0"/>
          <w:caps w:val="0"/>
          <w:color w:val="auto"/>
          <w:spacing w:val="0"/>
          <w:sz w:val="21"/>
          <w:szCs w:val="21"/>
          <w:highlight w:val="none"/>
          <w:shd w:val="clear" w:color="auto" w:fill="FFFFFF"/>
          <w:lang w:eastAsia="zh-CN"/>
        </w:rPr>
        <w:t>供应商</w:t>
      </w:r>
      <w:r>
        <w:rPr>
          <w:rFonts w:hint="eastAsia" w:ascii="宋体" w:hAnsi="宋体" w:eastAsia="宋体" w:cs="宋体"/>
          <w:i w:val="0"/>
          <w:iCs w:val="0"/>
          <w:caps w:val="0"/>
          <w:color w:val="auto"/>
          <w:spacing w:val="0"/>
          <w:sz w:val="21"/>
          <w:szCs w:val="21"/>
          <w:highlight w:val="none"/>
          <w:shd w:val="clear" w:color="auto" w:fill="FFFFFF"/>
        </w:rPr>
        <w:t>报价过低，有可能影响产品质量或者不能诚信履约的其他情形。</w:t>
      </w:r>
    </w:p>
    <w:p w14:paraId="570147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rPr>
        <w:t>相关法律法规对</w:t>
      </w:r>
      <w:r>
        <w:rPr>
          <w:rFonts w:hint="eastAsia" w:ascii="宋体" w:hAnsi="宋体" w:eastAsia="宋体" w:cs="宋体"/>
          <w:i w:val="0"/>
          <w:iCs w:val="0"/>
          <w:caps w:val="0"/>
          <w:color w:val="auto"/>
          <w:spacing w:val="0"/>
          <w:sz w:val="21"/>
          <w:szCs w:val="21"/>
          <w:highlight w:val="none"/>
          <w:shd w:val="clear" w:color="auto" w:fill="FFFFFF"/>
          <w:lang w:eastAsia="zh-CN"/>
        </w:rPr>
        <w:t>供应商</w:t>
      </w:r>
      <w:r>
        <w:rPr>
          <w:rFonts w:hint="eastAsia" w:ascii="宋体" w:hAnsi="宋体" w:eastAsia="宋体" w:cs="宋体"/>
          <w:i w:val="0"/>
          <w:iCs w:val="0"/>
          <w:caps w:val="0"/>
          <w:color w:val="auto"/>
          <w:spacing w:val="0"/>
          <w:sz w:val="21"/>
          <w:szCs w:val="21"/>
          <w:highlight w:val="none"/>
          <w:shd w:val="clear" w:color="auto" w:fill="FFFFFF"/>
        </w:rPr>
        <w:t>报价有规定的，从其规定。</w:t>
      </w:r>
    </w:p>
    <w:p w14:paraId="6E2A1A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5" w:leftChars="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rPr>
        <w:t xml:space="preserve"> </w:t>
      </w:r>
      <w:r>
        <w:rPr>
          <w:rFonts w:hint="eastAsia" w:ascii="宋体" w:hAnsi="宋体" w:eastAsia="宋体" w:cs="宋体"/>
          <w:i w:val="0"/>
          <w:iCs w:val="0"/>
          <w:caps w:val="0"/>
          <w:color w:val="auto"/>
          <w:spacing w:val="0"/>
          <w:sz w:val="21"/>
          <w:szCs w:val="21"/>
          <w:highlight w:val="none"/>
          <w:shd w:val="clear" w:color="auto" w:fill="FFFFFF"/>
          <w:lang w:val="en-US" w:eastAsia="zh-CN"/>
        </w:rPr>
        <w:t xml:space="preserve">  5.13</w:t>
      </w:r>
      <w:r>
        <w:rPr>
          <w:rFonts w:hint="eastAsia" w:ascii="宋体" w:hAnsi="宋体" w:eastAsia="宋体" w:cs="宋体"/>
          <w:i w:val="0"/>
          <w:iCs w:val="0"/>
          <w:caps w:val="0"/>
          <w:color w:val="auto"/>
          <w:spacing w:val="0"/>
          <w:sz w:val="21"/>
          <w:szCs w:val="21"/>
          <w:highlight w:val="none"/>
          <w:shd w:val="clear" w:color="auto" w:fill="FFFFFF"/>
          <w:lang w:eastAsia="zh-CN"/>
        </w:rPr>
        <w:t>磋商小组</w:t>
      </w:r>
      <w:r>
        <w:rPr>
          <w:rFonts w:hint="eastAsia" w:ascii="宋体" w:hAnsi="宋体" w:eastAsia="宋体" w:cs="宋体"/>
          <w:i w:val="0"/>
          <w:iCs w:val="0"/>
          <w:caps w:val="0"/>
          <w:color w:val="auto"/>
          <w:spacing w:val="0"/>
          <w:sz w:val="21"/>
          <w:szCs w:val="21"/>
          <w:highlight w:val="none"/>
          <w:shd w:val="clear" w:color="auto" w:fill="FFFFFF"/>
        </w:rPr>
        <w:t>启动异常低价</w:t>
      </w:r>
      <w:r>
        <w:rPr>
          <w:rFonts w:hint="eastAsia" w:ascii="宋体" w:hAnsi="宋体" w:eastAsia="宋体" w:cs="宋体"/>
          <w:i w:val="0"/>
          <w:iCs w:val="0"/>
          <w:caps w:val="0"/>
          <w:color w:val="auto"/>
          <w:spacing w:val="0"/>
          <w:sz w:val="21"/>
          <w:szCs w:val="21"/>
          <w:highlight w:val="none"/>
          <w:shd w:val="clear" w:color="auto" w:fill="FFFFFF"/>
          <w:lang w:val="en-US" w:eastAsia="zh-CN"/>
        </w:rPr>
        <w:t>响应</w:t>
      </w:r>
      <w:r>
        <w:rPr>
          <w:rFonts w:hint="eastAsia" w:ascii="宋体" w:hAnsi="宋体" w:eastAsia="宋体" w:cs="宋体"/>
          <w:i w:val="0"/>
          <w:iCs w:val="0"/>
          <w:caps w:val="0"/>
          <w:color w:val="auto"/>
          <w:spacing w:val="0"/>
          <w:sz w:val="21"/>
          <w:szCs w:val="21"/>
          <w:highlight w:val="none"/>
          <w:shd w:val="clear" w:color="auto" w:fill="FFFFFF"/>
        </w:rPr>
        <w:t>审查后，属于上述A项至D项情形的，应当要求相关</w:t>
      </w:r>
      <w:r>
        <w:rPr>
          <w:rFonts w:hint="eastAsia" w:ascii="宋体" w:hAnsi="宋体" w:eastAsia="宋体" w:cs="宋体"/>
          <w:i w:val="0"/>
          <w:iCs w:val="0"/>
          <w:caps w:val="0"/>
          <w:color w:val="auto"/>
          <w:spacing w:val="0"/>
          <w:sz w:val="21"/>
          <w:szCs w:val="21"/>
          <w:highlight w:val="none"/>
          <w:shd w:val="clear" w:color="auto" w:fill="FFFFFF"/>
          <w:lang w:eastAsia="zh-CN"/>
        </w:rPr>
        <w:t>供应商</w:t>
      </w:r>
      <w:r>
        <w:rPr>
          <w:rFonts w:hint="eastAsia" w:ascii="宋体" w:hAnsi="宋体" w:eastAsia="宋体" w:cs="宋体"/>
          <w:i w:val="0"/>
          <w:iCs w:val="0"/>
          <w:caps w:val="0"/>
          <w:color w:val="auto"/>
          <w:spacing w:val="0"/>
          <w:sz w:val="21"/>
          <w:szCs w:val="21"/>
          <w:highlight w:val="none"/>
          <w:shd w:val="clear" w:color="auto" w:fill="FFFFFF"/>
        </w:rPr>
        <w:t>在</w:t>
      </w:r>
      <w:r>
        <w:rPr>
          <w:rFonts w:hint="eastAsia" w:ascii="宋体" w:hAnsi="宋体" w:eastAsia="宋体" w:cs="宋体"/>
          <w:i w:val="0"/>
          <w:iCs w:val="0"/>
          <w:caps w:val="0"/>
          <w:color w:val="auto"/>
          <w:spacing w:val="0"/>
          <w:sz w:val="21"/>
          <w:szCs w:val="21"/>
          <w:highlight w:val="none"/>
          <w:shd w:val="clear" w:color="auto" w:fill="FFFFFF"/>
          <w:lang w:eastAsia="zh-CN"/>
        </w:rPr>
        <w:t>评审</w:t>
      </w:r>
      <w:r>
        <w:rPr>
          <w:rFonts w:hint="eastAsia" w:ascii="宋体" w:hAnsi="宋体" w:eastAsia="宋体" w:cs="宋体"/>
          <w:i w:val="0"/>
          <w:iCs w:val="0"/>
          <w:caps w:val="0"/>
          <w:color w:val="auto"/>
          <w:spacing w:val="0"/>
          <w:sz w:val="21"/>
          <w:szCs w:val="21"/>
          <w:highlight w:val="none"/>
          <w:shd w:val="clear" w:color="auto" w:fill="FFFFFF"/>
        </w:rPr>
        <w:t>现场合理的时间内对</w:t>
      </w:r>
      <w:r>
        <w:rPr>
          <w:rFonts w:hint="eastAsia" w:ascii="宋体" w:hAnsi="宋体" w:eastAsia="宋体" w:cs="宋体"/>
          <w:i w:val="0"/>
          <w:iCs w:val="0"/>
          <w:caps w:val="0"/>
          <w:color w:val="auto"/>
          <w:spacing w:val="0"/>
          <w:sz w:val="21"/>
          <w:szCs w:val="21"/>
          <w:highlight w:val="none"/>
          <w:shd w:val="clear" w:color="auto" w:fill="FFFFFF"/>
          <w:lang w:eastAsia="zh-CN"/>
        </w:rPr>
        <w:t>响应</w:t>
      </w:r>
      <w:r>
        <w:rPr>
          <w:rFonts w:hint="eastAsia" w:ascii="宋体" w:hAnsi="宋体" w:eastAsia="宋体" w:cs="宋体"/>
          <w:i w:val="0"/>
          <w:iCs w:val="0"/>
          <w:caps w:val="0"/>
          <w:color w:val="auto"/>
          <w:spacing w:val="0"/>
          <w:sz w:val="21"/>
          <w:szCs w:val="21"/>
          <w:highlight w:val="none"/>
          <w:shd w:val="clear" w:color="auto" w:fill="FFFFFF"/>
        </w:rPr>
        <w:t>价格作出解释，提供项目具体成本测算等与报价合理性相关的书面说明及必要的证明材料，包括但不限于原材料成本、人工成本、制造费用等，给予相关</w:t>
      </w:r>
      <w:r>
        <w:rPr>
          <w:rFonts w:hint="eastAsia" w:ascii="宋体" w:hAnsi="宋体" w:eastAsia="宋体" w:cs="宋体"/>
          <w:i w:val="0"/>
          <w:iCs w:val="0"/>
          <w:caps w:val="0"/>
          <w:color w:val="auto"/>
          <w:spacing w:val="0"/>
          <w:sz w:val="21"/>
          <w:szCs w:val="21"/>
          <w:highlight w:val="none"/>
          <w:shd w:val="clear" w:color="auto" w:fill="FFFFFF"/>
          <w:lang w:eastAsia="zh-CN"/>
        </w:rPr>
        <w:t>供应商</w:t>
      </w:r>
      <w:r>
        <w:rPr>
          <w:rFonts w:hint="eastAsia" w:ascii="宋体" w:hAnsi="宋体" w:eastAsia="宋体" w:cs="宋体"/>
          <w:i w:val="0"/>
          <w:iCs w:val="0"/>
          <w:caps w:val="0"/>
          <w:color w:val="auto"/>
          <w:spacing w:val="0"/>
          <w:sz w:val="21"/>
          <w:szCs w:val="21"/>
          <w:highlight w:val="none"/>
          <w:shd w:val="clear" w:color="auto" w:fill="FFFFFF"/>
        </w:rPr>
        <w:t>的合理时间一般不少于30分钟。其中，属于上述C项情形，</w:t>
      </w:r>
      <w:r>
        <w:rPr>
          <w:rFonts w:hint="eastAsia" w:ascii="宋体" w:hAnsi="宋体" w:eastAsia="宋体" w:cs="宋体"/>
          <w:i w:val="0"/>
          <w:iCs w:val="0"/>
          <w:caps w:val="0"/>
          <w:color w:val="auto"/>
          <w:spacing w:val="0"/>
          <w:sz w:val="21"/>
          <w:szCs w:val="21"/>
          <w:highlight w:val="none"/>
          <w:shd w:val="clear" w:color="auto" w:fill="FFFFFF"/>
          <w:lang w:eastAsia="zh-CN"/>
        </w:rPr>
        <w:t>供应商</w:t>
      </w:r>
      <w:r>
        <w:rPr>
          <w:rFonts w:hint="eastAsia" w:ascii="宋体" w:hAnsi="宋体" w:eastAsia="宋体" w:cs="宋体"/>
          <w:i w:val="0"/>
          <w:iCs w:val="0"/>
          <w:caps w:val="0"/>
          <w:color w:val="auto"/>
          <w:spacing w:val="0"/>
          <w:sz w:val="21"/>
          <w:szCs w:val="21"/>
          <w:highlight w:val="none"/>
          <w:shd w:val="clear" w:color="auto" w:fill="FFFFFF"/>
        </w:rPr>
        <w:t>已随</w:t>
      </w:r>
      <w:r>
        <w:rPr>
          <w:rFonts w:hint="eastAsia" w:ascii="宋体" w:hAnsi="宋体" w:eastAsia="宋体" w:cs="宋体"/>
          <w:i w:val="0"/>
          <w:iCs w:val="0"/>
          <w:caps w:val="0"/>
          <w:color w:val="auto"/>
          <w:spacing w:val="0"/>
          <w:sz w:val="21"/>
          <w:szCs w:val="21"/>
          <w:highlight w:val="none"/>
          <w:shd w:val="clear" w:color="auto" w:fill="FFFFFF"/>
          <w:lang w:eastAsia="zh-CN"/>
        </w:rPr>
        <w:t>响应文件</w:t>
      </w:r>
      <w:r>
        <w:rPr>
          <w:rFonts w:hint="eastAsia" w:ascii="宋体" w:hAnsi="宋体" w:eastAsia="宋体" w:cs="宋体"/>
          <w:i w:val="0"/>
          <w:iCs w:val="0"/>
          <w:caps w:val="0"/>
          <w:color w:val="auto"/>
          <w:spacing w:val="0"/>
          <w:sz w:val="21"/>
          <w:szCs w:val="21"/>
          <w:highlight w:val="none"/>
          <w:shd w:val="clear" w:color="auto" w:fill="FFFFFF"/>
        </w:rPr>
        <w:t>一并提交相关书面说明及必要的证明材料的，在</w:t>
      </w:r>
      <w:r>
        <w:rPr>
          <w:rFonts w:hint="eastAsia" w:ascii="宋体" w:hAnsi="宋体" w:eastAsia="宋体" w:cs="宋体"/>
          <w:i w:val="0"/>
          <w:iCs w:val="0"/>
          <w:caps w:val="0"/>
          <w:color w:val="auto"/>
          <w:spacing w:val="0"/>
          <w:sz w:val="21"/>
          <w:szCs w:val="21"/>
          <w:highlight w:val="none"/>
          <w:shd w:val="clear" w:color="auto" w:fill="FFFFFF"/>
          <w:lang w:eastAsia="zh-CN"/>
        </w:rPr>
        <w:t>评审</w:t>
      </w:r>
      <w:r>
        <w:rPr>
          <w:rFonts w:hint="eastAsia" w:ascii="宋体" w:hAnsi="宋体" w:eastAsia="宋体" w:cs="宋体"/>
          <w:i w:val="0"/>
          <w:iCs w:val="0"/>
          <w:caps w:val="0"/>
          <w:color w:val="auto"/>
          <w:spacing w:val="0"/>
          <w:sz w:val="21"/>
          <w:szCs w:val="21"/>
          <w:highlight w:val="none"/>
          <w:shd w:val="clear" w:color="auto" w:fill="FFFFFF"/>
        </w:rPr>
        <w:t>现场可不再重复提交。</w:t>
      </w:r>
    </w:p>
    <w:p w14:paraId="4C3E34E0">
      <w:pPr>
        <w:numPr>
          <w:ilvl w:val="0"/>
          <w:numId w:val="0"/>
        </w:numPr>
        <w:snapToGrid/>
        <w:spacing w:line="360" w:lineRule="auto"/>
        <w:ind w:left="105"/>
        <w:rPr>
          <w:rFonts w:hint="eastAsia" w:ascii="宋体" w:hAnsi="宋体" w:eastAsia="宋体" w:cs="宋体"/>
          <w:b/>
          <w:bCs/>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rPr>
        <w:t xml:space="preserve"> </w:t>
      </w:r>
      <w:r>
        <w:rPr>
          <w:rFonts w:hint="eastAsia" w:ascii="宋体" w:hAnsi="宋体" w:eastAsia="宋体" w:cs="宋体"/>
          <w:i w:val="0"/>
          <w:iCs w:val="0"/>
          <w:caps w:val="0"/>
          <w:color w:val="auto"/>
          <w:spacing w:val="0"/>
          <w:sz w:val="21"/>
          <w:szCs w:val="21"/>
          <w:highlight w:val="none"/>
          <w:shd w:val="clear" w:color="auto" w:fill="FFFFFF"/>
          <w:lang w:val="en-US" w:eastAsia="zh-CN"/>
        </w:rPr>
        <w:t xml:space="preserve">  5.14</w:t>
      </w:r>
      <w:r>
        <w:rPr>
          <w:rFonts w:hint="eastAsia" w:ascii="宋体" w:hAnsi="宋体" w:eastAsia="宋体" w:cs="宋体"/>
          <w:i w:val="0"/>
          <w:iCs w:val="0"/>
          <w:caps w:val="0"/>
          <w:color w:val="auto"/>
          <w:spacing w:val="0"/>
          <w:sz w:val="21"/>
          <w:szCs w:val="21"/>
          <w:highlight w:val="none"/>
          <w:shd w:val="clear" w:color="auto" w:fill="FFFFFF"/>
          <w:lang w:eastAsia="zh-CN"/>
        </w:rPr>
        <w:t>磋商小组</w:t>
      </w:r>
      <w:r>
        <w:rPr>
          <w:rFonts w:hint="eastAsia" w:ascii="宋体" w:hAnsi="宋体" w:eastAsia="宋体" w:cs="宋体"/>
          <w:i w:val="0"/>
          <w:iCs w:val="0"/>
          <w:caps w:val="0"/>
          <w:color w:val="auto"/>
          <w:spacing w:val="0"/>
          <w:sz w:val="21"/>
          <w:szCs w:val="21"/>
          <w:highlight w:val="none"/>
          <w:shd w:val="clear" w:color="auto" w:fill="FFFFFF"/>
        </w:rPr>
        <w:t>依据专业经验，参考同类项目中标（成交）价格、类似产品市场价格水平、行业人工费用标准、国家有关部门指导行业协会发布的行业平均成本等情况，对报价合理性进行判断。</w:t>
      </w:r>
      <w:r>
        <w:rPr>
          <w:rFonts w:hint="eastAsia" w:ascii="宋体" w:hAnsi="宋体" w:eastAsia="宋体" w:cs="宋体"/>
          <w:b/>
          <w:bCs/>
          <w:i w:val="0"/>
          <w:iCs w:val="0"/>
          <w:caps w:val="0"/>
          <w:color w:val="auto"/>
          <w:spacing w:val="0"/>
          <w:sz w:val="21"/>
          <w:szCs w:val="21"/>
          <w:highlight w:val="none"/>
          <w:shd w:val="clear" w:color="auto" w:fill="FFFFFF"/>
          <w:lang w:eastAsia="zh-CN"/>
        </w:rPr>
        <w:t>供应商</w:t>
      </w:r>
      <w:r>
        <w:rPr>
          <w:rFonts w:hint="eastAsia" w:ascii="宋体" w:hAnsi="宋体" w:eastAsia="宋体" w:cs="宋体"/>
          <w:b/>
          <w:bCs/>
          <w:i w:val="0"/>
          <w:iCs w:val="0"/>
          <w:caps w:val="0"/>
          <w:color w:val="auto"/>
          <w:spacing w:val="0"/>
          <w:sz w:val="21"/>
          <w:szCs w:val="21"/>
          <w:highlight w:val="none"/>
          <w:shd w:val="clear" w:color="auto" w:fill="FFFFFF"/>
        </w:rPr>
        <w:t>不能提供书面说明、证明材料，或者提供的书面说明、证明材料不能证明其报价合理性的，</w:t>
      </w:r>
      <w:r>
        <w:rPr>
          <w:rFonts w:hint="eastAsia" w:ascii="宋体" w:hAnsi="宋体" w:eastAsia="宋体" w:cs="宋体"/>
          <w:b/>
          <w:bCs/>
          <w:i w:val="0"/>
          <w:iCs w:val="0"/>
          <w:caps w:val="0"/>
          <w:color w:val="auto"/>
          <w:spacing w:val="0"/>
          <w:sz w:val="21"/>
          <w:szCs w:val="21"/>
          <w:highlight w:val="none"/>
          <w:shd w:val="clear" w:color="auto" w:fill="FFFFFF"/>
          <w:lang w:eastAsia="zh-CN"/>
        </w:rPr>
        <w:t>磋商小组</w:t>
      </w:r>
      <w:r>
        <w:rPr>
          <w:rFonts w:hint="eastAsia" w:ascii="宋体" w:hAnsi="宋体" w:eastAsia="宋体" w:cs="宋体"/>
          <w:b/>
          <w:bCs/>
          <w:i w:val="0"/>
          <w:iCs w:val="0"/>
          <w:caps w:val="0"/>
          <w:color w:val="auto"/>
          <w:spacing w:val="0"/>
          <w:sz w:val="21"/>
          <w:szCs w:val="21"/>
          <w:highlight w:val="none"/>
          <w:shd w:val="clear" w:color="auto" w:fill="FFFFFF"/>
        </w:rPr>
        <w:t>应当将其作为无效</w:t>
      </w:r>
      <w:r>
        <w:rPr>
          <w:rFonts w:hint="eastAsia" w:ascii="宋体" w:hAnsi="宋体" w:eastAsia="宋体" w:cs="宋体"/>
          <w:b/>
          <w:bCs/>
          <w:i w:val="0"/>
          <w:iCs w:val="0"/>
          <w:caps w:val="0"/>
          <w:color w:val="auto"/>
          <w:spacing w:val="0"/>
          <w:sz w:val="21"/>
          <w:szCs w:val="21"/>
          <w:highlight w:val="none"/>
          <w:shd w:val="clear" w:color="auto" w:fill="FFFFFF"/>
          <w:lang w:eastAsia="zh-CN"/>
        </w:rPr>
        <w:t>响应</w:t>
      </w:r>
      <w:r>
        <w:rPr>
          <w:rFonts w:hint="eastAsia" w:ascii="宋体" w:hAnsi="宋体" w:eastAsia="宋体" w:cs="宋体"/>
          <w:b/>
          <w:bCs/>
          <w:i w:val="0"/>
          <w:iCs w:val="0"/>
          <w:caps w:val="0"/>
          <w:color w:val="auto"/>
          <w:spacing w:val="0"/>
          <w:sz w:val="21"/>
          <w:szCs w:val="21"/>
          <w:highlight w:val="none"/>
          <w:shd w:val="clear" w:color="auto" w:fill="FFFFFF"/>
        </w:rPr>
        <w:t>处理。</w:t>
      </w:r>
    </w:p>
    <w:p w14:paraId="6688E061">
      <w:pPr>
        <w:numPr>
          <w:ilvl w:val="0"/>
          <w:numId w:val="0"/>
        </w:numPr>
        <w:snapToGrid/>
        <w:spacing w:line="360" w:lineRule="auto"/>
        <w:ind w:left="105"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56C122B3">
      <w:pPr>
        <w:numPr>
          <w:ilvl w:val="0"/>
          <w:numId w:val="0"/>
        </w:numPr>
        <w:snapToGrid/>
        <w:spacing w:line="360" w:lineRule="auto"/>
        <w:ind w:left="105"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74FEF9DE">
      <w:pPr>
        <w:numPr>
          <w:ilvl w:val="0"/>
          <w:numId w:val="0"/>
        </w:numPr>
        <w:snapToGrid/>
        <w:spacing w:line="360" w:lineRule="auto"/>
        <w:ind w:left="105"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628C5B90">
      <w:pPr>
        <w:numPr>
          <w:ilvl w:val="0"/>
          <w:numId w:val="0"/>
        </w:numPr>
        <w:snapToGrid/>
        <w:spacing w:line="360" w:lineRule="auto"/>
        <w:ind w:left="105"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6C6AF04B">
      <w:pPr>
        <w:numPr>
          <w:ilvl w:val="0"/>
          <w:numId w:val="0"/>
        </w:numPr>
        <w:snapToGrid/>
        <w:spacing w:line="360" w:lineRule="auto"/>
        <w:ind w:left="105"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磋商小组成员要根据政府采购法律法规和采购文件所载明的评审方法、标准进行评审。对供应商的价格分等客观评分项的评分应当一致，对其他需要借助专业知识评判的主观评分项，应当严格按照评分细则公正评分。</w:t>
      </w:r>
    </w:p>
    <w:p w14:paraId="64E195C6">
      <w:pPr>
        <w:numPr>
          <w:ilvl w:val="0"/>
          <w:numId w:val="0"/>
        </w:numPr>
        <w:snapToGrid/>
        <w:spacing w:line="360" w:lineRule="auto"/>
        <w:ind w:left="105"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）磋商小组按照磋商文件中规定的评审标准计算各供应商的报价得分。项目评审过程中，不得去掉最后报价中的最高报价和最低报价。</w:t>
      </w:r>
    </w:p>
    <w:p w14:paraId="48EA8654">
      <w:pPr>
        <w:numPr>
          <w:ilvl w:val="0"/>
          <w:numId w:val="0"/>
        </w:numPr>
        <w:snapToGrid/>
        <w:spacing w:line="360" w:lineRule="auto"/>
        <w:ind w:left="105"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）各供应商的得分为磋商小组所有成员的有效评分的算术平均数。</w:t>
      </w:r>
    </w:p>
    <w:p w14:paraId="4FFE1660">
      <w:pPr>
        <w:numPr>
          <w:ilvl w:val="0"/>
          <w:numId w:val="0"/>
        </w:numPr>
        <w:snapToGrid/>
        <w:spacing w:line="360" w:lineRule="auto"/>
        <w:ind w:left="105"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w:t>
      </w:r>
      <w:r>
        <w:rPr>
          <w:rFonts w:hint="eastAsia" w:ascii="宋体" w:hAnsi="宋体" w:eastAsia="宋体" w:cs="宋体"/>
          <w:color w:val="auto"/>
          <w:szCs w:val="21"/>
          <w:highlight w:val="none"/>
          <w:lang w:eastAsia="zh-CN"/>
        </w:rPr>
        <w:t>评审价</w:t>
      </w:r>
      <w:r>
        <w:rPr>
          <w:rFonts w:hint="eastAsia" w:ascii="宋体" w:hAnsi="宋体" w:eastAsia="宋体" w:cs="宋体"/>
          <w:color w:val="auto"/>
          <w:szCs w:val="21"/>
          <w:highlight w:val="none"/>
        </w:rPr>
        <w:t>为供应商的最后报价进行政策性扣除后的价格，</w:t>
      </w:r>
      <w:r>
        <w:rPr>
          <w:rFonts w:hint="eastAsia" w:ascii="宋体" w:hAnsi="宋体" w:eastAsia="宋体" w:cs="宋体"/>
          <w:color w:val="auto"/>
          <w:szCs w:val="21"/>
          <w:highlight w:val="none"/>
          <w:lang w:eastAsia="zh-CN"/>
        </w:rPr>
        <w:t>评审价</w:t>
      </w:r>
      <w:r>
        <w:rPr>
          <w:rFonts w:hint="eastAsia" w:ascii="宋体" w:hAnsi="宋体" w:eastAsia="宋体" w:cs="宋体"/>
          <w:color w:val="auto"/>
          <w:szCs w:val="21"/>
          <w:highlight w:val="none"/>
        </w:rPr>
        <w:t>只是作为评审时使用。最终成交供应商的成交金额等于最后报价（如有修正，以确认修正后的最后报价为准）。</w:t>
      </w:r>
    </w:p>
    <w:p w14:paraId="1254DAE6">
      <w:pPr>
        <w:numPr>
          <w:ilvl w:val="0"/>
          <w:numId w:val="0"/>
        </w:numPr>
        <w:snapToGrid/>
        <w:spacing w:line="360" w:lineRule="auto"/>
        <w:ind w:left="105"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lang w:val="en-US" w:eastAsia="zh-CN"/>
        </w:rPr>
        <w:t>6.5</w:t>
      </w:r>
      <w:r>
        <w:rPr>
          <w:rFonts w:hint="eastAsia" w:ascii="宋体" w:hAnsi="宋体" w:eastAsia="宋体" w:cs="宋体"/>
          <w:color w:val="auto"/>
          <w:kern w:val="0"/>
          <w:sz w:val="21"/>
          <w:szCs w:val="21"/>
          <w:highlight w:val="none"/>
        </w:rPr>
        <w:t>磋商小组根据综合评分情况，按照评审得分由高到低顺序推荐3名以上成交候选供应商，并编写评审报告。</w:t>
      </w:r>
      <w:r>
        <w:rPr>
          <w:rFonts w:hint="eastAsia" w:ascii="宋体" w:hAnsi="宋体" w:eastAsia="宋体" w:cs="宋体"/>
          <w:color w:val="auto"/>
          <w:kern w:val="0"/>
          <w:szCs w:val="21"/>
          <w:highlight w:val="none"/>
        </w:rPr>
        <w:t>符合本章第</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.3条情形的</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 w:val="21"/>
          <w:szCs w:val="21"/>
          <w:highlight w:val="none"/>
        </w:rPr>
        <w:t>可以推荐2家成交候选供应商。评审得分相同的，按照最后报价由低到高的顺序推荐。评审得分且最后报价相同的，按照技术指标优劣顺序推荐</w:t>
      </w:r>
      <w:r>
        <w:rPr>
          <w:rFonts w:hint="eastAsia" w:ascii="宋体" w:hAnsi="宋体" w:eastAsia="宋体" w:cs="宋体"/>
          <w:color w:val="auto"/>
          <w:kern w:val="0"/>
          <w:szCs w:val="21"/>
          <w:highlight w:val="none"/>
        </w:rPr>
        <w:t>。</w:t>
      </w:r>
    </w:p>
    <w:p w14:paraId="73A98AA7">
      <w:pPr>
        <w:numPr>
          <w:ilvl w:val="0"/>
          <w:numId w:val="0"/>
        </w:numPr>
        <w:snapToGrid/>
        <w:spacing w:line="360" w:lineRule="auto"/>
        <w:ind w:left="105"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7D39BD3">
      <w:pPr>
        <w:numPr>
          <w:ilvl w:val="0"/>
          <w:numId w:val="0"/>
        </w:numPr>
        <w:snapToGrid/>
        <w:spacing w:line="360" w:lineRule="auto"/>
        <w:ind w:left="105"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7.评审标准</w:t>
      </w:r>
    </w:p>
    <w:p w14:paraId="272F5E45">
      <w:pPr>
        <w:numPr>
          <w:ilvl w:val="0"/>
          <w:numId w:val="0"/>
        </w:numPr>
        <w:snapToGrid/>
        <w:spacing w:line="360" w:lineRule="auto"/>
        <w:ind w:left="105" w:firstLine="420" w:firstLineChars="200"/>
        <w:rPr>
          <w:rFonts w:hint="eastAsia" w:ascii="宋体" w:hAnsi="宋体" w:eastAsia="宋体" w:cs="宋体"/>
          <w:bCs/>
          <w:color w:val="auto"/>
          <w:szCs w:val="21"/>
          <w:highlight w:val="none"/>
        </w:rPr>
      </w:pPr>
      <w:r>
        <w:rPr>
          <w:rFonts w:hint="eastAsia" w:ascii="宋体" w:hAnsi="宋体" w:eastAsia="宋体" w:cs="宋体"/>
          <w:b w:val="0"/>
          <w:bCs/>
          <w:color w:val="auto"/>
          <w:highlight w:val="none"/>
        </w:rPr>
        <w:t>7.</w:t>
      </w:r>
      <w:r>
        <w:rPr>
          <w:rFonts w:hint="eastAsia" w:ascii="宋体" w:hAnsi="宋体" w:eastAsia="宋体" w:cs="宋体"/>
          <w:bCs/>
          <w:color w:val="auto"/>
          <w:szCs w:val="21"/>
          <w:highlight w:val="none"/>
        </w:rPr>
        <w:t>1评审依据：磋商小组将以响应文件为评审依据，对供应商的报价、技术、商务等方面内容按百分制打分。（计分方法按四舍五入取至百分位）</w:t>
      </w:r>
    </w:p>
    <w:tbl>
      <w:tblPr>
        <w:tblStyle w:val="28"/>
        <w:tblW w:w="0" w:type="auto"/>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1086"/>
        <w:gridCol w:w="6973"/>
        <w:gridCol w:w="957"/>
      </w:tblGrid>
      <w:tr w14:paraId="454F2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583" w:type="dxa"/>
            <w:noWrap w:val="0"/>
            <w:vAlign w:val="center"/>
          </w:tcPr>
          <w:p w14:paraId="361DC18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086" w:type="dxa"/>
            <w:noWrap w:val="0"/>
            <w:vAlign w:val="center"/>
          </w:tcPr>
          <w:p w14:paraId="3A46613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评分类型</w:t>
            </w:r>
          </w:p>
        </w:tc>
        <w:tc>
          <w:tcPr>
            <w:tcW w:w="6973" w:type="dxa"/>
            <w:noWrap w:val="0"/>
            <w:vAlign w:val="center"/>
          </w:tcPr>
          <w:p w14:paraId="70389EB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评分标准</w:t>
            </w:r>
          </w:p>
        </w:tc>
        <w:tc>
          <w:tcPr>
            <w:tcW w:w="957" w:type="dxa"/>
            <w:noWrap w:val="0"/>
            <w:vAlign w:val="center"/>
          </w:tcPr>
          <w:p w14:paraId="13F300C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分值</w:t>
            </w:r>
          </w:p>
        </w:tc>
      </w:tr>
      <w:tr w14:paraId="27239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3" w:type="dxa"/>
            <w:noWrap w:val="0"/>
            <w:vAlign w:val="center"/>
          </w:tcPr>
          <w:p w14:paraId="650BAE0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1086" w:type="dxa"/>
            <w:noWrap w:val="0"/>
            <w:vAlign w:val="center"/>
          </w:tcPr>
          <w:p w14:paraId="6E61770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报价</w:t>
            </w:r>
          </w:p>
        </w:tc>
        <w:tc>
          <w:tcPr>
            <w:tcW w:w="6973" w:type="dxa"/>
            <w:noWrap w:val="0"/>
            <w:vAlign w:val="top"/>
          </w:tcPr>
          <w:p w14:paraId="20EF6213">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评审价</w:t>
            </w:r>
            <w:r>
              <w:rPr>
                <w:rFonts w:hint="eastAsia" w:ascii="宋体" w:hAnsi="宋体" w:eastAsia="宋体" w:cs="宋体"/>
                <w:color w:val="auto"/>
                <w:highlight w:val="none"/>
              </w:rPr>
              <w:t>为供应商的最后报价进行政策性扣除后的价格，</w:t>
            </w:r>
            <w:r>
              <w:rPr>
                <w:rFonts w:hint="eastAsia" w:ascii="宋体" w:hAnsi="宋体" w:eastAsia="宋体" w:cs="宋体"/>
                <w:color w:val="auto"/>
                <w:highlight w:val="none"/>
                <w:lang w:eastAsia="zh-CN"/>
              </w:rPr>
              <w:t>评审价</w:t>
            </w:r>
            <w:r>
              <w:rPr>
                <w:rFonts w:hint="eastAsia" w:ascii="宋体" w:hAnsi="宋体" w:eastAsia="宋体" w:cs="宋体"/>
                <w:color w:val="auto"/>
                <w:highlight w:val="none"/>
              </w:rPr>
              <w:t>只是作为评审时使用。最终成交供应商的成交金额等于最后报价（如有修正，以确认修正后的最后报价为准）。</w:t>
            </w:r>
          </w:p>
          <w:p w14:paraId="5B33961A">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val="0"/>
                <w:color w:val="auto"/>
                <w:szCs w:val="24"/>
                <w:highlight w:val="none"/>
              </w:rPr>
            </w:pPr>
            <w:r>
              <w:rPr>
                <w:rFonts w:hint="eastAsia" w:ascii="宋体" w:hAnsi="宋体" w:eastAsia="宋体" w:cs="宋体"/>
                <w:bCs w:val="0"/>
                <w:color w:val="auto"/>
                <w:szCs w:val="24"/>
                <w:highlight w:val="none"/>
                <w:lang w:val="en-US" w:eastAsia="zh-CN"/>
              </w:rPr>
              <w:t>1.2</w:t>
            </w:r>
            <w:r>
              <w:rPr>
                <w:rFonts w:hint="eastAsia" w:ascii="宋体" w:hAnsi="宋体" w:eastAsia="宋体" w:cs="宋体"/>
                <w:bCs w:val="0"/>
                <w:color w:val="auto"/>
                <w:szCs w:val="24"/>
                <w:highlight w:val="none"/>
              </w:rPr>
              <w:t>政策性扣除计算方法。</w:t>
            </w:r>
          </w:p>
          <w:p w14:paraId="580F031B">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val="0"/>
                <w:color w:val="auto"/>
                <w:szCs w:val="24"/>
                <w:highlight w:val="none"/>
                <w:lang w:val="en-US" w:eastAsia="zh-CN"/>
              </w:rPr>
            </w:pPr>
            <w:r>
              <w:rPr>
                <w:rFonts w:hint="eastAsia" w:ascii="宋体" w:hAnsi="宋体" w:eastAsia="宋体" w:cs="宋体"/>
                <w:b w:val="0"/>
                <w:bCs w:val="0"/>
                <w:color w:val="auto"/>
                <w:szCs w:val="24"/>
                <w:highlight w:val="none"/>
                <w:lang w:val="en-US" w:eastAsia="zh-CN"/>
              </w:rPr>
              <w:t>1.2.1对小微企业的</w:t>
            </w:r>
            <w:r>
              <w:rPr>
                <w:rFonts w:hint="eastAsia" w:ascii="宋体" w:hAnsi="宋体" w:eastAsia="宋体" w:cs="宋体"/>
                <w:b w:val="0"/>
                <w:bCs w:val="0"/>
                <w:color w:val="auto"/>
                <w:szCs w:val="24"/>
                <w:highlight w:val="none"/>
              </w:rPr>
              <w:t>价格评审</w:t>
            </w:r>
            <w:r>
              <w:rPr>
                <w:rFonts w:hint="eastAsia" w:ascii="宋体" w:hAnsi="宋体" w:eastAsia="宋体" w:cs="宋体"/>
                <w:b w:val="0"/>
                <w:bCs w:val="0"/>
                <w:color w:val="auto"/>
                <w:szCs w:val="24"/>
                <w:highlight w:val="none"/>
                <w:lang w:eastAsia="zh-CN"/>
              </w:rPr>
              <w:t>优惠</w:t>
            </w:r>
          </w:p>
          <w:p w14:paraId="0CAEC21C">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val="0"/>
                <w:color w:val="auto"/>
                <w:szCs w:val="24"/>
                <w:highlight w:val="none"/>
              </w:rPr>
            </w:pPr>
            <w:r>
              <w:rPr>
                <w:rFonts w:hint="eastAsia" w:ascii="宋体" w:hAnsi="宋体" w:eastAsia="宋体" w:cs="宋体"/>
                <w:bCs w:val="0"/>
                <w:color w:val="auto"/>
                <w:szCs w:val="24"/>
                <w:highlight w:val="none"/>
                <w:lang w:eastAsia="zh-CN"/>
              </w:rPr>
              <w:t>□适用于非专门面向中小企业采购项目</w:t>
            </w:r>
          </w:p>
          <w:p w14:paraId="559C327E">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val="0"/>
                <w:color w:val="auto"/>
                <w:szCs w:val="24"/>
                <w:highlight w:val="none"/>
                <w:lang w:eastAsia="zh-CN"/>
              </w:rPr>
            </w:pPr>
            <w:r>
              <w:rPr>
                <w:rFonts w:hint="eastAsia" w:ascii="宋体" w:hAnsi="宋体" w:eastAsia="宋体" w:cs="宋体"/>
                <w:bCs/>
                <w:color w:val="auto"/>
                <w:szCs w:val="21"/>
                <w:highlight w:val="none"/>
                <w:lang w:eastAsia="zh-CN"/>
              </w:rPr>
              <w:t>供应商</w:t>
            </w:r>
            <w:r>
              <w:rPr>
                <w:rFonts w:hint="eastAsia" w:ascii="宋体" w:hAnsi="宋体" w:eastAsia="宋体" w:cs="宋体"/>
                <w:color w:val="auto"/>
                <w:szCs w:val="21"/>
                <w:highlight w:val="none"/>
              </w:rPr>
              <w:t>被评定为</w:t>
            </w:r>
            <w:r>
              <w:rPr>
                <w:rFonts w:hint="eastAsia" w:ascii="宋体" w:hAnsi="宋体" w:eastAsia="宋体" w:cs="宋体"/>
                <w:bCs/>
                <w:color w:val="auto"/>
                <w:szCs w:val="21"/>
                <w:highlight w:val="none"/>
              </w:rPr>
              <w:t>监狱企业或者残疾人福利性单位或者</w:t>
            </w:r>
            <w:r>
              <w:rPr>
                <w:rFonts w:hint="eastAsia" w:ascii="宋体" w:hAnsi="宋体" w:eastAsia="宋体" w:cs="宋体"/>
                <w:bCs/>
                <w:color w:val="auto"/>
                <w:szCs w:val="21"/>
                <w:highlight w:val="none"/>
                <w:lang w:eastAsia="zh-CN"/>
              </w:rPr>
              <w:t>其</w:t>
            </w:r>
            <w:r>
              <w:rPr>
                <w:rFonts w:hint="eastAsia" w:ascii="宋体" w:hAnsi="宋体" w:eastAsia="宋体" w:cs="宋体"/>
                <w:color w:val="auto"/>
                <w:sz w:val="21"/>
                <w:szCs w:val="21"/>
                <w:highlight w:val="none"/>
                <w:lang w:val="en-US" w:eastAsia="zh-CN"/>
              </w:rPr>
              <w:t>服务全部由符合政策要求的小型、微型企业承接的</w:t>
            </w:r>
            <w:r>
              <w:rPr>
                <w:rFonts w:hint="eastAsia" w:ascii="宋体" w:hAnsi="宋体" w:eastAsia="宋体" w:cs="宋体"/>
                <w:color w:val="auto"/>
                <w:szCs w:val="21"/>
                <w:highlight w:val="none"/>
              </w:rPr>
              <w:t>，</w:t>
            </w:r>
            <w:r>
              <w:rPr>
                <w:rFonts w:hint="eastAsia" w:ascii="宋体" w:hAnsi="宋体" w:eastAsia="宋体" w:cs="宋体"/>
                <w:bCs w:val="0"/>
                <w:color w:val="auto"/>
                <w:szCs w:val="24"/>
                <w:highlight w:val="none"/>
              </w:rPr>
              <w:t>该</w:t>
            </w:r>
            <w:r>
              <w:rPr>
                <w:rFonts w:hint="eastAsia" w:ascii="宋体" w:hAnsi="宋体" w:eastAsia="宋体" w:cs="宋体"/>
                <w:bCs w:val="0"/>
                <w:color w:val="auto"/>
                <w:szCs w:val="24"/>
                <w:highlight w:val="none"/>
                <w:lang w:eastAsia="zh-CN"/>
              </w:rPr>
              <w:t>供应商</w:t>
            </w:r>
            <w:r>
              <w:rPr>
                <w:rFonts w:hint="eastAsia" w:ascii="宋体" w:hAnsi="宋体" w:eastAsia="宋体" w:cs="宋体"/>
                <w:bCs w:val="0"/>
                <w:color w:val="auto"/>
                <w:szCs w:val="24"/>
                <w:highlight w:val="none"/>
              </w:rPr>
              <w:t>的</w:t>
            </w:r>
            <w:r>
              <w:rPr>
                <w:rFonts w:hint="eastAsia" w:ascii="宋体" w:hAnsi="宋体" w:eastAsia="宋体" w:cs="宋体"/>
                <w:bCs w:val="0"/>
                <w:color w:val="auto"/>
                <w:szCs w:val="24"/>
                <w:highlight w:val="none"/>
                <w:lang w:eastAsia="zh-CN"/>
              </w:rPr>
              <w:t>最后报价</w:t>
            </w:r>
            <w:r>
              <w:rPr>
                <w:rFonts w:hint="eastAsia" w:ascii="宋体" w:hAnsi="宋体" w:eastAsia="宋体" w:cs="宋体"/>
                <w:bCs w:val="0"/>
                <w:color w:val="auto"/>
                <w:szCs w:val="24"/>
                <w:highlight w:val="none"/>
              </w:rPr>
              <w:t>给予</w:t>
            </w:r>
            <w:r>
              <w:rPr>
                <w:rFonts w:hint="eastAsia" w:ascii="宋体" w:hAnsi="宋体" w:eastAsia="宋体" w:cs="宋体"/>
                <w:bCs w:val="0"/>
                <w:color w:val="auto"/>
                <w:szCs w:val="24"/>
                <w:highlight w:val="none"/>
                <w:lang w:val="en-US" w:eastAsia="zh-CN"/>
              </w:rPr>
              <w:t xml:space="preserve"> </w:t>
            </w:r>
            <w:r>
              <w:rPr>
                <w:rFonts w:hint="eastAsia" w:ascii="宋体" w:hAnsi="宋体" w:eastAsia="宋体" w:cs="宋体"/>
                <w:b w:val="0"/>
                <w:bCs w:val="0"/>
                <w:color w:val="auto"/>
                <w:szCs w:val="24"/>
                <w:highlight w:val="none"/>
                <w:u w:val="none"/>
                <w:lang w:val="en-US" w:eastAsia="zh-CN"/>
              </w:rPr>
              <w:t>10%</w:t>
            </w:r>
            <w:r>
              <w:rPr>
                <w:rFonts w:hint="eastAsia" w:ascii="宋体" w:hAnsi="宋体" w:eastAsia="宋体" w:cs="宋体"/>
                <w:bCs w:val="0"/>
                <w:color w:val="auto"/>
                <w:szCs w:val="24"/>
                <w:highlight w:val="none"/>
              </w:rPr>
              <w:t>的扣除，扣除后的价格为</w:t>
            </w:r>
            <w:r>
              <w:rPr>
                <w:rFonts w:hint="eastAsia" w:ascii="宋体" w:hAnsi="宋体" w:eastAsia="宋体" w:cs="宋体"/>
                <w:bCs w:val="0"/>
                <w:color w:val="auto"/>
                <w:szCs w:val="24"/>
                <w:highlight w:val="none"/>
                <w:lang w:eastAsia="zh-CN"/>
              </w:rPr>
              <w:t>评审价</w:t>
            </w:r>
            <w:r>
              <w:rPr>
                <w:rFonts w:hint="eastAsia" w:ascii="宋体" w:hAnsi="宋体" w:eastAsia="宋体" w:cs="宋体"/>
                <w:bCs w:val="0"/>
                <w:color w:val="auto"/>
                <w:szCs w:val="24"/>
                <w:highlight w:val="none"/>
              </w:rPr>
              <w:t>，即</w:t>
            </w:r>
            <w:r>
              <w:rPr>
                <w:rFonts w:hint="eastAsia" w:ascii="宋体" w:hAnsi="宋体" w:eastAsia="宋体" w:cs="宋体"/>
                <w:bCs w:val="0"/>
                <w:color w:val="auto"/>
                <w:szCs w:val="24"/>
                <w:highlight w:val="none"/>
                <w:lang w:eastAsia="zh-CN"/>
              </w:rPr>
              <w:t>评审价</w:t>
            </w:r>
            <w:r>
              <w:rPr>
                <w:rFonts w:hint="eastAsia" w:ascii="宋体" w:hAnsi="宋体" w:eastAsia="宋体" w:cs="宋体"/>
                <w:bCs w:val="0"/>
                <w:color w:val="auto"/>
                <w:szCs w:val="24"/>
                <w:highlight w:val="none"/>
              </w:rPr>
              <w:t>=</w:t>
            </w:r>
            <w:r>
              <w:rPr>
                <w:rFonts w:hint="eastAsia" w:ascii="宋体" w:hAnsi="宋体" w:eastAsia="宋体" w:cs="宋体"/>
                <w:bCs w:val="0"/>
                <w:color w:val="auto"/>
                <w:szCs w:val="24"/>
                <w:highlight w:val="none"/>
                <w:lang w:eastAsia="zh-CN"/>
              </w:rPr>
              <w:t>最后报价</w:t>
            </w:r>
            <w:r>
              <w:rPr>
                <w:rFonts w:hint="eastAsia" w:ascii="宋体" w:hAnsi="宋体" w:eastAsia="宋体" w:cs="宋体"/>
                <w:bCs w:val="0"/>
                <w:color w:val="auto"/>
                <w:szCs w:val="24"/>
                <w:highlight w:val="none"/>
              </w:rPr>
              <w:t>×（1-</w:t>
            </w:r>
            <w:r>
              <w:rPr>
                <w:rFonts w:hint="eastAsia" w:ascii="宋体" w:hAnsi="宋体" w:eastAsia="宋体" w:cs="宋体"/>
                <w:b w:val="0"/>
                <w:bCs w:val="0"/>
                <w:color w:val="auto"/>
                <w:szCs w:val="24"/>
                <w:highlight w:val="none"/>
                <w:u w:val="none"/>
                <w:lang w:val="en-US" w:eastAsia="zh-CN"/>
              </w:rPr>
              <w:t>10%）</w:t>
            </w:r>
            <w:r>
              <w:rPr>
                <w:rFonts w:hint="eastAsia" w:ascii="宋体" w:hAnsi="宋体" w:eastAsia="宋体" w:cs="宋体"/>
                <w:bCs w:val="0"/>
                <w:color w:val="auto"/>
                <w:szCs w:val="24"/>
                <w:highlight w:val="none"/>
              </w:rPr>
              <w:t>；</w:t>
            </w:r>
            <w:r>
              <w:rPr>
                <w:rFonts w:hint="eastAsia" w:ascii="宋体" w:hAnsi="宋体" w:eastAsia="宋体" w:cs="宋体"/>
                <w:bCs w:val="0"/>
                <w:color w:val="auto"/>
                <w:sz w:val="21"/>
                <w:szCs w:val="24"/>
                <w:highlight w:val="none"/>
              </w:rPr>
              <w:t>接受大中型企业与小微企业组成联合体或者允许大中型企业向一家或者多家小微企业分包的采购项目，对</w:t>
            </w:r>
            <w:r>
              <w:rPr>
                <w:rFonts w:hint="eastAsia" w:ascii="宋体" w:hAnsi="宋体" w:eastAsia="宋体" w:cs="宋体"/>
                <w:bCs w:val="0"/>
                <w:color w:val="auto"/>
                <w:sz w:val="21"/>
                <w:szCs w:val="24"/>
                <w:highlight w:val="none"/>
                <w:lang w:eastAsia="zh-CN"/>
              </w:rPr>
              <w:t>于</w:t>
            </w:r>
            <w:r>
              <w:rPr>
                <w:rFonts w:hint="eastAsia" w:ascii="宋体" w:hAnsi="宋体" w:eastAsia="宋体" w:cs="宋体"/>
                <w:bCs w:val="0"/>
                <w:color w:val="auto"/>
                <w:sz w:val="21"/>
                <w:szCs w:val="24"/>
                <w:highlight w:val="none"/>
              </w:rPr>
              <w:t>联合协议或者分包意向协议约定小微企业的合同份额占到合同总金额 30%以上的，对联合体或者大中型企业的</w:t>
            </w:r>
            <w:r>
              <w:rPr>
                <w:rFonts w:hint="eastAsia" w:ascii="宋体" w:hAnsi="宋体" w:eastAsia="宋体" w:cs="宋体"/>
                <w:bCs w:val="0"/>
                <w:color w:val="auto"/>
                <w:sz w:val="21"/>
                <w:szCs w:val="24"/>
                <w:highlight w:val="none"/>
                <w:lang w:eastAsia="zh-CN"/>
              </w:rPr>
              <w:t>最后</w:t>
            </w:r>
            <w:r>
              <w:rPr>
                <w:rFonts w:hint="eastAsia" w:ascii="宋体" w:hAnsi="宋体" w:eastAsia="宋体" w:cs="宋体"/>
                <w:bCs w:val="0"/>
                <w:color w:val="auto"/>
                <w:sz w:val="21"/>
                <w:szCs w:val="24"/>
                <w:highlight w:val="none"/>
              </w:rPr>
              <w:t>报价给予</w:t>
            </w:r>
            <w:r>
              <w:rPr>
                <w:rFonts w:hint="eastAsia" w:ascii="宋体" w:hAnsi="宋体" w:eastAsia="宋体" w:cs="宋体"/>
                <w:b w:val="0"/>
                <w:bCs w:val="0"/>
                <w:color w:val="auto"/>
                <w:szCs w:val="24"/>
                <w:highlight w:val="none"/>
                <w:u w:val="none"/>
                <w:lang w:val="en-US" w:eastAsia="zh-CN"/>
              </w:rPr>
              <w:t>4%</w:t>
            </w:r>
            <w:r>
              <w:rPr>
                <w:rFonts w:hint="eastAsia" w:ascii="宋体" w:hAnsi="宋体" w:eastAsia="宋体" w:cs="宋体"/>
                <w:bCs w:val="0"/>
                <w:color w:val="auto"/>
                <w:sz w:val="21"/>
                <w:szCs w:val="24"/>
                <w:highlight w:val="none"/>
              </w:rPr>
              <w:t>的扣除，用扣除后的价格参加评审</w:t>
            </w:r>
            <w:r>
              <w:rPr>
                <w:rFonts w:hint="eastAsia" w:ascii="宋体" w:hAnsi="宋体" w:eastAsia="宋体" w:cs="宋体"/>
                <w:bCs w:val="0"/>
                <w:color w:val="auto"/>
                <w:szCs w:val="24"/>
                <w:highlight w:val="none"/>
              </w:rPr>
              <w:t>，扣除后的价格为</w:t>
            </w:r>
            <w:r>
              <w:rPr>
                <w:rFonts w:hint="eastAsia" w:ascii="宋体" w:hAnsi="宋体" w:eastAsia="宋体" w:cs="宋体"/>
                <w:bCs w:val="0"/>
                <w:color w:val="auto"/>
                <w:szCs w:val="24"/>
                <w:highlight w:val="none"/>
                <w:lang w:eastAsia="zh-CN"/>
              </w:rPr>
              <w:t>评审</w:t>
            </w:r>
            <w:r>
              <w:rPr>
                <w:rFonts w:hint="eastAsia" w:ascii="宋体" w:hAnsi="宋体" w:eastAsia="宋体" w:cs="宋体"/>
                <w:bCs w:val="0"/>
                <w:color w:val="auto"/>
                <w:szCs w:val="24"/>
                <w:highlight w:val="none"/>
              </w:rPr>
              <w:t>价，即</w:t>
            </w:r>
            <w:r>
              <w:rPr>
                <w:rFonts w:hint="eastAsia" w:ascii="宋体" w:hAnsi="宋体" w:eastAsia="宋体" w:cs="宋体"/>
                <w:bCs w:val="0"/>
                <w:color w:val="auto"/>
                <w:szCs w:val="24"/>
                <w:highlight w:val="none"/>
                <w:lang w:eastAsia="zh-CN"/>
              </w:rPr>
              <w:t>评审价</w:t>
            </w:r>
            <w:r>
              <w:rPr>
                <w:rFonts w:hint="eastAsia" w:ascii="宋体" w:hAnsi="宋体" w:eastAsia="宋体" w:cs="宋体"/>
                <w:bCs w:val="0"/>
                <w:color w:val="auto"/>
                <w:szCs w:val="24"/>
                <w:highlight w:val="none"/>
              </w:rPr>
              <w:t>=</w:t>
            </w:r>
            <w:r>
              <w:rPr>
                <w:rFonts w:hint="eastAsia" w:ascii="宋体" w:hAnsi="宋体" w:eastAsia="宋体" w:cs="宋体"/>
                <w:bCs w:val="0"/>
                <w:color w:val="auto"/>
                <w:szCs w:val="24"/>
                <w:highlight w:val="none"/>
                <w:lang w:eastAsia="zh-CN"/>
              </w:rPr>
              <w:t>最后报价</w:t>
            </w:r>
            <w:r>
              <w:rPr>
                <w:rFonts w:hint="eastAsia" w:ascii="宋体" w:hAnsi="宋体" w:eastAsia="宋体" w:cs="宋体"/>
                <w:bCs w:val="0"/>
                <w:color w:val="auto"/>
                <w:szCs w:val="24"/>
                <w:highlight w:val="none"/>
              </w:rPr>
              <w:t>×（1</w:t>
            </w:r>
            <w:r>
              <w:rPr>
                <w:rFonts w:hint="eastAsia" w:ascii="宋体" w:hAnsi="宋体" w:eastAsia="宋体" w:cs="宋体"/>
                <w:bCs w:val="0"/>
                <w:color w:val="auto"/>
                <w:szCs w:val="24"/>
                <w:highlight w:val="none"/>
                <w:lang w:eastAsia="zh-CN"/>
              </w:rPr>
              <w:t>－</w:t>
            </w:r>
            <w:r>
              <w:rPr>
                <w:rFonts w:hint="eastAsia" w:ascii="宋体" w:hAnsi="宋体" w:eastAsia="宋体" w:cs="宋体"/>
                <w:b w:val="0"/>
                <w:bCs w:val="0"/>
                <w:color w:val="auto"/>
                <w:szCs w:val="24"/>
                <w:highlight w:val="none"/>
                <w:u w:val="none"/>
                <w:lang w:val="en-US" w:eastAsia="zh-CN"/>
              </w:rPr>
              <w:t>4%</w:t>
            </w:r>
            <w:r>
              <w:rPr>
                <w:rFonts w:hint="eastAsia" w:ascii="宋体" w:hAnsi="宋体" w:eastAsia="宋体" w:cs="宋体"/>
                <w:bCs w:val="0"/>
                <w:color w:val="auto"/>
                <w:szCs w:val="24"/>
                <w:highlight w:val="none"/>
              </w:rPr>
              <w:t>）</w:t>
            </w:r>
            <w:r>
              <w:rPr>
                <w:rFonts w:hint="eastAsia" w:ascii="宋体" w:hAnsi="宋体" w:eastAsia="宋体" w:cs="宋体"/>
                <w:bCs w:val="0"/>
                <w:color w:val="auto"/>
                <w:szCs w:val="24"/>
                <w:highlight w:val="none"/>
                <w:lang w:eastAsia="zh-CN"/>
              </w:rPr>
              <w:t>。</w:t>
            </w:r>
          </w:p>
          <w:p w14:paraId="1FDB8A33">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val="0"/>
                <w:color w:val="auto"/>
                <w:szCs w:val="24"/>
                <w:highlight w:val="none"/>
                <w:lang w:eastAsia="zh-CN"/>
              </w:rPr>
            </w:pPr>
            <w:r>
              <w:rPr>
                <w:rFonts w:hint="eastAsia" w:ascii="宋体" w:hAnsi="宋体" w:eastAsia="宋体" w:cs="宋体"/>
                <w:bCs w:val="0"/>
                <w:color w:val="auto"/>
                <w:szCs w:val="24"/>
                <w:highlight w:val="none"/>
                <w:lang w:eastAsia="zh-CN"/>
              </w:rPr>
              <w:t>☑适用于专门面向中小企业采购项目</w:t>
            </w:r>
          </w:p>
          <w:p w14:paraId="2B93DEA9">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bCs w:val="0"/>
                <w:i w:val="0"/>
                <w:iCs w:val="0"/>
                <w:color w:val="auto"/>
                <w:szCs w:val="24"/>
                <w:highlight w:val="none"/>
                <w:lang w:eastAsia="zh-CN"/>
              </w:rPr>
              <w:t>按照《政府采购促进中小企业发展管理办法》（财库〔2020〕46号）的规定，对小微企业的最后报价不再执行价格评审优惠的扶持政策。</w:t>
            </w:r>
          </w:p>
          <w:p w14:paraId="5656F708">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除上述情况外，</w:t>
            </w:r>
            <w:r>
              <w:rPr>
                <w:rFonts w:hint="eastAsia" w:ascii="宋体" w:hAnsi="宋体" w:eastAsia="宋体" w:cs="宋体"/>
                <w:color w:val="auto"/>
                <w:szCs w:val="24"/>
                <w:highlight w:val="none"/>
                <w:lang w:eastAsia="zh-CN"/>
              </w:rPr>
              <w:t>评审价</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eastAsia="zh-CN"/>
              </w:rPr>
              <w:t>最后报价</w:t>
            </w:r>
            <w:r>
              <w:rPr>
                <w:rFonts w:hint="eastAsia" w:ascii="宋体" w:hAnsi="宋体" w:eastAsia="宋体" w:cs="宋体"/>
                <w:color w:val="auto"/>
                <w:szCs w:val="24"/>
                <w:highlight w:val="none"/>
              </w:rPr>
              <w:t>。</w:t>
            </w:r>
          </w:p>
          <w:p w14:paraId="7F36919E">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val="0"/>
                <w:color w:val="auto"/>
                <w:szCs w:val="24"/>
                <w:highlight w:val="none"/>
              </w:rPr>
            </w:pPr>
            <w:r>
              <w:rPr>
                <w:rFonts w:hint="eastAsia" w:ascii="宋体" w:hAnsi="宋体" w:eastAsia="宋体" w:cs="宋体"/>
                <w:bCs w:val="0"/>
                <w:color w:val="auto"/>
                <w:szCs w:val="24"/>
                <w:highlight w:val="none"/>
                <w:lang w:val="en-US" w:eastAsia="zh-CN"/>
              </w:rPr>
              <w:t>1.3</w:t>
            </w:r>
            <w:r>
              <w:rPr>
                <w:rFonts w:hint="eastAsia" w:ascii="宋体" w:hAnsi="宋体" w:eastAsia="宋体" w:cs="宋体"/>
                <w:bCs w:val="0"/>
                <w:color w:val="auto"/>
                <w:szCs w:val="24"/>
                <w:highlight w:val="none"/>
              </w:rPr>
              <w:t>满足</w:t>
            </w:r>
            <w:r>
              <w:rPr>
                <w:rFonts w:hint="eastAsia" w:ascii="宋体" w:hAnsi="宋体" w:eastAsia="宋体" w:cs="宋体"/>
                <w:bCs w:val="0"/>
                <w:color w:val="auto"/>
                <w:szCs w:val="24"/>
                <w:highlight w:val="none"/>
                <w:lang w:eastAsia="zh-CN"/>
              </w:rPr>
              <w:t>磋商文件</w:t>
            </w:r>
            <w:r>
              <w:rPr>
                <w:rFonts w:hint="eastAsia" w:ascii="宋体" w:hAnsi="宋体" w:eastAsia="宋体" w:cs="宋体"/>
                <w:bCs w:val="0"/>
                <w:color w:val="auto"/>
                <w:szCs w:val="24"/>
                <w:highlight w:val="none"/>
              </w:rPr>
              <w:t>要求且</w:t>
            </w:r>
            <w:r>
              <w:rPr>
                <w:rFonts w:hint="eastAsia" w:ascii="宋体" w:hAnsi="宋体" w:eastAsia="宋体" w:cs="宋体"/>
                <w:bCs w:val="0"/>
                <w:color w:val="auto"/>
                <w:szCs w:val="24"/>
                <w:highlight w:val="none"/>
                <w:lang w:eastAsia="zh-CN"/>
              </w:rPr>
              <w:t>评审价</w:t>
            </w:r>
            <w:r>
              <w:rPr>
                <w:rFonts w:hint="eastAsia" w:ascii="宋体" w:hAnsi="宋体" w:eastAsia="宋体" w:cs="宋体"/>
                <w:bCs w:val="0"/>
                <w:color w:val="auto"/>
                <w:szCs w:val="24"/>
                <w:highlight w:val="none"/>
              </w:rPr>
              <w:t>最低的</w:t>
            </w:r>
            <w:r>
              <w:rPr>
                <w:rFonts w:hint="eastAsia" w:ascii="宋体" w:hAnsi="宋体" w:eastAsia="宋体" w:cs="宋体"/>
                <w:bCs w:val="0"/>
                <w:color w:val="auto"/>
                <w:szCs w:val="24"/>
                <w:highlight w:val="none"/>
                <w:lang w:eastAsia="zh-CN"/>
              </w:rPr>
              <w:t>评审价</w:t>
            </w:r>
            <w:r>
              <w:rPr>
                <w:rFonts w:hint="eastAsia" w:ascii="宋体" w:hAnsi="宋体" w:eastAsia="宋体" w:cs="宋体"/>
                <w:bCs w:val="0"/>
                <w:color w:val="auto"/>
                <w:szCs w:val="24"/>
                <w:highlight w:val="none"/>
              </w:rPr>
              <w:t>为</w:t>
            </w:r>
            <w:r>
              <w:rPr>
                <w:rFonts w:hint="eastAsia" w:ascii="宋体" w:hAnsi="宋体" w:eastAsia="宋体" w:cs="宋体"/>
                <w:bCs w:val="0"/>
                <w:color w:val="auto"/>
                <w:szCs w:val="24"/>
                <w:highlight w:val="none"/>
                <w:lang w:eastAsia="zh-CN"/>
              </w:rPr>
              <w:t>评审基准价</w:t>
            </w:r>
            <w:r>
              <w:rPr>
                <w:rFonts w:hint="eastAsia" w:ascii="宋体" w:hAnsi="宋体" w:eastAsia="宋体" w:cs="宋体"/>
                <w:bCs w:val="0"/>
                <w:color w:val="auto"/>
                <w:szCs w:val="24"/>
                <w:highlight w:val="none"/>
              </w:rPr>
              <w:t>，基准价得分为</w:t>
            </w:r>
            <w:r>
              <w:rPr>
                <w:rFonts w:hint="eastAsia" w:ascii="宋体" w:hAnsi="宋体" w:eastAsia="宋体" w:cs="宋体"/>
                <w:bCs w:val="0"/>
                <w:color w:val="auto"/>
                <w:szCs w:val="24"/>
                <w:highlight w:val="none"/>
                <w:u w:val="single"/>
                <w:lang w:val="en-US" w:eastAsia="zh-CN"/>
              </w:rPr>
              <w:t xml:space="preserve"> 30 </w:t>
            </w:r>
            <w:r>
              <w:rPr>
                <w:rFonts w:hint="eastAsia" w:ascii="宋体" w:hAnsi="宋体" w:eastAsia="宋体" w:cs="宋体"/>
                <w:bCs w:val="0"/>
                <w:color w:val="auto"/>
                <w:szCs w:val="24"/>
                <w:highlight w:val="none"/>
              </w:rPr>
              <w:t>分。</w:t>
            </w:r>
          </w:p>
          <w:p w14:paraId="57272462">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val="0"/>
                <w:color w:val="auto"/>
                <w:szCs w:val="24"/>
                <w:highlight w:val="none"/>
              </w:rPr>
            </w:pPr>
            <w:r>
              <w:rPr>
                <w:rFonts w:hint="eastAsia" w:ascii="宋体" w:hAnsi="宋体" w:eastAsia="宋体" w:cs="宋体"/>
                <w:bCs w:val="0"/>
                <w:color w:val="auto"/>
                <w:szCs w:val="24"/>
                <w:highlight w:val="none"/>
                <w:lang w:val="en-US" w:eastAsia="zh-CN"/>
              </w:rPr>
              <w:t>1.4</w:t>
            </w:r>
            <w:r>
              <w:rPr>
                <w:rFonts w:hint="eastAsia" w:ascii="宋体" w:hAnsi="宋体" w:eastAsia="宋体" w:cs="宋体"/>
                <w:bCs w:val="0"/>
                <w:color w:val="auto"/>
                <w:szCs w:val="24"/>
                <w:highlight w:val="none"/>
              </w:rPr>
              <w:t xml:space="preserve">价格分计算公式：        </w:t>
            </w:r>
          </w:p>
          <w:p w14:paraId="2C309375">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 w:val="21"/>
                <w:highlight w:val="none"/>
                <w:lang w:val="en-US" w:eastAsia="zh-CN"/>
              </w:rPr>
              <w:t>价格分</w:t>
            </w:r>
            <w:r>
              <w:rPr>
                <w:rFonts w:hint="eastAsia" w:ascii="宋体" w:hAnsi="宋体" w:eastAsia="宋体" w:cs="宋体"/>
                <w:bCs/>
                <w:color w:val="auto"/>
                <w:kern w:val="2"/>
                <w:sz w:val="21"/>
                <w:highlight w:val="none"/>
                <w:lang w:val="en-US" w:eastAsia="zh-CN"/>
              </w:rPr>
              <w:t>=(评审基准价／评审价)×</w:t>
            </w:r>
            <w:r>
              <w:rPr>
                <w:rFonts w:hint="eastAsia" w:ascii="宋体" w:hAnsi="宋体" w:eastAsia="宋体" w:cs="宋体"/>
                <w:bCs/>
                <w:color w:val="auto"/>
                <w:sz w:val="21"/>
                <w:highlight w:val="none"/>
                <w:u w:val="single"/>
                <w:lang w:val="en-US" w:eastAsia="zh-CN"/>
              </w:rPr>
              <w:t xml:space="preserve"> 30 </w:t>
            </w:r>
            <w:r>
              <w:rPr>
                <w:rFonts w:hint="eastAsia" w:ascii="宋体" w:hAnsi="宋体" w:eastAsia="宋体" w:cs="宋体"/>
                <w:bCs/>
                <w:color w:val="auto"/>
                <w:kern w:val="2"/>
                <w:sz w:val="21"/>
                <w:highlight w:val="none"/>
                <w:lang w:val="en-US" w:eastAsia="zh-CN"/>
              </w:rPr>
              <w:t>分</w:t>
            </w:r>
          </w:p>
        </w:tc>
        <w:tc>
          <w:tcPr>
            <w:tcW w:w="957" w:type="dxa"/>
            <w:noWrap w:val="0"/>
            <w:vAlign w:val="center"/>
          </w:tcPr>
          <w:p w14:paraId="1E6B10F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lang w:val="en-US" w:eastAsia="zh-CN"/>
              </w:rPr>
              <w:t>30</w:t>
            </w:r>
            <w:r>
              <w:rPr>
                <w:rFonts w:hint="eastAsia" w:ascii="宋体" w:hAnsi="宋体" w:eastAsia="宋体" w:cs="宋体"/>
                <w:color w:val="auto"/>
                <w:kern w:val="0"/>
                <w:szCs w:val="21"/>
                <w:highlight w:val="none"/>
              </w:rPr>
              <w:t>分</w:t>
            </w:r>
          </w:p>
        </w:tc>
      </w:tr>
      <w:tr w14:paraId="2F403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vMerge w:val="restart"/>
            <w:noWrap w:val="0"/>
            <w:vAlign w:val="center"/>
          </w:tcPr>
          <w:p w14:paraId="47AFFEE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p>
        </w:tc>
        <w:tc>
          <w:tcPr>
            <w:tcW w:w="1086" w:type="dxa"/>
            <w:vMerge w:val="restart"/>
            <w:noWrap w:val="0"/>
            <w:vAlign w:val="center"/>
          </w:tcPr>
          <w:p w14:paraId="38BAA94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技术</w:t>
            </w:r>
            <w:r>
              <w:rPr>
                <w:rFonts w:hint="eastAsia" w:ascii="宋体" w:hAnsi="宋体" w:eastAsia="宋体" w:cs="宋体"/>
                <w:bCs/>
                <w:color w:val="auto"/>
                <w:szCs w:val="21"/>
                <w:highlight w:val="none"/>
                <w:lang w:eastAsia="zh-CN"/>
              </w:rPr>
              <w:t>分</w:t>
            </w:r>
          </w:p>
        </w:tc>
        <w:tc>
          <w:tcPr>
            <w:tcW w:w="6973" w:type="dxa"/>
            <w:noWrap w:val="0"/>
            <w:vAlign w:val="top"/>
          </w:tcPr>
          <w:p w14:paraId="6D172D1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人力资源服务方案：</w:t>
            </w:r>
          </w:p>
          <w:p w14:paraId="75E768F0">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根据以下4个方面进行评审：①劳动关系管理、②工资薪酬及福利待遇享受、③劳务争议处理、④工伤（亡）事故处理，磋商小组对方案内容进行独立评审并按以下规则独立打分</w:t>
            </w:r>
          </w:p>
          <w:p w14:paraId="2798F0BC">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（1）劳动关系管理（5分）</w:t>
            </w:r>
          </w:p>
          <w:p w14:paraId="0E9A87B6">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一档（0分）：未提供相关内容，或内容缺项、表述模糊、措施不可执行，与采购需求不匹配。</w:t>
            </w:r>
          </w:p>
          <w:p w14:paraId="1427D54F">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二档（2分）：方案包含劳动关系管理主要内容，明确基本流程与措施；具备服务衔接与切换措施，符合项目基本管理需求。</w:t>
            </w:r>
          </w:p>
          <w:p w14:paraId="7256EEA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三档（5分）：方案覆盖入离职管理、劳动合同签订/续签/解除/终止、用工档案管理、信息核验、合规审查、台账建立、日常管理、数据对接全流程；明确服务衔接、交接、切换保障措施，与采购人现有业务、流程、制度、系统一致，具备可执行流程、时限、责任、表单，服务连续无中断、质量稳定。</w:t>
            </w:r>
          </w:p>
          <w:p w14:paraId="0B978D90">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（2）工资薪酬及福利待遇享受（5分）</w:t>
            </w:r>
          </w:p>
          <w:p w14:paraId="044D13A6">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一档（0分）：未提供相关内容，或内容缺项、表述模糊、措施不可执行，与采购需求不匹配。</w:t>
            </w:r>
          </w:p>
          <w:p w14:paraId="2E33B196">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二档（2分）：方案包含工资薪酬及福利待遇主要内容，明确基本流程与措施；具备服务衔接与保障措施，符合项目基本发放与管理需求。</w:t>
            </w:r>
          </w:p>
          <w:p w14:paraId="548DD486">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三档（5分）：方案覆盖薪酬核算、考勤数据对接、工资发放、个税申报、社保及公积金办理、福利待遇落实、发放周期、对账机制、异常处理、凭证提供、保密管理、数据同步全流程；明确服务衔接、对账、切换保障措施，与采购人现有薪酬体系、发放流程一致，具备可执行流程、时限、对账节点，发放准确连续。</w:t>
            </w:r>
          </w:p>
          <w:p w14:paraId="71EB8BB9">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（3）劳务争议处理（5分）</w:t>
            </w:r>
          </w:p>
          <w:p w14:paraId="4D92F574">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一档（0分）：未提供相关内容，或内容缺项、表述模糊、措施不可执行，与采购需求不匹配。</w:t>
            </w:r>
          </w:p>
          <w:p w14:paraId="0323147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二档（2分）：方案包含劳务争议处理主要内容，明确基本流程与措施；具备服务衔接与响应措施，符合项目基本处置需求。</w:t>
            </w:r>
          </w:p>
          <w:p w14:paraId="0484C527">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三档（5分）：方案覆盖争议受理、调查、协商、调解、证据固定、文书准备、仲裁 / 诉讼应对、结果执行、复盘改进、风险预警、沟通机制、时限承诺全流程；明确服务衔接、响应、处置保障措施，与采购人管理口径、处置流程一致，具备可执行处置流程、时限、闭环机制。</w:t>
            </w:r>
          </w:p>
          <w:p w14:paraId="118E91B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（4）工伤（亡）事故处理（5分）</w:t>
            </w:r>
          </w:p>
          <w:p w14:paraId="07E090DC">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一档（0分）：未提供相关内容，或内容缺项、表述模糊、措施不可执行，与采购需求不匹配。</w:t>
            </w:r>
          </w:p>
          <w:p w14:paraId="5F1F38A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二档（2分）：方案包含工伤（亡）事故处理主要内容，明确基本流程与措施；具备服务衔接与应急措施，符合项目基本处理需求。</w:t>
            </w:r>
          </w:p>
          <w:p w14:paraId="24DE1C4C">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三档（5 分）：方案覆盖事故上报、应急处置、工伤认定、劳动能力鉴定、医疗对接、待遇申领、费用结算、慰问安抚、家属沟通、档案留存、事故复盘、安全提醒、理赔跟进全流程；明确服务衔接、上报、跟进、切换保障措施，与采购人应急流程、上报要求、管理模式一致，具备可执行处置流程、时限、闭环机制。</w:t>
            </w:r>
          </w:p>
        </w:tc>
        <w:tc>
          <w:tcPr>
            <w:tcW w:w="957" w:type="dxa"/>
            <w:noWrap w:val="0"/>
            <w:vAlign w:val="center"/>
          </w:tcPr>
          <w:p w14:paraId="2B1A351F">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20分</w:t>
            </w:r>
          </w:p>
        </w:tc>
      </w:tr>
      <w:tr w14:paraId="09D4E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vMerge w:val="continue"/>
            <w:noWrap w:val="0"/>
            <w:vAlign w:val="center"/>
          </w:tcPr>
          <w:p w14:paraId="5A222E4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p>
        </w:tc>
        <w:tc>
          <w:tcPr>
            <w:tcW w:w="1086" w:type="dxa"/>
            <w:vMerge w:val="continue"/>
            <w:noWrap w:val="0"/>
            <w:vAlign w:val="center"/>
          </w:tcPr>
          <w:p w14:paraId="29A6678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p>
        </w:tc>
        <w:tc>
          <w:tcPr>
            <w:tcW w:w="6973" w:type="dxa"/>
            <w:noWrap w:val="0"/>
            <w:vAlign w:val="center"/>
          </w:tcPr>
          <w:p w14:paraId="2F800CB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color w:val="auto"/>
                <w:highlight w:val="none"/>
              </w:rPr>
            </w:pPr>
            <w:r>
              <w:rPr>
                <w:rFonts w:hint="eastAsia" w:ascii="宋体" w:hAnsi="宋体" w:cs="宋体"/>
                <w:color w:val="auto"/>
                <w:highlight w:val="none"/>
                <w:lang w:val="en-US" w:eastAsia="zh-CN"/>
              </w:rPr>
              <w:t>2.</w:t>
            </w:r>
            <w:r>
              <w:rPr>
                <w:rFonts w:hint="eastAsia" w:ascii="宋体" w:hAnsi="宋体" w:cs="宋体"/>
                <w:color w:val="auto"/>
                <w:highlight w:val="none"/>
              </w:rPr>
              <w:t>布草管理方案：</w:t>
            </w:r>
          </w:p>
          <w:p w14:paraId="08B29A8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cs="宋体"/>
                <w:color w:val="auto"/>
                <w:highlight w:val="none"/>
              </w:rPr>
              <w:t>根据以下4个方面进行评审：①布草投入的管理；②污染布草回收的管理；③清洁布草配送的管理；④布草报废、布草丢失的管理，磋商小组对</w:t>
            </w:r>
            <w:r>
              <w:rPr>
                <w:rFonts w:hint="eastAsia" w:ascii="宋体" w:hAnsi="宋体" w:cs="宋体"/>
                <w:color w:val="auto"/>
                <w:highlight w:val="none"/>
                <w:lang w:val="en-US" w:eastAsia="zh-CN"/>
              </w:rPr>
              <w:t>方案</w:t>
            </w:r>
            <w:r>
              <w:rPr>
                <w:rFonts w:hint="eastAsia" w:ascii="宋体" w:hAnsi="宋体" w:cs="宋体"/>
                <w:color w:val="auto"/>
                <w:highlight w:val="none"/>
              </w:rPr>
              <w:t>内容进行独立评审并按以下规则独立打分：</w:t>
            </w:r>
          </w:p>
          <w:p w14:paraId="78ADACD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lang w:eastAsia="zh-CN"/>
              </w:rPr>
            </w:pPr>
            <w:r>
              <w:rPr>
                <w:rFonts w:hint="eastAsia" w:ascii="宋体" w:hAnsi="宋体" w:cs="宋体"/>
                <w:color w:val="auto"/>
                <w:highlight w:val="none"/>
              </w:rPr>
              <w:t>一档（</w:t>
            </w:r>
            <w:r>
              <w:rPr>
                <w:rFonts w:hint="eastAsia" w:ascii="宋体" w:hAnsi="宋体" w:cs="宋体"/>
                <w:color w:val="auto"/>
                <w:highlight w:val="none"/>
                <w:lang w:val="en-US" w:eastAsia="zh-CN"/>
              </w:rPr>
              <w:t>5</w:t>
            </w:r>
            <w:r>
              <w:rPr>
                <w:rFonts w:hint="eastAsia" w:ascii="宋体" w:hAnsi="宋体" w:cs="宋体"/>
                <w:color w:val="auto"/>
                <w:highlight w:val="none"/>
              </w:rPr>
              <w:t>分）：仅包含上述4个评审方面的基本框架，未明确各方面核心管理内容，缺失≥1个评审方面的具体管理描述</w:t>
            </w:r>
            <w:r>
              <w:rPr>
                <w:rFonts w:hint="eastAsia" w:ascii="宋体" w:hAnsi="宋体" w:cs="宋体"/>
                <w:color w:val="auto"/>
                <w:highlight w:val="none"/>
                <w:lang w:eastAsia="zh-CN"/>
              </w:rPr>
              <w:t>，</w:t>
            </w:r>
            <w:r>
              <w:rPr>
                <w:rFonts w:hint="eastAsia" w:ascii="宋体" w:hAnsi="宋体" w:cs="宋体"/>
                <w:color w:val="auto"/>
                <w:highlight w:val="none"/>
              </w:rPr>
              <w:t>无任何具体管理流程、操作要求，未提及基础管理措施</w:t>
            </w:r>
            <w:r>
              <w:rPr>
                <w:rFonts w:hint="eastAsia" w:ascii="宋体" w:hAnsi="宋体" w:cs="宋体"/>
                <w:color w:val="auto"/>
                <w:highlight w:val="none"/>
                <w:lang w:eastAsia="zh-CN"/>
              </w:rPr>
              <w:t>；</w:t>
            </w:r>
          </w:p>
          <w:p w14:paraId="728D133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color w:val="auto"/>
                <w:highlight w:val="none"/>
              </w:rPr>
            </w:pPr>
            <w:r>
              <w:rPr>
                <w:rFonts w:hint="eastAsia" w:ascii="宋体" w:hAnsi="宋体" w:cs="宋体"/>
                <w:color w:val="auto"/>
                <w:highlight w:val="none"/>
              </w:rPr>
              <w:t>二档（</w:t>
            </w:r>
            <w:r>
              <w:rPr>
                <w:rFonts w:hint="eastAsia" w:ascii="宋体" w:hAnsi="宋体" w:cs="宋体"/>
                <w:color w:val="auto"/>
                <w:highlight w:val="none"/>
                <w:lang w:val="en-US" w:eastAsia="zh-CN"/>
              </w:rPr>
              <w:t>10</w:t>
            </w:r>
            <w:r>
              <w:rPr>
                <w:rFonts w:hint="eastAsia" w:ascii="宋体" w:hAnsi="宋体" w:cs="宋体"/>
                <w:color w:val="auto"/>
                <w:highlight w:val="none"/>
              </w:rPr>
              <w:t>分）：</w:t>
            </w:r>
            <w:r>
              <w:rPr>
                <w:rFonts w:hint="eastAsia" w:ascii="宋体" w:hAnsi="宋体" w:cs="宋体"/>
                <w:color w:val="auto"/>
                <w:highlight w:val="none"/>
                <w:lang w:val="en-US" w:eastAsia="zh-CN"/>
              </w:rPr>
              <w:t>方案</w:t>
            </w:r>
            <w:r>
              <w:rPr>
                <w:rFonts w:hint="eastAsia" w:ascii="宋体" w:hAnsi="宋体" w:cs="宋体"/>
                <w:color w:val="auto"/>
                <w:highlight w:val="none"/>
              </w:rPr>
              <w:t>覆盖上述4个评审方面，各方面内容描述清晰，明确核心管理流程（如布草投入规格、回收流程、配送时效、报废/丢失处置流程），提及基础管理要求，具备基础管理措施，可满足教师公寓日常布草周转、清洁、回收、处置的基本需求，无明显管理漏洞；</w:t>
            </w:r>
          </w:p>
          <w:p w14:paraId="5C11ED0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color w:val="auto"/>
                <w:highlight w:val="none"/>
              </w:rPr>
            </w:pPr>
            <w:r>
              <w:rPr>
                <w:rFonts w:hint="eastAsia" w:ascii="宋体" w:hAnsi="宋体" w:cs="宋体"/>
                <w:color w:val="auto"/>
                <w:highlight w:val="none"/>
              </w:rPr>
              <w:t>三档（</w:t>
            </w:r>
            <w:r>
              <w:rPr>
                <w:rFonts w:hint="eastAsia" w:ascii="宋体" w:hAnsi="宋体" w:cs="宋体"/>
                <w:color w:val="auto"/>
                <w:highlight w:val="none"/>
                <w:lang w:val="en-US" w:eastAsia="zh-CN"/>
              </w:rPr>
              <w:t>15</w:t>
            </w:r>
            <w:r>
              <w:rPr>
                <w:rFonts w:hint="eastAsia" w:ascii="宋体" w:hAnsi="宋体" w:cs="宋体"/>
                <w:color w:val="auto"/>
                <w:highlight w:val="none"/>
              </w:rPr>
              <w:t>分）：</w:t>
            </w:r>
            <w:r>
              <w:rPr>
                <w:rFonts w:hint="eastAsia" w:ascii="宋体" w:hAnsi="宋体" w:cs="宋体"/>
                <w:color w:val="auto"/>
                <w:highlight w:val="none"/>
                <w:lang w:val="en-US" w:eastAsia="zh-CN"/>
              </w:rPr>
              <w:t>方案</w:t>
            </w:r>
            <w:r>
              <w:rPr>
                <w:rFonts w:hint="eastAsia" w:ascii="宋体" w:hAnsi="宋体" w:cs="宋体"/>
                <w:color w:val="auto"/>
                <w:highlight w:val="none"/>
              </w:rPr>
              <w:t>覆盖上述4个评审方面，各方面内容细节明确，配套标准化操作流程，可直接落地执行；针对各环节管理难点（如布草投入成本管控、污染布草交叉污染、配送延误、报废标准不明确、丢失追溯难等），均制定针对性量化解决方案；</w:t>
            </w:r>
            <w:r>
              <w:rPr>
                <w:rFonts w:hint="eastAsia" w:ascii="宋体" w:hAnsi="宋体" w:cs="宋体"/>
                <w:color w:val="auto"/>
                <w:highlight w:val="none"/>
                <w:lang w:val="en-US" w:eastAsia="zh-CN"/>
              </w:rPr>
              <w:t>留存</w:t>
            </w:r>
            <w:r>
              <w:rPr>
                <w:rFonts w:hint="eastAsia" w:ascii="宋体" w:hAnsi="宋体" w:cs="宋体"/>
                <w:color w:val="auto"/>
                <w:highlight w:val="none"/>
              </w:rPr>
              <w:t>信息化管理系统数据，实现4个评审方面全流程数据可追溯（如投入台账、回收记录、配送轨迹、报废/丢失登记</w:t>
            </w:r>
            <w:r>
              <w:rPr>
                <w:rFonts w:hint="eastAsia" w:ascii="宋体" w:hAnsi="宋体" w:cs="宋体"/>
                <w:color w:val="auto"/>
                <w:highlight w:val="none"/>
                <w:lang w:val="en-US" w:eastAsia="zh-CN"/>
              </w:rPr>
              <w:t>等</w:t>
            </w:r>
            <w:r>
              <w:rPr>
                <w:rFonts w:hint="eastAsia" w:ascii="宋体" w:hAnsi="宋体" w:cs="宋体"/>
                <w:color w:val="auto"/>
                <w:highlight w:val="none"/>
              </w:rPr>
              <w:t>）；适配教师公寓场景，兼顾日常入住、寒暑假封存、开学季批量周转等专属需求，可全面满足教职工布草使用及管理要求。</w:t>
            </w:r>
          </w:p>
          <w:p w14:paraId="5E7B54B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cs="宋体"/>
                <w:color w:val="auto"/>
                <w:highlight w:val="none"/>
              </w:rPr>
              <w:t>注：不符合最低档次条件的按不入档计0分处理。</w:t>
            </w:r>
          </w:p>
        </w:tc>
        <w:tc>
          <w:tcPr>
            <w:tcW w:w="957" w:type="dxa"/>
            <w:noWrap w:val="0"/>
            <w:vAlign w:val="center"/>
          </w:tcPr>
          <w:p w14:paraId="32A776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Cs/>
                <w:color w:val="auto"/>
                <w:szCs w:val="21"/>
                <w:highlight w:val="none"/>
                <w:lang w:val="en-US" w:eastAsia="zh-CN"/>
              </w:rPr>
            </w:pPr>
            <w:r>
              <w:rPr>
                <w:rFonts w:hint="eastAsia" w:ascii="宋体" w:hAnsi="宋体" w:cs="宋体"/>
                <w:color w:val="auto"/>
                <w:highlight w:val="none"/>
                <w:lang w:val="en-US" w:eastAsia="zh-CN"/>
              </w:rPr>
              <w:t>15</w:t>
            </w:r>
          </w:p>
        </w:tc>
      </w:tr>
      <w:tr w14:paraId="4F70B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vMerge w:val="continue"/>
            <w:noWrap w:val="0"/>
            <w:vAlign w:val="center"/>
          </w:tcPr>
          <w:p w14:paraId="03E239F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p>
        </w:tc>
        <w:tc>
          <w:tcPr>
            <w:tcW w:w="1086" w:type="dxa"/>
            <w:vMerge w:val="continue"/>
            <w:noWrap w:val="0"/>
            <w:vAlign w:val="center"/>
          </w:tcPr>
          <w:p w14:paraId="09B04B4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p>
        </w:tc>
        <w:tc>
          <w:tcPr>
            <w:tcW w:w="6973" w:type="dxa"/>
            <w:noWrap w:val="0"/>
            <w:vAlign w:val="center"/>
          </w:tcPr>
          <w:p w14:paraId="563A8B4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3.培训方案：</w:t>
            </w:r>
          </w:p>
          <w:p w14:paraId="463A708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highlight w:val="none"/>
                <w:lang w:eastAsia="zh-CN"/>
              </w:rPr>
            </w:pPr>
            <w:r>
              <w:rPr>
                <w:rFonts w:hint="eastAsia" w:ascii="宋体" w:hAnsi="宋体" w:cs="宋体"/>
                <w:color w:val="auto"/>
                <w:highlight w:val="none"/>
              </w:rPr>
              <w:t>要求供应商结合</w:t>
            </w:r>
            <w:r>
              <w:rPr>
                <w:rFonts w:hint="eastAsia" w:ascii="宋体" w:hAnsi="宋体" w:cs="宋体"/>
                <w:color w:val="auto"/>
                <w:highlight w:val="none"/>
                <w:lang w:val="en-US" w:eastAsia="zh-CN"/>
              </w:rPr>
              <w:t>需求一览表中“项目主管、服务员、保洁员”的</w:t>
            </w:r>
            <w:r>
              <w:rPr>
                <w:rFonts w:hint="eastAsia" w:ascii="宋体" w:hAnsi="宋体" w:cs="宋体"/>
                <w:color w:val="auto"/>
                <w:highlight w:val="none"/>
              </w:rPr>
              <w:t>岗位提供相应培训方案</w:t>
            </w:r>
            <w:r>
              <w:rPr>
                <w:rFonts w:hint="eastAsia" w:ascii="宋体" w:hAnsi="宋体" w:cs="宋体"/>
                <w:color w:val="auto"/>
                <w:highlight w:val="none"/>
                <w:lang w:eastAsia="zh-CN"/>
              </w:rPr>
              <w:t>，根据供应商</w:t>
            </w:r>
            <w:r>
              <w:rPr>
                <w:rFonts w:hint="eastAsia" w:ascii="宋体" w:hAnsi="宋体" w:cs="宋体"/>
                <w:color w:val="auto"/>
                <w:highlight w:val="none"/>
                <w:lang w:val="en-US" w:eastAsia="zh-CN"/>
              </w:rPr>
              <w:t>提供的</w:t>
            </w:r>
            <w:r>
              <w:rPr>
                <w:rFonts w:hint="eastAsia" w:ascii="宋体" w:hAnsi="宋体" w:cs="宋体"/>
                <w:color w:val="auto"/>
                <w:highlight w:val="none"/>
                <w:lang w:eastAsia="zh-CN"/>
              </w:rPr>
              <w:t>培训方案的针对性、合理性、完整性及有效性进行评分：</w:t>
            </w:r>
          </w:p>
          <w:p w14:paraId="2287414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一档（5分）：提供培训方案框架大纲，仅明确基础培训范围（未覆盖3个岗位全部），培训内容笼统，单岗位培训内容≤3项核心要点，无具体培训重点；针对项目主管、服务员、保洁员有初步岗位区分的培训计划和安排，但未体现培训针对性。</w:t>
            </w:r>
          </w:p>
          <w:p w14:paraId="20FF249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二档（10分）：培训范围明确，全面覆盖项目主管、服务员、保洁员3个岗位，单岗位培训内容≥6项核心要点，贴合各岗位工作职责；针对3个岗位分别制定具体培训计划和安排，明确各岗位培训时长（单岗位岗前培训时长≥8课时）、培训方式（理论+实操结合），执行节点清晰，可直接落地，能帮助新人快速熟悉岗位流程、适应工作要求；配备≥3名专职培训师，所有培训师具备对应岗位相关专业知识，且拥有≥3年同行业培训或岗位实操工作经验，能保障培训基础质量。</w:t>
            </w:r>
          </w:p>
          <w:p w14:paraId="0C48663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三档（15分）：培训范围精准覆盖3个岗位的核心工作、应急处理、服务规范等全维度，培训内容具体可落地，单岗位培训内容≥10项核心要点，区分岗位重点（如项目主管侧重管理能力、服务员侧重服务规范、保洁员侧重操作标准），有针对性；针对3个岗位制定专属培训计划和安排，培训效率高，明确各岗位岗前培训时长≥12课时、实操占比≥60%，设置阶段性考核（考核通过率≥95%），能确保新人快速上岗、熟练掌握岗位技能，完全适配工作要求；培训物资包含培训教材、实操工具、考核题库等，师资团队配备≥5名专职培训师，培训师具备对应岗位专业资质，拥有≥5年同行业培训及岗位管理工作经验，能提供专业指导；培训体系完善，除岗前集中培训外，明确上岗后日常培训安排（每月≥1次集中培训、每季度≥1次技能提升培训），配套培训复盘、技能考核、奖惩机制，能有效促进工作人员工作能力提升、业务水平精进，保障服务质量稳定。</w:t>
            </w:r>
          </w:p>
          <w:p w14:paraId="7FF1AC1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auto"/>
                <w:kern w:val="2"/>
                <w:sz w:val="21"/>
                <w:szCs w:val="24"/>
                <w:highlight w:val="none"/>
                <w:lang w:val="en-US" w:eastAsia="zh-CN" w:bidi="ar-SA"/>
              </w:rPr>
            </w:pPr>
            <w:r>
              <w:rPr>
                <w:rFonts w:hint="eastAsia" w:ascii="宋体" w:hAnsi="宋体" w:cs="宋体"/>
                <w:color w:val="auto"/>
                <w:highlight w:val="none"/>
              </w:rPr>
              <w:t>注：不符合最低档次条件的按不入档计0分处理。</w:t>
            </w:r>
          </w:p>
        </w:tc>
        <w:tc>
          <w:tcPr>
            <w:tcW w:w="957" w:type="dxa"/>
            <w:noWrap w:val="0"/>
            <w:vAlign w:val="center"/>
          </w:tcPr>
          <w:p w14:paraId="4B75762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Cs/>
                <w:color w:val="auto"/>
                <w:szCs w:val="21"/>
                <w:highlight w:val="none"/>
                <w:lang w:val="en-US" w:eastAsia="zh-CN"/>
              </w:rPr>
            </w:pPr>
            <w:r>
              <w:rPr>
                <w:rFonts w:hint="eastAsia" w:ascii="宋体" w:hAnsi="宋体" w:cs="宋体"/>
                <w:color w:val="auto"/>
                <w:highlight w:val="none"/>
                <w:lang w:val="en-US" w:eastAsia="zh-CN"/>
              </w:rPr>
              <w:t>15</w:t>
            </w:r>
          </w:p>
        </w:tc>
      </w:tr>
      <w:tr w14:paraId="76535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vMerge w:val="continue"/>
            <w:noWrap w:val="0"/>
            <w:vAlign w:val="center"/>
          </w:tcPr>
          <w:p w14:paraId="3279D20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p>
        </w:tc>
        <w:tc>
          <w:tcPr>
            <w:tcW w:w="1086" w:type="dxa"/>
            <w:vMerge w:val="continue"/>
            <w:noWrap w:val="0"/>
            <w:vAlign w:val="center"/>
          </w:tcPr>
          <w:p w14:paraId="173B5FF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p>
        </w:tc>
        <w:tc>
          <w:tcPr>
            <w:tcW w:w="6973" w:type="dxa"/>
            <w:noWrap w:val="0"/>
            <w:vAlign w:val="center"/>
          </w:tcPr>
          <w:p w14:paraId="601CA39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color w:val="auto"/>
                <w:highlight w:val="none"/>
              </w:rPr>
            </w:pPr>
            <w:r>
              <w:rPr>
                <w:rFonts w:hint="eastAsia" w:ascii="宋体" w:hAnsi="宋体" w:cs="宋体"/>
                <w:color w:val="auto"/>
                <w:highlight w:val="none"/>
                <w:lang w:val="en-US" w:eastAsia="zh-CN"/>
              </w:rPr>
              <w:t>4.</w:t>
            </w:r>
            <w:r>
              <w:rPr>
                <w:rFonts w:hint="eastAsia" w:ascii="宋体" w:hAnsi="宋体" w:cs="宋体"/>
                <w:color w:val="auto"/>
                <w:highlight w:val="none"/>
              </w:rPr>
              <w:t>应急事件处理方案</w:t>
            </w:r>
          </w:p>
          <w:p w14:paraId="7B11DEE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一档（5分）：仅笼统提及应急处理框架，未明确本项目核心应急场景，阐述模糊、重点不突出；未结合本项目（教师公寓相关服务）现状设计，，无具体处理步骤、责任分工；方案整体不具备可操作性。</w:t>
            </w:r>
          </w:p>
          <w:p w14:paraId="4014909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二档（10分）：明确本项目核心应急场景≥4类（涵盖服务、安全、设施等重点领域），方案阐述清晰，应急事件分类、界定明确；解决方案贴合本项目现状，与教师公寓服务场景高度契合，每个应急场景均明确具体处理步骤（≤5步即可落地）、责任岗位及响应时限（一般应急事件响应≤30分钟）；配套应急保障措施，应急物资清单（涵盖急救、通讯、应急处置工具等≥5类），措施具体可操作，能有效应对项目各类常规应急事件。</w:t>
            </w:r>
          </w:p>
          <w:p w14:paraId="1DD4F43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三档（15分）：明确本项目核心应急场景≥6类，涵盖常规应急、突发重大应急、服务中断、布草污染或其他的处置流程等全场景，方案阐述清晰、内容细致，逻辑连贯，应急事件分类精准、界定清晰，每个场景均明确风险等级及预判标准；解决方案与本项目现状完全相符，贴合教师公寓服务专属需求，每个应急场景均制定细化处理流程（步骤清晰、责任到人）、响应时限（重大应急事件响应≤15分钟），保障措施有针对性；明确应急人员岗位职责，应急物资储备标准、补充机制，通讯联络清单及备用方案，可全面应对项目各类应急事件，保障服务连续性。</w:t>
            </w:r>
          </w:p>
          <w:p w14:paraId="60DE708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cs="宋体"/>
                <w:color w:val="auto"/>
                <w:highlight w:val="none"/>
                <w:lang w:val="en-US" w:eastAsia="zh-CN"/>
              </w:rPr>
            </w:pPr>
            <w:r>
              <w:rPr>
                <w:rFonts w:hint="default" w:ascii="宋体" w:hAnsi="宋体" w:cs="宋体"/>
                <w:color w:val="auto"/>
                <w:highlight w:val="none"/>
                <w:lang w:val="en-US" w:eastAsia="zh-CN"/>
              </w:rPr>
              <w:t>注：不符合最低档次条件的按不入档计0分处理。</w:t>
            </w:r>
          </w:p>
        </w:tc>
        <w:tc>
          <w:tcPr>
            <w:tcW w:w="957" w:type="dxa"/>
            <w:noWrap w:val="0"/>
            <w:vAlign w:val="center"/>
          </w:tcPr>
          <w:p w14:paraId="3EE2938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Cs/>
                <w:color w:val="auto"/>
                <w:kern w:val="2"/>
                <w:sz w:val="21"/>
                <w:szCs w:val="21"/>
                <w:highlight w:val="none"/>
                <w:lang w:val="en-US" w:eastAsia="zh-CN" w:bidi="ar-SA"/>
              </w:rPr>
            </w:pPr>
            <w:r>
              <w:rPr>
                <w:rFonts w:hint="eastAsia" w:ascii="宋体" w:hAnsi="宋体" w:cs="宋体"/>
                <w:color w:val="auto"/>
                <w:highlight w:val="none"/>
                <w:lang w:val="en-US" w:eastAsia="zh-CN"/>
              </w:rPr>
              <w:t>15</w:t>
            </w:r>
          </w:p>
        </w:tc>
      </w:tr>
      <w:tr w14:paraId="46777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vMerge w:val="restart"/>
            <w:noWrap w:val="0"/>
            <w:vAlign w:val="center"/>
          </w:tcPr>
          <w:p w14:paraId="1EEF13E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3</w:t>
            </w:r>
          </w:p>
        </w:tc>
        <w:tc>
          <w:tcPr>
            <w:tcW w:w="1086" w:type="dxa"/>
            <w:vMerge w:val="restart"/>
            <w:noWrap w:val="0"/>
            <w:vAlign w:val="center"/>
          </w:tcPr>
          <w:p w14:paraId="6F2AE9C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商务</w:t>
            </w:r>
            <w:r>
              <w:rPr>
                <w:rFonts w:hint="eastAsia" w:ascii="宋体" w:hAnsi="宋体" w:eastAsia="宋体" w:cs="宋体"/>
                <w:bCs/>
                <w:color w:val="auto"/>
                <w:szCs w:val="21"/>
                <w:highlight w:val="none"/>
                <w:lang w:eastAsia="zh-CN"/>
              </w:rPr>
              <w:t>分</w:t>
            </w:r>
          </w:p>
        </w:tc>
        <w:tc>
          <w:tcPr>
            <w:tcW w:w="6973" w:type="dxa"/>
            <w:noWrap w:val="0"/>
            <w:vAlign w:val="top"/>
          </w:tcPr>
          <w:p w14:paraId="2A4A320D">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1.信誉分</w:t>
            </w:r>
          </w:p>
          <w:p w14:paraId="4E289FB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供应商通过ISO质量管理体系认证、职业健康安全管理体系认证且认证范围与本项目洗涤服务或人力资源服务相关的，一个认证得1分，</w:t>
            </w:r>
            <w:r>
              <w:rPr>
                <w:rFonts w:hint="eastAsia" w:ascii="宋体" w:hAnsi="宋体" w:eastAsia="宋体" w:cs="宋体"/>
                <w:color w:val="auto"/>
                <w:highlight w:val="none"/>
                <w:lang w:val="en-US" w:eastAsia="zh-CN"/>
              </w:rPr>
              <w:t>满分</w:t>
            </w:r>
            <w:r>
              <w:rPr>
                <w:rFonts w:hint="default" w:ascii="宋体" w:hAnsi="宋体" w:eastAsia="宋体" w:cs="宋体"/>
                <w:color w:val="auto"/>
                <w:highlight w:val="none"/>
                <w:lang w:val="en-US" w:eastAsia="zh-CN"/>
              </w:rPr>
              <w:t>2分。（提供证书复印件及认监委官网在有效期内的查询结果截图）</w:t>
            </w:r>
          </w:p>
        </w:tc>
        <w:tc>
          <w:tcPr>
            <w:tcW w:w="957" w:type="dxa"/>
            <w:noWrap w:val="0"/>
            <w:vAlign w:val="center"/>
          </w:tcPr>
          <w:p w14:paraId="41C49E7A">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2分</w:t>
            </w:r>
          </w:p>
        </w:tc>
      </w:tr>
      <w:tr w14:paraId="6AED8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vMerge w:val="continue"/>
            <w:noWrap w:val="0"/>
            <w:vAlign w:val="center"/>
          </w:tcPr>
          <w:p w14:paraId="367662B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lang w:val="en-US" w:eastAsia="zh-CN"/>
              </w:rPr>
            </w:pPr>
            <w:bookmarkStart w:id="106" w:name="_Toc80205935"/>
          </w:p>
        </w:tc>
        <w:tc>
          <w:tcPr>
            <w:tcW w:w="1086" w:type="dxa"/>
            <w:vMerge w:val="continue"/>
            <w:noWrap w:val="0"/>
            <w:vAlign w:val="center"/>
          </w:tcPr>
          <w:p w14:paraId="30EC64F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highlight w:val="none"/>
              </w:rPr>
            </w:pPr>
          </w:p>
        </w:tc>
        <w:tc>
          <w:tcPr>
            <w:tcW w:w="6973" w:type="dxa"/>
            <w:noWrap w:val="0"/>
            <w:vAlign w:val="top"/>
          </w:tcPr>
          <w:p w14:paraId="1A38E7D1">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2.业绩分</w:t>
            </w:r>
          </w:p>
          <w:p w14:paraId="4F4D5299">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宋体" w:hAnsi="宋体" w:eastAsia="宋体" w:cs="宋体"/>
                <w:color w:val="auto"/>
                <w:highlight w:val="none"/>
                <w:lang w:val="en-US" w:eastAsia="zh-CN"/>
              </w:rPr>
            </w:pPr>
            <w:r>
              <w:rPr>
                <w:rFonts w:hint="eastAsia" w:ascii="宋体" w:hAnsi="宋体" w:cs="宋体"/>
                <w:color w:val="auto"/>
                <w:szCs w:val="20"/>
                <w:highlight w:val="none"/>
              </w:rPr>
              <w:t>20</w:t>
            </w:r>
            <w:r>
              <w:rPr>
                <w:rFonts w:hint="eastAsia" w:ascii="宋体" w:hAnsi="宋体" w:cs="宋体"/>
                <w:color w:val="auto"/>
                <w:szCs w:val="20"/>
                <w:highlight w:val="none"/>
                <w:lang w:val="en-US" w:eastAsia="zh-CN"/>
              </w:rPr>
              <w:t>22</w:t>
            </w:r>
            <w:r>
              <w:rPr>
                <w:rFonts w:hint="eastAsia" w:ascii="宋体" w:hAnsi="宋体" w:cs="宋体"/>
                <w:color w:val="auto"/>
                <w:szCs w:val="20"/>
                <w:highlight w:val="none"/>
              </w:rPr>
              <w:t>年1月1日以来，供应商有同类或类似项目</w:t>
            </w:r>
            <w:r>
              <w:rPr>
                <w:rFonts w:hint="eastAsia" w:ascii="宋体" w:hAnsi="宋体" w:cs="宋体"/>
                <w:color w:val="auto"/>
                <w:szCs w:val="20"/>
                <w:highlight w:val="none"/>
                <w:lang w:eastAsia="zh-CN"/>
              </w:rPr>
              <w:t>（</w:t>
            </w:r>
            <w:r>
              <w:rPr>
                <w:rFonts w:hint="eastAsia" w:ascii="宋体" w:hAnsi="宋体" w:cs="宋体"/>
                <w:color w:val="auto"/>
                <w:szCs w:val="20"/>
                <w:highlight w:val="none"/>
                <w:lang w:val="en-US" w:eastAsia="zh-CN"/>
              </w:rPr>
              <w:t>指公寓宿舍服务或</w:t>
            </w:r>
            <w:r>
              <w:rPr>
                <w:rFonts w:hint="eastAsia" w:ascii="宋体" w:hAnsi="宋体" w:cs="宋体"/>
                <w:color w:val="auto"/>
                <w:szCs w:val="20"/>
                <w:highlight w:val="none"/>
                <w:lang w:eastAsia="zh-CN"/>
              </w:rPr>
              <w:t>布草洗涤的服务项目）</w:t>
            </w:r>
            <w:r>
              <w:rPr>
                <w:rFonts w:hint="eastAsia" w:ascii="宋体" w:hAnsi="宋体" w:cs="宋体"/>
                <w:color w:val="auto"/>
                <w:szCs w:val="20"/>
                <w:highlight w:val="none"/>
              </w:rPr>
              <w:t>业绩的，每项业绩得</w:t>
            </w:r>
            <w:r>
              <w:rPr>
                <w:rFonts w:hint="eastAsia" w:ascii="宋体" w:hAnsi="宋体" w:cs="宋体"/>
                <w:color w:val="auto"/>
                <w:szCs w:val="20"/>
                <w:highlight w:val="none"/>
                <w:lang w:val="en-US" w:eastAsia="zh-CN"/>
              </w:rPr>
              <w:t>1</w:t>
            </w:r>
            <w:r>
              <w:rPr>
                <w:rFonts w:hint="eastAsia" w:ascii="宋体" w:hAnsi="宋体" w:cs="宋体"/>
                <w:color w:val="auto"/>
                <w:szCs w:val="20"/>
                <w:highlight w:val="none"/>
              </w:rPr>
              <w:t>分，</w:t>
            </w:r>
            <w:r>
              <w:rPr>
                <w:rFonts w:hint="eastAsia" w:ascii="宋体" w:hAnsi="宋体" w:cs="宋体"/>
                <w:color w:val="auto"/>
                <w:szCs w:val="20"/>
                <w:highlight w:val="none"/>
                <w:lang w:val="en-US" w:eastAsia="zh-CN"/>
              </w:rPr>
              <w:t>最多</w:t>
            </w:r>
            <w:r>
              <w:rPr>
                <w:rFonts w:hint="eastAsia" w:ascii="宋体" w:hAnsi="宋体" w:cs="宋体"/>
                <w:color w:val="auto"/>
                <w:szCs w:val="20"/>
                <w:highlight w:val="none"/>
              </w:rPr>
              <w:t>满分</w:t>
            </w:r>
            <w:r>
              <w:rPr>
                <w:rFonts w:hint="eastAsia" w:ascii="宋体" w:hAnsi="宋体" w:cs="宋体"/>
                <w:color w:val="auto"/>
                <w:szCs w:val="20"/>
                <w:highlight w:val="none"/>
                <w:lang w:val="en-US" w:eastAsia="zh-CN"/>
              </w:rPr>
              <w:t>3</w:t>
            </w:r>
            <w:r>
              <w:rPr>
                <w:rFonts w:hint="eastAsia" w:ascii="宋体" w:hAnsi="宋体" w:cs="宋体"/>
                <w:color w:val="auto"/>
                <w:szCs w:val="20"/>
                <w:highlight w:val="none"/>
              </w:rPr>
              <w:t>分。</w:t>
            </w:r>
            <w:r>
              <w:rPr>
                <w:rFonts w:hint="eastAsia" w:ascii="宋体" w:hAnsi="宋体" w:cs="宋体"/>
                <w:color w:val="auto"/>
                <w:szCs w:val="20"/>
                <w:highlight w:val="none"/>
                <w:lang w:eastAsia="zh-CN"/>
              </w:rPr>
              <w:t>【</w:t>
            </w:r>
            <w:r>
              <w:rPr>
                <w:rFonts w:hint="eastAsia" w:ascii="宋体" w:hAnsi="宋体" w:cs="宋体"/>
                <w:color w:val="auto"/>
                <w:szCs w:val="20"/>
                <w:highlight w:val="none"/>
                <w:lang w:val="en-US" w:eastAsia="zh-CN"/>
              </w:rPr>
              <w:t>提供</w:t>
            </w:r>
            <w:r>
              <w:rPr>
                <w:rFonts w:hint="eastAsia" w:ascii="宋体" w:hAnsi="宋体" w:cs="宋体"/>
                <w:color w:val="auto"/>
                <w:szCs w:val="20"/>
                <w:highlight w:val="none"/>
              </w:rPr>
              <w:t>合同或</w:t>
            </w:r>
            <w:r>
              <w:rPr>
                <w:rFonts w:hint="eastAsia"/>
                <w:color w:val="auto"/>
                <w:highlight w:val="none"/>
                <w:lang w:val="en-US" w:eastAsia="zh-CN"/>
              </w:rPr>
              <w:t>中标（成交）</w:t>
            </w:r>
            <w:r>
              <w:rPr>
                <w:rFonts w:hint="eastAsia" w:ascii="宋体" w:hAnsi="宋体" w:cs="宋体"/>
                <w:color w:val="auto"/>
                <w:szCs w:val="20"/>
                <w:highlight w:val="none"/>
              </w:rPr>
              <w:t>通知书</w:t>
            </w:r>
            <w:r>
              <w:rPr>
                <w:rFonts w:hint="eastAsia" w:ascii="宋体" w:hAnsi="宋体" w:cs="宋体"/>
                <w:color w:val="auto"/>
                <w:szCs w:val="20"/>
                <w:highlight w:val="none"/>
                <w:lang w:val="en-US" w:eastAsia="zh-CN"/>
              </w:rPr>
              <w:t>复印件</w:t>
            </w:r>
            <w:r>
              <w:rPr>
                <w:rFonts w:hint="eastAsia" w:ascii="宋体" w:hAnsi="宋体" w:cs="宋体"/>
                <w:color w:val="auto"/>
                <w:szCs w:val="20"/>
                <w:highlight w:val="none"/>
                <w:lang w:eastAsia="zh-CN"/>
              </w:rPr>
              <w:t>】</w:t>
            </w:r>
            <w:r>
              <w:rPr>
                <w:rFonts w:hint="eastAsia" w:ascii="宋体" w:hAnsi="宋体" w:cs="宋体"/>
                <w:color w:val="auto"/>
                <w:szCs w:val="20"/>
                <w:highlight w:val="none"/>
              </w:rPr>
              <w:t>。</w:t>
            </w:r>
          </w:p>
        </w:tc>
        <w:tc>
          <w:tcPr>
            <w:tcW w:w="957" w:type="dxa"/>
            <w:noWrap w:val="0"/>
            <w:vAlign w:val="center"/>
          </w:tcPr>
          <w:p w14:paraId="4DE5F63F">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3分</w:t>
            </w:r>
          </w:p>
        </w:tc>
      </w:tr>
    </w:tbl>
    <w:p w14:paraId="46AE219D">
      <w:pPr>
        <w:spacing w:line="360" w:lineRule="auto"/>
        <w:ind w:firstLine="420" w:firstLineChars="200"/>
        <w:rPr>
          <w:rFonts w:hint="eastAsia" w:ascii="宋体" w:hAnsi="宋体" w:eastAsia="宋体" w:cs="宋体"/>
          <w:color w:val="auto"/>
          <w:highlight w:val="none"/>
        </w:rPr>
      </w:pPr>
    </w:p>
    <w:p w14:paraId="7CF55A7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7.2终止竞争性磋商采购活动</w:t>
      </w:r>
    </w:p>
    <w:p w14:paraId="5ED6905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44698108">
      <w:pPr>
        <w:pStyle w:val="3"/>
        <w:spacing w:before="0" w:after="0" w:line="360" w:lineRule="auto"/>
        <w:ind w:firstLine="640" w:firstLineChars="200"/>
        <w:jc w:val="center"/>
        <w:rPr>
          <w:rFonts w:hint="eastAsia" w:ascii="宋体" w:hAnsi="宋体" w:eastAsia="宋体" w:cs="宋体"/>
          <w:b w:val="0"/>
          <w:color w:val="auto"/>
          <w:highlight w:val="none"/>
        </w:rPr>
      </w:pPr>
      <w:bookmarkStart w:id="107" w:name="_Toc80886939"/>
      <w:bookmarkStart w:id="108" w:name="_Toc11595"/>
      <w:bookmarkStart w:id="109" w:name="_Toc22545"/>
    </w:p>
    <w:p w14:paraId="4BFE9473">
      <w:pPr>
        <w:pStyle w:val="3"/>
        <w:spacing w:before="0" w:after="0" w:line="360" w:lineRule="auto"/>
        <w:ind w:firstLine="640" w:firstLineChars="200"/>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第二节 评</w:t>
      </w:r>
      <w:r>
        <w:rPr>
          <w:rFonts w:hint="eastAsia" w:ascii="宋体" w:hAnsi="宋体" w:eastAsia="宋体" w:cs="宋体"/>
          <w:b w:val="0"/>
          <w:color w:val="auto"/>
          <w:highlight w:val="none"/>
          <w:lang w:eastAsia="zh-CN"/>
        </w:rPr>
        <w:t>审</w:t>
      </w:r>
      <w:r>
        <w:rPr>
          <w:rFonts w:hint="eastAsia" w:ascii="宋体" w:hAnsi="宋体" w:eastAsia="宋体" w:cs="宋体"/>
          <w:b w:val="0"/>
          <w:color w:val="auto"/>
          <w:highlight w:val="none"/>
        </w:rPr>
        <w:t>报告</w:t>
      </w:r>
      <w:bookmarkEnd w:id="106"/>
      <w:bookmarkEnd w:id="107"/>
      <w:bookmarkEnd w:id="108"/>
      <w:bookmarkEnd w:id="109"/>
    </w:p>
    <w:p w14:paraId="22D3DC3B">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218676D4">
      <w:pPr>
        <w:spacing w:line="360" w:lineRule="auto"/>
        <w:ind w:firstLine="420" w:firstLineChars="200"/>
        <w:rPr>
          <w:rFonts w:hint="eastAsia" w:ascii="宋体" w:hAnsi="宋体" w:eastAsia="宋体" w:cs="宋体"/>
          <w:bCs w:val="0"/>
          <w:color w:val="auto"/>
          <w:kern w:val="0"/>
          <w:szCs w:val="21"/>
          <w:highlight w:val="none"/>
        </w:rPr>
      </w:pPr>
      <w:r>
        <w:rPr>
          <w:rFonts w:hint="eastAsia" w:ascii="宋体" w:hAnsi="宋体" w:eastAsia="宋体" w:cs="宋体"/>
          <w:color w:val="auto"/>
          <w:kern w:val="0"/>
          <w:sz w:val="21"/>
          <w:szCs w:val="21"/>
          <w:highlight w:val="none"/>
        </w:rPr>
        <w:t>磋商小组根据综合评分情况，按照评审得分由高到低顺序推荐3名以上成交候选供应商，并编写评审报告。</w:t>
      </w:r>
      <w:r>
        <w:rPr>
          <w:rFonts w:hint="eastAsia" w:ascii="宋体" w:hAnsi="宋体" w:eastAsia="宋体" w:cs="宋体"/>
          <w:color w:val="auto"/>
          <w:kern w:val="0"/>
          <w:szCs w:val="21"/>
          <w:highlight w:val="none"/>
        </w:rPr>
        <w:t>符合本章第</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.3条情形的</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 w:val="21"/>
          <w:szCs w:val="21"/>
          <w:highlight w:val="none"/>
        </w:rPr>
        <w:t>可以推荐2家成交候选供应商。评审得分相同的，按照最后报价由低到高的顺序推荐</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评审得分且最后报价相同的，按照</w:t>
      </w:r>
      <w:r>
        <w:rPr>
          <w:rFonts w:hint="eastAsia" w:ascii="宋体" w:hAnsi="宋体" w:eastAsia="宋体" w:cs="宋体"/>
          <w:color w:val="auto"/>
          <w:kern w:val="0"/>
          <w:sz w:val="21"/>
          <w:szCs w:val="21"/>
          <w:highlight w:val="none"/>
          <w:u w:val="none"/>
        </w:rPr>
        <w:t>技术指标</w:t>
      </w:r>
      <w:r>
        <w:rPr>
          <w:rFonts w:hint="eastAsia" w:ascii="宋体" w:hAnsi="宋体" w:eastAsia="宋体" w:cs="宋体"/>
          <w:color w:val="auto"/>
          <w:kern w:val="0"/>
          <w:sz w:val="21"/>
          <w:szCs w:val="21"/>
          <w:highlight w:val="none"/>
          <w:u w:val="none"/>
          <w:lang w:eastAsia="zh-CN"/>
        </w:rPr>
        <w:t>、</w:t>
      </w:r>
      <w:r>
        <w:rPr>
          <w:rFonts w:hint="eastAsia" w:ascii="宋体" w:hAnsi="宋体" w:eastAsia="宋体" w:cs="宋体"/>
          <w:color w:val="auto"/>
          <w:kern w:val="0"/>
          <w:sz w:val="21"/>
          <w:szCs w:val="21"/>
          <w:highlight w:val="none"/>
          <w:u w:val="none"/>
          <w:lang w:val="en-US" w:eastAsia="zh-CN"/>
        </w:rPr>
        <w:t>商务指标</w:t>
      </w:r>
      <w:r>
        <w:rPr>
          <w:rFonts w:hint="eastAsia" w:ascii="宋体" w:hAnsi="宋体" w:eastAsia="宋体" w:cs="宋体"/>
          <w:color w:val="auto"/>
          <w:kern w:val="0"/>
          <w:sz w:val="21"/>
          <w:szCs w:val="21"/>
          <w:highlight w:val="none"/>
        </w:rPr>
        <w:t>优劣顺序推荐</w:t>
      </w:r>
      <w:r>
        <w:rPr>
          <w:rFonts w:hint="eastAsia" w:ascii="宋体" w:hAnsi="宋体" w:eastAsia="宋体" w:cs="宋体"/>
          <w:color w:val="auto"/>
          <w:kern w:val="0"/>
          <w:sz w:val="21"/>
          <w:szCs w:val="21"/>
          <w:highlight w:val="none"/>
          <w:lang w:eastAsia="zh-CN"/>
        </w:rPr>
        <w:t>；</w:t>
      </w:r>
      <w:r>
        <w:rPr>
          <w:rFonts w:hint="eastAsia" w:ascii="宋体" w:hAnsi="宋体" w:eastAsia="宋体" w:cs="宋体"/>
          <w:bCs w:val="0"/>
          <w:color w:val="auto"/>
          <w:kern w:val="0"/>
          <w:szCs w:val="21"/>
          <w:highlight w:val="none"/>
          <w:lang w:eastAsia="zh-CN"/>
        </w:rPr>
        <w:t>技术</w:t>
      </w:r>
      <w:r>
        <w:rPr>
          <w:rFonts w:hint="eastAsia" w:ascii="宋体" w:hAnsi="宋体" w:eastAsia="宋体" w:cs="宋体"/>
          <w:bCs w:val="0"/>
          <w:strike w:val="0"/>
          <w:color w:val="auto"/>
          <w:kern w:val="0"/>
          <w:szCs w:val="21"/>
          <w:highlight w:val="none"/>
          <w:lang w:eastAsia="zh-CN"/>
        </w:rPr>
        <w:t>指标仍相同的</w:t>
      </w:r>
      <w:r>
        <w:rPr>
          <w:rFonts w:hint="eastAsia" w:ascii="宋体" w:hAnsi="宋体" w:eastAsia="宋体" w:cs="宋体"/>
          <w:bCs w:val="0"/>
          <w:color w:val="auto"/>
          <w:kern w:val="0"/>
          <w:szCs w:val="21"/>
          <w:highlight w:val="none"/>
        </w:rPr>
        <w:t>，由磋商小组随机抽取推荐。</w:t>
      </w:r>
    </w:p>
    <w:p w14:paraId="4971E66E">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w:t>
      </w:r>
      <w:r>
        <w:rPr>
          <w:rFonts w:hint="eastAsia" w:ascii="宋体" w:hAnsi="宋体" w:eastAsia="宋体" w:cs="宋体"/>
          <w:color w:val="auto"/>
          <w:sz w:val="24"/>
          <w:szCs w:val="32"/>
          <w:highlight w:val="none"/>
          <w:lang w:eastAsia="zh-CN"/>
        </w:rPr>
        <w:t>评审</w:t>
      </w:r>
      <w:r>
        <w:rPr>
          <w:rFonts w:hint="eastAsia" w:ascii="宋体" w:hAnsi="宋体" w:eastAsia="宋体" w:cs="宋体"/>
          <w:color w:val="auto"/>
          <w:sz w:val="24"/>
          <w:szCs w:val="32"/>
          <w:highlight w:val="none"/>
        </w:rPr>
        <w:t>争议事项处理</w:t>
      </w:r>
    </w:p>
    <w:p w14:paraId="715FB16D">
      <w:pPr>
        <w:pStyle w:val="60"/>
        <w:spacing w:before="0"/>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w:t>
      </w:r>
      <w:r>
        <w:rPr>
          <w:rFonts w:hint="eastAsia" w:ascii="宋体" w:hAnsi="宋体" w:eastAsia="宋体" w:cs="宋体"/>
          <w:color w:val="auto"/>
          <w:kern w:val="2"/>
          <w:sz w:val="21"/>
          <w:szCs w:val="24"/>
          <w:highlight w:val="none"/>
          <w:lang w:eastAsia="zh-CN"/>
        </w:rPr>
        <w:t>审</w:t>
      </w:r>
      <w:r>
        <w:rPr>
          <w:rFonts w:hint="eastAsia" w:ascii="宋体" w:hAnsi="宋体" w:eastAsia="宋体" w:cs="宋体"/>
          <w:color w:val="auto"/>
          <w:kern w:val="2"/>
          <w:sz w:val="21"/>
          <w:szCs w:val="24"/>
          <w:highlight w:val="none"/>
        </w:rPr>
        <w:t>报告上签署不同意见及理由，否则视为同意评</w:t>
      </w:r>
      <w:r>
        <w:rPr>
          <w:rFonts w:hint="eastAsia" w:ascii="宋体" w:hAnsi="宋体" w:eastAsia="宋体" w:cs="宋体"/>
          <w:color w:val="auto"/>
          <w:kern w:val="2"/>
          <w:sz w:val="21"/>
          <w:szCs w:val="24"/>
          <w:highlight w:val="none"/>
          <w:lang w:eastAsia="zh-CN"/>
        </w:rPr>
        <w:t>审</w:t>
      </w:r>
      <w:r>
        <w:rPr>
          <w:rFonts w:hint="eastAsia" w:ascii="宋体" w:hAnsi="宋体" w:eastAsia="宋体" w:cs="宋体"/>
          <w:color w:val="auto"/>
          <w:kern w:val="2"/>
          <w:sz w:val="21"/>
          <w:szCs w:val="24"/>
          <w:highlight w:val="none"/>
        </w:rPr>
        <w:t>报告。</w:t>
      </w:r>
      <w:bookmarkStart w:id="110" w:name="_Toc20045"/>
      <w:bookmarkStart w:id="111" w:name="_Toc2025"/>
      <w:bookmarkStart w:id="112" w:name="_Toc80886940"/>
      <w:bookmarkStart w:id="113" w:name="_Toc80205936"/>
    </w:p>
    <w:p w14:paraId="02F4EBFC">
      <w:pPr>
        <w:pStyle w:val="60"/>
        <w:spacing w:before="0"/>
        <w:ind w:firstLine="420"/>
        <w:rPr>
          <w:rFonts w:hint="eastAsia" w:ascii="宋体" w:hAnsi="宋体" w:eastAsia="宋体" w:cs="宋体"/>
          <w:color w:val="auto"/>
          <w:kern w:val="2"/>
          <w:sz w:val="21"/>
          <w:szCs w:val="24"/>
          <w:highlight w:val="none"/>
        </w:rPr>
      </w:pPr>
    </w:p>
    <w:p w14:paraId="3C76F2EE">
      <w:pPr>
        <w:pStyle w:val="60"/>
        <w:spacing w:before="0"/>
        <w:ind w:firstLine="420"/>
        <w:rPr>
          <w:rFonts w:hint="eastAsia" w:ascii="宋体" w:hAnsi="宋体" w:eastAsia="宋体" w:cs="宋体"/>
          <w:color w:val="auto"/>
          <w:kern w:val="2"/>
          <w:sz w:val="21"/>
          <w:szCs w:val="24"/>
          <w:highlight w:val="none"/>
        </w:rPr>
      </w:pPr>
    </w:p>
    <w:p w14:paraId="789B20CE">
      <w:pPr>
        <w:pStyle w:val="3"/>
        <w:spacing w:before="0" w:after="0" w:line="360" w:lineRule="auto"/>
        <w:ind w:firstLine="640" w:firstLineChars="200"/>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第三节 评审过程的保密与录像</w:t>
      </w:r>
      <w:bookmarkEnd w:id="110"/>
      <w:bookmarkEnd w:id="111"/>
      <w:bookmarkEnd w:id="112"/>
      <w:bookmarkEnd w:id="113"/>
    </w:p>
    <w:p w14:paraId="5EFC3E22">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0FFD468B">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评审活动在严格保密的情况下进行。评审过程中凡是与响应文件评审和比较、成交供应商推荐等评审有关的情况，以及涉及国家秘密和商业秘密等信息，</w:t>
      </w:r>
      <w:r>
        <w:rPr>
          <w:rFonts w:hint="eastAsia" w:ascii="宋体" w:hAnsi="宋体" w:eastAsia="宋体" w:cs="宋体"/>
          <w:color w:val="auto"/>
          <w:kern w:val="2"/>
          <w:sz w:val="21"/>
          <w:szCs w:val="24"/>
          <w:highlight w:val="none"/>
        </w:rPr>
        <w:t>磋商小组成员</w:t>
      </w:r>
      <w:r>
        <w:rPr>
          <w:rFonts w:hint="eastAsia" w:ascii="宋体" w:hAnsi="宋体" w:eastAsia="宋体" w:cs="宋体"/>
          <w:color w:val="auto"/>
          <w:highlight w:val="none"/>
        </w:rPr>
        <w:t>、采购人和采购</w:t>
      </w:r>
      <w:r>
        <w:rPr>
          <w:rFonts w:hint="eastAsia" w:ascii="宋体" w:hAnsi="宋体" w:eastAsia="宋体" w:cs="宋体"/>
          <w:color w:val="auto"/>
          <w:highlight w:val="none"/>
          <w:lang w:eastAsia="zh-CN"/>
        </w:rPr>
        <w:t>代理</w:t>
      </w:r>
      <w:r>
        <w:rPr>
          <w:rFonts w:hint="eastAsia" w:ascii="宋体" w:hAnsi="宋体" w:eastAsia="宋体" w:cs="宋体"/>
          <w:color w:val="auto"/>
          <w:highlight w:val="none"/>
        </w:rPr>
        <w:t>机构工作人员、相关监督人员等与评审有关的人员应当予以保密。</w:t>
      </w:r>
    </w:p>
    <w:p w14:paraId="74752A55">
      <w:pPr>
        <w:widowControl/>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1D51533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2B1E1A5B">
      <w:pPr>
        <w:spacing w:line="400" w:lineRule="exact"/>
        <w:ind w:firstLine="420" w:firstLineChars="200"/>
        <w:rPr>
          <w:rFonts w:hint="eastAsia" w:ascii="宋体" w:hAnsi="宋体" w:eastAsia="宋体" w:cs="宋体"/>
          <w:color w:val="auto"/>
          <w:highlight w:val="none"/>
        </w:rPr>
      </w:pPr>
    </w:p>
    <w:p w14:paraId="7B1C63C4">
      <w:pPr>
        <w:spacing w:line="400" w:lineRule="exact"/>
        <w:ind w:firstLine="420" w:firstLineChars="200"/>
        <w:rPr>
          <w:rFonts w:hint="eastAsia" w:ascii="宋体" w:hAnsi="宋体" w:eastAsia="宋体" w:cs="宋体"/>
          <w:color w:val="auto"/>
          <w:highlight w:val="none"/>
        </w:rPr>
      </w:pPr>
    </w:p>
    <w:p w14:paraId="24051B90">
      <w:pPr>
        <w:pStyle w:val="3"/>
        <w:rPr>
          <w:rFonts w:hint="eastAsia" w:ascii="宋体" w:hAnsi="宋体" w:eastAsia="宋体" w:cs="宋体"/>
          <w:color w:val="auto"/>
          <w:highlight w:val="none"/>
        </w:rPr>
      </w:pPr>
    </w:p>
    <w:p w14:paraId="27EA4E95">
      <w:pPr>
        <w:pStyle w:val="3"/>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E4FB3AB">
      <w:pPr>
        <w:pStyle w:val="3"/>
        <w:jc w:val="center"/>
        <w:rPr>
          <w:rFonts w:hint="eastAsia" w:ascii="宋体" w:hAnsi="宋体" w:eastAsia="宋体" w:cs="宋体"/>
          <w:color w:val="auto"/>
          <w:highlight w:val="none"/>
        </w:rPr>
      </w:pPr>
    </w:p>
    <w:p w14:paraId="4F872034">
      <w:pPr>
        <w:pStyle w:val="3"/>
        <w:jc w:val="center"/>
        <w:rPr>
          <w:rFonts w:hint="eastAsia" w:ascii="宋体" w:hAnsi="宋体" w:eastAsia="宋体" w:cs="宋体"/>
          <w:color w:val="auto"/>
          <w:highlight w:val="none"/>
        </w:rPr>
      </w:pPr>
    </w:p>
    <w:p w14:paraId="37D6E465">
      <w:pPr>
        <w:pStyle w:val="3"/>
        <w:jc w:val="center"/>
        <w:rPr>
          <w:rFonts w:hint="eastAsia" w:ascii="宋体" w:hAnsi="宋体" w:eastAsia="宋体" w:cs="宋体"/>
          <w:color w:val="auto"/>
          <w:highlight w:val="none"/>
        </w:rPr>
      </w:pPr>
    </w:p>
    <w:p w14:paraId="4030A370">
      <w:pPr>
        <w:pStyle w:val="3"/>
        <w:jc w:val="center"/>
        <w:rPr>
          <w:rFonts w:hint="eastAsia" w:ascii="宋体" w:hAnsi="宋体" w:eastAsia="宋体" w:cs="宋体"/>
          <w:color w:val="auto"/>
          <w:highlight w:val="none"/>
        </w:rPr>
      </w:pPr>
    </w:p>
    <w:p w14:paraId="146AFCBD">
      <w:pPr>
        <w:pStyle w:val="3"/>
        <w:jc w:val="center"/>
        <w:rPr>
          <w:rFonts w:hint="eastAsia" w:ascii="宋体" w:hAnsi="宋体" w:eastAsia="宋体" w:cs="宋体"/>
          <w:color w:val="auto"/>
          <w:highlight w:val="none"/>
        </w:rPr>
      </w:pPr>
    </w:p>
    <w:p w14:paraId="13A6F846">
      <w:pPr>
        <w:pStyle w:val="2"/>
        <w:jc w:val="center"/>
        <w:rPr>
          <w:rFonts w:hint="eastAsia" w:ascii="宋体" w:hAnsi="宋体" w:eastAsia="宋体" w:cs="宋体"/>
          <w:color w:val="auto"/>
          <w:highlight w:val="none"/>
        </w:rPr>
        <w:sectPr>
          <w:pgSz w:w="11911" w:h="16838"/>
          <w:pgMar w:top="1134" w:right="1134" w:bottom="1134" w:left="1134" w:header="720" w:footer="720" w:gutter="0"/>
          <w:pgNumType w:fmt="decimal"/>
          <w:cols w:space="720" w:num="1"/>
        </w:sectPr>
      </w:pPr>
      <w:bookmarkStart w:id="114" w:name="_Toc12890"/>
      <w:bookmarkStart w:id="115" w:name="_Toc26272"/>
      <w:bookmarkStart w:id="116" w:name="_Toc17404"/>
      <w:bookmarkStart w:id="117" w:name="_Toc5005"/>
      <w:bookmarkStart w:id="118" w:name="_Toc7776"/>
      <w:bookmarkStart w:id="119" w:name="_Toc22302"/>
      <w:bookmarkStart w:id="120" w:name="_Toc27282"/>
      <w:bookmarkStart w:id="121" w:name="_Toc80886941"/>
      <w:r>
        <w:rPr>
          <w:rFonts w:hint="eastAsia" w:ascii="宋体" w:hAnsi="宋体" w:eastAsia="宋体" w:cs="宋体"/>
          <w:color w:val="auto"/>
          <w:highlight w:val="none"/>
        </w:rPr>
        <w:t>第五章 响应文件格式</w:t>
      </w:r>
      <w:bookmarkEnd w:id="114"/>
      <w:bookmarkEnd w:id="115"/>
      <w:bookmarkEnd w:id="116"/>
      <w:bookmarkEnd w:id="117"/>
      <w:bookmarkEnd w:id="118"/>
      <w:bookmarkEnd w:id="119"/>
      <w:bookmarkEnd w:id="120"/>
      <w:bookmarkEnd w:id="121"/>
    </w:p>
    <w:p w14:paraId="466783C2">
      <w:pPr>
        <w:pStyle w:val="3"/>
        <w:jc w:val="center"/>
        <w:rPr>
          <w:rFonts w:hint="eastAsia" w:ascii="宋体" w:hAnsi="宋体" w:eastAsia="宋体" w:cs="宋体"/>
          <w:bCs w:val="0"/>
          <w:color w:val="auto"/>
          <w:highlight w:val="none"/>
        </w:rPr>
      </w:pPr>
      <w:bookmarkStart w:id="122" w:name="_Toc80886943"/>
      <w:bookmarkStart w:id="123" w:name="_Toc80205939"/>
      <w:bookmarkStart w:id="124" w:name="_Toc12994"/>
      <w:bookmarkStart w:id="125" w:name="_Toc22245"/>
      <w:r>
        <w:rPr>
          <w:rFonts w:hint="eastAsia" w:ascii="宋体" w:hAnsi="宋体" w:eastAsia="宋体" w:cs="宋体"/>
          <w:bCs w:val="0"/>
          <w:color w:val="auto"/>
          <w:highlight w:val="none"/>
        </w:rPr>
        <w:t>第</w:t>
      </w:r>
      <w:r>
        <w:rPr>
          <w:rFonts w:hint="eastAsia" w:ascii="宋体" w:hAnsi="宋体" w:eastAsia="宋体" w:cs="宋体"/>
          <w:bCs w:val="0"/>
          <w:color w:val="auto"/>
          <w:highlight w:val="none"/>
          <w:lang w:eastAsia="zh-CN"/>
        </w:rPr>
        <w:t>一</w:t>
      </w:r>
      <w:r>
        <w:rPr>
          <w:rFonts w:hint="eastAsia" w:ascii="宋体" w:hAnsi="宋体" w:eastAsia="宋体" w:cs="宋体"/>
          <w:bCs w:val="0"/>
          <w:color w:val="auto"/>
          <w:highlight w:val="none"/>
        </w:rPr>
        <w:t>节 资格文件格式</w:t>
      </w:r>
      <w:bookmarkEnd w:id="122"/>
      <w:bookmarkEnd w:id="123"/>
      <w:bookmarkEnd w:id="124"/>
      <w:bookmarkEnd w:id="125"/>
    </w:p>
    <w:p w14:paraId="0E39842D">
      <w:pPr>
        <w:snapToGrid w:val="0"/>
        <w:spacing w:before="120" w:beforeLines="50" w:after="50"/>
        <w:jc w:val="left"/>
        <w:rPr>
          <w:rFonts w:hint="eastAsia" w:ascii="宋体" w:hAnsi="宋体" w:eastAsia="宋体" w:cs="宋体"/>
          <w:color w:val="auto"/>
          <w:sz w:val="24"/>
          <w:highlight w:val="none"/>
        </w:rPr>
      </w:pPr>
      <w:r>
        <w:rPr>
          <w:rFonts w:hint="eastAsia" w:ascii="宋体" w:hAnsi="宋体" w:eastAsia="宋体" w:cs="宋体"/>
          <w:b/>
          <w:bCs/>
          <w:color w:val="auto"/>
          <w:sz w:val="28"/>
          <w:szCs w:val="28"/>
          <w:highlight w:val="none"/>
          <w:lang w:val="en-US" w:eastAsia="zh-CN"/>
        </w:rPr>
        <w:t>1.资格文件封面的格式</w:t>
      </w:r>
      <w:r>
        <w:rPr>
          <w:rFonts w:hint="eastAsia" w:ascii="宋体" w:hAnsi="宋体" w:eastAsia="宋体" w:cs="宋体"/>
          <w:b/>
          <w:color w:val="auto"/>
          <w:sz w:val="28"/>
          <w:szCs w:val="28"/>
          <w:highlight w:val="none"/>
        </w:rPr>
        <w:t>（参照此格式自拟）</w:t>
      </w:r>
      <w:r>
        <w:rPr>
          <w:rFonts w:hint="eastAsia" w:ascii="宋体" w:hAnsi="宋体" w:eastAsia="宋体" w:cs="宋体"/>
          <w:b/>
          <w:bCs/>
          <w:color w:val="auto"/>
          <w:sz w:val="28"/>
          <w:szCs w:val="28"/>
          <w:highlight w:val="none"/>
          <w:lang w:val="en-US" w:eastAsia="zh-CN"/>
        </w:rPr>
        <w:t>：</w:t>
      </w:r>
      <w:r>
        <w:rPr>
          <w:rFonts w:hint="eastAsia" w:ascii="宋体" w:hAnsi="宋体" w:eastAsia="宋体" w:cs="宋体"/>
          <w:color w:val="auto"/>
          <w:sz w:val="24"/>
          <w:highlight w:val="none"/>
        </w:rPr>
        <w:t xml:space="preserve">                                      </w:t>
      </w:r>
    </w:p>
    <w:p w14:paraId="0950E100">
      <w:pPr>
        <w:snapToGrid w:val="0"/>
        <w:spacing w:before="120" w:beforeLines="50" w:after="50"/>
        <w:ind w:firstLine="6930" w:firstLineChars="3300"/>
        <w:rPr>
          <w:rFonts w:hint="eastAsia" w:ascii="宋体" w:hAnsi="宋体" w:eastAsia="宋体" w:cs="宋体"/>
          <w:bCs/>
          <w:color w:val="auto"/>
          <w:sz w:val="32"/>
          <w:szCs w:val="20"/>
          <w:highlight w:val="none"/>
        </w:rPr>
      </w:pPr>
      <w:r>
        <w:rPr>
          <w:rFonts w:hint="eastAsia" w:ascii="宋体" w:hAnsi="宋体" w:eastAsia="宋体" w:cs="宋体"/>
          <w:bCs/>
          <w:color w:val="auto"/>
          <w:highlight w:val="none"/>
        </w:rPr>
        <w:t>全流程电子文件</w:t>
      </w:r>
    </w:p>
    <w:p w14:paraId="31D17C51">
      <w:pPr>
        <w:snapToGrid w:val="0"/>
        <w:spacing w:before="120" w:beforeLines="50" w:after="50"/>
        <w:rPr>
          <w:rFonts w:hint="eastAsia" w:ascii="宋体" w:hAnsi="宋体" w:eastAsia="宋体" w:cs="宋体"/>
          <w:color w:val="auto"/>
          <w:sz w:val="24"/>
          <w:szCs w:val="20"/>
          <w:highlight w:val="none"/>
        </w:rPr>
      </w:pPr>
    </w:p>
    <w:p w14:paraId="026231EC">
      <w:pPr>
        <w:snapToGrid w:val="0"/>
        <w:spacing w:before="120" w:beforeLines="50" w:after="50"/>
        <w:rPr>
          <w:rFonts w:hint="eastAsia" w:ascii="宋体" w:hAnsi="宋体" w:eastAsia="宋体" w:cs="宋体"/>
          <w:color w:val="auto"/>
          <w:sz w:val="24"/>
          <w:szCs w:val="20"/>
          <w:highlight w:val="none"/>
        </w:rPr>
      </w:pPr>
    </w:p>
    <w:p w14:paraId="19B25351">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文  件</w:t>
      </w:r>
    </w:p>
    <w:p w14:paraId="6C9E5A2C">
      <w:pPr>
        <w:snapToGrid w:val="0"/>
        <w:spacing w:before="120" w:beforeLines="50" w:after="50"/>
        <w:rPr>
          <w:rFonts w:hint="eastAsia" w:ascii="宋体" w:hAnsi="宋体" w:eastAsia="宋体" w:cs="宋体"/>
          <w:bCs/>
          <w:color w:val="auto"/>
          <w:sz w:val="24"/>
          <w:szCs w:val="20"/>
          <w:highlight w:val="none"/>
        </w:rPr>
      </w:pPr>
    </w:p>
    <w:p w14:paraId="664C3416">
      <w:pPr>
        <w:snapToGrid w:val="0"/>
        <w:spacing w:before="120" w:beforeLines="50" w:after="50"/>
        <w:rPr>
          <w:rFonts w:hint="eastAsia" w:ascii="宋体" w:hAnsi="宋体" w:eastAsia="宋体" w:cs="宋体"/>
          <w:bCs/>
          <w:color w:val="auto"/>
          <w:sz w:val="24"/>
          <w:szCs w:val="20"/>
          <w:highlight w:val="none"/>
        </w:rPr>
      </w:pPr>
    </w:p>
    <w:p w14:paraId="60C5B5B1">
      <w:pPr>
        <w:snapToGrid w:val="0"/>
        <w:spacing w:before="120" w:beforeLines="50" w:after="50"/>
        <w:rPr>
          <w:rFonts w:hint="eastAsia" w:ascii="宋体" w:hAnsi="宋体" w:eastAsia="宋体" w:cs="宋体"/>
          <w:bCs/>
          <w:color w:val="auto"/>
          <w:sz w:val="24"/>
          <w:szCs w:val="20"/>
          <w:highlight w:val="none"/>
        </w:rPr>
      </w:pPr>
    </w:p>
    <w:p w14:paraId="0B50B962">
      <w:pPr>
        <w:snapToGrid w:val="0"/>
        <w:spacing w:before="120" w:beforeLines="50" w:after="50"/>
        <w:rPr>
          <w:rFonts w:hint="eastAsia" w:ascii="宋体" w:hAnsi="宋体" w:eastAsia="宋体" w:cs="宋体"/>
          <w:bCs/>
          <w:color w:val="auto"/>
          <w:sz w:val="24"/>
          <w:szCs w:val="20"/>
          <w:highlight w:val="none"/>
        </w:rPr>
      </w:pPr>
    </w:p>
    <w:p w14:paraId="210396B5">
      <w:pPr>
        <w:snapToGrid w:val="0"/>
        <w:spacing w:before="120" w:beforeLines="50" w:after="50"/>
        <w:rPr>
          <w:rFonts w:hint="eastAsia" w:ascii="宋体" w:hAnsi="宋体" w:eastAsia="宋体" w:cs="宋体"/>
          <w:bCs/>
          <w:color w:val="auto"/>
          <w:sz w:val="24"/>
          <w:szCs w:val="20"/>
          <w:highlight w:val="none"/>
        </w:rPr>
      </w:pPr>
    </w:p>
    <w:p w14:paraId="277D5EE4">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393AA7FA">
      <w:pPr>
        <w:snapToGrid w:val="0"/>
        <w:spacing w:before="120" w:beforeLines="50" w:after="50"/>
        <w:ind w:firstLine="720" w:firstLineChars="225"/>
        <w:rPr>
          <w:rFonts w:hint="eastAsia" w:ascii="宋体" w:hAnsi="宋体" w:eastAsia="宋体" w:cs="宋体"/>
          <w:bCs/>
          <w:color w:val="auto"/>
          <w:sz w:val="32"/>
          <w:szCs w:val="32"/>
          <w:highlight w:val="none"/>
        </w:rPr>
      </w:pPr>
    </w:p>
    <w:p w14:paraId="5CD98590">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240491F">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1123806D">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37818F07">
      <w:pPr>
        <w:snapToGrid w:val="0"/>
        <w:spacing w:before="120" w:beforeLines="50" w:after="50"/>
        <w:ind w:firstLine="720" w:firstLineChars="225"/>
        <w:rPr>
          <w:rFonts w:hint="eastAsia" w:ascii="宋体" w:hAnsi="宋体" w:eastAsia="宋体" w:cs="宋体"/>
          <w:bCs/>
          <w:color w:val="auto"/>
          <w:sz w:val="32"/>
          <w:szCs w:val="32"/>
          <w:highlight w:val="none"/>
        </w:rPr>
      </w:pPr>
    </w:p>
    <w:p w14:paraId="61033D64">
      <w:pPr>
        <w:pStyle w:val="6"/>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64C3319B">
      <w:pPr>
        <w:pStyle w:val="6"/>
        <w:snapToGrid w:val="0"/>
        <w:spacing w:before="50" w:after="50"/>
        <w:ind w:firstLine="720" w:firstLineChars="225"/>
        <w:rPr>
          <w:rFonts w:hint="eastAsia" w:ascii="宋体" w:hAnsi="宋体" w:eastAsia="宋体" w:cs="宋体"/>
          <w:bCs/>
          <w:color w:val="auto"/>
          <w:sz w:val="32"/>
          <w:szCs w:val="32"/>
          <w:highlight w:val="none"/>
        </w:rPr>
      </w:pPr>
    </w:p>
    <w:p w14:paraId="3426805B">
      <w:pPr>
        <w:pStyle w:val="6"/>
        <w:snapToGrid w:val="0"/>
        <w:spacing w:before="50" w:after="50"/>
        <w:ind w:firstLine="720" w:firstLineChars="225"/>
        <w:rPr>
          <w:rFonts w:hint="eastAsia" w:ascii="宋体" w:hAnsi="宋体" w:eastAsia="宋体" w:cs="宋体"/>
          <w:bCs/>
          <w:color w:val="auto"/>
          <w:sz w:val="32"/>
          <w:szCs w:val="32"/>
          <w:highlight w:val="none"/>
        </w:rPr>
      </w:pPr>
    </w:p>
    <w:p w14:paraId="77329BD7">
      <w:pPr>
        <w:pStyle w:val="6"/>
        <w:snapToGrid w:val="0"/>
        <w:spacing w:before="50" w:after="50"/>
        <w:ind w:firstLine="720" w:firstLineChars="225"/>
        <w:rPr>
          <w:rFonts w:hint="eastAsia" w:ascii="宋体" w:hAnsi="宋体" w:eastAsia="宋体" w:cs="宋体"/>
          <w:bCs/>
          <w:color w:val="auto"/>
          <w:sz w:val="32"/>
          <w:szCs w:val="32"/>
          <w:highlight w:val="none"/>
        </w:rPr>
      </w:pPr>
    </w:p>
    <w:p w14:paraId="0566DB2D">
      <w:pPr>
        <w:pStyle w:val="6"/>
        <w:snapToGrid w:val="0"/>
        <w:spacing w:before="50" w:after="50"/>
        <w:ind w:firstLine="1280" w:firstLineChars="400"/>
        <w:rPr>
          <w:rFonts w:hint="eastAsia" w:ascii="宋体" w:hAnsi="宋体" w:eastAsia="宋体" w:cs="宋体"/>
          <w:bCs/>
          <w:color w:val="auto"/>
          <w:sz w:val="32"/>
          <w:szCs w:val="32"/>
          <w:highlight w:val="none"/>
        </w:rPr>
      </w:pPr>
    </w:p>
    <w:p w14:paraId="23365511">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108AA7CF">
      <w:pPr>
        <w:snapToGrid w:val="0"/>
        <w:spacing w:before="156" w:beforeLines="50" w:after="50" w:line="360" w:lineRule="auto"/>
        <w:ind w:left="0"/>
        <w:jc w:val="left"/>
        <w:rPr>
          <w:rFonts w:hint="eastAsia" w:ascii="宋体" w:hAnsi="宋体" w:eastAsia="宋体" w:cs="宋体"/>
          <w:b/>
          <w:bCs/>
          <w:color w:val="auto"/>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28"/>
          <w:szCs w:val="28"/>
          <w:highlight w:val="none"/>
        </w:rPr>
        <w:t>2.资格文件目录</w:t>
      </w:r>
    </w:p>
    <w:p w14:paraId="0A607E6B">
      <w:pPr>
        <w:spacing w:line="360" w:lineRule="auto"/>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根据竞争性磋商文件规定及供应商提供的材料自行编写目录（部分格式后附）。</w:t>
      </w:r>
    </w:p>
    <w:p w14:paraId="2BDD1B61">
      <w:pPr>
        <w:spacing w:line="320" w:lineRule="exact"/>
        <w:ind w:firstLine="0" w:firstLineChars="0"/>
        <w:jc w:val="left"/>
        <w:rPr>
          <w:rFonts w:hint="eastAsia" w:ascii="宋体" w:hAnsi="宋体" w:eastAsia="宋体" w:cs="宋体"/>
          <w:color w:val="auto"/>
          <w:szCs w:val="21"/>
          <w:highlight w:val="none"/>
        </w:rPr>
        <w:sectPr>
          <w:pgSz w:w="11911" w:h="16838"/>
          <w:pgMar w:top="1134" w:right="1134" w:bottom="1134" w:left="1134" w:header="720" w:footer="720" w:gutter="0"/>
          <w:pgNumType w:fmt="decimal"/>
          <w:cols w:space="720" w:num="1"/>
        </w:sectPr>
      </w:pPr>
    </w:p>
    <w:p w14:paraId="69C34FB8">
      <w:pPr>
        <w:snapToGrid w:val="0"/>
        <w:spacing w:before="50" w:after="120" w:afterLines="50" w:line="360" w:lineRule="auto"/>
        <w:jc w:val="both"/>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3.</w:t>
      </w:r>
      <w:r>
        <w:rPr>
          <w:rFonts w:hint="eastAsia" w:ascii="宋体" w:hAnsi="宋体" w:eastAsia="宋体" w:cs="宋体"/>
          <w:b/>
          <w:color w:val="auto"/>
          <w:kern w:val="2"/>
          <w:sz w:val="28"/>
          <w:szCs w:val="28"/>
          <w:highlight w:val="none"/>
          <w:lang w:eastAsia="zh-CN"/>
        </w:rPr>
        <w:t>供应商</w:t>
      </w:r>
      <w:r>
        <w:rPr>
          <w:rFonts w:hint="eastAsia" w:ascii="宋体" w:hAnsi="宋体" w:eastAsia="宋体" w:cs="宋体"/>
          <w:b/>
          <w:color w:val="auto"/>
          <w:kern w:val="2"/>
          <w:sz w:val="28"/>
          <w:szCs w:val="28"/>
          <w:highlight w:val="none"/>
        </w:rPr>
        <w:t>直接控股股东信息表</w:t>
      </w:r>
      <w:r>
        <w:rPr>
          <w:rFonts w:hint="eastAsia" w:ascii="宋体" w:hAnsi="宋体" w:eastAsia="宋体" w:cs="宋体"/>
          <w:b/>
          <w:color w:val="auto"/>
          <w:sz w:val="28"/>
          <w:szCs w:val="28"/>
          <w:highlight w:val="none"/>
          <w:lang w:eastAsia="zh-CN"/>
        </w:rPr>
        <w:t>格式</w:t>
      </w:r>
      <w:r>
        <w:rPr>
          <w:rFonts w:hint="eastAsia" w:ascii="宋体" w:hAnsi="宋体" w:eastAsia="宋体" w:cs="宋体"/>
          <w:color w:val="auto"/>
          <w:sz w:val="28"/>
          <w:szCs w:val="28"/>
          <w:highlight w:val="none"/>
          <w:lang w:eastAsia="zh-CN"/>
        </w:rPr>
        <w:t>：</w:t>
      </w:r>
    </w:p>
    <w:p w14:paraId="02B07150">
      <w:pPr>
        <w:snapToGrid w:val="0"/>
        <w:spacing w:before="50" w:after="120" w:afterLines="50" w:line="360" w:lineRule="auto"/>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2"/>
          <w:sz w:val="28"/>
          <w:szCs w:val="28"/>
          <w:highlight w:val="none"/>
          <w:lang w:eastAsia="zh-CN"/>
        </w:rPr>
        <w:t>供应商</w:t>
      </w:r>
      <w:r>
        <w:rPr>
          <w:rFonts w:hint="eastAsia" w:ascii="宋体" w:hAnsi="宋体" w:eastAsia="宋体" w:cs="宋体"/>
          <w:b/>
          <w:color w:val="auto"/>
          <w:kern w:val="2"/>
          <w:sz w:val="28"/>
          <w:szCs w:val="28"/>
          <w:highlight w:val="none"/>
        </w:rPr>
        <w:t>直接控股股东信息表</w:t>
      </w:r>
    </w:p>
    <w:tbl>
      <w:tblPr>
        <w:tblStyle w:val="28"/>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879"/>
        <w:gridCol w:w="1261"/>
      </w:tblGrid>
      <w:tr w14:paraId="47AA305E">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C04E61A">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DE6DAD9">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AA7E0AC">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387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52813A6">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1261"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710A824">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1DEAA510">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5B6A841">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6A026C6">
            <w:pPr>
              <w:spacing w:line="360" w:lineRule="auto"/>
              <w:jc w:val="center"/>
              <w:rPr>
                <w:rFonts w:hint="eastAsia" w:ascii="宋体" w:hAnsi="宋体" w:eastAsia="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47C7DA8">
            <w:pPr>
              <w:spacing w:line="360" w:lineRule="auto"/>
              <w:jc w:val="center"/>
              <w:rPr>
                <w:rFonts w:hint="eastAsia" w:ascii="宋体" w:hAnsi="宋体" w:eastAsia="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2A489C3">
            <w:pPr>
              <w:spacing w:line="360" w:lineRule="auto"/>
              <w:jc w:val="center"/>
              <w:rPr>
                <w:rFonts w:hint="eastAsia" w:ascii="宋体" w:hAnsi="宋体" w:eastAsia="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051F2B3">
            <w:pPr>
              <w:spacing w:line="360" w:lineRule="auto"/>
              <w:jc w:val="center"/>
              <w:rPr>
                <w:rFonts w:hint="eastAsia" w:ascii="宋体" w:hAnsi="宋体" w:eastAsia="宋体" w:cs="宋体"/>
                <w:color w:val="auto"/>
                <w:kern w:val="0"/>
                <w:sz w:val="24"/>
                <w:highlight w:val="none"/>
              </w:rPr>
            </w:pPr>
          </w:p>
        </w:tc>
      </w:tr>
      <w:tr w14:paraId="794868A1">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1492413">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DE35947">
            <w:pPr>
              <w:spacing w:line="360" w:lineRule="auto"/>
              <w:jc w:val="center"/>
              <w:rPr>
                <w:rFonts w:hint="eastAsia" w:ascii="宋体" w:hAnsi="宋体" w:eastAsia="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E56B8FA">
            <w:pPr>
              <w:spacing w:line="360" w:lineRule="auto"/>
              <w:jc w:val="center"/>
              <w:rPr>
                <w:rFonts w:hint="eastAsia" w:ascii="宋体" w:hAnsi="宋体" w:eastAsia="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D73D276">
            <w:pPr>
              <w:spacing w:line="360" w:lineRule="auto"/>
              <w:jc w:val="center"/>
              <w:rPr>
                <w:rFonts w:hint="eastAsia" w:ascii="宋体" w:hAnsi="宋体" w:eastAsia="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E8070B4">
            <w:pPr>
              <w:spacing w:line="360" w:lineRule="auto"/>
              <w:jc w:val="center"/>
              <w:rPr>
                <w:rFonts w:hint="eastAsia" w:ascii="宋体" w:hAnsi="宋体" w:eastAsia="宋体" w:cs="宋体"/>
                <w:color w:val="auto"/>
                <w:kern w:val="0"/>
                <w:sz w:val="24"/>
                <w:highlight w:val="none"/>
              </w:rPr>
            </w:pPr>
          </w:p>
        </w:tc>
      </w:tr>
      <w:tr w14:paraId="711187B0">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3B55304">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05652FC">
            <w:pPr>
              <w:spacing w:line="360" w:lineRule="auto"/>
              <w:jc w:val="center"/>
              <w:rPr>
                <w:rFonts w:hint="eastAsia" w:ascii="宋体" w:hAnsi="宋体" w:eastAsia="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A83EEC9">
            <w:pPr>
              <w:spacing w:line="360" w:lineRule="auto"/>
              <w:jc w:val="center"/>
              <w:rPr>
                <w:rFonts w:hint="eastAsia" w:ascii="宋体" w:hAnsi="宋体" w:eastAsia="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BC19651">
            <w:pPr>
              <w:spacing w:line="360" w:lineRule="auto"/>
              <w:jc w:val="center"/>
              <w:rPr>
                <w:rFonts w:hint="eastAsia" w:ascii="宋体" w:hAnsi="宋体" w:eastAsia="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B857985">
            <w:pPr>
              <w:spacing w:line="360" w:lineRule="auto"/>
              <w:jc w:val="center"/>
              <w:rPr>
                <w:rFonts w:hint="eastAsia" w:ascii="宋体" w:hAnsi="宋体" w:eastAsia="宋体" w:cs="宋体"/>
                <w:color w:val="auto"/>
                <w:kern w:val="0"/>
                <w:sz w:val="24"/>
                <w:highlight w:val="none"/>
              </w:rPr>
            </w:pPr>
          </w:p>
        </w:tc>
      </w:tr>
      <w:tr w14:paraId="05028DE4">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E84C456">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1677823">
            <w:pPr>
              <w:spacing w:line="360" w:lineRule="auto"/>
              <w:jc w:val="center"/>
              <w:rPr>
                <w:rFonts w:hint="eastAsia" w:ascii="宋体" w:hAnsi="宋体" w:eastAsia="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1E4C9C5">
            <w:pPr>
              <w:spacing w:line="360" w:lineRule="auto"/>
              <w:jc w:val="center"/>
              <w:rPr>
                <w:rFonts w:hint="eastAsia" w:ascii="宋体" w:hAnsi="宋体" w:eastAsia="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3C7501F">
            <w:pPr>
              <w:spacing w:line="360" w:lineRule="auto"/>
              <w:jc w:val="center"/>
              <w:rPr>
                <w:rFonts w:hint="eastAsia" w:ascii="宋体" w:hAnsi="宋体" w:eastAsia="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B843822">
            <w:pPr>
              <w:spacing w:line="360" w:lineRule="auto"/>
              <w:jc w:val="center"/>
              <w:rPr>
                <w:rFonts w:hint="eastAsia" w:ascii="宋体" w:hAnsi="宋体" w:eastAsia="宋体" w:cs="宋体"/>
                <w:color w:val="auto"/>
                <w:kern w:val="0"/>
                <w:sz w:val="24"/>
                <w:highlight w:val="none"/>
              </w:rPr>
            </w:pPr>
          </w:p>
        </w:tc>
      </w:tr>
    </w:tbl>
    <w:p w14:paraId="09E30928">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31F44CDD">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148E652">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2.本表所指的控股关系仅限于直接控股关系，不包括间接的控股关系。公司实际控制人与公司之间的关系不属于本表所指的直接控股关系。</w:t>
      </w:r>
    </w:p>
    <w:p w14:paraId="521756AE">
      <w:pPr>
        <w:snapToGrid w:val="0"/>
        <w:spacing w:line="360" w:lineRule="auto"/>
        <w:ind w:firstLine="420" w:firstLineChars="200"/>
        <w:jc w:val="left"/>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rPr>
        <w:t>3.供应商不存在直接控股股东的，则填“无”。</w:t>
      </w:r>
    </w:p>
    <w:p w14:paraId="20B9E013">
      <w:pPr>
        <w:snapToGrid w:val="0"/>
        <w:spacing w:line="360" w:lineRule="auto"/>
        <w:jc w:val="left"/>
        <w:rPr>
          <w:rFonts w:hint="eastAsia" w:ascii="宋体" w:hAnsi="宋体" w:eastAsia="宋体" w:cs="宋体"/>
          <w:color w:val="auto"/>
          <w:sz w:val="24"/>
          <w:highlight w:val="none"/>
        </w:rPr>
      </w:pPr>
    </w:p>
    <w:p w14:paraId="46EC960D">
      <w:pPr>
        <w:snapToGrid w:val="0"/>
        <w:spacing w:line="360" w:lineRule="auto"/>
        <w:jc w:val="left"/>
        <w:rPr>
          <w:rFonts w:hint="eastAsia" w:ascii="宋体" w:hAnsi="宋体" w:eastAsia="宋体" w:cs="宋体"/>
          <w:color w:val="auto"/>
          <w:sz w:val="24"/>
          <w:highlight w:val="none"/>
        </w:rPr>
      </w:pPr>
    </w:p>
    <w:p w14:paraId="0E1BCD75">
      <w:pPr>
        <w:snapToGrid w:val="0"/>
        <w:spacing w:line="360" w:lineRule="auto"/>
        <w:ind w:firstLine="0" w:firstLineChars="0"/>
        <w:jc w:val="center"/>
        <w:rPr>
          <w:rFonts w:hint="eastAsia" w:ascii="宋体" w:hAnsi="宋体" w:eastAsia="宋体" w:cs="宋体"/>
          <w:color w:val="auto"/>
          <w:kern w:val="2"/>
          <w:sz w:val="24"/>
          <w:highlight w:val="none"/>
          <w:lang w:val="zh-CN"/>
        </w:rPr>
      </w:pPr>
      <w:r>
        <w:rPr>
          <w:rFonts w:hint="eastAsia" w:ascii="宋体" w:hAnsi="宋体" w:eastAsia="宋体" w:cs="宋体"/>
          <w:color w:val="auto"/>
          <w:kern w:val="2"/>
          <w:sz w:val="24"/>
          <w:highlight w:val="none"/>
          <w:lang w:val="en-US" w:eastAsia="zh-CN"/>
        </w:rPr>
        <w:t xml:space="preserve">   </w:t>
      </w:r>
      <w:r>
        <w:rPr>
          <w:rFonts w:hint="eastAsia" w:ascii="宋体" w:hAnsi="宋体" w:eastAsia="宋体" w:cs="宋体"/>
          <w:color w:val="auto"/>
          <w:kern w:val="2"/>
          <w:sz w:val="24"/>
          <w:highlight w:val="none"/>
          <w:lang w:val="zh-CN"/>
        </w:rPr>
        <w:t>供应商名称（盖公章）：</w:t>
      </w:r>
    </w:p>
    <w:p w14:paraId="624C300B">
      <w:pPr>
        <w:snapToGrid w:val="0"/>
        <w:spacing w:line="360" w:lineRule="auto"/>
        <w:ind w:firstLine="0" w:firstLineChars="0"/>
        <w:jc w:val="center"/>
        <w:rPr>
          <w:rFonts w:hint="eastAsia" w:ascii="宋体" w:hAnsi="宋体" w:eastAsia="宋体" w:cs="宋体"/>
          <w:color w:val="auto"/>
          <w:kern w:val="2"/>
          <w:sz w:val="24"/>
          <w:highlight w:val="none"/>
          <w:lang w:val="zh-CN"/>
        </w:rPr>
      </w:pPr>
      <w:r>
        <w:rPr>
          <w:rFonts w:hint="eastAsia" w:ascii="宋体" w:hAnsi="宋体" w:eastAsia="宋体" w:cs="宋体"/>
          <w:color w:val="auto"/>
          <w:kern w:val="2"/>
          <w:sz w:val="24"/>
          <w:highlight w:val="none"/>
          <w:lang w:val="zh-CN"/>
        </w:rPr>
        <w:t>日期</w:t>
      </w:r>
      <w:r>
        <w:rPr>
          <w:rFonts w:hint="eastAsia" w:ascii="宋体" w:hAnsi="宋体" w:eastAsia="宋体" w:cs="宋体"/>
          <w:color w:val="auto"/>
          <w:kern w:val="2"/>
          <w:sz w:val="24"/>
          <w:highlight w:val="none"/>
        </w:rPr>
        <w:t xml:space="preserve">：  年  </w:t>
      </w:r>
      <w:r>
        <w:rPr>
          <w:rFonts w:hint="eastAsia" w:ascii="宋体" w:hAnsi="宋体" w:eastAsia="宋体" w:cs="宋体"/>
          <w:color w:val="auto"/>
          <w:kern w:val="2"/>
          <w:sz w:val="24"/>
          <w:highlight w:val="none"/>
          <w:lang w:val="zh-CN"/>
        </w:rPr>
        <w:t>月</w:t>
      </w:r>
      <w:r>
        <w:rPr>
          <w:rFonts w:hint="eastAsia" w:ascii="宋体" w:hAnsi="宋体" w:eastAsia="宋体" w:cs="宋体"/>
          <w:color w:val="auto"/>
          <w:kern w:val="2"/>
          <w:sz w:val="24"/>
          <w:highlight w:val="none"/>
        </w:rPr>
        <w:t xml:space="preserve">   </w:t>
      </w:r>
      <w:r>
        <w:rPr>
          <w:rFonts w:hint="eastAsia" w:ascii="宋体" w:hAnsi="宋体" w:eastAsia="宋体" w:cs="宋体"/>
          <w:color w:val="auto"/>
          <w:kern w:val="2"/>
          <w:sz w:val="24"/>
          <w:highlight w:val="none"/>
          <w:lang w:val="zh-CN"/>
        </w:rPr>
        <w:t>日</w:t>
      </w:r>
    </w:p>
    <w:p w14:paraId="1496AA18">
      <w:pPr>
        <w:spacing w:line="360" w:lineRule="auto"/>
        <w:rPr>
          <w:rFonts w:hint="eastAsia" w:ascii="宋体" w:hAnsi="宋体" w:eastAsia="宋体" w:cs="宋体"/>
          <w:color w:val="auto"/>
          <w:sz w:val="28"/>
          <w:szCs w:val="28"/>
          <w:highlight w:val="none"/>
        </w:rPr>
        <w:sectPr>
          <w:pgSz w:w="11911" w:h="16838"/>
          <w:pgMar w:top="1134" w:right="1134" w:bottom="1134" w:left="1134" w:header="720" w:footer="720" w:gutter="0"/>
          <w:pgNumType w:fmt="decimal"/>
          <w:cols w:space="720" w:num="1"/>
        </w:sectPr>
      </w:pPr>
    </w:p>
    <w:p w14:paraId="7F1D62AD">
      <w:pPr>
        <w:snapToGrid w:val="0"/>
        <w:jc w:val="both"/>
        <w:rPr>
          <w:rFonts w:hint="eastAsia" w:ascii="宋体" w:hAnsi="宋体" w:eastAsia="宋体" w:cs="宋体"/>
          <w:b/>
          <w:color w:val="auto"/>
          <w:sz w:val="28"/>
          <w:szCs w:val="28"/>
          <w:highlight w:val="none"/>
        </w:rPr>
      </w:pPr>
      <w:r>
        <w:rPr>
          <w:rFonts w:hint="eastAsia" w:ascii="宋体" w:hAnsi="宋体" w:eastAsia="宋体" w:cs="宋体"/>
          <w:b/>
          <w:color w:val="auto"/>
          <w:kern w:val="0"/>
          <w:sz w:val="32"/>
          <w:szCs w:val="32"/>
          <w:highlight w:val="none"/>
          <w:lang w:val="en-US" w:eastAsia="zh-CN"/>
        </w:rPr>
        <w:t>4.</w:t>
      </w:r>
      <w:r>
        <w:rPr>
          <w:rFonts w:hint="eastAsia" w:ascii="宋体" w:hAnsi="宋体" w:eastAsia="宋体" w:cs="宋体"/>
          <w:b/>
          <w:color w:val="auto"/>
          <w:sz w:val="28"/>
          <w:szCs w:val="28"/>
          <w:highlight w:val="none"/>
          <w:lang w:eastAsia="zh-CN"/>
        </w:rPr>
        <w:t>供应商</w:t>
      </w:r>
      <w:r>
        <w:rPr>
          <w:rFonts w:hint="eastAsia" w:ascii="宋体" w:hAnsi="宋体" w:eastAsia="宋体" w:cs="宋体"/>
          <w:b/>
          <w:color w:val="auto"/>
          <w:sz w:val="28"/>
          <w:szCs w:val="28"/>
          <w:highlight w:val="none"/>
        </w:rPr>
        <w:t>直接管理关系信息表</w:t>
      </w:r>
      <w:r>
        <w:rPr>
          <w:rFonts w:hint="eastAsia" w:ascii="宋体" w:hAnsi="宋体" w:eastAsia="宋体" w:cs="宋体"/>
          <w:b/>
          <w:color w:val="auto"/>
          <w:sz w:val="28"/>
          <w:szCs w:val="28"/>
          <w:highlight w:val="none"/>
          <w:lang w:eastAsia="zh-CN"/>
        </w:rPr>
        <w:t>格式</w:t>
      </w:r>
      <w:r>
        <w:rPr>
          <w:rFonts w:hint="eastAsia" w:ascii="宋体" w:hAnsi="宋体" w:eastAsia="宋体" w:cs="宋体"/>
          <w:color w:val="auto"/>
          <w:sz w:val="28"/>
          <w:szCs w:val="28"/>
          <w:highlight w:val="none"/>
          <w:lang w:eastAsia="zh-CN"/>
        </w:rPr>
        <w:t>：</w:t>
      </w:r>
    </w:p>
    <w:p w14:paraId="52C3542F">
      <w:pPr>
        <w:snapToGrid w:val="0"/>
        <w:spacing w:line="360" w:lineRule="auto"/>
        <w:jc w:val="center"/>
        <w:rPr>
          <w:rFonts w:hint="eastAsia" w:ascii="宋体" w:hAnsi="宋体" w:eastAsia="宋体" w:cs="宋体"/>
          <w:b/>
          <w:color w:val="auto"/>
          <w:sz w:val="32"/>
          <w:szCs w:val="32"/>
          <w:highlight w:val="none"/>
        </w:rPr>
      </w:pPr>
    </w:p>
    <w:p w14:paraId="19E878E7">
      <w:pPr>
        <w:snapToGrid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b/>
          <w:color w:val="auto"/>
          <w:sz w:val="28"/>
          <w:szCs w:val="28"/>
          <w:highlight w:val="none"/>
          <w:lang w:eastAsia="zh-CN"/>
        </w:rPr>
        <w:t>供应商</w:t>
      </w:r>
      <w:r>
        <w:rPr>
          <w:rFonts w:hint="eastAsia" w:ascii="宋体" w:hAnsi="宋体" w:eastAsia="宋体" w:cs="宋体"/>
          <w:b/>
          <w:color w:val="auto"/>
          <w:sz w:val="28"/>
          <w:szCs w:val="28"/>
          <w:highlight w:val="none"/>
        </w:rPr>
        <w:t>直接管理关系信息表</w:t>
      </w:r>
    </w:p>
    <w:tbl>
      <w:tblPr>
        <w:tblStyle w:val="28"/>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700FFD25">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FF8ECDF">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3D002C0">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5FEA5FE">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8072FA8">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327DBF80">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1382695">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DA959BF">
            <w:pPr>
              <w:spacing w:line="360" w:lineRule="auto"/>
              <w:jc w:val="center"/>
              <w:rPr>
                <w:rFonts w:hint="eastAsia" w:ascii="宋体" w:hAnsi="宋体" w:eastAsia="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86162B0">
            <w:pPr>
              <w:spacing w:line="360" w:lineRule="auto"/>
              <w:jc w:val="center"/>
              <w:rPr>
                <w:rFonts w:hint="eastAsia" w:ascii="宋体" w:hAnsi="宋体" w:eastAsia="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EEF121A">
            <w:pPr>
              <w:spacing w:line="360" w:lineRule="auto"/>
              <w:jc w:val="center"/>
              <w:rPr>
                <w:rFonts w:hint="eastAsia" w:ascii="宋体" w:hAnsi="宋体" w:eastAsia="宋体" w:cs="宋体"/>
                <w:color w:val="auto"/>
                <w:kern w:val="0"/>
                <w:sz w:val="24"/>
                <w:highlight w:val="none"/>
              </w:rPr>
            </w:pPr>
          </w:p>
        </w:tc>
      </w:tr>
      <w:tr w14:paraId="0EA77F80">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A024FCE">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99E2AF0">
            <w:pPr>
              <w:spacing w:line="360" w:lineRule="auto"/>
              <w:jc w:val="center"/>
              <w:rPr>
                <w:rFonts w:hint="eastAsia" w:ascii="宋体" w:hAnsi="宋体" w:eastAsia="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4026B10">
            <w:pPr>
              <w:spacing w:line="360" w:lineRule="auto"/>
              <w:jc w:val="center"/>
              <w:rPr>
                <w:rFonts w:hint="eastAsia" w:ascii="宋体" w:hAnsi="宋体" w:eastAsia="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CD9065">
            <w:pPr>
              <w:spacing w:line="360" w:lineRule="auto"/>
              <w:jc w:val="center"/>
              <w:rPr>
                <w:rFonts w:hint="eastAsia" w:ascii="宋体" w:hAnsi="宋体" w:eastAsia="宋体" w:cs="宋体"/>
                <w:color w:val="auto"/>
                <w:kern w:val="0"/>
                <w:sz w:val="24"/>
                <w:highlight w:val="none"/>
              </w:rPr>
            </w:pPr>
          </w:p>
        </w:tc>
      </w:tr>
      <w:tr w14:paraId="3A6AF488">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74D8D6E">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88FDEB4">
            <w:pPr>
              <w:spacing w:line="360" w:lineRule="auto"/>
              <w:jc w:val="center"/>
              <w:rPr>
                <w:rFonts w:hint="eastAsia" w:ascii="宋体" w:hAnsi="宋体" w:eastAsia="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4CF222B">
            <w:pPr>
              <w:spacing w:line="360" w:lineRule="auto"/>
              <w:jc w:val="center"/>
              <w:rPr>
                <w:rFonts w:hint="eastAsia" w:ascii="宋体" w:hAnsi="宋体" w:eastAsia="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14B0689">
            <w:pPr>
              <w:spacing w:line="360" w:lineRule="auto"/>
              <w:jc w:val="center"/>
              <w:rPr>
                <w:rFonts w:hint="eastAsia" w:ascii="宋体" w:hAnsi="宋体" w:eastAsia="宋体" w:cs="宋体"/>
                <w:color w:val="auto"/>
                <w:kern w:val="0"/>
                <w:sz w:val="24"/>
                <w:highlight w:val="none"/>
              </w:rPr>
            </w:pPr>
          </w:p>
        </w:tc>
      </w:tr>
      <w:tr w14:paraId="6777EE77">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BC6C3EB">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1B43327">
            <w:pPr>
              <w:spacing w:line="360" w:lineRule="auto"/>
              <w:jc w:val="center"/>
              <w:rPr>
                <w:rFonts w:hint="eastAsia" w:ascii="宋体" w:hAnsi="宋体" w:eastAsia="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7720BE0">
            <w:pPr>
              <w:spacing w:line="360" w:lineRule="auto"/>
              <w:jc w:val="center"/>
              <w:rPr>
                <w:rFonts w:hint="eastAsia" w:ascii="宋体" w:hAnsi="宋体" w:eastAsia="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F87E733">
            <w:pPr>
              <w:spacing w:line="360" w:lineRule="auto"/>
              <w:jc w:val="center"/>
              <w:rPr>
                <w:rFonts w:hint="eastAsia" w:ascii="宋体" w:hAnsi="宋体" w:eastAsia="宋体" w:cs="宋体"/>
                <w:color w:val="auto"/>
                <w:kern w:val="0"/>
                <w:sz w:val="24"/>
                <w:highlight w:val="none"/>
              </w:rPr>
            </w:pPr>
          </w:p>
        </w:tc>
      </w:tr>
    </w:tbl>
    <w:p w14:paraId="22AAEE0F">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239C9895">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1.管理关系：是指不具有出资持股关系的其他单位之间存在的管理与被管理关系，如一些上下级关系的事业单位和团体组织。</w:t>
      </w:r>
    </w:p>
    <w:p w14:paraId="653DC370">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pacing w:val="-6"/>
          <w:sz w:val="21"/>
          <w:szCs w:val="21"/>
          <w:highlight w:val="none"/>
        </w:rPr>
        <w:t>本表所指的管理关系仅限于直接管理关系，不包括间接的管理关系。</w:t>
      </w:r>
    </w:p>
    <w:p w14:paraId="6BB5BF2B">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3.供应商不存在直接管理关系的，则填“无”。</w:t>
      </w:r>
    </w:p>
    <w:p w14:paraId="20372D90">
      <w:pPr>
        <w:snapToGrid w:val="0"/>
        <w:spacing w:line="360" w:lineRule="auto"/>
        <w:jc w:val="left"/>
        <w:rPr>
          <w:rFonts w:hint="eastAsia" w:ascii="宋体" w:hAnsi="宋体" w:eastAsia="宋体" w:cs="宋体"/>
          <w:color w:val="auto"/>
          <w:sz w:val="24"/>
          <w:highlight w:val="none"/>
        </w:rPr>
      </w:pPr>
    </w:p>
    <w:p w14:paraId="1F151633">
      <w:pPr>
        <w:snapToGrid w:val="0"/>
        <w:spacing w:line="360" w:lineRule="auto"/>
        <w:jc w:val="left"/>
        <w:rPr>
          <w:rFonts w:hint="eastAsia" w:ascii="宋体" w:hAnsi="宋体" w:eastAsia="宋体" w:cs="宋体"/>
          <w:color w:val="auto"/>
          <w:sz w:val="24"/>
          <w:highlight w:val="none"/>
        </w:rPr>
      </w:pPr>
    </w:p>
    <w:p w14:paraId="03611B99">
      <w:pPr>
        <w:snapToGrid w:val="0"/>
        <w:spacing w:line="360" w:lineRule="auto"/>
        <w:jc w:val="left"/>
        <w:rPr>
          <w:rFonts w:hint="eastAsia" w:ascii="宋体" w:hAnsi="宋体" w:eastAsia="宋体" w:cs="宋体"/>
          <w:color w:val="auto"/>
          <w:sz w:val="24"/>
          <w:highlight w:val="none"/>
        </w:rPr>
      </w:pPr>
    </w:p>
    <w:p w14:paraId="13E077EB">
      <w:pPr>
        <w:snapToGrid/>
        <w:spacing w:line="360" w:lineRule="auto"/>
        <w:ind w:firstLine="0" w:firstLineChars="0"/>
        <w:jc w:val="center"/>
        <w:rPr>
          <w:rFonts w:hint="eastAsia" w:ascii="宋体" w:hAnsi="宋体" w:eastAsia="宋体" w:cs="宋体"/>
          <w:b w:val="0"/>
          <w:bCs w:val="0"/>
          <w:color w:val="auto"/>
          <w:kern w:val="0"/>
          <w:sz w:val="24"/>
          <w:highlight w:val="none"/>
          <w:lang w:val="zh-CN"/>
        </w:rPr>
      </w:pPr>
      <w:r>
        <w:rPr>
          <w:rFonts w:hint="eastAsia" w:ascii="宋体" w:hAnsi="宋体" w:eastAsia="宋体" w:cs="宋体"/>
          <w:b/>
          <w:bCs/>
          <w:color w:val="auto"/>
          <w:kern w:val="0"/>
          <w:sz w:val="24"/>
          <w:highlight w:val="none"/>
          <w:lang w:val="en-US" w:eastAsia="zh-CN"/>
        </w:rPr>
        <w:t xml:space="preserve">   </w:t>
      </w:r>
      <w:r>
        <w:rPr>
          <w:rFonts w:hint="eastAsia" w:ascii="宋体" w:hAnsi="宋体" w:eastAsia="宋体" w:cs="宋体"/>
          <w:b w:val="0"/>
          <w:bCs w:val="0"/>
          <w:color w:val="auto"/>
          <w:kern w:val="0"/>
          <w:sz w:val="24"/>
          <w:highlight w:val="none"/>
          <w:lang w:val="en-US" w:eastAsia="zh-CN"/>
        </w:rPr>
        <w:t>供应商名称（盖公章）</w:t>
      </w:r>
      <w:r>
        <w:rPr>
          <w:rFonts w:hint="eastAsia" w:ascii="宋体" w:hAnsi="宋体" w:eastAsia="宋体" w:cs="宋体"/>
          <w:b w:val="0"/>
          <w:bCs w:val="0"/>
          <w:color w:val="auto"/>
          <w:kern w:val="0"/>
          <w:sz w:val="24"/>
          <w:highlight w:val="none"/>
          <w:lang w:val="zh-CN"/>
        </w:rPr>
        <w:t>：</w:t>
      </w:r>
    </w:p>
    <w:p w14:paraId="23441A2D">
      <w:pPr>
        <w:snapToGrid/>
        <w:spacing w:line="360" w:lineRule="auto"/>
        <w:ind w:firstLine="0" w:firstLineChars="0"/>
        <w:jc w:val="center"/>
        <w:rPr>
          <w:rFonts w:hint="eastAsia" w:ascii="宋体" w:hAnsi="宋体" w:eastAsia="宋体" w:cs="宋体"/>
          <w:b/>
          <w:bCs/>
          <w:color w:val="auto"/>
          <w:kern w:val="0"/>
          <w:sz w:val="24"/>
          <w:highlight w:val="none"/>
          <w:lang w:val="zh-CN"/>
        </w:rPr>
      </w:pPr>
      <w:r>
        <w:rPr>
          <w:rFonts w:hint="eastAsia" w:ascii="宋体" w:hAnsi="宋体" w:eastAsia="宋体" w:cs="宋体"/>
          <w:b w:val="0"/>
          <w:bCs w:val="0"/>
          <w:color w:val="auto"/>
          <w:kern w:val="0"/>
          <w:sz w:val="24"/>
          <w:highlight w:val="none"/>
          <w:lang w:val="zh-CN"/>
        </w:rPr>
        <w:t>日期</w:t>
      </w:r>
      <w:r>
        <w:rPr>
          <w:rFonts w:hint="eastAsia" w:ascii="宋体" w:hAnsi="宋体" w:eastAsia="宋体" w:cs="宋体"/>
          <w:b w:val="0"/>
          <w:bCs w:val="0"/>
          <w:color w:val="auto"/>
          <w:kern w:val="0"/>
          <w:sz w:val="24"/>
          <w:highlight w:val="none"/>
        </w:rPr>
        <w:t xml:space="preserve">：  年  </w:t>
      </w:r>
      <w:r>
        <w:rPr>
          <w:rFonts w:hint="eastAsia" w:ascii="宋体" w:hAnsi="宋体" w:eastAsia="宋体" w:cs="宋体"/>
          <w:b w:val="0"/>
          <w:bCs w:val="0"/>
          <w:color w:val="auto"/>
          <w:kern w:val="0"/>
          <w:sz w:val="24"/>
          <w:highlight w:val="none"/>
          <w:lang w:val="zh-CN"/>
        </w:rPr>
        <w:t>月</w:t>
      </w:r>
      <w:r>
        <w:rPr>
          <w:rFonts w:hint="eastAsia" w:ascii="宋体" w:hAnsi="宋体" w:eastAsia="宋体" w:cs="宋体"/>
          <w:b w:val="0"/>
          <w:bCs w:val="0"/>
          <w:color w:val="auto"/>
          <w:kern w:val="0"/>
          <w:sz w:val="24"/>
          <w:highlight w:val="none"/>
        </w:rPr>
        <w:t xml:space="preserve">   </w:t>
      </w:r>
      <w:r>
        <w:rPr>
          <w:rFonts w:hint="eastAsia" w:ascii="宋体" w:hAnsi="宋体" w:eastAsia="宋体" w:cs="宋体"/>
          <w:b w:val="0"/>
          <w:bCs w:val="0"/>
          <w:color w:val="auto"/>
          <w:kern w:val="0"/>
          <w:sz w:val="24"/>
          <w:highlight w:val="none"/>
          <w:lang w:val="zh-CN"/>
        </w:rPr>
        <w:t>日</w:t>
      </w:r>
    </w:p>
    <w:p w14:paraId="053BB579">
      <w:pPr>
        <w:spacing w:line="360" w:lineRule="auto"/>
        <w:rPr>
          <w:rFonts w:hint="eastAsia" w:ascii="宋体" w:hAnsi="宋体" w:eastAsia="宋体" w:cs="宋体"/>
          <w:color w:val="auto"/>
          <w:sz w:val="28"/>
          <w:szCs w:val="28"/>
          <w:highlight w:val="none"/>
        </w:rPr>
      </w:pPr>
    </w:p>
    <w:p w14:paraId="77FA3820">
      <w:pPr>
        <w:spacing w:line="320" w:lineRule="exact"/>
        <w:ind w:firstLine="0" w:firstLineChars="0"/>
        <w:jc w:val="left"/>
        <w:rPr>
          <w:rFonts w:hint="eastAsia" w:ascii="宋体" w:hAnsi="宋体" w:eastAsia="宋体" w:cs="宋体"/>
          <w:color w:val="auto"/>
          <w:szCs w:val="21"/>
          <w:highlight w:val="none"/>
        </w:rPr>
        <w:sectPr>
          <w:pgSz w:w="11911" w:h="16838"/>
          <w:pgMar w:top="1134" w:right="1134" w:bottom="1134" w:left="1134" w:header="720" w:footer="720" w:gutter="0"/>
          <w:pgNumType w:fmt="decimal"/>
          <w:cols w:space="720" w:num="1"/>
        </w:sectPr>
      </w:pPr>
    </w:p>
    <w:p w14:paraId="6DDA899A">
      <w:pPr>
        <w:spacing w:line="320" w:lineRule="exact"/>
        <w:ind w:firstLine="0" w:firstLineChars="0"/>
        <w:jc w:val="left"/>
        <w:rPr>
          <w:rFonts w:hint="eastAsia" w:ascii="宋体" w:hAnsi="宋体" w:eastAsia="宋体" w:cs="宋体"/>
          <w:b/>
          <w:bCs/>
          <w:color w:val="auto"/>
          <w:sz w:val="28"/>
          <w:szCs w:val="28"/>
          <w:highlight w:val="none"/>
        </w:rPr>
      </w:pPr>
      <w:r>
        <w:rPr>
          <w:rFonts w:hint="eastAsia" w:ascii="宋体" w:hAnsi="宋体" w:eastAsia="宋体" w:cs="宋体"/>
          <w:b/>
          <w:color w:val="auto"/>
          <w:kern w:val="0"/>
          <w:sz w:val="32"/>
          <w:szCs w:val="32"/>
          <w:highlight w:val="none"/>
          <w:lang w:val="en-US" w:eastAsia="zh-CN"/>
        </w:rPr>
        <w:t>5.</w:t>
      </w:r>
      <w:r>
        <w:rPr>
          <w:rFonts w:hint="eastAsia" w:ascii="宋体" w:hAnsi="宋体" w:eastAsia="宋体" w:cs="宋体"/>
          <w:b/>
          <w:bCs/>
          <w:color w:val="auto"/>
          <w:kern w:val="0"/>
          <w:sz w:val="28"/>
          <w:szCs w:val="28"/>
          <w:highlight w:val="none"/>
        </w:rPr>
        <w:t>声明函</w:t>
      </w:r>
      <w:r>
        <w:rPr>
          <w:rFonts w:hint="eastAsia" w:ascii="宋体" w:hAnsi="宋体" w:eastAsia="宋体" w:cs="宋体"/>
          <w:b/>
          <w:bCs/>
          <w:color w:val="auto"/>
          <w:kern w:val="0"/>
          <w:sz w:val="28"/>
          <w:szCs w:val="28"/>
          <w:highlight w:val="none"/>
          <w:lang w:eastAsia="zh-CN"/>
        </w:rPr>
        <w:t>的格式：</w:t>
      </w:r>
    </w:p>
    <w:p w14:paraId="69069844">
      <w:pPr>
        <w:spacing w:line="320" w:lineRule="exact"/>
        <w:jc w:val="center"/>
        <w:rPr>
          <w:rFonts w:hint="eastAsia" w:ascii="宋体" w:hAnsi="宋体" w:eastAsia="宋体" w:cs="宋体"/>
          <w:b/>
          <w:color w:val="auto"/>
          <w:sz w:val="32"/>
          <w:szCs w:val="32"/>
          <w:highlight w:val="none"/>
        </w:rPr>
      </w:pPr>
    </w:p>
    <w:p w14:paraId="0F5B4AFB">
      <w:pPr>
        <w:spacing w:line="32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声明函</w:t>
      </w:r>
    </w:p>
    <w:p w14:paraId="64131698">
      <w:pPr>
        <w:spacing w:line="320" w:lineRule="exact"/>
        <w:jc w:val="center"/>
        <w:rPr>
          <w:rFonts w:hint="eastAsia" w:ascii="宋体" w:hAnsi="宋体" w:eastAsia="宋体" w:cs="宋体"/>
          <w:color w:val="auto"/>
          <w:sz w:val="24"/>
          <w:szCs w:val="20"/>
          <w:highlight w:val="none"/>
        </w:rPr>
      </w:pPr>
    </w:p>
    <w:p w14:paraId="0F0FEBF6">
      <w:pPr>
        <w:spacing w:line="400" w:lineRule="exact"/>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（采购代理机构名称）</w:t>
      </w:r>
      <w:r>
        <w:rPr>
          <w:rFonts w:hint="eastAsia" w:ascii="宋体" w:hAnsi="宋体" w:eastAsia="宋体" w:cs="宋体"/>
          <w:color w:val="auto"/>
          <w:sz w:val="24"/>
          <w:highlight w:val="none"/>
        </w:rPr>
        <w:t>：</w:t>
      </w:r>
    </w:p>
    <w:p w14:paraId="1427266F">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i/>
          <w:iCs/>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6FE38AAB">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i/>
          <w:iCs/>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项目的竞标，为便于贵方公正、择优地确定成交供应商及其竞标产品和服务，我方就本次竞标有关事项郑重声明如下：</w:t>
      </w:r>
    </w:p>
    <w:p w14:paraId="05E1A1B7">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10AB09A8">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524E2C83">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78A82305">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（1）将按磋商文件的约定履行合同责任和义务；</w:t>
      </w:r>
    </w:p>
    <w:p w14:paraId="78316A3E">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全部</w:t>
      </w:r>
      <w:r>
        <w:rPr>
          <w:rFonts w:hint="eastAsia" w:ascii="宋体" w:hAnsi="宋体" w:eastAsia="宋体" w:cs="宋体"/>
          <w:color w:val="auto"/>
          <w:sz w:val="24"/>
          <w:szCs w:val="24"/>
          <w:highlight w:val="none"/>
          <w:lang w:val="en-US" w:eastAsia="zh-CN"/>
        </w:rPr>
        <w:t>内容</w:t>
      </w:r>
      <w:r>
        <w:rPr>
          <w:rFonts w:hint="eastAsia" w:ascii="宋体" w:hAnsi="宋体" w:eastAsia="宋体" w:cs="宋体"/>
          <w:color w:val="auto"/>
          <w:sz w:val="24"/>
          <w:highlight w:val="none"/>
        </w:rPr>
        <w:t>，包括澄清或者更正公告（如有）；</w:t>
      </w:r>
    </w:p>
    <w:p w14:paraId="6898B107">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（3）同意提供按照贵方可能要求的与磋商有关的一切数据或者资料。</w:t>
      </w:r>
    </w:p>
    <w:p w14:paraId="33525B07">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w:t>
      </w:r>
      <w:r>
        <w:rPr>
          <w:rFonts w:hint="eastAsia" w:ascii="宋体" w:hAnsi="宋体" w:eastAsia="宋体" w:cs="宋体"/>
          <w:color w:val="auto"/>
          <w:sz w:val="24"/>
          <w:highlight w:val="none"/>
          <w:lang w:eastAsia="zh-CN"/>
        </w:rPr>
        <w:t>重大税收违法失信主体</w:t>
      </w:r>
      <w:r>
        <w:rPr>
          <w:rFonts w:hint="eastAsia" w:ascii="宋体" w:hAnsi="宋体" w:eastAsia="宋体" w:cs="宋体"/>
          <w:color w:val="auto"/>
          <w:sz w:val="24"/>
          <w:highlight w:val="none"/>
        </w:rPr>
        <w:t>、政府采购严重违法失信行为记录名单。</w:t>
      </w:r>
    </w:p>
    <w:p w14:paraId="39B62BE7">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根据《中华人民共和国政府采购法实施条例》第五十条要求对政府采购合同进行公告，但政府采购合同中涉及国家秘密、商业秘密的内容除外。我方就对本次响应文件进行注明如下：（两项内容中必须选择一项）</w:t>
      </w:r>
    </w:p>
    <w:p w14:paraId="6FFB2178">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内容中</w:t>
      </w:r>
      <w:r>
        <w:rPr>
          <w:rFonts w:hint="eastAsia" w:ascii="宋体" w:hAnsi="宋体" w:eastAsia="宋体" w:cs="宋体"/>
          <w:color w:val="auto"/>
          <w:sz w:val="24"/>
          <w:highlight w:val="none"/>
        </w:rPr>
        <w:t>未</w:t>
      </w:r>
      <w:r>
        <w:rPr>
          <w:rFonts w:hint="eastAsia" w:ascii="宋体" w:hAnsi="宋体" w:eastAsia="宋体" w:cs="宋体"/>
          <w:color w:val="auto"/>
          <w:kern w:val="0"/>
          <w:sz w:val="24"/>
          <w:highlight w:val="none"/>
        </w:rPr>
        <w:t>涉及商业秘密；</w:t>
      </w:r>
    </w:p>
    <w:p w14:paraId="62BFECB9">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涉及商业秘密的内容有：</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14:paraId="272ADB48">
      <w:pPr>
        <w:pStyle w:val="15"/>
        <w:tabs>
          <w:tab w:val="left" w:pos="939"/>
        </w:tabs>
        <w:spacing w:line="400" w:lineRule="exact"/>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以上事项如有虚假或者隐瞒，我方愿意承担一切后果，并不再寻求任何旨在减轻或者免除法律责任的辩解。</w:t>
      </w:r>
    </w:p>
    <w:p w14:paraId="26E69193">
      <w:pPr>
        <w:pStyle w:val="15"/>
        <w:tabs>
          <w:tab w:val="left" w:pos="939"/>
        </w:tabs>
        <w:spacing w:line="400" w:lineRule="exact"/>
        <w:ind w:left="141" w:leftChars="6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3C1C8E39">
      <w:pPr>
        <w:pStyle w:val="15"/>
        <w:tabs>
          <w:tab w:val="left" w:pos="939"/>
        </w:tabs>
        <w:spacing w:line="400" w:lineRule="exact"/>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注：如为联合体竞标，盖章处须加盖联合体各方公章，否则其响应文件按无效响应处理。</w:t>
      </w:r>
    </w:p>
    <w:p w14:paraId="1A826BA4">
      <w:pPr>
        <w:pStyle w:val="15"/>
        <w:tabs>
          <w:tab w:val="left" w:pos="939"/>
        </w:tabs>
        <w:spacing w:line="400" w:lineRule="exact"/>
        <w:ind w:left="0" w:leftChars="0" w:firstLine="480" w:firstLineChars="200"/>
        <w:rPr>
          <w:rFonts w:hint="eastAsia" w:ascii="宋体" w:hAnsi="宋体" w:eastAsia="宋体" w:cs="宋体"/>
          <w:color w:val="auto"/>
          <w:sz w:val="24"/>
          <w:highlight w:val="none"/>
        </w:rPr>
      </w:pPr>
    </w:p>
    <w:p w14:paraId="7B080E90">
      <w:pPr>
        <w:autoSpaceDE w:val="0"/>
        <w:autoSpaceDN w:val="0"/>
        <w:spacing w:line="240" w:lineRule="auto"/>
        <w:ind w:left="4365" w:leftChars="1850" w:hanging="480" w:hangingChars="200"/>
        <w:rPr>
          <w:rFonts w:hint="eastAsia" w:ascii="宋体" w:hAnsi="宋体" w:eastAsia="宋体" w:cs="宋体"/>
          <w:color w:val="auto"/>
          <w:kern w:val="0"/>
          <w:sz w:val="24"/>
          <w:highlight w:val="none"/>
        </w:rPr>
      </w:pPr>
    </w:p>
    <w:p w14:paraId="0627939D">
      <w:pPr>
        <w:autoSpaceDE w:val="0"/>
        <w:autoSpaceDN w:val="0"/>
        <w:spacing w:line="240" w:lineRule="auto"/>
        <w:ind w:left="4365" w:leftChars="1850" w:hanging="480" w:hangingChars="200"/>
        <w:rPr>
          <w:rFonts w:hint="eastAsia" w:ascii="宋体" w:hAnsi="宋体" w:eastAsia="宋体" w:cs="宋体"/>
          <w:color w:val="auto"/>
          <w:kern w:val="0"/>
          <w:sz w:val="24"/>
          <w:highlight w:val="none"/>
        </w:rPr>
      </w:pPr>
    </w:p>
    <w:p w14:paraId="417328F3">
      <w:pPr>
        <w:autoSpaceDE w:val="0"/>
        <w:autoSpaceDN w:val="0"/>
        <w:spacing w:line="360" w:lineRule="auto"/>
        <w:ind w:firstLine="4560" w:firstLineChars="19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500172D5">
      <w:pPr>
        <w:autoSpaceDE w:val="0"/>
        <w:autoSpaceDN w:val="0"/>
        <w:spacing w:line="360" w:lineRule="auto"/>
        <w:ind w:firstLine="4560" w:firstLineChars="1900"/>
        <w:rPr>
          <w:rFonts w:hint="eastAsia" w:ascii="宋体" w:hAnsi="宋体" w:eastAsia="宋体" w:cs="宋体"/>
          <w:color w:val="auto"/>
          <w:kern w:val="0"/>
          <w:sz w:val="24"/>
          <w:highlight w:val="none"/>
          <w:lang w:val="zh-CN"/>
        </w:rPr>
        <w:sectPr>
          <w:pgSz w:w="11911" w:h="16838"/>
          <w:pgMar w:top="1134" w:right="1134" w:bottom="1134" w:left="1134" w:header="720" w:footer="720" w:gutter="0"/>
          <w:pgNumType w:fmt="decimal"/>
          <w:cols w:space="720" w:num="1"/>
        </w:sectPr>
      </w:pPr>
      <w:r>
        <w:rPr>
          <w:rFonts w:hint="eastAsia" w:ascii="宋体" w:hAnsi="宋体" w:eastAsia="宋体" w:cs="宋体"/>
          <w:color w:val="auto"/>
          <w:kern w:val="0"/>
          <w:sz w:val="24"/>
          <w:highlight w:val="none"/>
          <w:lang w:val="zh-CN"/>
        </w:rPr>
        <w:t>日期：  年  月   日</w:t>
      </w:r>
    </w:p>
    <w:p w14:paraId="5BBC9FA4">
      <w:pPr>
        <w:pStyle w:val="6"/>
        <w:overflowPunct w:val="0"/>
        <w:spacing w:line="520" w:lineRule="exact"/>
        <w:ind w:firstLine="0"/>
        <w:rPr>
          <w:rFonts w:hint="eastAsia" w:ascii="宋体" w:hAnsi="宋体" w:eastAsia="宋体" w:cs="宋体"/>
          <w:b/>
          <w:bCs/>
          <w:color w:val="auto"/>
          <w:sz w:val="28"/>
          <w:szCs w:val="28"/>
          <w:highlight w:val="none"/>
          <w:lang w:eastAsia="zh-CN"/>
        </w:rPr>
      </w:pPr>
      <w:r>
        <w:rPr>
          <w:rFonts w:hint="eastAsia" w:ascii="宋体" w:hAnsi="宋体" w:eastAsia="宋体" w:cs="宋体"/>
          <w:b/>
          <w:color w:val="auto"/>
          <w:kern w:val="0"/>
          <w:sz w:val="32"/>
          <w:szCs w:val="32"/>
          <w:highlight w:val="none"/>
          <w:lang w:val="en-US" w:eastAsia="zh-CN" w:bidi="ar-SA"/>
        </w:rPr>
        <w:t>6.</w:t>
      </w:r>
      <w:r>
        <w:rPr>
          <w:rFonts w:hint="eastAsia" w:ascii="宋体" w:hAnsi="宋体" w:eastAsia="宋体" w:cs="宋体"/>
          <w:b/>
          <w:color w:val="auto"/>
          <w:kern w:val="0"/>
          <w:sz w:val="28"/>
          <w:szCs w:val="28"/>
          <w:highlight w:val="none"/>
        </w:rPr>
        <w:t>联合体</w:t>
      </w:r>
      <w:r>
        <w:rPr>
          <w:rFonts w:hint="eastAsia" w:ascii="宋体" w:hAnsi="宋体" w:eastAsia="宋体" w:cs="宋体"/>
          <w:b/>
          <w:color w:val="auto"/>
          <w:kern w:val="0"/>
          <w:sz w:val="28"/>
          <w:szCs w:val="28"/>
          <w:highlight w:val="none"/>
          <w:lang w:eastAsia="zh-CN"/>
        </w:rPr>
        <w:t>竞标</w:t>
      </w:r>
      <w:r>
        <w:rPr>
          <w:rFonts w:hint="eastAsia" w:ascii="宋体" w:hAnsi="宋体" w:eastAsia="宋体" w:cs="宋体"/>
          <w:b/>
          <w:color w:val="auto"/>
          <w:kern w:val="0"/>
          <w:sz w:val="28"/>
          <w:szCs w:val="28"/>
          <w:highlight w:val="none"/>
        </w:rPr>
        <w:t>协议书</w:t>
      </w:r>
      <w:r>
        <w:rPr>
          <w:rFonts w:hint="eastAsia" w:ascii="宋体" w:hAnsi="宋体" w:eastAsia="宋体" w:cs="宋体"/>
          <w:b/>
          <w:color w:val="auto"/>
          <w:kern w:val="0"/>
          <w:sz w:val="28"/>
          <w:szCs w:val="28"/>
          <w:highlight w:val="none"/>
          <w:lang w:eastAsia="zh-CN"/>
        </w:rPr>
        <w:t>的格式：</w:t>
      </w:r>
    </w:p>
    <w:p w14:paraId="1DD88149">
      <w:pPr>
        <w:spacing w:line="600" w:lineRule="exact"/>
        <w:jc w:val="center"/>
        <w:rPr>
          <w:rFonts w:hint="eastAsia" w:ascii="宋体" w:hAnsi="宋体" w:eastAsia="宋体" w:cs="宋体"/>
          <w:color w:val="auto"/>
          <w:sz w:val="44"/>
          <w:szCs w:val="44"/>
          <w:highlight w:val="none"/>
        </w:rPr>
      </w:pPr>
    </w:p>
    <w:p w14:paraId="04889EFE">
      <w:pPr>
        <w:spacing w:line="6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联合体竞标协议书</w:t>
      </w:r>
    </w:p>
    <w:p w14:paraId="1C0C6DE5">
      <w:pPr>
        <w:autoSpaceDE w:val="0"/>
        <w:autoSpaceDN w:val="0"/>
        <w:adjustRightInd w:val="0"/>
        <w:spacing w:line="360" w:lineRule="auto"/>
        <w:jc w:val="left"/>
        <w:rPr>
          <w:rFonts w:hint="eastAsia" w:ascii="宋体" w:hAnsi="宋体" w:eastAsia="宋体" w:cs="宋体"/>
          <w:color w:val="auto"/>
          <w:kern w:val="0"/>
          <w:szCs w:val="21"/>
          <w:highlight w:val="none"/>
          <w:u w:val="single"/>
        </w:rPr>
      </w:pPr>
    </w:p>
    <w:p w14:paraId="722D4A83">
      <w:pPr>
        <w:autoSpaceDE w:val="0"/>
        <w:autoSpaceDN w:val="0"/>
        <w:adjustRightInd w:val="0"/>
        <w:spacing w:line="36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（所有成员单位名称）自愿组成联合体，共同参加</w:t>
      </w:r>
      <w:r>
        <w:rPr>
          <w:rFonts w:hint="eastAsia" w:ascii="宋体" w:hAnsi="宋体" w:eastAsia="宋体" w:cs="宋体"/>
          <w:color w:val="auto"/>
          <w:kern w:val="0"/>
          <w:sz w:val="24"/>
          <w:highlight w:val="none"/>
          <w:u w:val="single"/>
        </w:rPr>
        <w:t xml:space="preserve">     </w:t>
      </w:r>
      <w:r>
        <w:rPr>
          <w:rFonts w:hint="eastAsia" w:ascii="宋体" w:hAnsi="宋体" w:eastAsia="宋体" w:cs="宋体"/>
          <w:i/>
          <w:iCs/>
          <w:color w:val="auto"/>
          <w:kern w:val="0"/>
          <w:sz w:val="24"/>
          <w:highlight w:val="none"/>
          <w:u w:val="single"/>
        </w:rPr>
        <w:t>（采购代理机构名称）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组织的</w:t>
      </w:r>
      <w:r>
        <w:rPr>
          <w:rFonts w:hint="eastAsia" w:ascii="宋体" w:hAnsi="宋体" w:eastAsia="宋体" w:cs="宋体"/>
          <w:color w:val="auto"/>
          <w:kern w:val="0"/>
          <w:sz w:val="24"/>
          <w:highlight w:val="none"/>
          <w:u w:val="single"/>
        </w:rPr>
        <w:t xml:space="preserve">        </w:t>
      </w:r>
      <w:r>
        <w:rPr>
          <w:rFonts w:hint="eastAsia" w:ascii="宋体" w:hAnsi="宋体" w:eastAsia="宋体" w:cs="宋体"/>
          <w:i/>
          <w:iCs/>
          <w:color w:val="auto"/>
          <w:kern w:val="0"/>
          <w:sz w:val="24"/>
          <w:highlight w:val="none"/>
          <w:u w:val="single"/>
        </w:rPr>
        <w:t xml:space="preserve"> （项目名称）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（项目编号：</w:t>
      </w:r>
      <w:r>
        <w:rPr>
          <w:rFonts w:hint="eastAsia" w:ascii="宋体" w:hAnsi="宋体" w:eastAsia="宋体" w:cs="宋体"/>
          <w:i/>
          <w:iCs/>
          <w:color w:val="auto"/>
          <w:kern w:val="0"/>
          <w:sz w:val="24"/>
          <w:highlight w:val="none"/>
          <w:u w:val="single"/>
          <w:lang w:eastAsia="zh-CN"/>
        </w:rPr>
        <w:t>（项目编号）</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）竞争性磋商采购。现就联合体竞标事宜订立如下协议：</w:t>
      </w:r>
    </w:p>
    <w:p w14:paraId="76E54025">
      <w:pPr>
        <w:autoSpaceDE w:val="0"/>
        <w:autoSpaceDN w:val="0"/>
        <w:adjustRightInd w:val="0"/>
        <w:spacing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（某成员单位名称）为联合体名称牵头人。</w:t>
      </w:r>
    </w:p>
    <w:p w14:paraId="0B18AAF2">
      <w:pPr>
        <w:autoSpaceDE w:val="0"/>
        <w:autoSpaceDN w:val="0"/>
        <w:adjustRightInd w:val="0"/>
        <w:spacing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3AE571D0">
      <w:pPr>
        <w:autoSpaceDE w:val="0"/>
        <w:autoSpaceDN w:val="0"/>
        <w:adjustRightInd w:val="0"/>
        <w:spacing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3、联合体牵头人在本项目中签署和盖章的一切文件和处理的一切事宜，联合体各成员均予以承认。 联合体各成员将严格按照磋商文件、响应文件和合同的要求全面履行义务，并向采购人承担连带责任。</w:t>
      </w:r>
    </w:p>
    <w:p w14:paraId="72ADDABD">
      <w:pPr>
        <w:autoSpaceDE w:val="0"/>
        <w:autoSpaceDN w:val="0"/>
        <w:adjustRightInd w:val="0"/>
        <w:spacing w:line="360" w:lineRule="exact"/>
        <w:ind w:left="479" w:leftChars="228" w:firstLine="0" w:firstLineChars="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4、联合体各成员单位内部的职责分工如下</w:t>
      </w:r>
      <w:r>
        <w:rPr>
          <w:rFonts w:hint="eastAsia" w:ascii="宋体" w:hAnsi="宋体" w:eastAsia="宋体" w:cs="宋体"/>
          <w:color w:val="auto"/>
          <w:kern w:val="0"/>
          <w:sz w:val="24"/>
          <w:highlight w:val="none"/>
          <w:u w:val="none"/>
        </w:rPr>
        <w:t>：</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14:paraId="2839F1CC">
      <w:pPr>
        <w:spacing w:line="36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5、本联合体中</w:t>
      </w:r>
      <w:r>
        <w:rPr>
          <w:rFonts w:hint="eastAsia" w:ascii="宋体" w:hAnsi="宋体" w:eastAsia="宋体" w:cs="宋体"/>
          <w:color w:val="auto"/>
          <w:kern w:val="0"/>
          <w:sz w:val="24"/>
          <w:highlight w:val="none"/>
          <w:u w:val="none"/>
        </w:rPr>
        <w:t>，</w:t>
      </w:r>
      <w:r>
        <w:rPr>
          <w:rFonts w:hint="eastAsia" w:ascii="宋体" w:hAnsi="宋体" w:eastAsia="宋体" w:cs="宋体"/>
          <w:color w:val="auto"/>
          <w:kern w:val="0"/>
          <w:sz w:val="24"/>
          <w:highlight w:val="none"/>
          <w:u w:val="single"/>
        </w:rPr>
        <w:t xml:space="preserve">                         （某成员单位名称）为       </w:t>
      </w:r>
      <w:r>
        <w:rPr>
          <w:rFonts w:hint="eastAsia" w:ascii="宋体" w:hAnsi="宋体" w:eastAsia="宋体" w:cs="宋体"/>
          <w:color w:val="auto"/>
          <w:kern w:val="0"/>
          <w:sz w:val="24"/>
          <w:highlight w:val="none"/>
        </w:rPr>
        <w:t>（请填写：中型、小型、微型）企业，其协议合同金额占联合体协议合同总金额的</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%。【如联合体成员中有小型、微型企业的，请填写此条，否则无需填写；如联合体成员中有多个小型、微型企业的，请逐一列出。】</w:t>
      </w:r>
    </w:p>
    <w:p w14:paraId="3D0A0E91">
      <w:pPr>
        <w:autoSpaceDE w:val="0"/>
        <w:autoSpaceDN w:val="0"/>
        <w:adjustRightInd w:val="0"/>
        <w:spacing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6、本协议书自签署之日起生效，合同履行完毕后自动失效。</w:t>
      </w:r>
    </w:p>
    <w:p w14:paraId="1DD24631">
      <w:pPr>
        <w:autoSpaceDE w:val="0"/>
        <w:autoSpaceDN w:val="0"/>
        <w:adjustRightInd w:val="0"/>
        <w:spacing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7、本协议书一式</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份，联合体成员和采购代理机构各执一份。</w:t>
      </w:r>
    </w:p>
    <w:p w14:paraId="38A62FC5">
      <w:pPr>
        <w:autoSpaceDE w:val="0"/>
        <w:autoSpaceDN w:val="0"/>
        <w:adjustRightInd w:val="0"/>
        <w:spacing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注：本协议书由法定代表人签字的，应附法定代表人身份证明；本协议书由委托代理人签字的，应附法定代表人授权委托书。</w:t>
      </w:r>
    </w:p>
    <w:p w14:paraId="0790496B">
      <w:pPr>
        <w:autoSpaceDE w:val="0"/>
        <w:autoSpaceDN w:val="0"/>
        <w:adjustRightInd w:val="0"/>
        <w:spacing w:line="36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牵头人名称：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（盖公章）</w:t>
      </w:r>
    </w:p>
    <w:p w14:paraId="32CD1E85">
      <w:pPr>
        <w:autoSpaceDE w:val="0"/>
        <w:autoSpaceDN w:val="0"/>
        <w:adjustRightInd w:val="0"/>
        <w:spacing w:line="36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法定代表人或其委托代理人：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（签字）</w:t>
      </w:r>
    </w:p>
    <w:p w14:paraId="4E936157">
      <w:pPr>
        <w:autoSpaceDE w:val="0"/>
        <w:autoSpaceDN w:val="0"/>
        <w:adjustRightInd w:val="0"/>
        <w:spacing w:line="360" w:lineRule="exact"/>
        <w:jc w:val="left"/>
        <w:rPr>
          <w:rFonts w:hint="eastAsia" w:ascii="宋体" w:hAnsi="宋体" w:eastAsia="宋体" w:cs="宋体"/>
          <w:color w:val="auto"/>
          <w:kern w:val="0"/>
          <w:sz w:val="24"/>
          <w:highlight w:val="none"/>
        </w:rPr>
      </w:pPr>
    </w:p>
    <w:p w14:paraId="4777DA4A">
      <w:pPr>
        <w:autoSpaceDE w:val="0"/>
        <w:autoSpaceDN w:val="0"/>
        <w:adjustRightInd w:val="0"/>
        <w:spacing w:line="36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成员一名称：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（盖公章）</w:t>
      </w:r>
    </w:p>
    <w:p w14:paraId="4517A9EC">
      <w:pPr>
        <w:autoSpaceDE w:val="0"/>
        <w:autoSpaceDN w:val="0"/>
        <w:adjustRightInd w:val="0"/>
        <w:spacing w:line="36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法定代表人或其委托代理人：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（签字）</w:t>
      </w:r>
    </w:p>
    <w:p w14:paraId="4E4996A2">
      <w:pPr>
        <w:autoSpaceDE w:val="0"/>
        <w:autoSpaceDN w:val="0"/>
        <w:adjustRightInd w:val="0"/>
        <w:spacing w:line="360" w:lineRule="exact"/>
        <w:jc w:val="left"/>
        <w:rPr>
          <w:rFonts w:hint="eastAsia" w:ascii="宋体" w:hAnsi="宋体" w:eastAsia="宋体" w:cs="宋体"/>
          <w:color w:val="auto"/>
          <w:kern w:val="0"/>
          <w:szCs w:val="21"/>
          <w:highlight w:val="none"/>
        </w:rPr>
      </w:pPr>
    </w:p>
    <w:p w14:paraId="4D7A9339">
      <w:pPr>
        <w:autoSpaceDE w:val="0"/>
        <w:autoSpaceDN w:val="0"/>
        <w:adjustRightInd w:val="0"/>
        <w:spacing w:line="36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成员二名称：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（盖公章）</w:t>
      </w:r>
    </w:p>
    <w:p w14:paraId="110CD1A4">
      <w:pPr>
        <w:autoSpaceDE w:val="0"/>
        <w:autoSpaceDN w:val="0"/>
        <w:adjustRightInd w:val="0"/>
        <w:spacing w:line="36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法定代表人或其委托代理人：                         （签字）</w:t>
      </w:r>
    </w:p>
    <w:p w14:paraId="7393D999">
      <w:pPr>
        <w:autoSpaceDE w:val="0"/>
        <w:autoSpaceDN w:val="0"/>
        <w:adjustRightInd w:val="0"/>
        <w:spacing w:line="360" w:lineRule="exact"/>
        <w:jc w:val="left"/>
        <w:rPr>
          <w:rFonts w:hint="eastAsia" w:ascii="宋体" w:hAnsi="宋体" w:eastAsia="宋体" w:cs="宋体"/>
          <w:color w:val="auto"/>
          <w:kern w:val="0"/>
          <w:sz w:val="24"/>
          <w:highlight w:val="none"/>
        </w:rPr>
      </w:pPr>
    </w:p>
    <w:p w14:paraId="174AAD46">
      <w:pPr>
        <w:autoSpaceDE w:val="0"/>
        <w:autoSpaceDN w:val="0"/>
        <w:adjustRightInd w:val="0"/>
        <w:spacing w:line="360" w:lineRule="exact"/>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w:t>
      </w:r>
    </w:p>
    <w:p w14:paraId="07ADB058">
      <w:pPr>
        <w:autoSpaceDE w:val="0"/>
        <w:autoSpaceDN w:val="0"/>
        <w:spacing w:line="360" w:lineRule="exact"/>
        <w:ind w:left="4365" w:leftChars="1850" w:hanging="480" w:hangingChars="200"/>
        <w:rPr>
          <w:rFonts w:hint="eastAsia" w:ascii="宋体" w:hAnsi="宋体" w:eastAsia="宋体" w:cs="宋体"/>
          <w:color w:val="auto"/>
          <w:kern w:val="0"/>
          <w:sz w:val="24"/>
          <w:highlight w:val="none"/>
        </w:rPr>
      </w:pPr>
    </w:p>
    <w:p w14:paraId="03A93A93">
      <w:pPr>
        <w:autoSpaceDE w:val="0"/>
        <w:autoSpaceDN w:val="0"/>
        <w:spacing w:line="360" w:lineRule="exact"/>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A7042A3">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07F59F33">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6EE035F9">
      <w:pPr>
        <w:pStyle w:val="3"/>
        <w:jc w:val="center"/>
        <w:rPr>
          <w:rFonts w:hint="eastAsia" w:ascii="宋体" w:hAnsi="宋体" w:eastAsia="宋体" w:cs="宋体"/>
          <w:b w:val="0"/>
          <w:color w:val="auto"/>
          <w:highlight w:val="none"/>
        </w:rPr>
      </w:pPr>
      <w:bookmarkStart w:id="126" w:name="_Toc15951"/>
      <w:bookmarkStart w:id="127" w:name="_Toc80886944"/>
      <w:bookmarkStart w:id="128" w:name="_Toc80205940"/>
      <w:bookmarkStart w:id="129" w:name="_Toc20562"/>
      <w:r>
        <w:rPr>
          <w:rFonts w:hint="eastAsia" w:ascii="宋体" w:hAnsi="宋体" w:eastAsia="宋体" w:cs="宋体"/>
          <w:b w:val="0"/>
          <w:bCs w:val="0"/>
          <w:color w:val="auto"/>
          <w:highlight w:val="none"/>
        </w:rPr>
        <w:t>第</w:t>
      </w:r>
      <w:r>
        <w:rPr>
          <w:rFonts w:hint="eastAsia" w:ascii="宋体" w:hAnsi="宋体" w:eastAsia="宋体" w:cs="宋体"/>
          <w:b w:val="0"/>
          <w:bCs w:val="0"/>
          <w:color w:val="auto"/>
          <w:highlight w:val="none"/>
          <w:lang w:eastAsia="zh-CN"/>
        </w:rPr>
        <w:t>二</w:t>
      </w:r>
      <w:r>
        <w:rPr>
          <w:rFonts w:hint="eastAsia" w:ascii="宋体" w:hAnsi="宋体" w:eastAsia="宋体" w:cs="宋体"/>
          <w:b w:val="0"/>
          <w:bCs w:val="0"/>
          <w:color w:val="auto"/>
          <w:highlight w:val="none"/>
        </w:rPr>
        <w:t xml:space="preserve">节 </w:t>
      </w:r>
      <w:r>
        <w:rPr>
          <w:rFonts w:hint="eastAsia" w:ascii="宋体" w:hAnsi="宋体" w:eastAsia="宋体" w:cs="宋体"/>
          <w:b w:val="0"/>
          <w:color w:val="auto"/>
          <w:highlight w:val="none"/>
        </w:rPr>
        <w:t>商务技术文件格式</w:t>
      </w:r>
      <w:bookmarkEnd w:id="126"/>
      <w:bookmarkEnd w:id="127"/>
      <w:bookmarkEnd w:id="128"/>
      <w:bookmarkEnd w:id="129"/>
    </w:p>
    <w:p w14:paraId="32412EE8">
      <w:pPr>
        <w:snapToGrid w:val="0"/>
        <w:spacing w:before="156" w:beforeLines="50" w:after="50" w:line="360" w:lineRule="auto"/>
        <w:jc w:val="left"/>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28"/>
          <w:szCs w:val="28"/>
          <w:highlight w:val="none"/>
        </w:rPr>
        <w:t>1.商务技术文件封面</w:t>
      </w:r>
      <w:r>
        <w:rPr>
          <w:rFonts w:hint="eastAsia" w:ascii="宋体" w:hAnsi="宋体" w:eastAsia="宋体" w:cs="宋体"/>
          <w:b/>
          <w:color w:val="auto"/>
          <w:sz w:val="28"/>
          <w:szCs w:val="28"/>
          <w:highlight w:val="none"/>
          <w:lang w:eastAsia="zh-CN"/>
        </w:rPr>
        <w:t>的</w:t>
      </w:r>
      <w:r>
        <w:rPr>
          <w:rFonts w:hint="eastAsia" w:ascii="宋体" w:hAnsi="宋体" w:eastAsia="宋体" w:cs="宋体"/>
          <w:b/>
          <w:color w:val="auto"/>
          <w:sz w:val="28"/>
          <w:szCs w:val="28"/>
          <w:highlight w:val="none"/>
        </w:rPr>
        <w:t>格式（参照此格式自拟）</w:t>
      </w:r>
      <w:r>
        <w:rPr>
          <w:rFonts w:hint="eastAsia" w:ascii="宋体" w:hAnsi="宋体" w:eastAsia="宋体" w:cs="宋体"/>
          <w:b/>
          <w:color w:val="auto"/>
          <w:sz w:val="28"/>
          <w:szCs w:val="28"/>
          <w:highlight w:val="none"/>
          <w:lang w:eastAsia="zh-CN"/>
        </w:rPr>
        <w:t>：</w:t>
      </w:r>
    </w:p>
    <w:p w14:paraId="64A5A98A">
      <w:pPr>
        <w:snapToGrid w:val="0"/>
        <w:spacing w:before="120" w:beforeLines="50" w:after="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55753E20">
      <w:pPr>
        <w:snapToGrid w:val="0"/>
        <w:spacing w:before="120" w:beforeLines="50" w:after="50"/>
        <w:ind w:firstLine="6720" w:firstLineChars="3200"/>
        <w:rPr>
          <w:rFonts w:hint="eastAsia" w:ascii="宋体" w:hAnsi="宋体" w:eastAsia="宋体" w:cs="宋体"/>
          <w:bCs/>
          <w:color w:val="auto"/>
          <w:sz w:val="32"/>
          <w:szCs w:val="20"/>
          <w:highlight w:val="none"/>
        </w:rPr>
      </w:pPr>
      <w:r>
        <w:rPr>
          <w:rFonts w:hint="eastAsia" w:ascii="宋体" w:hAnsi="宋体" w:eastAsia="宋体" w:cs="宋体"/>
          <w:bCs/>
          <w:color w:val="auto"/>
          <w:highlight w:val="none"/>
        </w:rPr>
        <w:t>全流程电子文件</w:t>
      </w:r>
    </w:p>
    <w:p w14:paraId="11CFA16F">
      <w:pPr>
        <w:snapToGrid w:val="0"/>
        <w:spacing w:before="120" w:beforeLines="50" w:after="50"/>
        <w:rPr>
          <w:rFonts w:hint="eastAsia" w:ascii="宋体" w:hAnsi="宋体" w:eastAsia="宋体" w:cs="宋体"/>
          <w:color w:val="auto"/>
          <w:sz w:val="24"/>
          <w:szCs w:val="20"/>
          <w:highlight w:val="none"/>
        </w:rPr>
      </w:pPr>
    </w:p>
    <w:p w14:paraId="376306BA">
      <w:pPr>
        <w:snapToGrid w:val="0"/>
        <w:spacing w:before="120" w:beforeLines="50" w:after="50"/>
        <w:rPr>
          <w:rFonts w:hint="eastAsia" w:ascii="宋体" w:hAnsi="宋体" w:eastAsia="宋体" w:cs="宋体"/>
          <w:color w:val="auto"/>
          <w:sz w:val="24"/>
          <w:szCs w:val="20"/>
          <w:highlight w:val="none"/>
        </w:rPr>
      </w:pPr>
    </w:p>
    <w:p w14:paraId="6ABC3074">
      <w:pPr>
        <w:snapToGrid w:val="0"/>
        <w:spacing w:before="120" w:beforeLines="50" w:after="50"/>
        <w:rPr>
          <w:rFonts w:hint="eastAsia" w:ascii="宋体" w:hAnsi="宋体" w:eastAsia="宋体" w:cs="宋体"/>
          <w:color w:val="auto"/>
          <w:sz w:val="24"/>
          <w:szCs w:val="20"/>
          <w:highlight w:val="none"/>
        </w:rPr>
      </w:pPr>
    </w:p>
    <w:p w14:paraId="758C2877">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w:t>
      </w:r>
    </w:p>
    <w:p w14:paraId="515B8C68">
      <w:pPr>
        <w:snapToGrid w:val="0"/>
        <w:spacing w:before="120" w:beforeLines="50" w:after="50"/>
        <w:rPr>
          <w:rFonts w:hint="eastAsia" w:ascii="宋体" w:hAnsi="宋体" w:eastAsia="宋体" w:cs="宋体"/>
          <w:bCs/>
          <w:color w:val="auto"/>
          <w:sz w:val="24"/>
          <w:szCs w:val="20"/>
          <w:highlight w:val="none"/>
        </w:rPr>
      </w:pPr>
    </w:p>
    <w:p w14:paraId="3EED8CFF">
      <w:pPr>
        <w:snapToGrid w:val="0"/>
        <w:spacing w:before="120" w:beforeLines="50" w:after="50"/>
        <w:rPr>
          <w:rFonts w:hint="eastAsia" w:ascii="宋体" w:hAnsi="宋体" w:eastAsia="宋体" w:cs="宋体"/>
          <w:bCs/>
          <w:color w:val="auto"/>
          <w:sz w:val="24"/>
          <w:szCs w:val="20"/>
          <w:highlight w:val="none"/>
        </w:rPr>
      </w:pPr>
    </w:p>
    <w:p w14:paraId="139ECB19">
      <w:pPr>
        <w:snapToGrid w:val="0"/>
        <w:spacing w:before="120" w:beforeLines="50" w:after="50"/>
        <w:rPr>
          <w:rFonts w:hint="eastAsia" w:ascii="宋体" w:hAnsi="宋体" w:eastAsia="宋体" w:cs="宋体"/>
          <w:bCs/>
          <w:color w:val="auto"/>
          <w:sz w:val="24"/>
          <w:szCs w:val="20"/>
          <w:highlight w:val="none"/>
        </w:rPr>
      </w:pPr>
    </w:p>
    <w:p w14:paraId="1A02387F">
      <w:pPr>
        <w:snapToGrid w:val="0"/>
        <w:spacing w:before="120" w:beforeLines="50" w:after="50"/>
        <w:rPr>
          <w:rFonts w:hint="eastAsia" w:ascii="宋体" w:hAnsi="宋体" w:eastAsia="宋体" w:cs="宋体"/>
          <w:bCs/>
          <w:color w:val="auto"/>
          <w:sz w:val="24"/>
          <w:szCs w:val="20"/>
          <w:highlight w:val="none"/>
        </w:rPr>
      </w:pPr>
    </w:p>
    <w:p w14:paraId="5C065071">
      <w:pPr>
        <w:snapToGrid w:val="0"/>
        <w:spacing w:before="120" w:beforeLines="50" w:after="50"/>
        <w:rPr>
          <w:rFonts w:hint="eastAsia" w:ascii="宋体" w:hAnsi="宋体" w:eastAsia="宋体" w:cs="宋体"/>
          <w:bCs/>
          <w:color w:val="auto"/>
          <w:sz w:val="24"/>
          <w:szCs w:val="20"/>
          <w:highlight w:val="none"/>
        </w:rPr>
      </w:pPr>
    </w:p>
    <w:p w14:paraId="41245739">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75A4D51C">
      <w:pPr>
        <w:snapToGrid w:val="0"/>
        <w:spacing w:before="120" w:beforeLines="50" w:after="50"/>
        <w:ind w:firstLine="720" w:firstLineChars="225"/>
        <w:rPr>
          <w:rFonts w:hint="eastAsia" w:ascii="宋体" w:hAnsi="宋体" w:eastAsia="宋体" w:cs="宋体"/>
          <w:bCs/>
          <w:color w:val="auto"/>
          <w:sz w:val="32"/>
          <w:szCs w:val="32"/>
          <w:highlight w:val="none"/>
        </w:rPr>
      </w:pPr>
    </w:p>
    <w:p w14:paraId="721DF258">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69984695">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61FD63D5">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3DB0E2E4">
      <w:pPr>
        <w:snapToGrid w:val="0"/>
        <w:spacing w:before="120" w:beforeLines="50" w:after="50"/>
        <w:ind w:firstLine="720" w:firstLineChars="225"/>
        <w:rPr>
          <w:rFonts w:hint="eastAsia" w:ascii="宋体" w:hAnsi="宋体" w:eastAsia="宋体" w:cs="宋体"/>
          <w:bCs/>
          <w:color w:val="auto"/>
          <w:sz w:val="32"/>
          <w:szCs w:val="32"/>
          <w:highlight w:val="none"/>
        </w:rPr>
      </w:pPr>
    </w:p>
    <w:p w14:paraId="3013AC36">
      <w:pPr>
        <w:pStyle w:val="6"/>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3501D02">
      <w:pPr>
        <w:pStyle w:val="6"/>
        <w:snapToGrid w:val="0"/>
        <w:spacing w:before="50" w:after="50"/>
        <w:ind w:firstLine="720" w:firstLineChars="225"/>
        <w:rPr>
          <w:rFonts w:hint="eastAsia" w:ascii="宋体" w:hAnsi="宋体" w:eastAsia="宋体" w:cs="宋体"/>
          <w:bCs/>
          <w:color w:val="auto"/>
          <w:sz w:val="32"/>
          <w:szCs w:val="32"/>
          <w:highlight w:val="none"/>
        </w:rPr>
      </w:pPr>
    </w:p>
    <w:p w14:paraId="44FA6BE2">
      <w:pPr>
        <w:pStyle w:val="6"/>
        <w:snapToGrid w:val="0"/>
        <w:spacing w:before="50" w:after="50"/>
        <w:ind w:firstLine="720" w:firstLineChars="225"/>
        <w:rPr>
          <w:rFonts w:hint="eastAsia" w:ascii="宋体" w:hAnsi="宋体" w:eastAsia="宋体" w:cs="宋体"/>
          <w:bCs/>
          <w:color w:val="auto"/>
          <w:sz w:val="32"/>
          <w:szCs w:val="32"/>
          <w:highlight w:val="none"/>
        </w:rPr>
      </w:pPr>
    </w:p>
    <w:p w14:paraId="1631E08C">
      <w:pPr>
        <w:pStyle w:val="6"/>
        <w:snapToGrid w:val="0"/>
        <w:spacing w:before="50" w:after="50"/>
        <w:ind w:firstLine="1280" w:firstLineChars="400"/>
        <w:rPr>
          <w:rFonts w:hint="eastAsia" w:ascii="宋体" w:hAnsi="宋体" w:eastAsia="宋体" w:cs="宋体"/>
          <w:bCs/>
          <w:color w:val="auto"/>
          <w:sz w:val="32"/>
          <w:szCs w:val="32"/>
          <w:highlight w:val="none"/>
        </w:rPr>
      </w:pPr>
    </w:p>
    <w:p w14:paraId="4B89CFA0">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4925565A">
      <w:pPr>
        <w:snapToGrid w:val="0"/>
        <w:spacing w:before="120" w:beforeLines="50" w:after="50" w:line="360" w:lineRule="auto"/>
        <w:ind w:left="142" w:firstLine="643" w:firstLineChars="200"/>
        <w:jc w:val="left"/>
        <w:rPr>
          <w:rFonts w:hint="eastAsia" w:ascii="宋体" w:hAnsi="宋体" w:eastAsia="宋体" w:cs="宋体"/>
          <w:b/>
          <w:bCs/>
          <w:color w:val="auto"/>
          <w:sz w:val="32"/>
          <w:szCs w:val="32"/>
          <w:highlight w:val="none"/>
        </w:rPr>
        <w:sectPr>
          <w:pgSz w:w="11911" w:h="16838"/>
          <w:pgMar w:top="1134" w:right="1134" w:bottom="1134" w:left="1134" w:header="720" w:footer="720" w:gutter="0"/>
          <w:pgNumType w:fmt="decimal"/>
          <w:cols w:space="720" w:num="1"/>
        </w:sectPr>
      </w:pPr>
    </w:p>
    <w:p w14:paraId="509CB794">
      <w:pPr>
        <w:spacing w:line="360" w:lineRule="auto"/>
        <w:ind w:right="420"/>
        <w:rPr>
          <w:rFonts w:hint="eastAsia" w:ascii="宋体" w:hAnsi="宋体" w:eastAsia="宋体" w:cs="宋体"/>
          <w:color w:val="auto"/>
          <w:sz w:val="24"/>
          <w:szCs w:val="20"/>
          <w:highlight w:val="none"/>
        </w:rPr>
      </w:pPr>
      <w:r>
        <w:rPr>
          <w:rFonts w:hint="eastAsia" w:ascii="宋体" w:hAnsi="宋体" w:eastAsia="宋体" w:cs="宋体"/>
          <w:b/>
          <w:bCs/>
          <w:color w:val="auto"/>
          <w:sz w:val="28"/>
          <w:szCs w:val="28"/>
          <w:highlight w:val="none"/>
          <w:lang w:val="en-US"/>
        </w:rPr>
        <w:t>2</w:t>
      </w:r>
      <w:r>
        <w:rPr>
          <w:rFonts w:hint="eastAsia" w:ascii="宋体" w:hAnsi="宋体" w:eastAsia="宋体" w:cs="宋体"/>
          <w:b/>
          <w:bCs/>
          <w:color w:val="auto"/>
          <w:sz w:val="28"/>
          <w:szCs w:val="28"/>
          <w:highlight w:val="none"/>
        </w:rPr>
        <w:t>.商务</w:t>
      </w:r>
      <w:r>
        <w:rPr>
          <w:rFonts w:hint="eastAsia" w:ascii="宋体" w:hAnsi="宋体" w:eastAsia="宋体" w:cs="宋体"/>
          <w:b/>
          <w:bCs/>
          <w:color w:val="auto"/>
          <w:sz w:val="28"/>
          <w:szCs w:val="28"/>
          <w:highlight w:val="none"/>
          <w:lang w:eastAsia="zh-CN"/>
        </w:rPr>
        <w:t>技术</w:t>
      </w:r>
      <w:r>
        <w:rPr>
          <w:rFonts w:hint="eastAsia" w:ascii="宋体" w:hAnsi="宋体" w:eastAsia="宋体" w:cs="宋体"/>
          <w:b/>
          <w:bCs/>
          <w:color w:val="auto"/>
          <w:sz w:val="28"/>
          <w:szCs w:val="28"/>
          <w:highlight w:val="none"/>
        </w:rPr>
        <w:t>文件目录</w:t>
      </w:r>
    </w:p>
    <w:p w14:paraId="48CDA9BB">
      <w:pPr>
        <w:spacing w:line="400" w:lineRule="exact"/>
        <w:rPr>
          <w:rFonts w:hint="eastAsia" w:ascii="宋体" w:hAnsi="宋体" w:eastAsia="宋体" w:cs="宋体"/>
          <w:color w:val="auto"/>
          <w:sz w:val="32"/>
          <w:szCs w:val="32"/>
          <w:highlight w:val="none"/>
        </w:rPr>
      </w:pP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根据竞争性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文件规定及</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提供的材料自行编写目录（部分格式后附）。</w:t>
      </w:r>
    </w:p>
    <w:p w14:paraId="574EE5CC">
      <w:pPr>
        <w:spacing w:line="520" w:lineRule="exact"/>
        <w:ind w:firstLine="0" w:firstLineChars="0"/>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无串</w:t>
      </w:r>
      <w:r>
        <w:rPr>
          <w:rFonts w:hint="eastAsia" w:ascii="宋体" w:hAnsi="宋体" w:eastAsia="宋体" w:cs="宋体"/>
          <w:b/>
          <w:color w:val="auto"/>
          <w:sz w:val="28"/>
          <w:szCs w:val="28"/>
          <w:highlight w:val="none"/>
          <w:lang w:eastAsia="zh-CN"/>
        </w:rPr>
        <w:t>通竞标</w:t>
      </w:r>
      <w:r>
        <w:rPr>
          <w:rFonts w:hint="eastAsia" w:ascii="宋体" w:hAnsi="宋体" w:eastAsia="宋体" w:cs="宋体"/>
          <w:b/>
          <w:color w:val="auto"/>
          <w:sz w:val="28"/>
          <w:szCs w:val="28"/>
          <w:highlight w:val="none"/>
        </w:rPr>
        <w:t>行为</w:t>
      </w:r>
      <w:r>
        <w:rPr>
          <w:rFonts w:hint="eastAsia" w:ascii="宋体" w:hAnsi="宋体" w:eastAsia="宋体" w:cs="宋体"/>
          <w:b/>
          <w:color w:val="auto"/>
          <w:sz w:val="28"/>
          <w:szCs w:val="28"/>
          <w:highlight w:val="none"/>
          <w:lang w:eastAsia="zh-CN"/>
        </w:rPr>
        <w:t>的</w:t>
      </w:r>
      <w:r>
        <w:rPr>
          <w:rFonts w:hint="eastAsia" w:ascii="宋体" w:hAnsi="宋体" w:eastAsia="宋体" w:cs="宋体"/>
          <w:b/>
          <w:color w:val="auto"/>
          <w:sz w:val="28"/>
          <w:szCs w:val="28"/>
          <w:highlight w:val="none"/>
        </w:rPr>
        <w:t>承诺函</w:t>
      </w:r>
      <w:r>
        <w:rPr>
          <w:rFonts w:hint="eastAsia" w:ascii="宋体" w:hAnsi="宋体" w:eastAsia="宋体" w:cs="宋体"/>
          <w:b/>
          <w:color w:val="auto"/>
          <w:sz w:val="28"/>
          <w:szCs w:val="28"/>
          <w:highlight w:val="none"/>
          <w:lang w:eastAsia="zh-CN"/>
        </w:rPr>
        <w:t>的格式：</w:t>
      </w:r>
    </w:p>
    <w:p w14:paraId="553E13A8">
      <w:pPr>
        <w:spacing w:line="520" w:lineRule="exact"/>
        <w:jc w:val="center"/>
        <w:rPr>
          <w:rFonts w:hint="eastAsia" w:ascii="宋体" w:hAnsi="宋体" w:eastAsia="宋体" w:cs="宋体"/>
          <w:color w:val="auto"/>
          <w:sz w:val="44"/>
          <w:szCs w:val="44"/>
          <w:highlight w:val="none"/>
        </w:rPr>
      </w:pPr>
    </w:p>
    <w:p w14:paraId="3B820839">
      <w:pPr>
        <w:spacing w:line="52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无串通竞标行为的承诺函</w:t>
      </w:r>
    </w:p>
    <w:p w14:paraId="4F429198">
      <w:pPr>
        <w:spacing w:line="520" w:lineRule="exact"/>
        <w:ind w:firstLine="640" w:firstLineChars="200"/>
        <w:rPr>
          <w:rFonts w:hint="eastAsia" w:ascii="宋体" w:hAnsi="宋体" w:eastAsia="宋体" w:cs="宋体"/>
          <w:color w:val="auto"/>
          <w:sz w:val="32"/>
          <w:szCs w:val="32"/>
          <w:highlight w:val="none"/>
        </w:rPr>
      </w:pPr>
    </w:p>
    <w:p w14:paraId="4A2FBF86">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17374C6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1.不同供应商的响应文件由同一单位或者个人编制；</w:t>
      </w:r>
      <w:r>
        <w:rPr>
          <w:rFonts w:hint="eastAsia" w:ascii="宋体" w:hAnsi="宋体" w:eastAsia="宋体" w:cs="宋体"/>
          <w:b/>
          <w:bCs/>
          <w:color w:val="auto"/>
          <w:szCs w:val="21"/>
          <w:highlight w:val="none"/>
        </w:rPr>
        <w:t>或不同</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szCs w:val="21"/>
          <w:highlight w:val="none"/>
        </w:rPr>
        <w:t xml:space="preserve">报名的IP地址一致的； </w:t>
      </w:r>
      <w:r>
        <w:rPr>
          <w:rFonts w:hint="eastAsia" w:ascii="宋体" w:hAnsi="宋体" w:eastAsia="宋体" w:cs="宋体"/>
          <w:color w:val="auto"/>
          <w:sz w:val="24"/>
          <w:highlight w:val="none"/>
        </w:rPr>
        <w:t xml:space="preserve"> </w:t>
      </w:r>
    </w:p>
    <w:p w14:paraId="1A9D082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38B8EA3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3.不同供应商的响应文件载明的项目管理员为同一个人；</w:t>
      </w:r>
    </w:p>
    <w:p w14:paraId="19295FA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同供应商的响应文件异常一致或者响应报价呈规律性差异；</w:t>
      </w:r>
    </w:p>
    <w:p w14:paraId="2EDBFD1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61F32C2E">
      <w:pPr>
        <w:pStyle w:val="12"/>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sz w:val="24"/>
          <w:highlight w:val="none"/>
        </w:rPr>
        <w:t>6.不同供应商的磋商保证金从同一单位或者个人账户转出。</w:t>
      </w:r>
    </w:p>
    <w:p w14:paraId="34D4B47F">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1666EBE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3C83B0C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052E9E9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2016294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349B5D1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2C03C50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59497A1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1A3FD774">
      <w:pPr>
        <w:spacing w:line="360" w:lineRule="auto"/>
        <w:ind w:firstLine="480" w:firstLineChars="200"/>
        <w:contextualSpacing/>
        <w:rPr>
          <w:rFonts w:hint="eastAsia" w:ascii="宋体" w:hAnsi="宋体" w:eastAsia="宋体" w:cs="宋体"/>
          <w:color w:val="auto"/>
          <w:sz w:val="24"/>
          <w:highlight w:val="none"/>
        </w:rPr>
      </w:pPr>
    </w:p>
    <w:p w14:paraId="1EFEB683">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szCs w:val="24"/>
          <w:highlight w:val="none"/>
        </w:rPr>
        <w:t>以上情形一经核查属实，接受政府采购监管部门对我方认定存在围标串标行为，我方愿意承担一切后果，并不再寻求任何旨在减轻或者免除法律责任的辩解</w:t>
      </w:r>
      <w:r>
        <w:rPr>
          <w:rFonts w:hint="eastAsia" w:ascii="宋体" w:hAnsi="宋体" w:eastAsia="宋体" w:cs="宋体"/>
          <w:b/>
          <w:bCs/>
          <w:color w:val="auto"/>
          <w:sz w:val="24"/>
          <w:highlight w:val="none"/>
        </w:rPr>
        <w:t>。</w:t>
      </w:r>
    </w:p>
    <w:p w14:paraId="185A180D">
      <w:pPr>
        <w:pStyle w:val="21"/>
        <w:rPr>
          <w:rFonts w:hint="eastAsia" w:ascii="宋体" w:hAnsi="宋体" w:eastAsia="宋体" w:cs="宋体"/>
          <w:b/>
          <w:bCs/>
          <w:color w:val="auto"/>
          <w:sz w:val="24"/>
          <w:highlight w:val="none"/>
        </w:rPr>
      </w:pPr>
    </w:p>
    <w:p w14:paraId="7D7CBC28">
      <w:pPr>
        <w:pStyle w:val="21"/>
        <w:rPr>
          <w:rFonts w:hint="eastAsia" w:ascii="宋体" w:hAnsi="宋体" w:eastAsia="宋体" w:cs="宋体"/>
          <w:b/>
          <w:bCs/>
          <w:color w:val="auto"/>
          <w:sz w:val="24"/>
          <w:highlight w:val="none"/>
        </w:rPr>
      </w:pPr>
    </w:p>
    <w:p w14:paraId="08E5230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64EC08B6">
      <w:pPr>
        <w:autoSpaceDE w:val="0"/>
        <w:autoSpaceDN w:val="0"/>
        <w:spacing w:line="360" w:lineRule="auto"/>
        <w:ind w:left="4335" w:leftChars="1950" w:hanging="240" w:hangingChars="100"/>
        <w:rPr>
          <w:rFonts w:hint="eastAsia" w:ascii="宋体" w:hAnsi="宋体" w:eastAsia="宋体" w:cs="宋体"/>
          <w:b/>
          <w:bCs/>
          <w:color w:val="auto"/>
          <w:sz w:val="28"/>
          <w:szCs w:val="28"/>
          <w:highlight w:val="none"/>
          <w:lang w:eastAsia="zh-CN"/>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法定代表人身份证明</w:t>
      </w:r>
      <w:r>
        <w:rPr>
          <w:rFonts w:hint="eastAsia" w:ascii="宋体" w:hAnsi="宋体" w:eastAsia="宋体" w:cs="宋体"/>
          <w:b/>
          <w:bCs/>
          <w:color w:val="auto"/>
          <w:sz w:val="28"/>
          <w:szCs w:val="28"/>
          <w:highlight w:val="none"/>
          <w:lang w:eastAsia="zh-CN"/>
        </w:rPr>
        <w:t>的格式：</w:t>
      </w:r>
    </w:p>
    <w:p w14:paraId="394FB411">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bCs/>
          <w:color w:val="auto"/>
          <w:sz w:val="32"/>
          <w:szCs w:val="32"/>
          <w:highlight w:val="none"/>
        </w:rPr>
        <w:t>法定代表人</w:t>
      </w:r>
      <w:r>
        <w:rPr>
          <w:rFonts w:hint="eastAsia" w:ascii="宋体" w:hAnsi="宋体" w:eastAsia="宋体" w:cs="宋体"/>
          <w:bCs/>
          <w:color w:val="auto"/>
          <w:sz w:val="32"/>
          <w:szCs w:val="32"/>
          <w:highlight w:val="none"/>
          <w:lang w:eastAsia="zh-CN"/>
        </w:rPr>
        <w:t>身份</w:t>
      </w:r>
      <w:r>
        <w:rPr>
          <w:rFonts w:hint="eastAsia" w:ascii="宋体" w:hAnsi="宋体" w:eastAsia="宋体" w:cs="宋体"/>
          <w:bCs/>
          <w:color w:val="auto"/>
          <w:sz w:val="32"/>
          <w:szCs w:val="32"/>
          <w:highlight w:val="none"/>
        </w:rPr>
        <w:t>证明</w:t>
      </w:r>
    </w:p>
    <w:p w14:paraId="43903FAD">
      <w:pPr>
        <w:spacing w:line="360" w:lineRule="auto"/>
        <w:ind w:left="540"/>
        <w:contextualSpacing/>
        <w:rPr>
          <w:rFonts w:hint="eastAsia" w:ascii="宋体" w:hAnsi="宋体" w:eastAsia="宋体" w:cs="宋体"/>
          <w:color w:val="auto"/>
          <w:sz w:val="32"/>
          <w:szCs w:val="32"/>
          <w:highlight w:val="none"/>
        </w:rPr>
      </w:pPr>
    </w:p>
    <w:p w14:paraId="1E622CFB">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28EF6E41">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43146A2B">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720FBB9F">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37071ED8">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23475AC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50C3C83A">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407DF6EF">
      <w:pPr>
        <w:spacing w:line="360" w:lineRule="auto"/>
        <w:ind w:left="540"/>
        <w:contextualSpacing/>
        <w:rPr>
          <w:rFonts w:hint="eastAsia" w:ascii="宋体" w:hAnsi="宋体" w:eastAsia="宋体" w:cs="宋体"/>
          <w:color w:val="auto"/>
          <w:sz w:val="24"/>
          <w:highlight w:val="none"/>
        </w:rPr>
      </w:pPr>
    </w:p>
    <w:p w14:paraId="12FBA603">
      <w:pPr>
        <w:spacing w:line="360" w:lineRule="auto"/>
        <w:ind w:left="540"/>
        <w:contextualSpacing/>
        <w:rPr>
          <w:rFonts w:hint="eastAsia" w:ascii="宋体" w:hAnsi="宋体" w:eastAsia="宋体" w:cs="宋体"/>
          <w:color w:val="auto"/>
          <w:sz w:val="24"/>
          <w:highlight w:val="none"/>
        </w:rPr>
      </w:pPr>
    </w:p>
    <w:p w14:paraId="66FEC8C5">
      <w:pPr>
        <w:spacing w:line="360" w:lineRule="auto"/>
        <w:ind w:left="540"/>
        <w:contextualSpacing/>
        <w:rPr>
          <w:rFonts w:hint="eastAsia" w:ascii="宋体" w:hAnsi="宋体" w:eastAsia="宋体" w:cs="宋体"/>
          <w:color w:val="auto"/>
          <w:sz w:val="24"/>
          <w:highlight w:val="none"/>
        </w:rPr>
      </w:pPr>
    </w:p>
    <w:p w14:paraId="6E7AF96F">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4EB3B6DB">
      <w:pPr>
        <w:spacing w:line="360" w:lineRule="auto"/>
        <w:ind w:left="540"/>
        <w:contextualSpacing/>
        <w:rPr>
          <w:rFonts w:hint="eastAsia" w:ascii="宋体" w:hAnsi="宋体" w:eastAsia="宋体" w:cs="宋体"/>
          <w:color w:val="auto"/>
          <w:sz w:val="24"/>
          <w:highlight w:val="none"/>
        </w:rPr>
      </w:pPr>
    </w:p>
    <w:p w14:paraId="3E8D77C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32D1D217">
      <w:pPr>
        <w:autoSpaceDE w:val="0"/>
        <w:autoSpaceDN w:val="0"/>
        <w:spacing w:line="360" w:lineRule="auto"/>
        <w:ind w:left="4335" w:leftChars="1950" w:hanging="240" w:hangingChars="100"/>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日期：  年  月   日</w:t>
      </w:r>
    </w:p>
    <w:p w14:paraId="308F4B9B">
      <w:pPr>
        <w:spacing w:line="360" w:lineRule="auto"/>
        <w:contextualSpacing/>
        <w:jc w:val="left"/>
        <w:rPr>
          <w:rFonts w:hint="eastAsia" w:ascii="宋体" w:hAnsi="宋体" w:eastAsia="宋体" w:cs="宋体"/>
          <w:color w:val="auto"/>
          <w:sz w:val="24"/>
          <w:highlight w:val="none"/>
        </w:rPr>
      </w:pPr>
    </w:p>
    <w:p w14:paraId="3EF15B66">
      <w:pPr>
        <w:spacing w:line="360" w:lineRule="auto"/>
        <w:contextualSpacing/>
        <w:jc w:val="left"/>
        <w:rPr>
          <w:rFonts w:hint="eastAsia" w:ascii="宋体" w:hAnsi="宋体" w:eastAsia="宋体" w:cs="宋体"/>
          <w:color w:val="auto"/>
          <w:sz w:val="24"/>
          <w:highlight w:val="none"/>
        </w:rPr>
      </w:pPr>
    </w:p>
    <w:p w14:paraId="37ABA6C9">
      <w:pPr>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1938A68E">
      <w:pPr>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1.自然人竞标的无需提供，联合体竞标的只需牵头人出具。</w:t>
      </w:r>
    </w:p>
    <w:p w14:paraId="1632D4FD">
      <w:pPr>
        <w:spacing w:line="360" w:lineRule="auto"/>
        <w:ind w:firstLine="420" w:firstLineChars="200"/>
        <w:contextualSpacing/>
        <w:jc w:val="left"/>
        <w:rPr>
          <w:rFonts w:hint="eastAsia" w:ascii="宋体" w:hAnsi="宋体" w:eastAsia="宋体" w:cs="宋体"/>
          <w:color w:val="auto"/>
          <w:sz w:val="21"/>
          <w:szCs w:val="21"/>
          <w:highlight w:val="none"/>
        </w:rPr>
        <w:sectPr>
          <w:pgSz w:w="11911" w:h="16838"/>
          <w:pgMar w:top="1134" w:right="1134" w:bottom="1134" w:left="1134" w:header="720" w:footer="720" w:gutter="0"/>
          <w:pgNumType w:fmt="decimal"/>
          <w:cols w:space="720" w:num="1"/>
        </w:sectPr>
      </w:pPr>
      <w:r>
        <w:rPr>
          <w:rFonts w:hint="eastAsia" w:ascii="宋体" w:hAnsi="宋体" w:eastAsia="宋体" w:cs="宋体"/>
          <w:color w:val="auto"/>
          <w:sz w:val="21"/>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Style w:val="28"/>
        <w:tblpPr w:leftFromText="180" w:rightFromText="180" w:vertAnchor="text" w:horzAnchor="margin" w:tblpY="116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299A4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noWrap w:val="0"/>
            <w:vAlign w:val="top"/>
          </w:tcPr>
          <w:p w14:paraId="6A9B0122">
            <w:pPr>
              <w:spacing w:line="360" w:lineRule="auto"/>
              <w:rPr>
                <w:rFonts w:hint="eastAsia" w:ascii="宋体" w:hAnsi="宋体" w:eastAsia="宋体" w:cs="宋体"/>
                <w:b/>
                <w:color w:val="auto"/>
                <w:sz w:val="24"/>
                <w:highlight w:val="none"/>
              </w:rPr>
            </w:pPr>
          </w:p>
          <w:p w14:paraId="18F82D66">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w:t>
            </w:r>
            <w:r>
              <w:rPr>
                <w:rFonts w:hint="eastAsia" w:ascii="宋体" w:hAnsi="宋体" w:eastAsia="宋体" w:cs="宋体"/>
                <w:b/>
                <w:color w:val="auto"/>
                <w:sz w:val="24"/>
                <w:highlight w:val="none"/>
                <w:lang w:eastAsia="zh-CN"/>
              </w:rPr>
              <w:t>人</w:t>
            </w:r>
            <w:r>
              <w:rPr>
                <w:rFonts w:hint="eastAsia" w:ascii="宋体" w:hAnsi="宋体" w:eastAsia="宋体" w:cs="宋体"/>
                <w:b/>
                <w:color w:val="auto"/>
                <w:sz w:val="24"/>
                <w:highlight w:val="none"/>
              </w:rPr>
              <w:t>身份证复印件粘</w:t>
            </w:r>
            <w:r>
              <w:rPr>
                <w:rFonts w:hint="eastAsia" w:ascii="宋体" w:hAnsi="宋体" w:eastAsia="宋体" w:cs="宋体"/>
                <w:b/>
                <w:color w:val="auto"/>
                <w:sz w:val="24"/>
                <w:highlight w:val="none"/>
                <w:lang w:eastAsia="zh-CN"/>
              </w:rPr>
              <w:t>贴</w:t>
            </w:r>
            <w:r>
              <w:rPr>
                <w:rFonts w:hint="eastAsia" w:ascii="宋体" w:hAnsi="宋体" w:eastAsia="宋体" w:cs="宋体"/>
                <w:b/>
                <w:color w:val="auto"/>
                <w:sz w:val="24"/>
                <w:highlight w:val="none"/>
              </w:rPr>
              <w:t>处（正、反面）</w:t>
            </w:r>
          </w:p>
        </w:tc>
      </w:tr>
    </w:tbl>
    <w:p w14:paraId="12670A4A">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6A74FC4F">
      <w:pPr>
        <w:adjustRightInd w:val="0"/>
        <w:snapToGrid w:val="0"/>
        <w:spacing w:line="300" w:lineRule="auto"/>
        <w:jc w:val="left"/>
        <w:rPr>
          <w:rFonts w:hint="eastAsia" w:ascii="宋体" w:hAnsi="宋体" w:eastAsia="宋体" w:cs="宋体"/>
          <w:b/>
          <w:color w:val="auto"/>
          <w:szCs w:val="21"/>
          <w:highlight w:val="none"/>
        </w:rPr>
      </w:pPr>
    </w:p>
    <w:p w14:paraId="616BC7BF">
      <w:pPr>
        <w:spacing w:line="520" w:lineRule="exact"/>
        <w:ind w:firstLine="880"/>
        <w:jc w:val="left"/>
        <w:rPr>
          <w:rFonts w:hint="eastAsia" w:ascii="宋体" w:hAnsi="宋体" w:eastAsia="宋体" w:cs="宋体"/>
          <w:color w:val="auto"/>
          <w:szCs w:val="21"/>
          <w:highlight w:val="none"/>
        </w:rPr>
      </w:pPr>
    </w:p>
    <w:p w14:paraId="0FD7C71D">
      <w:pPr>
        <w:spacing w:line="520" w:lineRule="exact"/>
        <w:ind w:firstLine="880"/>
        <w:jc w:val="left"/>
        <w:rPr>
          <w:rFonts w:hint="eastAsia" w:ascii="宋体" w:hAnsi="宋体" w:eastAsia="宋体" w:cs="宋体"/>
          <w:color w:val="auto"/>
          <w:szCs w:val="21"/>
          <w:highlight w:val="none"/>
        </w:rPr>
      </w:pPr>
    </w:p>
    <w:p w14:paraId="192D218B">
      <w:pPr>
        <w:spacing w:line="520" w:lineRule="exact"/>
        <w:ind w:firstLine="880"/>
        <w:jc w:val="left"/>
        <w:rPr>
          <w:rFonts w:hint="eastAsia" w:ascii="宋体" w:hAnsi="宋体" w:eastAsia="宋体" w:cs="宋体"/>
          <w:color w:val="auto"/>
          <w:szCs w:val="21"/>
          <w:highlight w:val="none"/>
        </w:rPr>
      </w:pPr>
    </w:p>
    <w:p w14:paraId="6D5573CB">
      <w:pPr>
        <w:spacing w:line="520" w:lineRule="exact"/>
        <w:ind w:firstLine="880"/>
        <w:jc w:val="left"/>
        <w:rPr>
          <w:rFonts w:hint="eastAsia" w:ascii="宋体" w:hAnsi="宋体" w:eastAsia="宋体" w:cs="宋体"/>
          <w:color w:val="auto"/>
          <w:szCs w:val="21"/>
          <w:highlight w:val="none"/>
        </w:rPr>
      </w:pPr>
    </w:p>
    <w:p w14:paraId="34285279">
      <w:pPr>
        <w:spacing w:line="520" w:lineRule="exact"/>
        <w:ind w:firstLine="880"/>
        <w:jc w:val="left"/>
        <w:rPr>
          <w:rFonts w:hint="eastAsia" w:ascii="宋体" w:hAnsi="宋体" w:eastAsia="宋体" w:cs="宋体"/>
          <w:color w:val="auto"/>
          <w:szCs w:val="21"/>
          <w:highlight w:val="none"/>
        </w:rPr>
      </w:pPr>
    </w:p>
    <w:p w14:paraId="342DC738">
      <w:pPr>
        <w:spacing w:line="520" w:lineRule="exact"/>
        <w:ind w:firstLine="880"/>
        <w:jc w:val="left"/>
        <w:rPr>
          <w:rFonts w:hint="eastAsia" w:ascii="宋体" w:hAnsi="宋体" w:eastAsia="宋体" w:cs="宋体"/>
          <w:color w:val="auto"/>
          <w:szCs w:val="21"/>
          <w:highlight w:val="none"/>
        </w:rPr>
      </w:pPr>
    </w:p>
    <w:p w14:paraId="5F2B4475">
      <w:pPr>
        <w:spacing w:line="520" w:lineRule="exact"/>
        <w:ind w:firstLine="880"/>
        <w:jc w:val="left"/>
        <w:rPr>
          <w:rFonts w:hint="eastAsia" w:ascii="宋体" w:hAnsi="宋体" w:eastAsia="宋体" w:cs="宋体"/>
          <w:color w:val="auto"/>
          <w:szCs w:val="21"/>
          <w:highlight w:val="none"/>
        </w:rPr>
      </w:pPr>
    </w:p>
    <w:p w14:paraId="6D33D9C3">
      <w:pPr>
        <w:spacing w:line="520" w:lineRule="exact"/>
        <w:ind w:firstLine="880"/>
        <w:jc w:val="left"/>
        <w:rPr>
          <w:rFonts w:hint="eastAsia" w:ascii="宋体" w:hAnsi="宋体" w:eastAsia="宋体" w:cs="宋体"/>
          <w:color w:val="auto"/>
          <w:szCs w:val="21"/>
          <w:highlight w:val="none"/>
        </w:rPr>
      </w:pPr>
    </w:p>
    <w:p w14:paraId="18152BE4">
      <w:pPr>
        <w:spacing w:line="520" w:lineRule="exact"/>
        <w:ind w:firstLine="880"/>
        <w:jc w:val="left"/>
        <w:rPr>
          <w:rFonts w:hint="eastAsia" w:ascii="宋体" w:hAnsi="宋体" w:eastAsia="宋体" w:cs="宋体"/>
          <w:color w:val="auto"/>
          <w:szCs w:val="21"/>
          <w:highlight w:val="none"/>
        </w:rPr>
      </w:pPr>
    </w:p>
    <w:p w14:paraId="18D0D596">
      <w:pPr>
        <w:spacing w:line="520" w:lineRule="exact"/>
        <w:ind w:firstLine="880"/>
        <w:jc w:val="left"/>
        <w:rPr>
          <w:rFonts w:hint="eastAsia" w:ascii="宋体" w:hAnsi="宋体" w:eastAsia="宋体" w:cs="宋体"/>
          <w:color w:val="auto"/>
          <w:szCs w:val="21"/>
          <w:highlight w:val="none"/>
        </w:rPr>
      </w:pPr>
    </w:p>
    <w:p w14:paraId="5C283357">
      <w:pPr>
        <w:spacing w:line="520" w:lineRule="exact"/>
        <w:ind w:firstLine="880"/>
        <w:jc w:val="left"/>
        <w:rPr>
          <w:rFonts w:hint="eastAsia" w:ascii="宋体" w:hAnsi="宋体" w:eastAsia="宋体" w:cs="宋体"/>
          <w:color w:val="auto"/>
          <w:szCs w:val="21"/>
          <w:highlight w:val="none"/>
        </w:rPr>
      </w:pPr>
    </w:p>
    <w:p w14:paraId="3B9476B3">
      <w:pPr>
        <w:spacing w:line="520" w:lineRule="exact"/>
        <w:ind w:firstLine="880"/>
        <w:jc w:val="left"/>
        <w:rPr>
          <w:rFonts w:hint="eastAsia" w:ascii="宋体" w:hAnsi="宋体" w:eastAsia="宋体" w:cs="宋体"/>
          <w:color w:val="auto"/>
          <w:szCs w:val="21"/>
          <w:highlight w:val="none"/>
        </w:rPr>
      </w:pPr>
    </w:p>
    <w:p w14:paraId="31FEFBD9">
      <w:pPr>
        <w:spacing w:line="520" w:lineRule="exact"/>
        <w:ind w:firstLine="880"/>
        <w:jc w:val="left"/>
        <w:rPr>
          <w:rFonts w:hint="eastAsia" w:ascii="宋体" w:hAnsi="宋体" w:eastAsia="宋体" w:cs="宋体"/>
          <w:color w:val="auto"/>
          <w:szCs w:val="21"/>
          <w:highlight w:val="none"/>
        </w:rPr>
      </w:pPr>
    </w:p>
    <w:p w14:paraId="341E1CA0">
      <w:pPr>
        <w:spacing w:line="520" w:lineRule="exact"/>
        <w:ind w:firstLine="880"/>
        <w:jc w:val="left"/>
        <w:rPr>
          <w:rFonts w:hint="eastAsia" w:ascii="宋体" w:hAnsi="宋体" w:eastAsia="宋体" w:cs="宋体"/>
          <w:color w:val="auto"/>
          <w:szCs w:val="21"/>
          <w:highlight w:val="none"/>
        </w:rPr>
      </w:pPr>
    </w:p>
    <w:p w14:paraId="686A7A1A">
      <w:pPr>
        <w:spacing w:line="520" w:lineRule="exact"/>
        <w:ind w:firstLine="880"/>
        <w:jc w:val="left"/>
        <w:rPr>
          <w:rFonts w:hint="eastAsia" w:ascii="宋体" w:hAnsi="宋体" w:eastAsia="宋体" w:cs="宋体"/>
          <w:color w:val="auto"/>
          <w:szCs w:val="21"/>
          <w:highlight w:val="none"/>
        </w:rPr>
      </w:pPr>
    </w:p>
    <w:p w14:paraId="4935295B">
      <w:pPr>
        <w:spacing w:line="520" w:lineRule="exact"/>
        <w:ind w:firstLine="880"/>
        <w:jc w:val="left"/>
        <w:rPr>
          <w:rFonts w:hint="eastAsia" w:ascii="宋体" w:hAnsi="宋体" w:eastAsia="宋体" w:cs="宋体"/>
          <w:color w:val="auto"/>
          <w:szCs w:val="21"/>
          <w:highlight w:val="none"/>
        </w:rPr>
      </w:pPr>
    </w:p>
    <w:p w14:paraId="3F66AEAB">
      <w:pPr>
        <w:spacing w:line="520" w:lineRule="exact"/>
        <w:ind w:firstLine="880"/>
        <w:jc w:val="left"/>
        <w:rPr>
          <w:rFonts w:hint="eastAsia" w:ascii="宋体" w:hAnsi="宋体" w:eastAsia="宋体" w:cs="宋体"/>
          <w:color w:val="auto"/>
          <w:szCs w:val="21"/>
          <w:highlight w:val="none"/>
        </w:rPr>
      </w:pPr>
    </w:p>
    <w:p w14:paraId="1C6F307D">
      <w:pPr>
        <w:spacing w:line="520" w:lineRule="exact"/>
        <w:ind w:firstLine="880"/>
        <w:jc w:val="left"/>
        <w:rPr>
          <w:rFonts w:hint="eastAsia" w:ascii="宋体" w:hAnsi="宋体" w:eastAsia="宋体" w:cs="宋体"/>
          <w:color w:val="auto"/>
          <w:szCs w:val="21"/>
          <w:highlight w:val="none"/>
        </w:rPr>
      </w:pPr>
    </w:p>
    <w:p w14:paraId="05FCAC80">
      <w:pPr>
        <w:spacing w:line="520" w:lineRule="exact"/>
        <w:ind w:firstLine="0"/>
        <w:jc w:val="left"/>
        <w:rPr>
          <w:rFonts w:hint="eastAsia" w:ascii="宋体" w:hAnsi="宋体" w:eastAsia="宋体" w:cs="宋体"/>
          <w:bCs/>
          <w:color w:val="auto"/>
          <w:sz w:val="44"/>
          <w:szCs w:val="44"/>
          <w:highlight w:val="none"/>
          <w:lang w:eastAsia="zh-CN"/>
        </w:rPr>
      </w:pPr>
      <w:r>
        <w:rPr>
          <w:rFonts w:hint="eastAsia" w:ascii="宋体" w:hAnsi="宋体" w:eastAsia="宋体" w:cs="宋体"/>
          <w:color w:val="auto"/>
          <w:sz w:val="44"/>
          <w:szCs w:val="44"/>
          <w:highlight w:val="none"/>
        </w:rPr>
        <w:br w:type="page"/>
      </w:r>
      <w:r>
        <w:rPr>
          <w:rFonts w:hint="eastAsia" w:ascii="宋体" w:hAnsi="宋体" w:eastAsia="宋体" w:cs="宋体"/>
          <w:b/>
          <w:bCs/>
          <w:color w:val="auto"/>
          <w:sz w:val="28"/>
          <w:szCs w:val="28"/>
          <w:highlight w:val="none"/>
          <w:lang w:val="en-US" w:eastAsia="zh-CN"/>
        </w:rPr>
        <w:t>5.</w:t>
      </w:r>
      <w:r>
        <w:rPr>
          <w:rFonts w:hint="eastAsia" w:ascii="宋体" w:hAnsi="宋体" w:eastAsia="宋体" w:cs="宋体"/>
          <w:b/>
          <w:bCs/>
          <w:color w:val="auto"/>
          <w:sz w:val="28"/>
          <w:szCs w:val="28"/>
          <w:highlight w:val="none"/>
        </w:rPr>
        <w:t>法定代表人授权委托书</w:t>
      </w:r>
      <w:r>
        <w:rPr>
          <w:rFonts w:hint="eastAsia" w:ascii="宋体" w:hAnsi="宋体" w:eastAsia="宋体" w:cs="宋体"/>
          <w:b/>
          <w:bCs/>
          <w:color w:val="auto"/>
          <w:sz w:val="28"/>
          <w:szCs w:val="28"/>
          <w:highlight w:val="none"/>
          <w:lang w:eastAsia="zh-CN"/>
        </w:rPr>
        <w:t>的格式：</w:t>
      </w:r>
    </w:p>
    <w:p w14:paraId="2A800C83">
      <w:pPr>
        <w:spacing w:line="500" w:lineRule="exact"/>
        <w:jc w:val="center"/>
        <w:rPr>
          <w:rFonts w:hint="eastAsia" w:ascii="宋体" w:hAnsi="宋体" w:eastAsia="宋体" w:cs="宋体"/>
          <w:color w:val="auto"/>
          <w:sz w:val="44"/>
          <w:szCs w:val="44"/>
          <w:highlight w:val="none"/>
        </w:rPr>
      </w:pPr>
    </w:p>
    <w:p w14:paraId="5CE35772">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授权委托书（非联合体竞标格式）</w:t>
      </w:r>
    </w:p>
    <w:p w14:paraId="35D2F789">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（如有委托时）</w:t>
      </w:r>
    </w:p>
    <w:p w14:paraId="612F5C57">
      <w:pPr>
        <w:spacing w:line="520" w:lineRule="exact"/>
        <w:rPr>
          <w:rFonts w:hint="eastAsia" w:ascii="宋体" w:hAnsi="宋体" w:eastAsia="宋体" w:cs="宋体"/>
          <w:color w:val="auto"/>
          <w:sz w:val="32"/>
          <w:szCs w:val="32"/>
          <w:highlight w:val="none"/>
        </w:rPr>
      </w:pPr>
    </w:p>
    <w:p w14:paraId="76C59AF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0CDC3B5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w:t>
      </w:r>
      <w:r>
        <w:rPr>
          <w:rFonts w:hint="eastAsia" w:ascii="宋体" w:hAnsi="宋体" w:eastAsia="宋体" w:cs="宋体"/>
          <w:i/>
          <w:iCs/>
          <w:color w:val="auto"/>
          <w:sz w:val="24"/>
          <w:highlight w:val="none"/>
          <w:u w:val="single"/>
        </w:rPr>
        <w:t>（姓名）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w:t>
      </w:r>
      <w:r>
        <w:rPr>
          <w:rFonts w:hint="eastAsia" w:ascii="宋体" w:hAnsi="宋体" w:eastAsia="宋体" w:cs="宋体"/>
          <w:i/>
          <w:iCs/>
          <w:color w:val="auto"/>
          <w:sz w:val="24"/>
          <w:highlight w:val="none"/>
          <w:u w:val="singl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w:t>
      </w:r>
      <w:r>
        <w:rPr>
          <w:rFonts w:hint="eastAsia" w:ascii="宋体" w:hAnsi="宋体" w:eastAsia="宋体" w:cs="宋体"/>
          <w:i/>
          <w:iCs/>
          <w:color w:val="auto"/>
          <w:sz w:val="24"/>
          <w:highlight w:val="none"/>
          <w:u w:val="single"/>
        </w:rPr>
        <w:t>（姓名）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i/>
          <w:iCs/>
          <w:color w:val="auto"/>
          <w:sz w:val="24"/>
          <w:szCs w:val="24"/>
          <w:highlight w:val="none"/>
          <w:u w:val="single"/>
          <w:lang w:eastAsia="zh-CN"/>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334177F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4BB73C0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05DB115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03F40C4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附：委托代理人有效身份证正反面复印件</w:t>
      </w:r>
    </w:p>
    <w:p w14:paraId="45A78E61">
      <w:pPr>
        <w:spacing w:line="360" w:lineRule="auto"/>
        <w:rPr>
          <w:rFonts w:hint="eastAsia" w:ascii="宋体" w:hAnsi="宋体" w:eastAsia="宋体" w:cs="宋体"/>
          <w:color w:val="auto"/>
          <w:sz w:val="24"/>
          <w:highlight w:val="none"/>
        </w:rPr>
      </w:pPr>
    </w:p>
    <w:p w14:paraId="0E1F413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                    </w:t>
      </w:r>
    </w:p>
    <w:p w14:paraId="1AEFE6B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595A48E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C9E7649">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3F020E29">
      <w:pPr>
        <w:spacing w:line="360" w:lineRule="auto"/>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4B14ADB0">
      <w:pPr>
        <w:spacing w:line="360" w:lineRule="auto"/>
        <w:rPr>
          <w:rFonts w:hint="eastAsia" w:ascii="宋体" w:hAnsi="宋体" w:eastAsia="宋体" w:cs="宋体"/>
          <w:color w:val="auto"/>
          <w:sz w:val="24"/>
          <w:highlight w:val="none"/>
        </w:rPr>
      </w:pPr>
    </w:p>
    <w:p w14:paraId="4051A6D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06A284B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法定代表人</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委托代理人必须在授权委托书上签字，</w:t>
      </w:r>
      <w:r>
        <w:rPr>
          <w:rFonts w:hint="eastAsia" w:ascii="宋体" w:hAnsi="宋体" w:eastAsia="宋体" w:cs="宋体"/>
          <w:b/>
          <w:color w:val="auto"/>
          <w:sz w:val="21"/>
          <w:szCs w:val="21"/>
          <w:highlight w:val="none"/>
        </w:rPr>
        <w:t>否则其响应文件按无效响应处理。</w:t>
      </w:r>
    </w:p>
    <w:p w14:paraId="052A4883">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12B6717">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3. 法人、其他组织竞标时“我方”是指“我单位”，自然人竞标时“我方”是指“本人”。</w:t>
      </w:r>
    </w:p>
    <w:p w14:paraId="2653ACCC">
      <w:pPr>
        <w:spacing w:line="5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Cs w:val="21"/>
          <w:highlight w:val="none"/>
        </w:rPr>
        <w:br w:type="page"/>
      </w:r>
      <w:r>
        <w:rPr>
          <w:rFonts w:hint="eastAsia" w:ascii="宋体" w:hAnsi="宋体" w:eastAsia="宋体" w:cs="宋体"/>
          <w:b/>
          <w:bCs/>
          <w:color w:val="auto"/>
          <w:sz w:val="32"/>
          <w:szCs w:val="32"/>
          <w:highlight w:val="none"/>
        </w:rPr>
        <w:t>授权委托书（联合体竞标格式）</w:t>
      </w:r>
    </w:p>
    <w:p w14:paraId="1408DA11">
      <w:pPr>
        <w:spacing w:line="5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（如有委托时）</w:t>
      </w:r>
    </w:p>
    <w:p w14:paraId="748C2308">
      <w:pPr>
        <w:spacing w:line="500" w:lineRule="exact"/>
        <w:jc w:val="center"/>
        <w:rPr>
          <w:rFonts w:hint="eastAsia" w:ascii="宋体" w:hAnsi="宋体" w:eastAsia="宋体" w:cs="宋体"/>
          <w:color w:val="auto"/>
          <w:sz w:val="44"/>
          <w:szCs w:val="44"/>
          <w:highlight w:val="none"/>
        </w:rPr>
      </w:pPr>
    </w:p>
    <w:p w14:paraId="5EFBD429">
      <w:pPr>
        <w:spacing w:line="500" w:lineRule="exact"/>
        <w:jc w:val="center"/>
        <w:rPr>
          <w:rFonts w:hint="eastAsia" w:ascii="宋体" w:hAnsi="宋体" w:eastAsia="宋体" w:cs="宋体"/>
          <w:color w:val="auto"/>
          <w:sz w:val="32"/>
          <w:szCs w:val="32"/>
          <w:highlight w:val="none"/>
        </w:rPr>
      </w:pPr>
    </w:p>
    <w:p w14:paraId="7A451B45">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本授权委托书声明：根据</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（联合体其他成员名称）签订的《联合体竞标协议书》的内容，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（牵头人名称）的法定代表人</w:t>
      </w:r>
      <w:r>
        <w:rPr>
          <w:rFonts w:hint="eastAsia" w:ascii="宋体" w:hAnsi="宋体" w:eastAsia="宋体" w:cs="宋体"/>
          <w:color w:val="auto"/>
          <w:sz w:val="24"/>
          <w:highlight w:val="none"/>
          <w:u w:val="single"/>
        </w:rPr>
        <w:t xml:space="preserve">      </w:t>
      </w:r>
      <w:r>
        <w:rPr>
          <w:rFonts w:hint="eastAsia" w:ascii="宋体" w:hAnsi="宋体" w:eastAsia="宋体" w:cs="宋体"/>
          <w:i/>
          <w:iCs/>
          <w:color w:val="auto"/>
          <w:sz w:val="24"/>
          <w:highlight w:val="none"/>
          <w:u w:val="single"/>
        </w:rPr>
        <w:t>（姓名）</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w:t>
      </w:r>
      <w:r>
        <w:rPr>
          <w:rFonts w:hint="eastAsia" w:ascii="宋体" w:hAnsi="宋体" w:eastAsia="宋体" w:cs="宋体"/>
          <w:i/>
          <w:iCs/>
          <w:color w:val="auto"/>
          <w:sz w:val="24"/>
          <w:highlight w:val="none"/>
          <w:u w:val="single"/>
        </w:rPr>
        <w:t xml:space="preserve"> （姓名）</w:t>
      </w:r>
      <w:r>
        <w:rPr>
          <w:rFonts w:hint="eastAsia" w:ascii="宋体" w:hAnsi="宋体" w:eastAsia="宋体" w:cs="宋体"/>
          <w:color w:val="auto"/>
          <w:sz w:val="24"/>
          <w:highlight w:val="none"/>
        </w:rPr>
        <w:t>为联合委托代理人，并代表我方全权办理针对上述项目的所有采购程序和环节的具体事务和签署相关文件。</w:t>
      </w:r>
    </w:p>
    <w:p w14:paraId="55B3A42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我方对委托代理人的签字事项负全部责任。</w:t>
      </w:r>
    </w:p>
    <w:p w14:paraId="0151BCA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2916C71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53DC78B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265A77BE">
      <w:pPr>
        <w:spacing w:line="360" w:lineRule="auto"/>
        <w:ind w:firstLine="1560" w:firstLineChars="650"/>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牵头人法定代表人（签字）：</w:t>
      </w:r>
    </w:p>
    <w:p w14:paraId="7F0FD2E7">
      <w:pPr>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w:t>
      </w:r>
      <w:r>
        <w:rPr>
          <w:rFonts w:hint="eastAsia" w:ascii="宋体" w:hAnsi="宋体" w:eastAsia="宋体" w:cs="宋体"/>
          <w:color w:val="auto"/>
          <w:sz w:val="24"/>
          <w:highlight w:val="none"/>
          <w:lang w:eastAsia="zh-CN"/>
        </w:rPr>
        <w:t>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盖公章</w:t>
      </w:r>
      <w:r>
        <w:rPr>
          <w:rFonts w:hint="eastAsia" w:ascii="宋体" w:hAnsi="宋体" w:eastAsia="宋体" w:cs="宋体"/>
          <w:color w:val="auto"/>
          <w:sz w:val="24"/>
          <w:highlight w:val="none"/>
        </w:rPr>
        <w:t>）：</w:t>
      </w:r>
    </w:p>
    <w:p w14:paraId="7F314E0E">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0AB8F54C">
      <w:pPr>
        <w:spacing w:line="360" w:lineRule="auto"/>
        <w:rPr>
          <w:rFonts w:hint="eastAsia" w:ascii="宋体" w:hAnsi="宋体" w:eastAsia="宋体" w:cs="宋体"/>
          <w:color w:val="auto"/>
          <w:sz w:val="24"/>
          <w:highlight w:val="none"/>
        </w:rPr>
      </w:pPr>
    </w:p>
    <w:p w14:paraId="33449F2B">
      <w:pPr>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委托代理人（签字）：</w:t>
      </w:r>
    </w:p>
    <w:p w14:paraId="2040DC73">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746D9EBF">
      <w:pPr>
        <w:spacing w:line="360" w:lineRule="auto"/>
        <w:rPr>
          <w:rFonts w:hint="eastAsia" w:ascii="宋体" w:hAnsi="宋体" w:eastAsia="宋体" w:cs="宋体"/>
          <w:color w:val="auto"/>
          <w:sz w:val="24"/>
          <w:highlight w:val="none"/>
        </w:rPr>
      </w:pPr>
    </w:p>
    <w:p w14:paraId="0978076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75112F0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法定代表人</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委托代理人必须在授权委托书上签字，</w:t>
      </w:r>
      <w:r>
        <w:rPr>
          <w:rFonts w:hint="eastAsia" w:ascii="宋体" w:hAnsi="宋体" w:eastAsia="宋体" w:cs="宋体"/>
          <w:b/>
          <w:color w:val="auto"/>
          <w:sz w:val="21"/>
          <w:szCs w:val="21"/>
          <w:highlight w:val="none"/>
        </w:rPr>
        <w:t>否则其响应文件按无效响应处理。</w:t>
      </w:r>
    </w:p>
    <w:p w14:paraId="48DB17E3">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2.本授权委托书应由联合体牵头人的法定代表人按上述规定签署。</w:t>
      </w:r>
    </w:p>
    <w:p w14:paraId="4D06D6D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2BF454A">
      <w:pPr>
        <w:spacing w:line="360" w:lineRule="auto"/>
        <w:ind w:firstLine="420" w:firstLineChars="200"/>
        <w:jc w:val="left"/>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rPr>
        <w:t>4.法人、其他组织竞标时“我方”是指“我单位”，自然人竞标时“我方”是指“本人”。</w:t>
      </w:r>
    </w:p>
    <w:p w14:paraId="055F28DD">
      <w:pPr>
        <w:spacing w:line="360" w:lineRule="auto"/>
        <w:ind w:firstLine="420" w:firstLineChars="200"/>
        <w:jc w:val="left"/>
        <w:rPr>
          <w:rFonts w:hint="eastAsia" w:ascii="宋体" w:hAnsi="宋体" w:eastAsia="宋体" w:cs="宋体"/>
          <w:color w:val="auto"/>
          <w:szCs w:val="21"/>
          <w:highlight w:val="none"/>
        </w:rPr>
      </w:pPr>
    </w:p>
    <w:p w14:paraId="0EA7F224">
      <w:pPr>
        <w:spacing w:line="520" w:lineRule="exact"/>
        <w:ind w:firstLine="0" w:firstLineChars="0"/>
        <w:jc w:val="left"/>
        <w:rPr>
          <w:rFonts w:hint="eastAsia" w:ascii="宋体" w:hAnsi="宋体" w:eastAsia="宋体" w:cs="宋体"/>
          <w:b/>
          <w:color w:val="auto"/>
          <w:sz w:val="30"/>
          <w:szCs w:val="30"/>
          <w:highlight w:val="none"/>
          <w:lang w:eastAsia="zh-CN"/>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28"/>
          <w:szCs w:val="28"/>
          <w:highlight w:val="none"/>
          <w:lang w:val="en-US" w:eastAsia="zh-CN"/>
        </w:rPr>
        <w:t>6.</w:t>
      </w:r>
      <w:r>
        <w:rPr>
          <w:rFonts w:hint="eastAsia" w:ascii="宋体" w:hAnsi="宋体" w:eastAsia="宋体" w:cs="宋体"/>
          <w:b/>
          <w:color w:val="auto"/>
          <w:sz w:val="28"/>
          <w:szCs w:val="28"/>
          <w:highlight w:val="none"/>
        </w:rPr>
        <w:t>商务条款偏离表</w:t>
      </w:r>
      <w:r>
        <w:rPr>
          <w:rFonts w:hint="eastAsia" w:ascii="宋体" w:hAnsi="宋体" w:eastAsia="宋体" w:cs="宋体"/>
          <w:b/>
          <w:color w:val="auto"/>
          <w:sz w:val="28"/>
          <w:szCs w:val="28"/>
          <w:highlight w:val="none"/>
          <w:lang w:eastAsia="zh-CN"/>
        </w:rPr>
        <w:t>的格式：</w:t>
      </w:r>
    </w:p>
    <w:p w14:paraId="252FE68E">
      <w:pPr>
        <w:pStyle w:val="21"/>
        <w:rPr>
          <w:rFonts w:hint="eastAsia" w:ascii="宋体" w:hAnsi="宋体" w:eastAsia="宋体" w:cs="宋体"/>
          <w:color w:val="auto"/>
          <w:highlight w:val="none"/>
          <w:lang w:eastAsia="zh-CN"/>
        </w:rPr>
      </w:pPr>
    </w:p>
    <w:p w14:paraId="08907A4E">
      <w:pPr>
        <w:spacing w:line="50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商务条款偏离表</w:t>
      </w:r>
    </w:p>
    <w:p w14:paraId="0935E64D">
      <w:pPr>
        <w:spacing w:line="520" w:lineRule="exact"/>
        <w:rPr>
          <w:rFonts w:hint="eastAsia" w:ascii="宋体" w:hAnsi="宋体" w:eastAsia="宋体" w:cs="宋体"/>
          <w:color w:val="auto"/>
          <w:sz w:val="32"/>
          <w:szCs w:val="32"/>
          <w:highlight w:val="none"/>
        </w:rPr>
      </w:pPr>
    </w:p>
    <w:p w14:paraId="36E5D38F">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w:t>
      </w:r>
      <w:r>
        <w:rPr>
          <w:rFonts w:hint="eastAsia" w:ascii="宋体" w:hAnsi="宋体" w:eastAsia="宋体" w:cs="宋体"/>
          <w:color w:val="auto"/>
          <w:sz w:val="24"/>
          <w:highlight w:val="none"/>
          <w:lang w:eastAsia="zh-CN"/>
        </w:rPr>
        <w:t>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1F90D400">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项目</w:t>
      </w:r>
      <w:r>
        <w:rPr>
          <w:rFonts w:hint="eastAsia" w:ascii="宋体" w:hAnsi="宋体" w:eastAsia="宋体" w:cs="宋体"/>
          <w:color w:val="auto"/>
          <w:sz w:val="24"/>
          <w:highlight w:val="none"/>
          <w:lang w:eastAsia="zh-CN"/>
        </w:rPr>
        <w:t>编号</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2DB8006C">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highlight w:val="none"/>
          <w:u w:val="single"/>
        </w:rPr>
        <w:t xml:space="preserve">                </w:t>
      </w:r>
    </w:p>
    <w:tbl>
      <w:tblPr>
        <w:tblStyle w:val="28"/>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492DC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26D1DAC1">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50ECDF0A">
            <w:pPr>
              <w:spacing w:line="3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竞争性磋商文件的商务</w:t>
            </w:r>
            <w:r>
              <w:rPr>
                <w:rFonts w:hint="eastAsia" w:ascii="宋体" w:hAnsi="宋体" w:eastAsia="宋体" w:cs="宋体"/>
                <w:color w:val="auto"/>
                <w:szCs w:val="21"/>
                <w:highlight w:val="none"/>
                <w:lang w:val="en-US" w:eastAsia="zh-CN"/>
              </w:rPr>
              <w:t>条款</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33205527">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4A873591">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216CA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1BF8C7A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7291EA47">
            <w:pPr>
              <w:spacing w:line="340" w:lineRule="exact"/>
              <w:rPr>
                <w:rFonts w:hint="eastAsia" w:ascii="宋体" w:hAnsi="宋体" w:eastAsia="宋体" w:cs="宋体"/>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noWrap w:val="0"/>
            <w:vAlign w:val="top"/>
          </w:tcPr>
          <w:p w14:paraId="30D57324">
            <w:pPr>
              <w:spacing w:line="340" w:lineRule="exact"/>
              <w:rPr>
                <w:rFonts w:hint="eastAsia" w:ascii="宋体" w:hAnsi="宋体" w:eastAsia="宋体" w:cs="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top"/>
          </w:tcPr>
          <w:p w14:paraId="453F8828">
            <w:pPr>
              <w:spacing w:line="300" w:lineRule="exact"/>
              <w:rPr>
                <w:rFonts w:hint="eastAsia" w:ascii="宋体" w:hAnsi="宋体" w:eastAsia="宋体" w:cs="宋体"/>
                <w:color w:val="auto"/>
                <w:szCs w:val="21"/>
                <w:highlight w:val="none"/>
              </w:rPr>
            </w:pPr>
          </w:p>
        </w:tc>
      </w:tr>
      <w:tr w14:paraId="31D46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1D82313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61DE3E3C">
            <w:pPr>
              <w:spacing w:line="340" w:lineRule="exact"/>
              <w:rPr>
                <w:rFonts w:hint="eastAsia" w:ascii="宋体" w:hAnsi="宋体" w:eastAsia="宋体" w:cs="宋体"/>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noWrap w:val="0"/>
            <w:vAlign w:val="top"/>
          </w:tcPr>
          <w:p w14:paraId="1EE785DC">
            <w:pPr>
              <w:spacing w:line="340" w:lineRule="exact"/>
              <w:rPr>
                <w:rFonts w:hint="eastAsia" w:ascii="宋体" w:hAnsi="宋体" w:eastAsia="宋体" w:cs="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top"/>
          </w:tcPr>
          <w:p w14:paraId="2172B35E">
            <w:pPr>
              <w:spacing w:line="300" w:lineRule="exact"/>
              <w:rPr>
                <w:rFonts w:hint="eastAsia" w:ascii="宋体" w:hAnsi="宋体" w:eastAsia="宋体" w:cs="宋体"/>
                <w:color w:val="auto"/>
                <w:szCs w:val="21"/>
                <w:highlight w:val="none"/>
              </w:rPr>
            </w:pPr>
          </w:p>
        </w:tc>
      </w:tr>
      <w:tr w14:paraId="7297E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7606A64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7235B7B3">
            <w:pPr>
              <w:spacing w:line="340" w:lineRule="exact"/>
              <w:rPr>
                <w:rFonts w:hint="eastAsia" w:ascii="宋体" w:hAnsi="宋体" w:eastAsia="宋体" w:cs="宋体"/>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noWrap w:val="0"/>
            <w:vAlign w:val="top"/>
          </w:tcPr>
          <w:p w14:paraId="5771A010">
            <w:pPr>
              <w:spacing w:line="340" w:lineRule="exact"/>
              <w:rPr>
                <w:rFonts w:hint="eastAsia" w:ascii="宋体" w:hAnsi="宋体" w:eastAsia="宋体" w:cs="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top"/>
          </w:tcPr>
          <w:p w14:paraId="1E2284CE">
            <w:pPr>
              <w:spacing w:line="300" w:lineRule="exact"/>
              <w:rPr>
                <w:rFonts w:hint="eastAsia" w:ascii="宋体" w:hAnsi="宋体" w:eastAsia="宋体" w:cs="宋体"/>
                <w:color w:val="auto"/>
                <w:szCs w:val="21"/>
                <w:highlight w:val="none"/>
              </w:rPr>
            </w:pPr>
          </w:p>
        </w:tc>
      </w:tr>
    </w:tbl>
    <w:p w14:paraId="04D554D0">
      <w:pPr>
        <w:pStyle w:val="13"/>
        <w:spacing w:line="400" w:lineRule="exact"/>
        <w:ind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4DD60D6F">
      <w:pPr>
        <w:pStyle w:val="13"/>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必须对</w:t>
      </w:r>
      <w:r>
        <w:rPr>
          <w:rFonts w:hint="eastAsia" w:ascii="宋体" w:hAnsi="宋体" w:eastAsia="宋体" w:cs="宋体"/>
          <w:color w:val="auto"/>
          <w:sz w:val="21"/>
          <w:szCs w:val="21"/>
          <w:highlight w:val="none"/>
        </w:rPr>
        <w:t>磋商文件“第二章 采购需求”中的商务条款</w:t>
      </w:r>
      <w:r>
        <w:rPr>
          <w:rFonts w:hint="eastAsia" w:ascii="宋体" w:hAnsi="宋体" w:eastAsia="宋体" w:cs="宋体"/>
          <w:color w:val="auto"/>
          <w:sz w:val="21"/>
          <w:szCs w:val="21"/>
          <w:highlight w:val="none"/>
          <w:lang w:val="en-US" w:eastAsia="zh-CN"/>
        </w:rPr>
        <w:t>的全部条款</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详细填写响应的具体内容，</w:t>
      </w:r>
      <w:r>
        <w:rPr>
          <w:rFonts w:hint="eastAsia" w:ascii="宋体" w:hAnsi="宋体" w:eastAsia="宋体" w:cs="宋体"/>
          <w:color w:val="auto"/>
          <w:sz w:val="21"/>
          <w:szCs w:val="21"/>
          <w:highlight w:val="none"/>
        </w:rPr>
        <w:t>并作出偏离说明。“偏离说明”一栏应当选择“正偏离”</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“负偏离”或“无偏离”进行填写。</w:t>
      </w:r>
    </w:p>
    <w:p w14:paraId="62118F7E">
      <w:pPr>
        <w:pStyle w:val="13"/>
        <w:spacing w:line="360" w:lineRule="auto"/>
        <w:ind w:firstLine="420" w:firstLineChars="20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.表格内容均需按要求填写</w:t>
      </w:r>
      <w:r>
        <w:rPr>
          <w:rFonts w:hint="eastAsia" w:ascii="宋体" w:hAnsi="宋体" w:eastAsia="宋体" w:cs="宋体"/>
          <w:color w:val="auto"/>
          <w:sz w:val="21"/>
          <w:szCs w:val="21"/>
          <w:highlight w:val="none"/>
        </w:rPr>
        <w:t>并</w:t>
      </w:r>
      <w:r>
        <w:rPr>
          <w:rFonts w:hint="eastAsia" w:ascii="宋体" w:hAnsi="宋体" w:eastAsia="宋体" w:cs="宋体"/>
          <w:color w:val="auto"/>
          <w:sz w:val="21"/>
          <w:szCs w:val="21"/>
          <w:highlight w:val="none"/>
          <w:lang w:eastAsia="zh-CN"/>
        </w:rPr>
        <w:t>加</w:t>
      </w:r>
      <w:r>
        <w:rPr>
          <w:rFonts w:hint="eastAsia" w:ascii="宋体" w:hAnsi="宋体" w:eastAsia="宋体" w:cs="宋体"/>
          <w:color w:val="auto"/>
          <w:sz w:val="21"/>
          <w:szCs w:val="21"/>
          <w:highlight w:val="none"/>
        </w:rPr>
        <w:t>盖</w:t>
      </w:r>
      <w:r>
        <w:rPr>
          <w:rFonts w:hint="eastAsia" w:ascii="宋体" w:hAnsi="宋体" w:eastAsia="宋体" w:cs="宋体"/>
          <w:color w:val="auto"/>
          <w:sz w:val="21"/>
          <w:szCs w:val="21"/>
          <w:highlight w:val="none"/>
          <w:lang w:eastAsia="zh-CN"/>
        </w:rPr>
        <w:t>供应商公</w:t>
      </w:r>
      <w:r>
        <w:rPr>
          <w:rFonts w:hint="eastAsia" w:ascii="宋体" w:hAnsi="宋体" w:eastAsia="宋体" w:cs="宋体"/>
          <w:color w:val="auto"/>
          <w:sz w:val="21"/>
          <w:szCs w:val="21"/>
          <w:highlight w:val="none"/>
        </w:rPr>
        <w:t>章</w:t>
      </w:r>
      <w:r>
        <w:rPr>
          <w:rFonts w:hint="eastAsia" w:ascii="宋体" w:hAnsi="宋体" w:eastAsia="宋体" w:cs="宋体"/>
          <w:color w:val="auto"/>
          <w:kern w:val="0"/>
          <w:sz w:val="21"/>
          <w:szCs w:val="21"/>
          <w:highlight w:val="none"/>
        </w:rPr>
        <w:t>，不得留空，</w:t>
      </w:r>
      <w:r>
        <w:rPr>
          <w:rFonts w:hint="eastAsia" w:ascii="宋体" w:hAnsi="宋体" w:eastAsia="宋体" w:cs="宋体"/>
          <w:b w:val="0"/>
          <w:bCs w:val="0"/>
          <w:color w:val="auto"/>
          <w:kern w:val="0"/>
          <w:sz w:val="21"/>
          <w:szCs w:val="21"/>
          <w:highlight w:val="none"/>
        </w:rPr>
        <w:t>否则按</w:t>
      </w:r>
      <w:r>
        <w:rPr>
          <w:rFonts w:hint="eastAsia" w:ascii="宋体" w:hAnsi="宋体" w:eastAsia="宋体" w:cs="宋体"/>
          <w:b w:val="0"/>
          <w:bCs w:val="0"/>
          <w:color w:val="auto"/>
          <w:kern w:val="0"/>
          <w:sz w:val="21"/>
          <w:szCs w:val="21"/>
          <w:highlight w:val="none"/>
          <w:lang w:eastAsia="zh-CN"/>
        </w:rPr>
        <w:t>响应</w:t>
      </w:r>
      <w:r>
        <w:rPr>
          <w:rFonts w:hint="eastAsia" w:ascii="宋体" w:hAnsi="宋体" w:eastAsia="宋体" w:cs="宋体"/>
          <w:b w:val="0"/>
          <w:bCs w:val="0"/>
          <w:color w:val="auto"/>
          <w:kern w:val="0"/>
          <w:sz w:val="21"/>
          <w:szCs w:val="21"/>
          <w:highlight w:val="none"/>
        </w:rPr>
        <w:t>无效处理。</w:t>
      </w:r>
    </w:p>
    <w:p w14:paraId="409C9D1D">
      <w:pPr>
        <w:spacing w:line="400" w:lineRule="exact"/>
        <w:ind w:firstLine="420" w:firstLineChars="200"/>
        <w:rPr>
          <w:rFonts w:hint="eastAsia" w:ascii="宋体" w:hAnsi="宋体" w:eastAsia="宋体" w:cs="宋体"/>
          <w:color w:val="auto"/>
          <w:kern w:val="0"/>
          <w:sz w:val="21"/>
          <w:szCs w:val="21"/>
          <w:highlight w:val="none"/>
        </w:rPr>
      </w:pPr>
    </w:p>
    <w:p w14:paraId="4C2E211A">
      <w:pPr>
        <w:spacing w:line="400" w:lineRule="exact"/>
        <w:ind w:firstLine="420" w:firstLineChars="200"/>
        <w:contextualSpacing/>
        <w:rPr>
          <w:rFonts w:hint="eastAsia" w:ascii="宋体" w:hAnsi="宋体" w:eastAsia="宋体" w:cs="宋体"/>
          <w:color w:val="auto"/>
          <w:kern w:val="0"/>
          <w:sz w:val="21"/>
          <w:szCs w:val="21"/>
          <w:highlight w:val="none"/>
        </w:rPr>
      </w:pPr>
    </w:p>
    <w:p w14:paraId="7D64ECB1">
      <w:pPr>
        <w:spacing w:line="360" w:lineRule="auto"/>
        <w:ind w:firstLine="3360" w:firstLineChars="16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供应商名称（</w:t>
      </w:r>
      <w:r>
        <w:rPr>
          <w:rFonts w:hint="eastAsia" w:ascii="宋体" w:hAnsi="宋体" w:eastAsia="宋体" w:cs="宋体"/>
          <w:color w:val="auto"/>
          <w:kern w:val="0"/>
          <w:sz w:val="21"/>
          <w:szCs w:val="21"/>
          <w:highlight w:val="none"/>
          <w:lang w:eastAsia="zh-CN"/>
        </w:rPr>
        <w:t>盖公章</w:t>
      </w:r>
      <w:r>
        <w:rPr>
          <w:rFonts w:hint="eastAsia" w:ascii="宋体" w:hAnsi="宋体" w:eastAsia="宋体" w:cs="宋体"/>
          <w:color w:val="auto"/>
          <w:kern w:val="0"/>
          <w:sz w:val="21"/>
          <w:szCs w:val="21"/>
          <w:highlight w:val="none"/>
        </w:rPr>
        <w:t>）：</w:t>
      </w:r>
    </w:p>
    <w:p w14:paraId="164AC660">
      <w:pPr>
        <w:spacing w:line="360" w:lineRule="auto"/>
        <w:contextualSpacing/>
        <w:jc w:val="center"/>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lang w:val="zh-CN"/>
        </w:rPr>
        <w:t xml:space="preserve">                                                   日期：  年  月   日</w:t>
      </w:r>
    </w:p>
    <w:p w14:paraId="61055E42">
      <w:pPr>
        <w:pStyle w:val="21"/>
        <w:rPr>
          <w:rFonts w:hint="eastAsia" w:ascii="宋体" w:hAnsi="宋体" w:eastAsia="宋体" w:cs="宋体"/>
          <w:color w:val="auto"/>
          <w:highlight w:val="none"/>
        </w:rPr>
        <w:sectPr>
          <w:pgSz w:w="11911" w:h="16838"/>
          <w:pgMar w:top="1134" w:right="1134" w:bottom="1134" w:left="1134" w:header="720" w:footer="720" w:gutter="0"/>
          <w:pgNumType w:fmt="decimal"/>
          <w:cols w:space="720" w:num="1"/>
        </w:sectPr>
      </w:pPr>
    </w:p>
    <w:p w14:paraId="6DFD0D96">
      <w:pPr>
        <w:pStyle w:val="24"/>
        <w:snapToGrid w:val="0"/>
        <w:ind w:left="0" w:firstLine="0" w:firstLineChars="0"/>
        <w:rPr>
          <w:rFonts w:hint="eastAsia" w:ascii="宋体" w:hAnsi="宋体" w:eastAsia="宋体" w:cs="宋体"/>
          <w:i/>
          <w:iCs/>
          <w:color w:val="auto"/>
          <w:sz w:val="24"/>
          <w:highlight w:val="none"/>
        </w:rPr>
      </w:pPr>
      <w:r>
        <w:rPr>
          <w:rFonts w:hint="eastAsia" w:ascii="宋体" w:hAnsi="宋体" w:eastAsia="宋体" w:cs="宋体"/>
          <w:b/>
          <w:color w:val="auto"/>
          <w:sz w:val="28"/>
          <w:szCs w:val="28"/>
          <w:highlight w:val="none"/>
          <w:lang w:val="en-US" w:eastAsia="zh-CN"/>
        </w:rPr>
        <w:t>7.</w:t>
      </w:r>
      <w:r>
        <w:rPr>
          <w:rFonts w:hint="eastAsia" w:ascii="宋体" w:hAnsi="宋体" w:eastAsia="宋体" w:cs="宋体"/>
          <w:b/>
          <w:color w:val="auto"/>
          <w:sz w:val="28"/>
          <w:szCs w:val="28"/>
          <w:highlight w:val="none"/>
        </w:rPr>
        <w:t>供应商类似的业绩证明文件</w:t>
      </w:r>
      <w:r>
        <w:rPr>
          <w:rFonts w:hint="eastAsia" w:ascii="宋体" w:hAnsi="宋体" w:eastAsia="宋体" w:cs="宋体"/>
          <w:b/>
          <w:bCs/>
          <w:color w:val="auto"/>
          <w:sz w:val="30"/>
          <w:szCs w:val="30"/>
          <w:highlight w:val="none"/>
        </w:rPr>
        <w:t>（如有要求）</w:t>
      </w:r>
      <w:r>
        <w:rPr>
          <w:rFonts w:hint="eastAsia" w:ascii="宋体" w:hAnsi="宋体" w:eastAsia="宋体" w:cs="宋体"/>
          <w:b/>
          <w:bCs/>
          <w:color w:val="auto"/>
          <w:sz w:val="30"/>
          <w:szCs w:val="30"/>
          <w:highlight w:val="none"/>
          <w:lang w:eastAsia="zh-CN"/>
        </w:rPr>
        <w:t>：</w:t>
      </w:r>
      <w:r>
        <w:rPr>
          <w:rFonts w:hint="eastAsia" w:ascii="宋体" w:hAnsi="宋体" w:eastAsia="宋体" w:cs="宋体"/>
          <w:b/>
          <w:bCs/>
          <w:i/>
          <w:iCs/>
          <w:color w:val="auto"/>
          <w:sz w:val="30"/>
          <w:szCs w:val="30"/>
          <w:highlight w:val="none"/>
          <w:lang w:eastAsia="zh-CN"/>
        </w:rPr>
        <w:t>（项目人员根据项目情况编写）</w:t>
      </w:r>
    </w:p>
    <w:p w14:paraId="6F482EEA">
      <w:pPr>
        <w:spacing w:line="360" w:lineRule="auto"/>
        <w:ind w:firstLine="2880" w:firstLineChars="900"/>
        <w:contextualSpacing/>
        <w:rPr>
          <w:rFonts w:hint="eastAsia" w:ascii="宋体" w:hAnsi="宋体" w:eastAsia="宋体" w:cs="宋体"/>
          <w:color w:val="auto"/>
          <w:sz w:val="32"/>
          <w:szCs w:val="32"/>
          <w:highlight w:val="none"/>
          <w:lang w:eastAsia="zh-CN"/>
        </w:rPr>
      </w:pPr>
    </w:p>
    <w:p w14:paraId="4A3F7E54">
      <w:pPr>
        <w:spacing w:line="360" w:lineRule="auto"/>
        <w:ind w:firstLine="2880" w:firstLineChars="900"/>
        <w:contextualSpacing/>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类似项目的业绩一览表</w:t>
      </w:r>
    </w:p>
    <w:p w14:paraId="5A031589">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highlight w:val="none"/>
          <w:u w:val="single"/>
        </w:rPr>
        <w:t xml:space="preserve">                </w:t>
      </w:r>
    </w:p>
    <w:tbl>
      <w:tblPr>
        <w:tblStyle w:val="28"/>
        <w:tblpPr w:leftFromText="180" w:rightFromText="180" w:vertAnchor="page" w:horzAnchor="page" w:tblpX="1255" w:tblpY="364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3"/>
        <w:gridCol w:w="2164"/>
        <w:gridCol w:w="1134"/>
        <w:gridCol w:w="1134"/>
        <w:gridCol w:w="1701"/>
        <w:gridCol w:w="1276"/>
        <w:gridCol w:w="1842"/>
      </w:tblGrid>
      <w:tr w14:paraId="7DDF66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063" w:type="dxa"/>
            <w:vMerge w:val="restart"/>
            <w:tcBorders>
              <w:top w:val="single" w:color="auto" w:sz="4" w:space="0"/>
              <w:left w:val="single" w:color="auto" w:sz="4" w:space="0"/>
              <w:bottom w:val="single" w:color="auto" w:sz="4" w:space="0"/>
              <w:right w:val="single" w:color="auto" w:sz="4" w:space="0"/>
            </w:tcBorders>
            <w:noWrap w:val="0"/>
            <w:vAlign w:val="center"/>
          </w:tcPr>
          <w:p w14:paraId="3C53E478">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采购人名称</w:t>
            </w:r>
          </w:p>
        </w:tc>
        <w:tc>
          <w:tcPr>
            <w:tcW w:w="2164" w:type="dxa"/>
            <w:vMerge w:val="restart"/>
            <w:tcBorders>
              <w:top w:val="single" w:color="auto" w:sz="4" w:space="0"/>
              <w:left w:val="single" w:color="auto" w:sz="4" w:space="0"/>
              <w:bottom w:val="single" w:color="auto" w:sz="4" w:space="0"/>
              <w:right w:val="single" w:color="auto" w:sz="4" w:space="0"/>
            </w:tcBorders>
            <w:noWrap w:val="0"/>
            <w:vAlign w:val="center"/>
          </w:tcPr>
          <w:p w14:paraId="0963C9D9">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14:paraId="3BF256CD">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w:t>
            </w:r>
          </w:p>
          <w:p w14:paraId="0DFF673A">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金额</w:t>
            </w:r>
          </w:p>
          <w:p w14:paraId="4C624A79">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c>
          <w:tcPr>
            <w:tcW w:w="4111" w:type="dxa"/>
            <w:gridSpan w:val="3"/>
            <w:tcBorders>
              <w:top w:val="single" w:color="auto" w:sz="4" w:space="0"/>
              <w:left w:val="single" w:color="auto" w:sz="4" w:space="0"/>
              <w:bottom w:val="single" w:color="auto" w:sz="4" w:space="0"/>
              <w:right w:val="single" w:color="auto" w:sz="4" w:space="0"/>
            </w:tcBorders>
            <w:noWrap w:val="0"/>
            <w:vAlign w:val="center"/>
          </w:tcPr>
          <w:p w14:paraId="673019D2">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附件在响应文件中页码</w:t>
            </w:r>
          </w:p>
        </w:tc>
        <w:tc>
          <w:tcPr>
            <w:tcW w:w="1842" w:type="dxa"/>
            <w:vMerge w:val="restart"/>
            <w:tcBorders>
              <w:top w:val="single" w:color="auto" w:sz="4" w:space="0"/>
              <w:left w:val="single" w:color="auto" w:sz="4" w:space="0"/>
              <w:bottom w:val="single" w:color="auto" w:sz="4" w:space="0"/>
              <w:right w:val="single" w:color="auto" w:sz="4" w:space="0"/>
            </w:tcBorders>
            <w:noWrap w:val="0"/>
            <w:vAlign w:val="center"/>
          </w:tcPr>
          <w:p w14:paraId="29DC9280">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采购人联系人及联系电话</w:t>
            </w:r>
          </w:p>
        </w:tc>
      </w:tr>
      <w:tr w14:paraId="1BB6B5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14:paraId="18B19F9C">
            <w:pPr>
              <w:jc w:val="left"/>
              <w:rPr>
                <w:rFonts w:hint="eastAsia" w:ascii="宋体" w:hAnsi="宋体" w:eastAsia="宋体" w:cs="宋体"/>
                <w:color w:val="auto"/>
                <w:sz w:val="24"/>
                <w:highlight w:val="none"/>
              </w:rPr>
            </w:pPr>
          </w:p>
        </w:tc>
        <w:tc>
          <w:tcPr>
            <w:tcW w:w="2164" w:type="dxa"/>
            <w:vMerge w:val="continue"/>
            <w:tcBorders>
              <w:top w:val="single" w:color="auto" w:sz="4" w:space="0"/>
              <w:left w:val="single" w:color="auto" w:sz="4" w:space="0"/>
              <w:bottom w:val="single" w:color="auto" w:sz="4" w:space="0"/>
              <w:right w:val="single" w:color="auto" w:sz="4" w:space="0"/>
            </w:tcBorders>
            <w:noWrap w:val="0"/>
            <w:vAlign w:val="center"/>
          </w:tcPr>
          <w:p w14:paraId="7290940A">
            <w:pPr>
              <w:jc w:val="left"/>
              <w:rPr>
                <w:rFonts w:hint="eastAsia" w:ascii="宋体" w:hAnsi="宋体" w:eastAsia="宋体" w:cs="宋体"/>
                <w:color w:val="auto"/>
                <w:sz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4496E478">
            <w:pPr>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F449A73">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1FC2A26">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验收报告</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52AA34F">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用户评价</w:t>
            </w:r>
          </w:p>
        </w:tc>
        <w:tc>
          <w:tcPr>
            <w:tcW w:w="1842" w:type="dxa"/>
            <w:vMerge w:val="continue"/>
            <w:tcBorders>
              <w:top w:val="single" w:color="auto" w:sz="4" w:space="0"/>
              <w:left w:val="single" w:color="auto" w:sz="4" w:space="0"/>
              <w:bottom w:val="single" w:color="auto" w:sz="4" w:space="0"/>
              <w:right w:val="single" w:color="auto" w:sz="4" w:space="0"/>
            </w:tcBorders>
            <w:noWrap w:val="0"/>
            <w:vAlign w:val="center"/>
          </w:tcPr>
          <w:p w14:paraId="7F1D8DAF">
            <w:pPr>
              <w:jc w:val="left"/>
              <w:rPr>
                <w:rFonts w:hint="eastAsia" w:ascii="宋体" w:hAnsi="宋体" w:eastAsia="宋体" w:cs="宋体"/>
                <w:color w:val="auto"/>
                <w:sz w:val="24"/>
                <w:highlight w:val="none"/>
              </w:rPr>
            </w:pPr>
          </w:p>
        </w:tc>
      </w:tr>
      <w:tr w14:paraId="024994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063" w:type="dxa"/>
            <w:tcBorders>
              <w:top w:val="single" w:color="auto" w:sz="4" w:space="0"/>
              <w:left w:val="single" w:color="auto" w:sz="4" w:space="0"/>
              <w:bottom w:val="single" w:color="auto" w:sz="4" w:space="0"/>
              <w:right w:val="single" w:color="auto" w:sz="4" w:space="0"/>
            </w:tcBorders>
            <w:noWrap w:val="0"/>
            <w:vAlign w:val="top"/>
          </w:tcPr>
          <w:p w14:paraId="635D22EC">
            <w:pPr>
              <w:snapToGrid w:val="0"/>
              <w:spacing w:line="240" w:lineRule="exact"/>
              <w:jc w:val="left"/>
              <w:rPr>
                <w:rFonts w:hint="eastAsia" w:ascii="宋体" w:hAnsi="宋体" w:eastAsia="宋体" w:cs="宋体"/>
                <w:color w:val="auto"/>
                <w:sz w:val="24"/>
                <w:highlight w:val="none"/>
              </w:rPr>
            </w:pPr>
          </w:p>
        </w:tc>
        <w:tc>
          <w:tcPr>
            <w:tcW w:w="2164" w:type="dxa"/>
            <w:tcBorders>
              <w:top w:val="single" w:color="auto" w:sz="4" w:space="0"/>
              <w:left w:val="single" w:color="auto" w:sz="4" w:space="0"/>
              <w:bottom w:val="single" w:color="auto" w:sz="4" w:space="0"/>
              <w:right w:val="single" w:color="auto" w:sz="4" w:space="0"/>
            </w:tcBorders>
            <w:noWrap w:val="0"/>
            <w:vAlign w:val="top"/>
          </w:tcPr>
          <w:p w14:paraId="21D0763A">
            <w:pPr>
              <w:snapToGrid w:val="0"/>
              <w:spacing w:line="24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45496AB5">
            <w:pPr>
              <w:snapToGrid w:val="0"/>
              <w:spacing w:line="24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992ECA5">
            <w:pPr>
              <w:snapToGrid w:val="0"/>
              <w:spacing w:line="240" w:lineRule="exact"/>
              <w:jc w:val="left"/>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4B654AC1">
            <w:pPr>
              <w:snapToGrid w:val="0"/>
              <w:spacing w:line="240" w:lineRule="exact"/>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564E99B">
            <w:pPr>
              <w:snapToGrid w:val="0"/>
              <w:spacing w:line="240" w:lineRule="exact"/>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7D07A589">
            <w:pPr>
              <w:snapToGrid w:val="0"/>
              <w:spacing w:line="240" w:lineRule="exact"/>
              <w:jc w:val="left"/>
              <w:rPr>
                <w:rFonts w:hint="eastAsia" w:ascii="宋体" w:hAnsi="宋体" w:eastAsia="宋体" w:cs="宋体"/>
                <w:color w:val="auto"/>
                <w:sz w:val="24"/>
                <w:highlight w:val="none"/>
              </w:rPr>
            </w:pPr>
          </w:p>
        </w:tc>
      </w:tr>
      <w:tr w14:paraId="24D883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3" w:type="dxa"/>
            <w:tcBorders>
              <w:top w:val="single" w:color="auto" w:sz="4" w:space="0"/>
              <w:left w:val="single" w:color="auto" w:sz="4" w:space="0"/>
              <w:bottom w:val="single" w:color="auto" w:sz="4" w:space="0"/>
              <w:right w:val="single" w:color="auto" w:sz="4" w:space="0"/>
            </w:tcBorders>
            <w:noWrap w:val="0"/>
            <w:vAlign w:val="top"/>
          </w:tcPr>
          <w:p w14:paraId="040D9DFE">
            <w:pPr>
              <w:snapToGrid w:val="0"/>
              <w:spacing w:before="50" w:after="120" w:afterLines="50" w:line="400" w:lineRule="exact"/>
              <w:jc w:val="left"/>
              <w:rPr>
                <w:rFonts w:hint="eastAsia" w:ascii="宋体" w:hAnsi="宋体" w:eastAsia="宋体" w:cs="宋体"/>
                <w:color w:val="auto"/>
                <w:sz w:val="24"/>
                <w:highlight w:val="none"/>
              </w:rPr>
            </w:pPr>
          </w:p>
        </w:tc>
        <w:tc>
          <w:tcPr>
            <w:tcW w:w="2164" w:type="dxa"/>
            <w:tcBorders>
              <w:top w:val="single" w:color="auto" w:sz="4" w:space="0"/>
              <w:left w:val="single" w:color="auto" w:sz="4" w:space="0"/>
              <w:bottom w:val="single" w:color="auto" w:sz="4" w:space="0"/>
              <w:right w:val="single" w:color="auto" w:sz="4" w:space="0"/>
            </w:tcBorders>
            <w:noWrap w:val="0"/>
            <w:vAlign w:val="top"/>
          </w:tcPr>
          <w:p w14:paraId="55AE9DB7">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44D44F0">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2559DF06">
            <w:pPr>
              <w:snapToGrid w:val="0"/>
              <w:spacing w:before="50" w:after="120" w:afterLines="50" w:line="400" w:lineRule="exact"/>
              <w:jc w:val="left"/>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357A8A58">
            <w:pPr>
              <w:snapToGrid w:val="0"/>
              <w:spacing w:before="50" w:after="120" w:afterLines="50" w:line="400" w:lineRule="exact"/>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BD8543D">
            <w:pPr>
              <w:snapToGrid w:val="0"/>
              <w:spacing w:before="50" w:after="120" w:afterLines="50" w:line="400" w:lineRule="exact"/>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631CE966">
            <w:pPr>
              <w:snapToGrid w:val="0"/>
              <w:spacing w:before="50" w:after="120" w:afterLines="50" w:line="400" w:lineRule="exact"/>
              <w:jc w:val="left"/>
              <w:rPr>
                <w:rFonts w:hint="eastAsia" w:ascii="宋体" w:hAnsi="宋体" w:eastAsia="宋体" w:cs="宋体"/>
                <w:color w:val="auto"/>
                <w:sz w:val="24"/>
                <w:highlight w:val="none"/>
              </w:rPr>
            </w:pPr>
          </w:p>
        </w:tc>
      </w:tr>
      <w:tr w14:paraId="7D1DDD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063" w:type="dxa"/>
            <w:tcBorders>
              <w:top w:val="single" w:color="auto" w:sz="4" w:space="0"/>
              <w:left w:val="single" w:color="auto" w:sz="4" w:space="0"/>
              <w:bottom w:val="single" w:color="auto" w:sz="4" w:space="0"/>
              <w:right w:val="single" w:color="auto" w:sz="4" w:space="0"/>
            </w:tcBorders>
            <w:noWrap w:val="0"/>
            <w:vAlign w:val="top"/>
          </w:tcPr>
          <w:p w14:paraId="6D072412">
            <w:pPr>
              <w:snapToGrid w:val="0"/>
              <w:spacing w:before="50" w:after="120" w:afterLines="50" w:line="400" w:lineRule="exact"/>
              <w:jc w:val="left"/>
              <w:rPr>
                <w:rFonts w:hint="eastAsia" w:ascii="宋体" w:hAnsi="宋体" w:eastAsia="宋体" w:cs="宋体"/>
                <w:color w:val="auto"/>
                <w:sz w:val="24"/>
                <w:highlight w:val="none"/>
              </w:rPr>
            </w:pPr>
          </w:p>
        </w:tc>
        <w:tc>
          <w:tcPr>
            <w:tcW w:w="2164" w:type="dxa"/>
            <w:tcBorders>
              <w:top w:val="single" w:color="auto" w:sz="4" w:space="0"/>
              <w:left w:val="single" w:color="auto" w:sz="4" w:space="0"/>
              <w:bottom w:val="single" w:color="auto" w:sz="4" w:space="0"/>
              <w:right w:val="single" w:color="auto" w:sz="4" w:space="0"/>
            </w:tcBorders>
            <w:noWrap w:val="0"/>
            <w:vAlign w:val="top"/>
          </w:tcPr>
          <w:p w14:paraId="46A35828">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29DDCD7B">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46348642">
            <w:pPr>
              <w:snapToGrid w:val="0"/>
              <w:spacing w:before="50" w:after="120" w:afterLines="50" w:line="400" w:lineRule="exact"/>
              <w:jc w:val="left"/>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7554029D">
            <w:pPr>
              <w:snapToGrid w:val="0"/>
              <w:spacing w:before="50" w:after="120" w:afterLines="50" w:line="400" w:lineRule="exact"/>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FAE1854">
            <w:pPr>
              <w:snapToGrid w:val="0"/>
              <w:spacing w:before="50" w:after="120" w:afterLines="50" w:line="400" w:lineRule="exact"/>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58C7BE6C">
            <w:pPr>
              <w:snapToGrid w:val="0"/>
              <w:spacing w:before="50" w:after="120" w:afterLines="50" w:line="400" w:lineRule="exact"/>
              <w:jc w:val="left"/>
              <w:rPr>
                <w:rFonts w:hint="eastAsia" w:ascii="宋体" w:hAnsi="宋体" w:eastAsia="宋体" w:cs="宋体"/>
                <w:color w:val="auto"/>
                <w:sz w:val="24"/>
                <w:highlight w:val="none"/>
              </w:rPr>
            </w:pPr>
          </w:p>
        </w:tc>
      </w:tr>
      <w:tr w14:paraId="3B94F7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3" w:type="dxa"/>
            <w:tcBorders>
              <w:top w:val="single" w:color="auto" w:sz="4" w:space="0"/>
              <w:left w:val="single" w:color="auto" w:sz="4" w:space="0"/>
              <w:bottom w:val="single" w:color="auto" w:sz="4" w:space="0"/>
              <w:right w:val="single" w:color="auto" w:sz="4" w:space="0"/>
            </w:tcBorders>
            <w:noWrap w:val="0"/>
            <w:vAlign w:val="top"/>
          </w:tcPr>
          <w:p w14:paraId="55113594">
            <w:pPr>
              <w:snapToGrid w:val="0"/>
              <w:spacing w:before="50" w:after="120" w:afterLines="50" w:line="400" w:lineRule="exact"/>
              <w:jc w:val="left"/>
              <w:rPr>
                <w:rFonts w:hint="eastAsia" w:ascii="宋体" w:hAnsi="宋体" w:eastAsia="宋体" w:cs="宋体"/>
                <w:color w:val="auto"/>
                <w:sz w:val="24"/>
                <w:highlight w:val="none"/>
              </w:rPr>
            </w:pPr>
          </w:p>
        </w:tc>
        <w:tc>
          <w:tcPr>
            <w:tcW w:w="2164" w:type="dxa"/>
            <w:tcBorders>
              <w:top w:val="single" w:color="auto" w:sz="4" w:space="0"/>
              <w:left w:val="single" w:color="auto" w:sz="4" w:space="0"/>
              <w:bottom w:val="single" w:color="auto" w:sz="4" w:space="0"/>
              <w:right w:val="single" w:color="auto" w:sz="4" w:space="0"/>
            </w:tcBorders>
            <w:noWrap w:val="0"/>
            <w:vAlign w:val="top"/>
          </w:tcPr>
          <w:p w14:paraId="419620D8">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8E74895">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E2B681F">
            <w:pPr>
              <w:snapToGrid w:val="0"/>
              <w:spacing w:before="50" w:after="120" w:afterLines="50" w:line="400" w:lineRule="exact"/>
              <w:jc w:val="left"/>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59A9F793">
            <w:pPr>
              <w:snapToGrid w:val="0"/>
              <w:spacing w:before="50" w:after="120" w:afterLines="50" w:line="400" w:lineRule="exact"/>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43E2C63">
            <w:pPr>
              <w:snapToGrid w:val="0"/>
              <w:spacing w:before="50" w:after="120" w:afterLines="50" w:line="400" w:lineRule="exact"/>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2ED62DFA">
            <w:pPr>
              <w:snapToGrid w:val="0"/>
              <w:spacing w:before="50" w:after="120" w:afterLines="50" w:line="400" w:lineRule="exact"/>
              <w:jc w:val="left"/>
              <w:rPr>
                <w:rFonts w:hint="eastAsia" w:ascii="宋体" w:hAnsi="宋体" w:eastAsia="宋体" w:cs="宋体"/>
                <w:color w:val="auto"/>
                <w:sz w:val="24"/>
                <w:highlight w:val="none"/>
              </w:rPr>
            </w:pPr>
          </w:p>
        </w:tc>
      </w:tr>
      <w:tr w14:paraId="582709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3" w:type="dxa"/>
            <w:tcBorders>
              <w:top w:val="single" w:color="auto" w:sz="4" w:space="0"/>
              <w:left w:val="single" w:color="auto" w:sz="4" w:space="0"/>
              <w:bottom w:val="single" w:color="auto" w:sz="4" w:space="0"/>
              <w:right w:val="single" w:color="auto" w:sz="4" w:space="0"/>
            </w:tcBorders>
            <w:noWrap w:val="0"/>
            <w:vAlign w:val="top"/>
          </w:tcPr>
          <w:p w14:paraId="05A83F34">
            <w:pPr>
              <w:snapToGrid w:val="0"/>
              <w:spacing w:before="50" w:after="120" w:afterLines="50" w:line="400" w:lineRule="exact"/>
              <w:jc w:val="left"/>
              <w:rPr>
                <w:rFonts w:hint="eastAsia" w:ascii="宋体" w:hAnsi="宋体" w:eastAsia="宋体" w:cs="宋体"/>
                <w:color w:val="auto"/>
                <w:sz w:val="24"/>
                <w:highlight w:val="none"/>
              </w:rPr>
            </w:pPr>
          </w:p>
        </w:tc>
        <w:tc>
          <w:tcPr>
            <w:tcW w:w="2164" w:type="dxa"/>
            <w:tcBorders>
              <w:top w:val="single" w:color="auto" w:sz="4" w:space="0"/>
              <w:left w:val="single" w:color="auto" w:sz="4" w:space="0"/>
              <w:bottom w:val="single" w:color="auto" w:sz="4" w:space="0"/>
              <w:right w:val="single" w:color="auto" w:sz="4" w:space="0"/>
            </w:tcBorders>
            <w:noWrap w:val="0"/>
            <w:vAlign w:val="top"/>
          </w:tcPr>
          <w:p w14:paraId="46258FD3">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77F6E18">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31BBB60">
            <w:pPr>
              <w:snapToGrid w:val="0"/>
              <w:spacing w:before="50" w:after="120" w:afterLines="50" w:line="400" w:lineRule="exact"/>
              <w:jc w:val="left"/>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68B16531">
            <w:pPr>
              <w:snapToGrid w:val="0"/>
              <w:spacing w:before="50" w:after="120" w:afterLines="50" w:line="400" w:lineRule="exact"/>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6EB63A1">
            <w:pPr>
              <w:snapToGrid w:val="0"/>
              <w:spacing w:before="50" w:after="120" w:afterLines="50" w:line="400" w:lineRule="exact"/>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1B27AD30">
            <w:pPr>
              <w:snapToGrid w:val="0"/>
              <w:spacing w:before="50" w:after="120" w:afterLines="50" w:line="400" w:lineRule="exact"/>
              <w:jc w:val="left"/>
              <w:rPr>
                <w:rFonts w:hint="eastAsia" w:ascii="宋体" w:hAnsi="宋体" w:eastAsia="宋体" w:cs="宋体"/>
                <w:color w:val="auto"/>
                <w:sz w:val="24"/>
                <w:highlight w:val="none"/>
              </w:rPr>
            </w:pPr>
          </w:p>
        </w:tc>
      </w:tr>
    </w:tbl>
    <w:p w14:paraId="00F21FE2">
      <w:pPr>
        <w:snapToGrid w:val="0"/>
        <w:spacing w:line="360" w:lineRule="auto"/>
        <w:ind w:firstLine="4935" w:firstLineChars="2350"/>
        <w:rPr>
          <w:rFonts w:hint="eastAsia" w:ascii="宋体" w:hAnsi="宋体" w:eastAsia="宋体" w:cs="宋体"/>
          <w:color w:val="auto"/>
          <w:szCs w:val="21"/>
          <w:highlight w:val="none"/>
        </w:rPr>
      </w:pPr>
    </w:p>
    <w:p w14:paraId="0EE75169">
      <w:pPr>
        <w:snapToGrid w:val="0"/>
        <w:spacing w:line="360" w:lineRule="auto"/>
        <w:ind w:firstLine="0" w:firstLineChars="0"/>
        <w:rPr>
          <w:rFonts w:hint="eastAsia" w:ascii="宋体" w:hAnsi="宋体" w:eastAsia="宋体" w:cs="宋体"/>
          <w:color w:val="auto"/>
          <w:szCs w:val="21"/>
          <w:highlight w:val="none"/>
          <w:lang w:eastAsia="zh-CN"/>
        </w:rPr>
      </w:pPr>
      <w:r>
        <w:rPr>
          <w:rFonts w:hint="eastAsia" w:ascii="宋体" w:hAnsi="宋体" w:eastAsia="宋体" w:cs="宋体"/>
          <w:color w:val="auto"/>
          <w:sz w:val="24"/>
          <w:szCs w:val="20"/>
          <w:highlight w:val="none"/>
        </w:rPr>
        <w:t>注：在填写时，如本表格不适合</w:t>
      </w:r>
      <w:r>
        <w:rPr>
          <w:rFonts w:hint="eastAsia" w:ascii="宋体" w:hAnsi="宋体" w:eastAsia="宋体" w:cs="宋体"/>
          <w:color w:val="auto"/>
          <w:sz w:val="24"/>
          <w:szCs w:val="20"/>
          <w:highlight w:val="none"/>
          <w:lang w:eastAsia="zh-CN"/>
        </w:rPr>
        <w:t>供应商</w:t>
      </w:r>
      <w:r>
        <w:rPr>
          <w:rFonts w:hint="eastAsia" w:ascii="宋体" w:hAnsi="宋体" w:eastAsia="宋体" w:cs="宋体"/>
          <w:color w:val="auto"/>
          <w:sz w:val="24"/>
          <w:szCs w:val="20"/>
          <w:highlight w:val="none"/>
        </w:rPr>
        <w:t>的实际情况，可</w:t>
      </w:r>
      <w:r>
        <w:rPr>
          <w:rFonts w:hint="eastAsia" w:ascii="宋体" w:hAnsi="宋体" w:eastAsia="宋体" w:cs="宋体"/>
          <w:color w:val="auto"/>
          <w:sz w:val="24"/>
          <w:szCs w:val="20"/>
          <w:highlight w:val="none"/>
          <w:lang w:eastAsia="zh-CN"/>
        </w:rPr>
        <w:t>参照</w:t>
      </w:r>
      <w:r>
        <w:rPr>
          <w:rFonts w:hint="eastAsia" w:ascii="宋体" w:hAnsi="宋体" w:eastAsia="宋体" w:cs="宋体"/>
          <w:color w:val="auto"/>
          <w:sz w:val="24"/>
          <w:szCs w:val="20"/>
          <w:highlight w:val="none"/>
        </w:rPr>
        <w:t>本表格式自行制表填写</w:t>
      </w:r>
      <w:r>
        <w:rPr>
          <w:rFonts w:hint="eastAsia" w:ascii="宋体" w:hAnsi="宋体" w:eastAsia="宋体" w:cs="宋体"/>
          <w:color w:val="auto"/>
          <w:sz w:val="24"/>
          <w:szCs w:val="20"/>
          <w:highlight w:val="none"/>
          <w:lang w:eastAsia="zh-CN"/>
        </w:rPr>
        <w:t>，并附上相关证明材料</w:t>
      </w:r>
      <w:r>
        <w:rPr>
          <w:rFonts w:hint="eastAsia" w:ascii="宋体" w:hAnsi="宋体" w:eastAsia="宋体" w:cs="宋体"/>
          <w:color w:val="auto"/>
          <w:highlight w:val="none"/>
          <w:lang w:eastAsia="zh-CN"/>
        </w:rPr>
        <w:t>。</w:t>
      </w:r>
    </w:p>
    <w:p w14:paraId="27D85D94">
      <w:pPr>
        <w:snapToGrid w:val="0"/>
        <w:spacing w:line="360" w:lineRule="auto"/>
        <w:ind w:firstLine="0" w:firstLineChars="0"/>
        <w:rPr>
          <w:rFonts w:hint="eastAsia" w:ascii="宋体" w:hAnsi="宋体" w:eastAsia="宋体" w:cs="宋体"/>
          <w:color w:val="auto"/>
          <w:szCs w:val="21"/>
          <w:highlight w:val="none"/>
        </w:rPr>
      </w:pPr>
    </w:p>
    <w:p w14:paraId="68484811">
      <w:pPr>
        <w:snapToGrid w:val="0"/>
        <w:spacing w:line="360" w:lineRule="auto"/>
        <w:ind w:firstLine="0" w:firstLineChars="0"/>
        <w:rPr>
          <w:rFonts w:hint="eastAsia" w:ascii="宋体" w:hAnsi="宋体" w:eastAsia="宋体" w:cs="宋体"/>
          <w:color w:val="auto"/>
          <w:szCs w:val="21"/>
          <w:highlight w:val="none"/>
        </w:rPr>
      </w:pPr>
    </w:p>
    <w:p w14:paraId="5C91CDB6">
      <w:pPr>
        <w:snapToGrid w:val="0"/>
        <w:spacing w:line="360" w:lineRule="auto"/>
        <w:ind w:left="0" w:leftChars="0" w:firstLine="0" w:firstLineChars="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kern w:val="0"/>
          <w:sz w:val="24"/>
          <w:highlight w:val="none"/>
          <w:lang w:val="zh-CN"/>
        </w:rPr>
        <w:t>供应商名称(盖公章)：</w:t>
      </w:r>
    </w:p>
    <w:p w14:paraId="385250B7">
      <w:pPr>
        <w:spacing w:line="500" w:lineRule="exact"/>
        <w:jc w:val="center"/>
        <w:rPr>
          <w:rFonts w:hint="eastAsia" w:ascii="宋体" w:hAnsi="宋体" w:eastAsia="宋体" w:cs="宋体"/>
          <w:color w:val="auto"/>
          <w:sz w:val="32"/>
          <w:szCs w:val="32"/>
          <w:highlight w:val="none"/>
        </w:rPr>
        <w:sectPr>
          <w:pgSz w:w="11911" w:h="16838"/>
          <w:pgMar w:top="1134" w:right="1134" w:bottom="1134" w:left="1134" w:header="720" w:footer="720" w:gutter="0"/>
          <w:pgNumType w:fmt="decimal"/>
          <w:cols w:space="720" w:num="1"/>
        </w:sectPr>
      </w:pPr>
      <w:r>
        <w:rPr>
          <w:rFonts w:hint="eastAsia" w:ascii="宋体" w:hAnsi="宋体" w:eastAsia="宋体" w:cs="宋体"/>
          <w:color w:val="auto"/>
          <w:kern w:val="0"/>
          <w:sz w:val="24"/>
          <w:highlight w:val="none"/>
          <w:lang w:val="zh-CN"/>
        </w:rPr>
        <w:t xml:space="preserve">                                                     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67DF0335">
      <w:pPr>
        <w:snapToGrid w:val="0"/>
        <w:spacing w:line="360" w:lineRule="auto"/>
        <w:ind w:firstLine="0" w:firstLineChars="0"/>
        <w:rPr>
          <w:rFonts w:hint="eastAsia" w:ascii="宋体" w:hAnsi="宋体" w:eastAsia="宋体" w:cs="宋体"/>
          <w:color w:val="auto"/>
          <w:sz w:val="28"/>
          <w:szCs w:val="28"/>
          <w:highlight w:val="none"/>
          <w:lang w:eastAsia="zh-CN"/>
        </w:rPr>
      </w:pPr>
      <w:r>
        <w:rPr>
          <w:rFonts w:hint="eastAsia" w:ascii="宋体" w:hAnsi="宋体" w:eastAsia="宋体" w:cs="宋体"/>
          <w:b/>
          <w:color w:val="auto"/>
          <w:sz w:val="28"/>
          <w:szCs w:val="28"/>
          <w:highlight w:val="none"/>
          <w:lang w:val="en-US" w:eastAsia="zh-CN"/>
        </w:rPr>
        <w:t>8.</w:t>
      </w:r>
      <w:r>
        <w:rPr>
          <w:rFonts w:hint="eastAsia" w:ascii="宋体" w:hAnsi="宋体" w:eastAsia="宋体" w:cs="宋体"/>
          <w:b/>
          <w:color w:val="auto"/>
          <w:sz w:val="28"/>
          <w:szCs w:val="28"/>
          <w:highlight w:val="none"/>
        </w:rPr>
        <w:t>服务</w:t>
      </w:r>
      <w:r>
        <w:rPr>
          <w:rFonts w:hint="eastAsia" w:ascii="宋体" w:hAnsi="宋体" w:eastAsia="宋体" w:cs="宋体"/>
          <w:b/>
          <w:color w:val="auto"/>
          <w:sz w:val="28"/>
          <w:szCs w:val="28"/>
          <w:highlight w:val="none"/>
          <w:lang w:eastAsia="zh-CN"/>
        </w:rPr>
        <w:t>要求</w:t>
      </w:r>
      <w:r>
        <w:rPr>
          <w:rFonts w:hint="eastAsia" w:ascii="宋体" w:hAnsi="宋体" w:eastAsia="宋体" w:cs="宋体"/>
          <w:b/>
          <w:color w:val="auto"/>
          <w:sz w:val="28"/>
          <w:szCs w:val="28"/>
          <w:highlight w:val="none"/>
        </w:rPr>
        <w:t>偏离表</w:t>
      </w:r>
      <w:r>
        <w:rPr>
          <w:rFonts w:hint="eastAsia" w:ascii="宋体" w:hAnsi="宋体" w:eastAsia="宋体" w:cs="宋体"/>
          <w:b/>
          <w:color w:val="auto"/>
          <w:sz w:val="28"/>
          <w:szCs w:val="28"/>
          <w:highlight w:val="none"/>
          <w:lang w:eastAsia="zh-CN"/>
        </w:rPr>
        <w:t>的格式：</w:t>
      </w:r>
    </w:p>
    <w:p w14:paraId="1428538F">
      <w:pPr>
        <w:spacing w:line="50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服务</w:t>
      </w:r>
      <w:r>
        <w:rPr>
          <w:rFonts w:hint="eastAsia" w:ascii="宋体" w:hAnsi="宋体" w:eastAsia="宋体" w:cs="宋体"/>
          <w:bCs/>
          <w:color w:val="auto"/>
          <w:sz w:val="44"/>
          <w:szCs w:val="44"/>
          <w:highlight w:val="none"/>
          <w:lang w:eastAsia="zh-CN"/>
        </w:rPr>
        <w:t>要求</w:t>
      </w:r>
      <w:r>
        <w:rPr>
          <w:rFonts w:hint="eastAsia" w:ascii="宋体" w:hAnsi="宋体" w:eastAsia="宋体" w:cs="宋体"/>
          <w:bCs/>
          <w:color w:val="auto"/>
          <w:sz w:val="44"/>
          <w:szCs w:val="44"/>
          <w:highlight w:val="none"/>
        </w:rPr>
        <w:t>偏离表</w:t>
      </w:r>
    </w:p>
    <w:p w14:paraId="4D5D880F">
      <w:pPr>
        <w:spacing w:line="500" w:lineRule="exact"/>
        <w:jc w:val="center"/>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(注：按采购需求具体条款</w:t>
      </w:r>
      <w:r>
        <w:rPr>
          <w:rFonts w:hint="eastAsia" w:ascii="宋体" w:hAnsi="宋体" w:eastAsia="宋体" w:cs="宋体"/>
          <w:bCs/>
          <w:color w:val="auto"/>
          <w:sz w:val="21"/>
          <w:szCs w:val="21"/>
          <w:highlight w:val="none"/>
          <w:lang w:val="en-US" w:eastAsia="zh-CN"/>
        </w:rPr>
        <w:t>编制</w:t>
      </w:r>
      <w:r>
        <w:rPr>
          <w:rFonts w:hint="eastAsia" w:ascii="宋体" w:hAnsi="宋体" w:eastAsia="宋体" w:cs="宋体"/>
          <w:bCs/>
          <w:color w:val="auto"/>
          <w:sz w:val="21"/>
          <w:szCs w:val="21"/>
          <w:highlight w:val="none"/>
        </w:rPr>
        <w:t>)</w:t>
      </w:r>
    </w:p>
    <w:p w14:paraId="2C508940">
      <w:pPr>
        <w:spacing w:line="360" w:lineRule="auto"/>
        <w:contextualSpacing/>
        <w:jc w:val="left"/>
        <w:rPr>
          <w:rFonts w:hint="eastAsia" w:ascii="宋体" w:hAnsi="宋体" w:eastAsia="宋体" w:cs="宋体"/>
          <w:color w:val="auto"/>
          <w:sz w:val="24"/>
          <w:highlight w:val="none"/>
        </w:rPr>
      </w:pPr>
    </w:p>
    <w:p w14:paraId="05324D49">
      <w:pPr>
        <w:spacing w:line="360" w:lineRule="auto"/>
        <w:ind w:firstLine="720" w:firstLineChars="30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w:t>
      </w:r>
      <w:r>
        <w:rPr>
          <w:rFonts w:hint="eastAsia" w:ascii="宋体" w:hAnsi="宋体" w:eastAsia="宋体" w:cs="宋体"/>
          <w:color w:val="auto"/>
          <w:sz w:val="24"/>
          <w:highlight w:val="none"/>
          <w:lang w:eastAsia="zh-CN"/>
        </w:rPr>
        <w:t>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71E07287">
      <w:pPr>
        <w:spacing w:line="360" w:lineRule="auto"/>
        <w:ind w:firstLine="720" w:firstLineChars="3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项目</w:t>
      </w:r>
      <w:r>
        <w:rPr>
          <w:rFonts w:hint="eastAsia" w:ascii="宋体" w:hAnsi="宋体" w:eastAsia="宋体" w:cs="宋体"/>
          <w:color w:val="auto"/>
          <w:sz w:val="24"/>
          <w:highlight w:val="none"/>
          <w:lang w:eastAsia="zh-CN"/>
        </w:rPr>
        <w:t>编号</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480CCF4B">
      <w:pPr>
        <w:spacing w:line="360" w:lineRule="auto"/>
        <w:ind w:firstLine="720" w:firstLineChars="30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highlight w:val="none"/>
          <w:u w:val="single"/>
        </w:rPr>
        <w:t xml:space="preserve">              </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175"/>
        <w:gridCol w:w="2118"/>
        <w:gridCol w:w="2944"/>
        <w:gridCol w:w="1095"/>
      </w:tblGrid>
      <w:tr w14:paraId="3B3A1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6124A17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2F294A44">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标的名称</w:t>
            </w:r>
          </w:p>
        </w:tc>
        <w:tc>
          <w:tcPr>
            <w:tcW w:w="2118" w:type="dxa"/>
            <w:tcBorders>
              <w:top w:val="single" w:color="auto" w:sz="4" w:space="0"/>
              <w:left w:val="single" w:color="auto" w:sz="4" w:space="0"/>
              <w:bottom w:val="single" w:color="auto" w:sz="4" w:space="0"/>
              <w:right w:val="single" w:color="auto" w:sz="4" w:space="0"/>
            </w:tcBorders>
            <w:noWrap w:val="0"/>
            <w:vAlign w:val="center"/>
          </w:tcPr>
          <w:p w14:paraId="2CD1E69A">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磋商文件</w:t>
            </w:r>
            <w:r>
              <w:rPr>
                <w:rFonts w:hint="eastAsia" w:ascii="宋体" w:hAnsi="宋体" w:eastAsia="宋体" w:cs="宋体"/>
                <w:color w:val="auto"/>
                <w:szCs w:val="21"/>
                <w:highlight w:val="none"/>
                <w:lang w:eastAsia="zh-CN"/>
              </w:rPr>
              <w:t>采购需求</w:t>
            </w:r>
            <w:r>
              <w:rPr>
                <w:rFonts w:hint="eastAsia" w:ascii="宋体" w:hAnsi="宋体" w:eastAsia="宋体" w:cs="宋体"/>
                <w:color w:val="auto"/>
                <w:szCs w:val="21"/>
                <w:highlight w:val="none"/>
                <w:lang w:val="en-US" w:eastAsia="zh-CN"/>
              </w:rPr>
              <w:t>中的</w:t>
            </w:r>
            <w:r>
              <w:rPr>
                <w:rFonts w:hint="eastAsia" w:ascii="宋体" w:hAnsi="宋体" w:eastAsia="宋体" w:cs="宋体"/>
                <w:color w:val="auto"/>
                <w:szCs w:val="21"/>
                <w:highlight w:val="none"/>
                <w:lang w:eastAsia="zh-CN"/>
              </w:rPr>
              <w:t>服务要求</w:t>
            </w:r>
          </w:p>
        </w:tc>
        <w:tc>
          <w:tcPr>
            <w:tcW w:w="2944" w:type="dxa"/>
            <w:tcBorders>
              <w:top w:val="single" w:color="auto" w:sz="4" w:space="0"/>
              <w:left w:val="single" w:color="auto" w:sz="4" w:space="0"/>
              <w:bottom w:val="single" w:color="auto" w:sz="4" w:space="0"/>
              <w:right w:val="single" w:color="auto" w:sz="4" w:space="0"/>
            </w:tcBorders>
            <w:noWrap w:val="0"/>
            <w:vAlign w:val="center"/>
          </w:tcPr>
          <w:p w14:paraId="6498023F">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响应文件</w:t>
            </w:r>
            <w:r>
              <w:rPr>
                <w:rFonts w:hint="eastAsia" w:ascii="宋体" w:hAnsi="宋体" w:eastAsia="宋体" w:cs="宋体"/>
                <w:color w:val="auto"/>
                <w:szCs w:val="21"/>
                <w:highlight w:val="none"/>
                <w:lang w:val="en-US" w:eastAsia="zh-CN"/>
              </w:rPr>
              <w:t>响应的</w:t>
            </w:r>
            <w:r>
              <w:rPr>
                <w:rFonts w:hint="eastAsia" w:ascii="宋体" w:hAnsi="宋体" w:eastAsia="宋体" w:cs="宋体"/>
                <w:color w:val="auto"/>
                <w:szCs w:val="21"/>
                <w:highlight w:val="none"/>
                <w:lang w:eastAsia="zh-CN"/>
              </w:rPr>
              <w:t>服务内容</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528C83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7DAAD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3CFA4FF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30C213B8">
            <w:pPr>
              <w:rPr>
                <w:rFonts w:hint="eastAsia" w:ascii="宋体" w:hAnsi="宋体" w:eastAsia="宋体" w:cs="宋体"/>
                <w:color w:val="auto"/>
                <w:szCs w:val="21"/>
                <w:highlight w:val="none"/>
              </w:rPr>
            </w:pPr>
          </w:p>
        </w:tc>
        <w:tc>
          <w:tcPr>
            <w:tcW w:w="2118" w:type="dxa"/>
            <w:tcBorders>
              <w:top w:val="single" w:color="auto" w:sz="4" w:space="0"/>
              <w:left w:val="single" w:color="auto" w:sz="4" w:space="0"/>
              <w:bottom w:val="single" w:color="auto" w:sz="4" w:space="0"/>
              <w:right w:val="single" w:color="auto" w:sz="4" w:space="0"/>
            </w:tcBorders>
            <w:noWrap w:val="0"/>
            <w:vAlign w:val="center"/>
          </w:tcPr>
          <w:p w14:paraId="451D2AB0">
            <w:pPr>
              <w:rPr>
                <w:rFonts w:hint="eastAsia" w:ascii="宋体" w:hAnsi="宋体" w:eastAsia="宋体" w:cs="宋体"/>
                <w:color w:val="auto"/>
                <w:szCs w:val="21"/>
                <w:highlight w:val="none"/>
              </w:rPr>
            </w:pPr>
          </w:p>
        </w:tc>
        <w:tc>
          <w:tcPr>
            <w:tcW w:w="2944" w:type="dxa"/>
            <w:tcBorders>
              <w:top w:val="single" w:color="auto" w:sz="4" w:space="0"/>
              <w:left w:val="single" w:color="auto" w:sz="4" w:space="0"/>
              <w:bottom w:val="single" w:color="auto" w:sz="4" w:space="0"/>
              <w:right w:val="single" w:color="auto" w:sz="4" w:space="0"/>
            </w:tcBorders>
            <w:noWrap w:val="0"/>
            <w:vAlign w:val="center"/>
          </w:tcPr>
          <w:p w14:paraId="6AF2B491">
            <w:pPr>
              <w:rPr>
                <w:rFonts w:hint="eastAsia" w:ascii="宋体" w:hAnsi="宋体" w:eastAsia="宋体" w:cs="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1FB9C377">
            <w:pPr>
              <w:rPr>
                <w:rFonts w:hint="eastAsia" w:ascii="宋体" w:hAnsi="宋体" w:eastAsia="宋体" w:cs="宋体"/>
                <w:color w:val="auto"/>
                <w:szCs w:val="21"/>
                <w:highlight w:val="none"/>
              </w:rPr>
            </w:pPr>
          </w:p>
        </w:tc>
      </w:tr>
      <w:tr w14:paraId="3AE5C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7A4CE0F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4E283B64">
            <w:pPr>
              <w:rPr>
                <w:rFonts w:hint="eastAsia" w:ascii="宋体" w:hAnsi="宋体" w:eastAsia="宋体" w:cs="宋体"/>
                <w:color w:val="auto"/>
                <w:szCs w:val="21"/>
                <w:highlight w:val="none"/>
              </w:rPr>
            </w:pPr>
          </w:p>
        </w:tc>
        <w:tc>
          <w:tcPr>
            <w:tcW w:w="2118" w:type="dxa"/>
            <w:tcBorders>
              <w:top w:val="single" w:color="auto" w:sz="4" w:space="0"/>
              <w:left w:val="single" w:color="auto" w:sz="4" w:space="0"/>
              <w:bottom w:val="single" w:color="auto" w:sz="4" w:space="0"/>
              <w:right w:val="single" w:color="auto" w:sz="4" w:space="0"/>
            </w:tcBorders>
            <w:noWrap w:val="0"/>
            <w:vAlign w:val="center"/>
          </w:tcPr>
          <w:p w14:paraId="0790E1BA">
            <w:pPr>
              <w:rPr>
                <w:rFonts w:hint="eastAsia" w:ascii="宋体" w:hAnsi="宋体" w:eastAsia="宋体" w:cs="宋体"/>
                <w:color w:val="auto"/>
                <w:szCs w:val="21"/>
                <w:highlight w:val="none"/>
              </w:rPr>
            </w:pPr>
          </w:p>
        </w:tc>
        <w:tc>
          <w:tcPr>
            <w:tcW w:w="2944" w:type="dxa"/>
            <w:tcBorders>
              <w:top w:val="single" w:color="auto" w:sz="4" w:space="0"/>
              <w:left w:val="single" w:color="auto" w:sz="4" w:space="0"/>
              <w:bottom w:val="single" w:color="auto" w:sz="4" w:space="0"/>
              <w:right w:val="single" w:color="auto" w:sz="4" w:space="0"/>
            </w:tcBorders>
            <w:noWrap w:val="0"/>
            <w:vAlign w:val="center"/>
          </w:tcPr>
          <w:p w14:paraId="36B9BD66">
            <w:pPr>
              <w:rPr>
                <w:rFonts w:hint="eastAsia" w:ascii="宋体" w:hAnsi="宋体" w:eastAsia="宋体" w:cs="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63E0FC5A">
            <w:pPr>
              <w:rPr>
                <w:rFonts w:hint="eastAsia" w:ascii="宋体" w:hAnsi="宋体" w:eastAsia="宋体" w:cs="宋体"/>
                <w:color w:val="auto"/>
                <w:szCs w:val="21"/>
                <w:highlight w:val="none"/>
              </w:rPr>
            </w:pPr>
          </w:p>
        </w:tc>
      </w:tr>
      <w:tr w14:paraId="654F2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5FEDDDC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780190F2">
            <w:pPr>
              <w:rPr>
                <w:rFonts w:hint="eastAsia" w:ascii="宋体" w:hAnsi="宋体" w:eastAsia="宋体" w:cs="宋体"/>
                <w:color w:val="auto"/>
                <w:szCs w:val="21"/>
                <w:highlight w:val="none"/>
              </w:rPr>
            </w:pPr>
          </w:p>
        </w:tc>
        <w:tc>
          <w:tcPr>
            <w:tcW w:w="2118" w:type="dxa"/>
            <w:tcBorders>
              <w:top w:val="single" w:color="auto" w:sz="4" w:space="0"/>
              <w:left w:val="single" w:color="auto" w:sz="4" w:space="0"/>
              <w:bottom w:val="single" w:color="auto" w:sz="4" w:space="0"/>
              <w:right w:val="single" w:color="auto" w:sz="4" w:space="0"/>
            </w:tcBorders>
            <w:noWrap w:val="0"/>
            <w:vAlign w:val="center"/>
          </w:tcPr>
          <w:p w14:paraId="64CC9362">
            <w:pPr>
              <w:rPr>
                <w:rFonts w:hint="eastAsia" w:ascii="宋体" w:hAnsi="宋体" w:eastAsia="宋体" w:cs="宋体"/>
                <w:color w:val="auto"/>
                <w:szCs w:val="21"/>
                <w:highlight w:val="none"/>
              </w:rPr>
            </w:pPr>
          </w:p>
        </w:tc>
        <w:tc>
          <w:tcPr>
            <w:tcW w:w="2944" w:type="dxa"/>
            <w:tcBorders>
              <w:top w:val="single" w:color="auto" w:sz="4" w:space="0"/>
              <w:left w:val="single" w:color="auto" w:sz="4" w:space="0"/>
              <w:bottom w:val="single" w:color="auto" w:sz="4" w:space="0"/>
              <w:right w:val="single" w:color="auto" w:sz="4" w:space="0"/>
            </w:tcBorders>
            <w:noWrap w:val="0"/>
            <w:vAlign w:val="center"/>
          </w:tcPr>
          <w:p w14:paraId="78C437D6">
            <w:pPr>
              <w:rPr>
                <w:rFonts w:hint="eastAsia" w:ascii="宋体" w:hAnsi="宋体" w:eastAsia="宋体" w:cs="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C6921C6">
            <w:pPr>
              <w:rPr>
                <w:rFonts w:hint="eastAsia" w:ascii="宋体" w:hAnsi="宋体" w:eastAsia="宋体" w:cs="宋体"/>
                <w:color w:val="auto"/>
                <w:szCs w:val="21"/>
                <w:highlight w:val="none"/>
              </w:rPr>
            </w:pPr>
          </w:p>
        </w:tc>
      </w:tr>
    </w:tbl>
    <w:p w14:paraId="6B66FE15">
      <w:pPr>
        <w:pStyle w:val="11"/>
        <w:spacing w:after="0" w:line="360" w:lineRule="auto"/>
        <w:contextualSpacing/>
        <w:rPr>
          <w:rFonts w:hint="eastAsia" w:ascii="宋体" w:hAnsi="宋体" w:eastAsia="宋体" w:cs="宋体"/>
          <w:color w:val="auto"/>
          <w:kern w:val="0"/>
          <w:sz w:val="24"/>
          <w:szCs w:val="24"/>
          <w:highlight w:val="none"/>
        </w:rPr>
      </w:pPr>
    </w:p>
    <w:p w14:paraId="2BDDC3AD">
      <w:pPr>
        <w:pStyle w:val="11"/>
        <w:spacing w:after="0" w:line="480" w:lineRule="auto"/>
        <w:ind w:firstLine="420" w:firstLineChars="20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w:t>
      </w:r>
    </w:p>
    <w:p w14:paraId="05EBD124">
      <w:pPr>
        <w:pStyle w:val="13"/>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必须对</w:t>
      </w:r>
      <w:r>
        <w:rPr>
          <w:rFonts w:hint="eastAsia" w:ascii="宋体" w:hAnsi="宋体" w:eastAsia="宋体" w:cs="宋体"/>
          <w:color w:val="auto"/>
          <w:sz w:val="21"/>
          <w:szCs w:val="21"/>
          <w:highlight w:val="none"/>
        </w:rPr>
        <w:t>磋商文件“第二章 采购需求”中</w:t>
      </w:r>
      <w:r>
        <w:rPr>
          <w:rFonts w:hint="eastAsia" w:ascii="宋体" w:hAnsi="宋体" w:eastAsia="宋体" w:cs="宋体"/>
          <w:color w:val="auto"/>
          <w:sz w:val="21"/>
          <w:szCs w:val="21"/>
          <w:highlight w:val="none"/>
          <w:lang w:eastAsia="zh-CN"/>
        </w:rPr>
        <w:t>“服务要求”的</w:t>
      </w:r>
      <w:r>
        <w:rPr>
          <w:rFonts w:hint="eastAsia" w:ascii="宋体" w:hAnsi="宋体" w:eastAsia="宋体" w:cs="宋体"/>
          <w:color w:val="auto"/>
          <w:sz w:val="21"/>
          <w:szCs w:val="21"/>
          <w:highlight w:val="none"/>
          <w:lang w:val="en-US" w:eastAsia="zh-CN"/>
        </w:rPr>
        <w:t>全部</w:t>
      </w:r>
      <w:r>
        <w:rPr>
          <w:rFonts w:hint="eastAsia" w:ascii="宋体" w:hAnsi="宋体" w:eastAsia="宋体" w:cs="宋体"/>
          <w:color w:val="auto"/>
          <w:kern w:val="0"/>
          <w:sz w:val="21"/>
          <w:szCs w:val="21"/>
          <w:highlight w:val="none"/>
          <w:lang w:eastAsia="zh-CN"/>
        </w:rPr>
        <w:t>条款</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详细填写响应的具体内容，</w:t>
      </w:r>
      <w:r>
        <w:rPr>
          <w:rFonts w:hint="eastAsia" w:ascii="宋体" w:hAnsi="宋体" w:eastAsia="宋体" w:cs="宋体"/>
          <w:color w:val="auto"/>
          <w:sz w:val="21"/>
          <w:szCs w:val="21"/>
          <w:highlight w:val="none"/>
        </w:rPr>
        <w:t>并作出偏离说明。“偏离说明”一栏应当选择“正偏离”</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“负偏离”或“无偏离”进行填写。</w:t>
      </w:r>
    </w:p>
    <w:p w14:paraId="5608B03B">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.表格内容均需按要求填写</w:t>
      </w:r>
      <w:r>
        <w:rPr>
          <w:rFonts w:hint="eastAsia" w:ascii="宋体" w:hAnsi="宋体" w:eastAsia="宋体" w:cs="宋体"/>
          <w:color w:val="auto"/>
          <w:sz w:val="21"/>
          <w:szCs w:val="21"/>
          <w:highlight w:val="none"/>
        </w:rPr>
        <w:t>并</w:t>
      </w:r>
      <w:r>
        <w:rPr>
          <w:rFonts w:hint="eastAsia" w:ascii="宋体" w:hAnsi="宋体" w:eastAsia="宋体" w:cs="宋体"/>
          <w:color w:val="auto"/>
          <w:sz w:val="21"/>
          <w:szCs w:val="21"/>
          <w:highlight w:val="none"/>
          <w:lang w:eastAsia="zh-CN"/>
        </w:rPr>
        <w:t>加</w:t>
      </w:r>
      <w:r>
        <w:rPr>
          <w:rFonts w:hint="eastAsia" w:ascii="宋体" w:hAnsi="宋体" w:eastAsia="宋体" w:cs="宋体"/>
          <w:color w:val="auto"/>
          <w:sz w:val="21"/>
          <w:szCs w:val="21"/>
          <w:highlight w:val="none"/>
        </w:rPr>
        <w:t>盖</w:t>
      </w:r>
      <w:r>
        <w:rPr>
          <w:rFonts w:hint="eastAsia" w:ascii="宋体" w:hAnsi="宋体" w:eastAsia="宋体" w:cs="宋体"/>
          <w:color w:val="auto"/>
          <w:sz w:val="21"/>
          <w:szCs w:val="21"/>
          <w:highlight w:val="none"/>
          <w:lang w:eastAsia="zh-CN"/>
        </w:rPr>
        <w:t>供应商公</w:t>
      </w:r>
      <w:r>
        <w:rPr>
          <w:rFonts w:hint="eastAsia" w:ascii="宋体" w:hAnsi="宋体" w:eastAsia="宋体" w:cs="宋体"/>
          <w:color w:val="auto"/>
          <w:sz w:val="21"/>
          <w:szCs w:val="21"/>
          <w:highlight w:val="none"/>
        </w:rPr>
        <w:t>章</w:t>
      </w:r>
      <w:r>
        <w:rPr>
          <w:rFonts w:hint="eastAsia" w:ascii="宋体" w:hAnsi="宋体" w:eastAsia="宋体" w:cs="宋体"/>
          <w:color w:val="auto"/>
          <w:kern w:val="0"/>
          <w:sz w:val="21"/>
          <w:szCs w:val="21"/>
          <w:highlight w:val="none"/>
        </w:rPr>
        <w:t>，不得留空，</w:t>
      </w:r>
      <w:r>
        <w:rPr>
          <w:rFonts w:hint="eastAsia" w:ascii="宋体" w:hAnsi="宋体" w:eastAsia="宋体" w:cs="宋体"/>
          <w:b/>
          <w:bCs/>
          <w:color w:val="auto"/>
          <w:kern w:val="0"/>
          <w:sz w:val="21"/>
          <w:szCs w:val="21"/>
          <w:highlight w:val="none"/>
        </w:rPr>
        <w:t>否则按</w:t>
      </w:r>
      <w:r>
        <w:rPr>
          <w:rFonts w:hint="eastAsia" w:ascii="宋体" w:hAnsi="宋体" w:eastAsia="宋体" w:cs="宋体"/>
          <w:b/>
          <w:bCs/>
          <w:color w:val="auto"/>
          <w:kern w:val="0"/>
          <w:sz w:val="21"/>
          <w:szCs w:val="21"/>
          <w:highlight w:val="none"/>
          <w:lang w:eastAsia="zh-CN"/>
        </w:rPr>
        <w:t>响应</w:t>
      </w:r>
      <w:r>
        <w:rPr>
          <w:rFonts w:hint="eastAsia" w:ascii="宋体" w:hAnsi="宋体" w:eastAsia="宋体" w:cs="宋体"/>
          <w:b/>
          <w:bCs/>
          <w:color w:val="auto"/>
          <w:kern w:val="0"/>
          <w:sz w:val="21"/>
          <w:szCs w:val="21"/>
          <w:highlight w:val="none"/>
        </w:rPr>
        <w:t>无效处理。</w:t>
      </w:r>
    </w:p>
    <w:p w14:paraId="77675CD2">
      <w:pPr>
        <w:pStyle w:val="11"/>
        <w:spacing w:after="0" w:line="480" w:lineRule="auto"/>
        <w:ind w:firstLine="420" w:firstLineChars="200"/>
        <w:contextualSpacing/>
        <w:rPr>
          <w:rFonts w:hint="eastAsia" w:ascii="宋体" w:hAnsi="宋体" w:eastAsia="宋体" w:cs="宋体"/>
          <w:color w:val="auto"/>
          <w:kern w:val="0"/>
          <w:sz w:val="21"/>
          <w:szCs w:val="21"/>
          <w:highlight w:val="none"/>
        </w:rPr>
      </w:pPr>
    </w:p>
    <w:p w14:paraId="65B64EDF">
      <w:pPr>
        <w:spacing w:line="480" w:lineRule="auto"/>
        <w:ind w:firstLine="420" w:firstLineChars="200"/>
        <w:rPr>
          <w:rFonts w:hint="eastAsia" w:ascii="宋体" w:hAnsi="宋体" w:eastAsia="宋体" w:cs="宋体"/>
          <w:color w:val="auto"/>
          <w:kern w:val="0"/>
          <w:szCs w:val="21"/>
          <w:highlight w:val="none"/>
        </w:rPr>
      </w:pPr>
    </w:p>
    <w:p w14:paraId="3D357071">
      <w:pPr>
        <w:pStyle w:val="13"/>
        <w:spacing w:line="480" w:lineRule="auto"/>
        <w:ind w:firstLine="420" w:firstLineChars="200"/>
        <w:contextualSpacing/>
        <w:rPr>
          <w:rFonts w:hint="eastAsia" w:ascii="宋体" w:hAnsi="宋体" w:eastAsia="宋体" w:cs="宋体"/>
          <w:color w:val="auto"/>
          <w:sz w:val="21"/>
          <w:szCs w:val="21"/>
          <w:highlight w:val="none"/>
          <w:lang w:val="en-US" w:eastAsia="zh-CN"/>
        </w:rPr>
      </w:pPr>
    </w:p>
    <w:p w14:paraId="785F6EC8">
      <w:pPr>
        <w:snapToGrid w:val="0"/>
        <w:spacing w:line="360" w:lineRule="auto"/>
        <w:ind w:firstLine="0" w:firstLineChars="0"/>
        <w:rPr>
          <w:rFonts w:hint="eastAsia" w:ascii="宋体" w:hAnsi="宋体" w:eastAsia="宋体" w:cs="宋体"/>
          <w:b/>
          <w:color w:val="auto"/>
          <w:sz w:val="30"/>
          <w:szCs w:val="30"/>
          <w:highlight w:val="none"/>
        </w:rPr>
      </w:pPr>
    </w:p>
    <w:p w14:paraId="41C0D85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42A0CE7D">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4CE1C1F5">
      <w:pPr>
        <w:adjustRightInd w:val="0"/>
        <w:snapToGrid w:val="0"/>
        <w:spacing w:line="520" w:lineRule="exact"/>
        <w:jc w:val="center"/>
        <w:rPr>
          <w:rFonts w:hint="eastAsia" w:ascii="宋体" w:hAnsi="宋体" w:eastAsia="宋体" w:cs="宋体"/>
          <w:bCs/>
          <w:color w:val="auto"/>
          <w:sz w:val="44"/>
          <w:szCs w:val="44"/>
          <w:highlight w:val="none"/>
        </w:rPr>
      </w:pPr>
    </w:p>
    <w:p w14:paraId="5FEEA47A">
      <w:pPr>
        <w:snapToGrid w:val="0"/>
        <w:spacing w:line="360" w:lineRule="auto"/>
        <w:ind w:firstLine="0" w:firstLineChars="0"/>
        <w:rPr>
          <w:rFonts w:hint="eastAsia" w:ascii="宋体" w:hAnsi="宋体" w:eastAsia="宋体" w:cs="宋体"/>
          <w:b/>
          <w:color w:val="auto"/>
          <w:sz w:val="28"/>
          <w:szCs w:val="28"/>
          <w:highlight w:val="none"/>
          <w:lang w:val="en-US" w:eastAsia="zh-CN"/>
        </w:rPr>
      </w:pPr>
    </w:p>
    <w:p w14:paraId="4BB921F2">
      <w:pPr>
        <w:snapToGrid w:val="0"/>
        <w:spacing w:line="360" w:lineRule="auto"/>
        <w:ind w:firstLine="0" w:firstLineChars="0"/>
        <w:rPr>
          <w:rFonts w:hint="eastAsia" w:ascii="宋体" w:hAnsi="宋体" w:eastAsia="宋体" w:cs="宋体"/>
          <w:b/>
          <w:color w:val="auto"/>
          <w:sz w:val="28"/>
          <w:szCs w:val="28"/>
          <w:highlight w:val="none"/>
          <w:lang w:val="en-US" w:eastAsia="zh-CN"/>
        </w:rPr>
      </w:pPr>
    </w:p>
    <w:p w14:paraId="55186282">
      <w:pPr>
        <w:snapToGrid w:val="0"/>
        <w:spacing w:line="360" w:lineRule="auto"/>
        <w:ind w:firstLine="0" w:firstLineChars="0"/>
        <w:rPr>
          <w:rFonts w:hint="eastAsia" w:ascii="宋体" w:hAnsi="宋体" w:eastAsia="宋体" w:cs="宋体"/>
          <w:b/>
          <w:color w:val="auto"/>
          <w:sz w:val="28"/>
          <w:szCs w:val="28"/>
          <w:highlight w:val="none"/>
          <w:lang w:val="en-US" w:eastAsia="zh-CN"/>
        </w:rPr>
      </w:pPr>
    </w:p>
    <w:p w14:paraId="77C6296E">
      <w:pPr>
        <w:snapToGrid w:val="0"/>
        <w:spacing w:line="360" w:lineRule="auto"/>
        <w:ind w:firstLine="0" w:firstLineChars="0"/>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val="en-US" w:eastAsia="zh-CN"/>
        </w:rPr>
        <w:t>9.</w:t>
      </w:r>
      <w:r>
        <w:rPr>
          <w:rFonts w:hint="eastAsia" w:ascii="宋体" w:hAnsi="宋体" w:eastAsia="宋体" w:cs="宋体"/>
          <w:b/>
          <w:color w:val="auto"/>
          <w:sz w:val="28"/>
          <w:szCs w:val="28"/>
          <w:highlight w:val="none"/>
        </w:rPr>
        <w:t>服务方案</w:t>
      </w:r>
      <w:r>
        <w:rPr>
          <w:rFonts w:hint="eastAsia" w:ascii="宋体" w:hAnsi="宋体" w:eastAsia="宋体" w:cs="宋体"/>
          <w:b/>
          <w:color w:val="auto"/>
          <w:sz w:val="28"/>
          <w:szCs w:val="28"/>
          <w:highlight w:val="none"/>
          <w:lang w:eastAsia="zh-CN"/>
        </w:rPr>
        <w:t>：</w:t>
      </w:r>
    </w:p>
    <w:p w14:paraId="3D7C5B4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（由供应商根据采购文件要求编制）</w:t>
      </w:r>
    </w:p>
    <w:p w14:paraId="5B7D43C1">
      <w:pPr>
        <w:snapToGrid w:val="0"/>
        <w:spacing w:before="120" w:beforeLines="50" w:after="50"/>
        <w:ind w:left="143" w:leftChars="6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其中要包含</w:t>
      </w:r>
      <w:r>
        <w:rPr>
          <w:rFonts w:hint="eastAsia" w:ascii="宋体" w:hAnsi="宋体" w:eastAsia="宋体" w:cs="宋体"/>
          <w:color w:val="auto"/>
          <w:sz w:val="24"/>
          <w:szCs w:val="24"/>
          <w:highlight w:val="none"/>
          <w:lang w:eastAsia="zh-CN"/>
        </w:rPr>
        <w:t>下列</w:t>
      </w:r>
      <w:r>
        <w:rPr>
          <w:rFonts w:hint="eastAsia" w:ascii="宋体" w:hAnsi="宋体" w:eastAsia="宋体" w:cs="宋体"/>
          <w:color w:val="auto"/>
          <w:sz w:val="24"/>
          <w:szCs w:val="24"/>
          <w:highlight w:val="none"/>
          <w:lang w:val="en-US" w:eastAsia="zh-CN"/>
        </w:rPr>
        <w:t>2个附表内容</w:t>
      </w:r>
      <w:r>
        <w:rPr>
          <w:rFonts w:hint="eastAsia" w:ascii="宋体" w:hAnsi="宋体" w:eastAsia="宋体" w:cs="宋体"/>
          <w:color w:val="auto"/>
          <w:sz w:val="24"/>
          <w:szCs w:val="24"/>
          <w:highlight w:val="none"/>
        </w:rPr>
        <w:t>。</w:t>
      </w:r>
    </w:p>
    <w:p w14:paraId="6FEA8A6D">
      <w:pPr>
        <w:autoSpaceDE w:val="0"/>
        <w:autoSpaceDN w:val="0"/>
        <w:spacing w:line="360" w:lineRule="auto"/>
        <w:rPr>
          <w:rFonts w:hint="eastAsia" w:ascii="宋体" w:hAnsi="宋体" w:eastAsia="宋体" w:cs="宋体"/>
          <w:b/>
          <w:color w:val="auto"/>
          <w:sz w:val="24"/>
          <w:szCs w:val="24"/>
          <w:highlight w:val="none"/>
        </w:rPr>
      </w:pPr>
    </w:p>
    <w:p w14:paraId="5D2D3CFC">
      <w:pPr>
        <w:autoSpaceDE w:val="0"/>
        <w:autoSpaceDN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附表A</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服务机构情况表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参照</w:t>
      </w:r>
      <w:r>
        <w:rPr>
          <w:rFonts w:hint="eastAsia" w:ascii="宋体" w:hAnsi="宋体" w:eastAsia="宋体" w:cs="宋体"/>
          <w:color w:val="auto"/>
          <w:sz w:val="24"/>
          <w:szCs w:val="24"/>
          <w:highlight w:val="none"/>
        </w:rPr>
        <w:t>此格式自制）</w:t>
      </w:r>
    </w:p>
    <w:tbl>
      <w:tblPr>
        <w:tblStyle w:val="2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
        <w:gridCol w:w="2636"/>
        <w:gridCol w:w="1439"/>
        <w:gridCol w:w="1715"/>
        <w:gridCol w:w="1404"/>
        <w:gridCol w:w="1727"/>
      </w:tblGrid>
      <w:tr w14:paraId="031DC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noWrap w:val="0"/>
            <w:vAlign w:val="center"/>
          </w:tcPr>
          <w:p w14:paraId="4F4E67DE">
            <w:pPr>
              <w:autoSpaceDE w:val="0"/>
              <w:autoSpaceDN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337" w:type="pct"/>
            <w:noWrap w:val="0"/>
            <w:vAlign w:val="center"/>
          </w:tcPr>
          <w:p w14:paraId="2D8BA741">
            <w:pPr>
              <w:autoSpaceDE w:val="0"/>
              <w:autoSpaceDN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机构名称</w:t>
            </w:r>
          </w:p>
        </w:tc>
        <w:tc>
          <w:tcPr>
            <w:tcW w:w="730" w:type="pct"/>
            <w:noWrap w:val="0"/>
            <w:vAlign w:val="center"/>
          </w:tcPr>
          <w:p w14:paraId="406BCACF">
            <w:pPr>
              <w:autoSpaceDE w:val="0"/>
              <w:autoSpaceDN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机构性质</w:t>
            </w:r>
          </w:p>
        </w:tc>
        <w:tc>
          <w:tcPr>
            <w:tcW w:w="870" w:type="pct"/>
            <w:noWrap w:val="0"/>
            <w:vAlign w:val="center"/>
          </w:tcPr>
          <w:p w14:paraId="61F859D6">
            <w:pPr>
              <w:autoSpaceDE w:val="0"/>
              <w:autoSpaceDN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注册地址</w:t>
            </w:r>
          </w:p>
        </w:tc>
        <w:tc>
          <w:tcPr>
            <w:tcW w:w="712" w:type="pct"/>
            <w:noWrap w:val="0"/>
            <w:vAlign w:val="center"/>
          </w:tcPr>
          <w:p w14:paraId="401261F4">
            <w:pPr>
              <w:autoSpaceDE w:val="0"/>
              <w:autoSpaceDN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技术</w:t>
            </w:r>
            <w:r>
              <w:rPr>
                <w:rFonts w:hint="eastAsia" w:ascii="宋体" w:hAnsi="宋体" w:eastAsia="宋体" w:cs="宋体"/>
                <w:b/>
                <w:color w:val="auto"/>
                <w:sz w:val="24"/>
                <w:szCs w:val="24"/>
                <w:highlight w:val="none"/>
                <w:lang w:eastAsia="zh-CN"/>
              </w:rPr>
              <w:t>服务</w:t>
            </w:r>
            <w:r>
              <w:rPr>
                <w:rFonts w:hint="eastAsia" w:ascii="宋体" w:hAnsi="宋体" w:eastAsia="宋体" w:cs="宋体"/>
                <w:b/>
                <w:color w:val="auto"/>
                <w:sz w:val="24"/>
                <w:szCs w:val="24"/>
                <w:highlight w:val="none"/>
              </w:rPr>
              <w:t>人员数量</w:t>
            </w:r>
          </w:p>
        </w:tc>
        <w:tc>
          <w:tcPr>
            <w:tcW w:w="876" w:type="pct"/>
            <w:noWrap w:val="0"/>
            <w:vAlign w:val="center"/>
          </w:tcPr>
          <w:p w14:paraId="1C230356">
            <w:pPr>
              <w:autoSpaceDE w:val="0"/>
              <w:autoSpaceDN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联系电话</w:t>
            </w:r>
          </w:p>
        </w:tc>
      </w:tr>
      <w:tr w14:paraId="2B8DA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noWrap w:val="0"/>
            <w:vAlign w:val="top"/>
          </w:tcPr>
          <w:p w14:paraId="46A41CA9">
            <w:pPr>
              <w:autoSpaceDE w:val="0"/>
              <w:autoSpaceDN w:val="0"/>
              <w:spacing w:line="360" w:lineRule="auto"/>
              <w:jc w:val="center"/>
              <w:rPr>
                <w:rFonts w:hint="eastAsia" w:ascii="宋体" w:hAnsi="宋体" w:eastAsia="宋体" w:cs="宋体"/>
                <w:color w:val="auto"/>
                <w:sz w:val="24"/>
                <w:szCs w:val="24"/>
                <w:highlight w:val="none"/>
              </w:rPr>
            </w:pPr>
          </w:p>
        </w:tc>
        <w:tc>
          <w:tcPr>
            <w:tcW w:w="1337" w:type="pct"/>
            <w:noWrap w:val="0"/>
            <w:vAlign w:val="top"/>
          </w:tcPr>
          <w:p w14:paraId="18DD5529">
            <w:pPr>
              <w:autoSpaceDE w:val="0"/>
              <w:autoSpaceDN w:val="0"/>
              <w:spacing w:line="360" w:lineRule="auto"/>
              <w:jc w:val="center"/>
              <w:rPr>
                <w:rFonts w:hint="eastAsia" w:ascii="宋体" w:hAnsi="宋体" w:eastAsia="宋体" w:cs="宋体"/>
                <w:color w:val="auto"/>
                <w:sz w:val="24"/>
                <w:szCs w:val="24"/>
                <w:highlight w:val="none"/>
              </w:rPr>
            </w:pPr>
          </w:p>
        </w:tc>
        <w:tc>
          <w:tcPr>
            <w:tcW w:w="730" w:type="pct"/>
            <w:noWrap w:val="0"/>
            <w:vAlign w:val="top"/>
          </w:tcPr>
          <w:p w14:paraId="4DE48272">
            <w:pPr>
              <w:autoSpaceDE w:val="0"/>
              <w:autoSpaceDN w:val="0"/>
              <w:spacing w:line="360" w:lineRule="auto"/>
              <w:jc w:val="center"/>
              <w:rPr>
                <w:rFonts w:hint="eastAsia" w:ascii="宋体" w:hAnsi="宋体" w:eastAsia="宋体" w:cs="宋体"/>
                <w:color w:val="auto"/>
                <w:sz w:val="24"/>
                <w:szCs w:val="24"/>
                <w:highlight w:val="none"/>
              </w:rPr>
            </w:pPr>
          </w:p>
        </w:tc>
        <w:tc>
          <w:tcPr>
            <w:tcW w:w="870" w:type="pct"/>
            <w:noWrap w:val="0"/>
            <w:vAlign w:val="top"/>
          </w:tcPr>
          <w:p w14:paraId="42185615">
            <w:pPr>
              <w:autoSpaceDE w:val="0"/>
              <w:autoSpaceDN w:val="0"/>
              <w:spacing w:line="360" w:lineRule="auto"/>
              <w:jc w:val="center"/>
              <w:rPr>
                <w:rFonts w:hint="eastAsia" w:ascii="宋体" w:hAnsi="宋体" w:eastAsia="宋体" w:cs="宋体"/>
                <w:color w:val="auto"/>
                <w:sz w:val="24"/>
                <w:szCs w:val="24"/>
                <w:highlight w:val="none"/>
              </w:rPr>
            </w:pPr>
          </w:p>
        </w:tc>
        <w:tc>
          <w:tcPr>
            <w:tcW w:w="712" w:type="pct"/>
            <w:noWrap w:val="0"/>
            <w:vAlign w:val="top"/>
          </w:tcPr>
          <w:p w14:paraId="5B99F795">
            <w:pPr>
              <w:autoSpaceDE w:val="0"/>
              <w:autoSpaceDN w:val="0"/>
              <w:spacing w:line="360" w:lineRule="auto"/>
              <w:jc w:val="center"/>
              <w:rPr>
                <w:rFonts w:hint="eastAsia" w:ascii="宋体" w:hAnsi="宋体" w:eastAsia="宋体" w:cs="宋体"/>
                <w:color w:val="auto"/>
                <w:sz w:val="24"/>
                <w:szCs w:val="24"/>
                <w:highlight w:val="none"/>
              </w:rPr>
            </w:pPr>
          </w:p>
        </w:tc>
        <w:tc>
          <w:tcPr>
            <w:tcW w:w="876" w:type="pct"/>
            <w:noWrap w:val="0"/>
            <w:vAlign w:val="top"/>
          </w:tcPr>
          <w:p w14:paraId="4917AB34">
            <w:pPr>
              <w:autoSpaceDE w:val="0"/>
              <w:autoSpaceDN w:val="0"/>
              <w:spacing w:line="360" w:lineRule="auto"/>
              <w:jc w:val="center"/>
              <w:rPr>
                <w:rFonts w:hint="eastAsia" w:ascii="宋体" w:hAnsi="宋体" w:eastAsia="宋体" w:cs="宋体"/>
                <w:color w:val="auto"/>
                <w:sz w:val="24"/>
                <w:szCs w:val="24"/>
                <w:highlight w:val="none"/>
              </w:rPr>
            </w:pPr>
          </w:p>
        </w:tc>
      </w:tr>
      <w:tr w14:paraId="64EEB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noWrap w:val="0"/>
            <w:vAlign w:val="top"/>
          </w:tcPr>
          <w:p w14:paraId="409B6C95">
            <w:pPr>
              <w:autoSpaceDE w:val="0"/>
              <w:autoSpaceDN w:val="0"/>
              <w:spacing w:line="360" w:lineRule="auto"/>
              <w:jc w:val="center"/>
              <w:rPr>
                <w:rFonts w:hint="eastAsia" w:ascii="宋体" w:hAnsi="宋体" w:eastAsia="宋体" w:cs="宋体"/>
                <w:color w:val="auto"/>
                <w:sz w:val="24"/>
                <w:szCs w:val="24"/>
                <w:highlight w:val="none"/>
              </w:rPr>
            </w:pPr>
          </w:p>
        </w:tc>
        <w:tc>
          <w:tcPr>
            <w:tcW w:w="1337" w:type="pct"/>
            <w:noWrap w:val="0"/>
            <w:vAlign w:val="top"/>
          </w:tcPr>
          <w:p w14:paraId="308B1F39">
            <w:pPr>
              <w:autoSpaceDE w:val="0"/>
              <w:autoSpaceDN w:val="0"/>
              <w:spacing w:line="360" w:lineRule="auto"/>
              <w:jc w:val="center"/>
              <w:rPr>
                <w:rFonts w:hint="eastAsia" w:ascii="宋体" w:hAnsi="宋体" w:eastAsia="宋体" w:cs="宋体"/>
                <w:color w:val="auto"/>
                <w:sz w:val="24"/>
                <w:szCs w:val="24"/>
                <w:highlight w:val="none"/>
              </w:rPr>
            </w:pPr>
          </w:p>
        </w:tc>
        <w:tc>
          <w:tcPr>
            <w:tcW w:w="730" w:type="pct"/>
            <w:noWrap w:val="0"/>
            <w:vAlign w:val="top"/>
          </w:tcPr>
          <w:p w14:paraId="4CCDF5E3">
            <w:pPr>
              <w:autoSpaceDE w:val="0"/>
              <w:autoSpaceDN w:val="0"/>
              <w:spacing w:line="360" w:lineRule="auto"/>
              <w:jc w:val="center"/>
              <w:rPr>
                <w:rFonts w:hint="eastAsia" w:ascii="宋体" w:hAnsi="宋体" w:eastAsia="宋体" w:cs="宋体"/>
                <w:color w:val="auto"/>
                <w:sz w:val="24"/>
                <w:szCs w:val="24"/>
                <w:highlight w:val="none"/>
              </w:rPr>
            </w:pPr>
          </w:p>
        </w:tc>
        <w:tc>
          <w:tcPr>
            <w:tcW w:w="870" w:type="pct"/>
            <w:noWrap w:val="0"/>
            <w:vAlign w:val="top"/>
          </w:tcPr>
          <w:p w14:paraId="6CF90372">
            <w:pPr>
              <w:autoSpaceDE w:val="0"/>
              <w:autoSpaceDN w:val="0"/>
              <w:spacing w:line="360" w:lineRule="auto"/>
              <w:jc w:val="center"/>
              <w:rPr>
                <w:rFonts w:hint="eastAsia" w:ascii="宋体" w:hAnsi="宋体" w:eastAsia="宋体" w:cs="宋体"/>
                <w:color w:val="auto"/>
                <w:sz w:val="24"/>
                <w:szCs w:val="24"/>
                <w:highlight w:val="none"/>
              </w:rPr>
            </w:pPr>
          </w:p>
        </w:tc>
        <w:tc>
          <w:tcPr>
            <w:tcW w:w="712" w:type="pct"/>
            <w:noWrap w:val="0"/>
            <w:vAlign w:val="top"/>
          </w:tcPr>
          <w:p w14:paraId="2A055946">
            <w:pPr>
              <w:autoSpaceDE w:val="0"/>
              <w:autoSpaceDN w:val="0"/>
              <w:spacing w:line="360" w:lineRule="auto"/>
              <w:jc w:val="center"/>
              <w:rPr>
                <w:rFonts w:hint="eastAsia" w:ascii="宋体" w:hAnsi="宋体" w:eastAsia="宋体" w:cs="宋体"/>
                <w:color w:val="auto"/>
                <w:sz w:val="24"/>
                <w:szCs w:val="24"/>
                <w:highlight w:val="none"/>
              </w:rPr>
            </w:pPr>
          </w:p>
        </w:tc>
        <w:tc>
          <w:tcPr>
            <w:tcW w:w="876" w:type="pct"/>
            <w:noWrap w:val="0"/>
            <w:vAlign w:val="top"/>
          </w:tcPr>
          <w:p w14:paraId="343B3CD6">
            <w:pPr>
              <w:autoSpaceDE w:val="0"/>
              <w:autoSpaceDN w:val="0"/>
              <w:spacing w:line="360" w:lineRule="auto"/>
              <w:jc w:val="center"/>
              <w:rPr>
                <w:rFonts w:hint="eastAsia" w:ascii="宋体" w:hAnsi="宋体" w:eastAsia="宋体" w:cs="宋体"/>
                <w:color w:val="auto"/>
                <w:sz w:val="24"/>
                <w:szCs w:val="24"/>
                <w:highlight w:val="none"/>
              </w:rPr>
            </w:pPr>
          </w:p>
        </w:tc>
      </w:tr>
      <w:tr w14:paraId="444A6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noWrap w:val="0"/>
            <w:vAlign w:val="top"/>
          </w:tcPr>
          <w:p w14:paraId="1DA02E6C">
            <w:pPr>
              <w:autoSpaceDE w:val="0"/>
              <w:autoSpaceDN w:val="0"/>
              <w:spacing w:line="360" w:lineRule="auto"/>
              <w:jc w:val="center"/>
              <w:rPr>
                <w:rFonts w:hint="eastAsia" w:ascii="宋体" w:hAnsi="宋体" w:eastAsia="宋体" w:cs="宋体"/>
                <w:color w:val="auto"/>
                <w:sz w:val="24"/>
                <w:szCs w:val="24"/>
                <w:highlight w:val="none"/>
              </w:rPr>
            </w:pPr>
          </w:p>
        </w:tc>
        <w:tc>
          <w:tcPr>
            <w:tcW w:w="1337" w:type="pct"/>
            <w:noWrap w:val="0"/>
            <w:vAlign w:val="top"/>
          </w:tcPr>
          <w:p w14:paraId="3D30A7E3">
            <w:pPr>
              <w:autoSpaceDE w:val="0"/>
              <w:autoSpaceDN w:val="0"/>
              <w:spacing w:line="360" w:lineRule="auto"/>
              <w:jc w:val="center"/>
              <w:rPr>
                <w:rFonts w:hint="eastAsia" w:ascii="宋体" w:hAnsi="宋体" w:eastAsia="宋体" w:cs="宋体"/>
                <w:color w:val="auto"/>
                <w:sz w:val="24"/>
                <w:szCs w:val="24"/>
                <w:highlight w:val="none"/>
              </w:rPr>
            </w:pPr>
          </w:p>
        </w:tc>
        <w:tc>
          <w:tcPr>
            <w:tcW w:w="730" w:type="pct"/>
            <w:noWrap w:val="0"/>
            <w:vAlign w:val="top"/>
          </w:tcPr>
          <w:p w14:paraId="7BD5AD23">
            <w:pPr>
              <w:autoSpaceDE w:val="0"/>
              <w:autoSpaceDN w:val="0"/>
              <w:spacing w:line="360" w:lineRule="auto"/>
              <w:jc w:val="center"/>
              <w:rPr>
                <w:rFonts w:hint="eastAsia" w:ascii="宋体" w:hAnsi="宋体" w:eastAsia="宋体" w:cs="宋体"/>
                <w:color w:val="auto"/>
                <w:sz w:val="24"/>
                <w:szCs w:val="24"/>
                <w:highlight w:val="none"/>
              </w:rPr>
            </w:pPr>
          </w:p>
        </w:tc>
        <w:tc>
          <w:tcPr>
            <w:tcW w:w="870" w:type="pct"/>
            <w:noWrap w:val="0"/>
            <w:vAlign w:val="top"/>
          </w:tcPr>
          <w:p w14:paraId="1DCCAA0E">
            <w:pPr>
              <w:autoSpaceDE w:val="0"/>
              <w:autoSpaceDN w:val="0"/>
              <w:spacing w:line="360" w:lineRule="auto"/>
              <w:jc w:val="center"/>
              <w:rPr>
                <w:rFonts w:hint="eastAsia" w:ascii="宋体" w:hAnsi="宋体" w:eastAsia="宋体" w:cs="宋体"/>
                <w:color w:val="auto"/>
                <w:sz w:val="24"/>
                <w:szCs w:val="24"/>
                <w:highlight w:val="none"/>
              </w:rPr>
            </w:pPr>
          </w:p>
        </w:tc>
        <w:tc>
          <w:tcPr>
            <w:tcW w:w="712" w:type="pct"/>
            <w:noWrap w:val="0"/>
            <w:vAlign w:val="top"/>
          </w:tcPr>
          <w:p w14:paraId="5A9E8499">
            <w:pPr>
              <w:autoSpaceDE w:val="0"/>
              <w:autoSpaceDN w:val="0"/>
              <w:spacing w:line="360" w:lineRule="auto"/>
              <w:jc w:val="center"/>
              <w:rPr>
                <w:rFonts w:hint="eastAsia" w:ascii="宋体" w:hAnsi="宋体" w:eastAsia="宋体" w:cs="宋体"/>
                <w:color w:val="auto"/>
                <w:sz w:val="24"/>
                <w:szCs w:val="24"/>
                <w:highlight w:val="none"/>
              </w:rPr>
            </w:pPr>
          </w:p>
        </w:tc>
        <w:tc>
          <w:tcPr>
            <w:tcW w:w="876" w:type="pct"/>
            <w:noWrap w:val="0"/>
            <w:vAlign w:val="top"/>
          </w:tcPr>
          <w:p w14:paraId="487853F4">
            <w:pPr>
              <w:autoSpaceDE w:val="0"/>
              <w:autoSpaceDN w:val="0"/>
              <w:spacing w:line="360" w:lineRule="auto"/>
              <w:jc w:val="center"/>
              <w:rPr>
                <w:rFonts w:hint="eastAsia" w:ascii="宋体" w:hAnsi="宋体" w:eastAsia="宋体" w:cs="宋体"/>
                <w:color w:val="auto"/>
                <w:sz w:val="24"/>
                <w:szCs w:val="24"/>
                <w:highlight w:val="none"/>
              </w:rPr>
            </w:pPr>
          </w:p>
        </w:tc>
      </w:tr>
    </w:tbl>
    <w:p w14:paraId="3B470206">
      <w:pPr>
        <w:autoSpaceDE w:val="0"/>
        <w:autoSpaceDN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注：关于项目涉及的所有服务机构均在本表注明，包括供应商本单位和符合条件的第三方</w:t>
      </w:r>
      <w:r>
        <w:rPr>
          <w:rFonts w:hint="eastAsia" w:ascii="宋体" w:hAnsi="宋体" w:eastAsia="宋体" w:cs="宋体"/>
          <w:b/>
          <w:color w:val="auto"/>
          <w:sz w:val="24"/>
          <w:szCs w:val="24"/>
          <w:highlight w:val="none"/>
          <w:lang w:val="en-US" w:eastAsia="zh-CN"/>
        </w:rPr>
        <w:t>服务</w:t>
      </w:r>
      <w:r>
        <w:rPr>
          <w:rFonts w:hint="eastAsia" w:ascii="宋体" w:hAnsi="宋体" w:eastAsia="宋体" w:cs="宋体"/>
          <w:b/>
          <w:color w:val="auto"/>
          <w:sz w:val="24"/>
          <w:szCs w:val="24"/>
          <w:highlight w:val="none"/>
        </w:rPr>
        <w:t>机构；</w:t>
      </w:r>
    </w:p>
    <w:p w14:paraId="028D73EB">
      <w:pPr>
        <w:autoSpaceDE w:val="0"/>
        <w:autoSpaceDN w:val="0"/>
        <w:spacing w:line="360" w:lineRule="auto"/>
        <w:rPr>
          <w:rFonts w:hint="eastAsia" w:ascii="宋体" w:hAnsi="宋体" w:eastAsia="宋体" w:cs="宋体"/>
          <w:color w:val="auto"/>
          <w:kern w:val="0"/>
          <w:sz w:val="24"/>
          <w:szCs w:val="24"/>
          <w:highlight w:val="none"/>
        </w:rPr>
      </w:pPr>
    </w:p>
    <w:p w14:paraId="3618EE87">
      <w:pPr>
        <w:autoSpaceDE w:val="0"/>
        <w:autoSpaceDN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附表B：</w:t>
      </w:r>
      <w:r>
        <w:rPr>
          <w:rFonts w:hint="eastAsia" w:ascii="宋体" w:hAnsi="宋体" w:eastAsia="宋体" w:cs="宋体"/>
          <w:b/>
          <w:color w:val="auto"/>
          <w:kern w:val="0"/>
          <w:sz w:val="24"/>
          <w:szCs w:val="24"/>
          <w:highlight w:val="none"/>
          <w:lang w:eastAsia="zh-CN"/>
        </w:rPr>
        <w:t>技术</w:t>
      </w:r>
      <w:r>
        <w:rPr>
          <w:rFonts w:hint="eastAsia" w:ascii="宋体" w:hAnsi="宋体" w:eastAsia="宋体" w:cs="宋体"/>
          <w:b/>
          <w:color w:val="auto"/>
          <w:kern w:val="0"/>
          <w:sz w:val="24"/>
          <w:szCs w:val="24"/>
          <w:highlight w:val="none"/>
        </w:rPr>
        <w:t>服务人员情况表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参照</w:t>
      </w:r>
      <w:r>
        <w:rPr>
          <w:rFonts w:hint="eastAsia" w:ascii="宋体" w:hAnsi="宋体" w:eastAsia="宋体" w:cs="宋体"/>
          <w:color w:val="auto"/>
          <w:sz w:val="24"/>
          <w:szCs w:val="24"/>
          <w:highlight w:val="none"/>
        </w:rPr>
        <w:t>此格式自制）</w:t>
      </w:r>
    </w:p>
    <w:tbl>
      <w:tblPr>
        <w:tblStyle w:val="28"/>
        <w:tblW w:w="10002" w:type="dxa"/>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4413BA34">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noWrap w:val="0"/>
            <w:vAlign w:val="center"/>
          </w:tcPr>
          <w:p w14:paraId="44AB7C1E">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746" w:type="dxa"/>
            <w:tcBorders>
              <w:top w:val="single" w:color="auto" w:sz="6" w:space="0"/>
              <w:left w:val="single" w:color="auto" w:sz="4" w:space="0"/>
              <w:bottom w:val="single" w:color="auto" w:sz="6" w:space="0"/>
              <w:right w:val="single" w:color="auto" w:sz="6" w:space="0"/>
            </w:tcBorders>
            <w:noWrap w:val="0"/>
            <w:vAlign w:val="center"/>
          </w:tcPr>
          <w:p w14:paraId="29395B8A">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类别</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3BF26B0D">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5D519F97">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26C5C592">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738B1F84">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5F92DDC1">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7B649D00">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r>
              <w:rPr>
                <w:rFonts w:hint="eastAsia" w:ascii="宋体" w:hAnsi="宋体" w:eastAsia="宋体" w:cs="宋体"/>
                <w:color w:val="auto"/>
                <w:sz w:val="24"/>
                <w:szCs w:val="24"/>
                <w:highlight w:val="none"/>
                <w:lang w:val="en-US" w:eastAsia="zh-CN"/>
              </w:rPr>
              <w:t>/职业资格证书</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10673870">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7E7CBAAC">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noWrap w:val="0"/>
            <w:vAlign w:val="center"/>
          </w:tcPr>
          <w:p w14:paraId="449A7BFC">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到达现场时间</w:t>
            </w:r>
          </w:p>
        </w:tc>
      </w:tr>
      <w:tr w14:paraId="25F14262">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2B0DF543">
            <w:pPr>
              <w:autoSpaceDE w:val="0"/>
              <w:autoSpaceDN w:val="0"/>
              <w:spacing w:line="360" w:lineRule="auto"/>
              <w:jc w:val="center"/>
              <w:rPr>
                <w:rFonts w:hint="eastAsia" w:ascii="宋体" w:hAnsi="宋体" w:eastAsia="宋体" w:cs="宋体"/>
                <w:color w:val="auto"/>
                <w:sz w:val="24"/>
                <w:szCs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4C0752EF">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总协调人</w:t>
            </w:r>
          </w:p>
        </w:tc>
        <w:tc>
          <w:tcPr>
            <w:tcW w:w="787" w:type="dxa"/>
            <w:tcBorders>
              <w:top w:val="single" w:color="auto" w:sz="6" w:space="0"/>
              <w:left w:val="single" w:color="auto" w:sz="6" w:space="0"/>
              <w:bottom w:val="single" w:color="auto" w:sz="6" w:space="0"/>
              <w:right w:val="single" w:color="auto" w:sz="6" w:space="0"/>
            </w:tcBorders>
            <w:noWrap w:val="0"/>
            <w:vAlign w:val="top"/>
          </w:tcPr>
          <w:p w14:paraId="1517A370">
            <w:pPr>
              <w:autoSpaceDE w:val="0"/>
              <w:autoSpaceDN w:val="0"/>
              <w:spacing w:line="360" w:lineRule="auto"/>
              <w:rPr>
                <w:rFonts w:hint="eastAsia" w:ascii="宋体" w:hAnsi="宋体" w:eastAsia="宋体" w:cs="宋体"/>
                <w:color w:val="auto"/>
                <w:sz w:val="24"/>
                <w:szCs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3876C559">
            <w:pPr>
              <w:autoSpaceDE w:val="0"/>
              <w:autoSpaceDN w:val="0"/>
              <w:spacing w:line="360" w:lineRule="auto"/>
              <w:rPr>
                <w:rFonts w:hint="eastAsia" w:ascii="宋体" w:hAnsi="宋体" w:eastAsia="宋体" w:cs="宋体"/>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24DF3A61">
            <w:pPr>
              <w:autoSpaceDE w:val="0"/>
              <w:autoSpaceDN w:val="0"/>
              <w:spacing w:line="360" w:lineRule="auto"/>
              <w:rPr>
                <w:rFonts w:hint="eastAsia" w:ascii="宋体" w:hAnsi="宋体" w:eastAsia="宋体" w:cs="宋体"/>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19F4F1F">
            <w:pPr>
              <w:autoSpaceDE w:val="0"/>
              <w:autoSpaceDN w:val="0"/>
              <w:spacing w:line="360" w:lineRule="auto"/>
              <w:rPr>
                <w:rFonts w:hint="eastAsia" w:ascii="宋体" w:hAnsi="宋体" w:eastAsia="宋体" w:cs="宋体"/>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D656B08">
            <w:pPr>
              <w:autoSpaceDE w:val="0"/>
              <w:autoSpaceDN w:val="0"/>
              <w:spacing w:line="360" w:lineRule="auto"/>
              <w:rPr>
                <w:rFonts w:hint="eastAsia" w:ascii="宋体" w:hAnsi="宋体" w:eastAsia="宋体" w:cs="宋体"/>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474170F">
            <w:pPr>
              <w:autoSpaceDE w:val="0"/>
              <w:autoSpaceDN w:val="0"/>
              <w:spacing w:line="360" w:lineRule="auto"/>
              <w:rPr>
                <w:rFonts w:hint="eastAsia" w:ascii="宋体" w:hAnsi="宋体" w:eastAsia="宋体" w:cs="宋体"/>
                <w:color w:val="auto"/>
                <w:sz w:val="24"/>
                <w:szCs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085DA1EB">
            <w:pPr>
              <w:autoSpaceDE w:val="0"/>
              <w:autoSpaceDN w:val="0"/>
              <w:spacing w:line="360" w:lineRule="auto"/>
              <w:rPr>
                <w:rFonts w:hint="eastAsia" w:ascii="宋体" w:hAnsi="宋体" w:eastAsia="宋体" w:cs="宋体"/>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1B77229C">
            <w:pPr>
              <w:autoSpaceDE w:val="0"/>
              <w:autoSpaceDN w:val="0"/>
              <w:spacing w:line="360" w:lineRule="auto"/>
              <w:rPr>
                <w:rFonts w:hint="eastAsia" w:ascii="宋体" w:hAnsi="宋体" w:eastAsia="宋体" w:cs="宋体"/>
                <w:color w:val="auto"/>
                <w:sz w:val="24"/>
                <w:szCs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576BA362">
            <w:pPr>
              <w:autoSpaceDE w:val="0"/>
              <w:autoSpaceDN w:val="0"/>
              <w:spacing w:line="360" w:lineRule="auto"/>
              <w:rPr>
                <w:rFonts w:hint="eastAsia" w:ascii="宋体" w:hAnsi="宋体" w:eastAsia="宋体" w:cs="宋体"/>
                <w:color w:val="auto"/>
                <w:sz w:val="24"/>
                <w:szCs w:val="24"/>
                <w:highlight w:val="none"/>
              </w:rPr>
            </w:pPr>
          </w:p>
        </w:tc>
      </w:tr>
      <w:tr w14:paraId="121F1C58">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6CC492AF">
            <w:pPr>
              <w:autoSpaceDE w:val="0"/>
              <w:autoSpaceDN w:val="0"/>
              <w:spacing w:line="360" w:lineRule="auto"/>
              <w:jc w:val="center"/>
              <w:rPr>
                <w:rFonts w:hint="eastAsia" w:ascii="宋体" w:hAnsi="宋体" w:eastAsia="宋体" w:cs="宋体"/>
                <w:color w:val="auto"/>
                <w:sz w:val="24"/>
                <w:szCs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0038D733">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技术服务</w:t>
            </w:r>
            <w:r>
              <w:rPr>
                <w:rFonts w:hint="eastAsia" w:ascii="宋体" w:hAnsi="宋体" w:eastAsia="宋体" w:cs="宋体"/>
                <w:color w:val="auto"/>
                <w:sz w:val="24"/>
                <w:szCs w:val="24"/>
                <w:highlight w:val="none"/>
              </w:rPr>
              <w:t>人员</w:t>
            </w:r>
          </w:p>
        </w:tc>
        <w:tc>
          <w:tcPr>
            <w:tcW w:w="787" w:type="dxa"/>
            <w:tcBorders>
              <w:top w:val="single" w:color="auto" w:sz="6" w:space="0"/>
              <w:left w:val="single" w:color="auto" w:sz="6" w:space="0"/>
              <w:bottom w:val="single" w:color="auto" w:sz="6" w:space="0"/>
              <w:right w:val="single" w:color="auto" w:sz="6" w:space="0"/>
            </w:tcBorders>
            <w:noWrap w:val="0"/>
            <w:vAlign w:val="top"/>
          </w:tcPr>
          <w:p w14:paraId="4306DA01">
            <w:pPr>
              <w:autoSpaceDE w:val="0"/>
              <w:autoSpaceDN w:val="0"/>
              <w:spacing w:line="360" w:lineRule="auto"/>
              <w:rPr>
                <w:rFonts w:hint="eastAsia" w:ascii="宋体" w:hAnsi="宋体" w:eastAsia="宋体" w:cs="宋体"/>
                <w:color w:val="auto"/>
                <w:sz w:val="24"/>
                <w:szCs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0ADCC93E">
            <w:pPr>
              <w:autoSpaceDE w:val="0"/>
              <w:autoSpaceDN w:val="0"/>
              <w:spacing w:line="360" w:lineRule="auto"/>
              <w:rPr>
                <w:rFonts w:hint="eastAsia" w:ascii="宋体" w:hAnsi="宋体" w:eastAsia="宋体" w:cs="宋体"/>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1056C23F">
            <w:pPr>
              <w:autoSpaceDE w:val="0"/>
              <w:autoSpaceDN w:val="0"/>
              <w:spacing w:line="360" w:lineRule="auto"/>
              <w:rPr>
                <w:rFonts w:hint="eastAsia" w:ascii="宋体" w:hAnsi="宋体" w:eastAsia="宋体" w:cs="宋体"/>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A44BA4C">
            <w:pPr>
              <w:autoSpaceDE w:val="0"/>
              <w:autoSpaceDN w:val="0"/>
              <w:spacing w:line="360" w:lineRule="auto"/>
              <w:rPr>
                <w:rFonts w:hint="eastAsia" w:ascii="宋体" w:hAnsi="宋体" w:eastAsia="宋体" w:cs="宋体"/>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62D04C9">
            <w:pPr>
              <w:autoSpaceDE w:val="0"/>
              <w:autoSpaceDN w:val="0"/>
              <w:spacing w:line="360" w:lineRule="auto"/>
              <w:rPr>
                <w:rFonts w:hint="eastAsia" w:ascii="宋体" w:hAnsi="宋体" w:eastAsia="宋体" w:cs="宋体"/>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EC90018">
            <w:pPr>
              <w:autoSpaceDE w:val="0"/>
              <w:autoSpaceDN w:val="0"/>
              <w:spacing w:line="360" w:lineRule="auto"/>
              <w:rPr>
                <w:rFonts w:hint="eastAsia" w:ascii="宋体" w:hAnsi="宋体" w:eastAsia="宋体" w:cs="宋体"/>
                <w:color w:val="auto"/>
                <w:sz w:val="24"/>
                <w:szCs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06C72DCD">
            <w:pPr>
              <w:autoSpaceDE w:val="0"/>
              <w:autoSpaceDN w:val="0"/>
              <w:spacing w:line="360" w:lineRule="auto"/>
              <w:rPr>
                <w:rFonts w:hint="eastAsia" w:ascii="宋体" w:hAnsi="宋体" w:eastAsia="宋体" w:cs="宋体"/>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1F3FBB3F">
            <w:pPr>
              <w:autoSpaceDE w:val="0"/>
              <w:autoSpaceDN w:val="0"/>
              <w:spacing w:line="360" w:lineRule="auto"/>
              <w:rPr>
                <w:rFonts w:hint="eastAsia" w:ascii="宋体" w:hAnsi="宋体" w:eastAsia="宋体" w:cs="宋体"/>
                <w:color w:val="auto"/>
                <w:sz w:val="24"/>
                <w:szCs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65F8F5B2">
            <w:pPr>
              <w:autoSpaceDE w:val="0"/>
              <w:autoSpaceDN w:val="0"/>
              <w:spacing w:line="360" w:lineRule="auto"/>
              <w:rPr>
                <w:rFonts w:hint="eastAsia" w:ascii="宋体" w:hAnsi="宋体" w:eastAsia="宋体" w:cs="宋体"/>
                <w:color w:val="auto"/>
                <w:sz w:val="24"/>
                <w:szCs w:val="24"/>
                <w:highlight w:val="none"/>
              </w:rPr>
            </w:pPr>
          </w:p>
        </w:tc>
      </w:tr>
      <w:tr w14:paraId="5DC9D247">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1B8F14E1">
            <w:pPr>
              <w:autoSpaceDE w:val="0"/>
              <w:autoSpaceDN w:val="0"/>
              <w:spacing w:line="360" w:lineRule="auto"/>
              <w:jc w:val="center"/>
              <w:rPr>
                <w:rFonts w:hint="eastAsia" w:ascii="宋体" w:hAnsi="宋体" w:eastAsia="宋体" w:cs="宋体"/>
                <w:color w:val="auto"/>
                <w:sz w:val="24"/>
                <w:szCs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70618D2A">
            <w:pPr>
              <w:autoSpaceDE w:val="0"/>
              <w:autoSpaceDN w:val="0"/>
              <w:spacing w:line="360" w:lineRule="auto"/>
              <w:jc w:val="center"/>
              <w:rPr>
                <w:rFonts w:hint="eastAsia" w:ascii="宋体" w:hAnsi="宋体" w:eastAsia="宋体" w:cs="宋体"/>
                <w:color w:val="auto"/>
                <w:sz w:val="24"/>
                <w:szCs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0F8EFEEE">
            <w:pPr>
              <w:autoSpaceDE w:val="0"/>
              <w:autoSpaceDN w:val="0"/>
              <w:spacing w:line="360" w:lineRule="auto"/>
              <w:rPr>
                <w:rFonts w:hint="eastAsia" w:ascii="宋体" w:hAnsi="宋体" w:eastAsia="宋体" w:cs="宋体"/>
                <w:color w:val="auto"/>
                <w:sz w:val="24"/>
                <w:szCs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7F1B10E9">
            <w:pPr>
              <w:autoSpaceDE w:val="0"/>
              <w:autoSpaceDN w:val="0"/>
              <w:spacing w:line="360" w:lineRule="auto"/>
              <w:rPr>
                <w:rFonts w:hint="eastAsia" w:ascii="宋体" w:hAnsi="宋体" w:eastAsia="宋体" w:cs="宋体"/>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407C5BBD">
            <w:pPr>
              <w:autoSpaceDE w:val="0"/>
              <w:autoSpaceDN w:val="0"/>
              <w:spacing w:line="360" w:lineRule="auto"/>
              <w:rPr>
                <w:rFonts w:hint="eastAsia" w:ascii="宋体" w:hAnsi="宋体" w:eastAsia="宋体" w:cs="宋体"/>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7CE7964">
            <w:pPr>
              <w:autoSpaceDE w:val="0"/>
              <w:autoSpaceDN w:val="0"/>
              <w:spacing w:line="360" w:lineRule="auto"/>
              <w:rPr>
                <w:rFonts w:hint="eastAsia" w:ascii="宋体" w:hAnsi="宋体" w:eastAsia="宋体" w:cs="宋体"/>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A9251F6">
            <w:pPr>
              <w:autoSpaceDE w:val="0"/>
              <w:autoSpaceDN w:val="0"/>
              <w:spacing w:line="360" w:lineRule="auto"/>
              <w:rPr>
                <w:rFonts w:hint="eastAsia" w:ascii="宋体" w:hAnsi="宋体" w:eastAsia="宋体" w:cs="宋体"/>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8DE7FEE">
            <w:pPr>
              <w:autoSpaceDE w:val="0"/>
              <w:autoSpaceDN w:val="0"/>
              <w:spacing w:line="360" w:lineRule="auto"/>
              <w:rPr>
                <w:rFonts w:hint="eastAsia" w:ascii="宋体" w:hAnsi="宋体" w:eastAsia="宋体" w:cs="宋体"/>
                <w:color w:val="auto"/>
                <w:sz w:val="24"/>
                <w:szCs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0F58CB79">
            <w:pPr>
              <w:autoSpaceDE w:val="0"/>
              <w:autoSpaceDN w:val="0"/>
              <w:spacing w:line="360" w:lineRule="auto"/>
              <w:rPr>
                <w:rFonts w:hint="eastAsia" w:ascii="宋体" w:hAnsi="宋体" w:eastAsia="宋体" w:cs="宋体"/>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36878CB1">
            <w:pPr>
              <w:autoSpaceDE w:val="0"/>
              <w:autoSpaceDN w:val="0"/>
              <w:spacing w:line="360" w:lineRule="auto"/>
              <w:rPr>
                <w:rFonts w:hint="eastAsia" w:ascii="宋体" w:hAnsi="宋体" w:eastAsia="宋体" w:cs="宋体"/>
                <w:color w:val="auto"/>
                <w:sz w:val="24"/>
                <w:szCs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34C0E7E9">
            <w:pPr>
              <w:autoSpaceDE w:val="0"/>
              <w:autoSpaceDN w:val="0"/>
              <w:spacing w:line="360" w:lineRule="auto"/>
              <w:rPr>
                <w:rFonts w:hint="eastAsia" w:ascii="宋体" w:hAnsi="宋体" w:eastAsia="宋体" w:cs="宋体"/>
                <w:color w:val="auto"/>
                <w:sz w:val="24"/>
                <w:szCs w:val="24"/>
                <w:highlight w:val="none"/>
              </w:rPr>
            </w:pPr>
          </w:p>
        </w:tc>
      </w:tr>
      <w:tr w14:paraId="379AD0CC">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7A18315F">
            <w:pPr>
              <w:autoSpaceDE w:val="0"/>
              <w:autoSpaceDN w:val="0"/>
              <w:spacing w:line="360" w:lineRule="auto"/>
              <w:jc w:val="center"/>
              <w:rPr>
                <w:rFonts w:hint="eastAsia" w:ascii="宋体" w:hAnsi="宋体" w:eastAsia="宋体" w:cs="宋体"/>
                <w:color w:val="auto"/>
                <w:sz w:val="24"/>
                <w:szCs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67D12226">
            <w:pPr>
              <w:autoSpaceDE w:val="0"/>
              <w:autoSpaceDN w:val="0"/>
              <w:spacing w:line="360" w:lineRule="auto"/>
              <w:jc w:val="center"/>
              <w:rPr>
                <w:rFonts w:hint="eastAsia" w:ascii="宋体" w:hAnsi="宋体" w:eastAsia="宋体" w:cs="宋体"/>
                <w:color w:val="auto"/>
                <w:sz w:val="24"/>
                <w:szCs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3B4DE754">
            <w:pPr>
              <w:autoSpaceDE w:val="0"/>
              <w:autoSpaceDN w:val="0"/>
              <w:spacing w:line="360" w:lineRule="auto"/>
              <w:rPr>
                <w:rFonts w:hint="eastAsia" w:ascii="宋体" w:hAnsi="宋体" w:eastAsia="宋体" w:cs="宋体"/>
                <w:color w:val="auto"/>
                <w:sz w:val="24"/>
                <w:szCs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4863D6BD">
            <w:pPr>
              <w:autoSpaceDE w:val="0"/>
              <w:autoSpaceDN w:val="0"/>
              <w:spacing w:line="360" w:lineRule="auto"/>
              <w:rPr>
                <w:rFonts w:hint="eastAsia" w:ascii="宋体" w:hAnsi="宋体" w:eastAsia="宋体" w:cs="宋体"/>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5A458402">
            <w:pPr>
              <w:autoSpaceDE w:val="0"/>
              <w:autoSpaceDN w:val="0"/>
              <w:spacing w:line="360" w:lineRule="auto"/>
              <w:rPr>
                <w:rFonts w:hint="eastAsia" w:ascii="宋体" w:hAnsi="宋体" w:eastAsia="宋体" w:cs="宋体"/>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A8400B5">
            <w:pPr>
              <w:autoSpaceDE w:val="0"/>
              <w:autoSpaceDN w:val="0"/>
              <w:spacing w:line="360" w:lineRule="auto"/>
              <w:rPr>
                <w:rFonts w:hint="eastAsia" w:ascii="宋体" w:hAnsi="宋体" w:eastAsia="宋体" w:cs="宋体"/>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4872D77">
            <w:pPr>
              <w:autoSpaceDE w:val="0"/>
              <w:autoSpaceDN w:val="0"/>
              <w:spacing w:line="360" w:lineRule="auto"/>
              <w:rPr>
                <w:rFonts w:hint="eastAsia" w:ascii="宋体" w:hAnsi="宋体" w:eastAsia="宋体" w:cs="宋体"/>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E490C56">
            <w:pPr>
              <w:autoSpaceDE w:val="0"/>
              <w:autoSpaceDN w:val="0"/>
              <w:spacing w:line="360" w:lineRule="auto"/>
              <w:rPr>
                <w:rFonts w:hint="eastAsia" w:ascii="宋体" w:hAnsi="宋体" w:eastAsia="宋体" w:cs="宋体"/>
                <w:color w:val="auto"/>
                <w:sz w:val="24"/>
                <w:szCs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04D93A25">
            <w:pPr>
              <w:autoSpaceDE w:val="0"/>
              <w:autoSpaceDN w:val="0"/>
              <w:spacing w:line="360" w:lineRule="auto"/>
              <w:rPr>
                <w:rFonts w:hint="eastAsia" w:ascii="宋体" w:hAnsi="宋体" w:eastAsia="宋体" w:cs="宋体"/>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086D25B5">
            <w:pPr>
              <w:autoSpaceDE w:val="0"/>
              <w:autoSpaceDN w:val="0"/>
              <w:spacing w:line="360" w:lineRule="auto"/>
              <w:rPr>
                <w:rFonts w:hint="eastAsia" w:ascii="宋体" w:hAnsi="宋体" w:eastAsia="宋体" w:cs="宋体"/>
                <w:color w:val="auto"/>
                <w:sz w:val="24"/>
                <w:szCs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23D00873">
            <w:pPr>
              <w:autoSpaceDE w:val="0"/>
              <w:autoSpaceDN w:val="0"/>
              <w:spacing w:line="360" w:lineRule="auto"/>
              <w:rPr>
                <w:rFonts w:hint="eastAsia" w:ascii="宋体" w:hAnsi="宋体" w:eastAsia="宋体" w:cs="宋体"/>
                <w:color w:val="auto"/>
                <w:sz w:val="24"/>
                <w:szCs w:val="24"/>
                <w:highlight w:val="none"/>
              </w:rPr>
            </w:pPr>
          </w:p>
        </w:tc>
      </w:tr>
    </w:tbl>
    <w:p w14:paraId="31FA9A10">
      <w:pPr>
        <w:spacing w:line="440" w:lineRule="exact"/>
        <w:ind w:firstLine="396" w:firstLineChars="198"/>
        <w:rPr>
          <w:rFonts w:hint="eastAsia" w:ascii="宋体" w:hAnsi="宋体" w:eastAsia="宋体" w:cs="宋体"/>
          <w:color w:val="auto"/>
          <w:kern w:val="0"/>
          <w:sz w:val="20"/>
          <w:szCs w:val="21"/>
          <w:highlight w:val="none"/>
          <w:lang w:val="zh-CN" w:eastAsia="zh-CN"/>
        </w:rPr>
      </w:pPr>
    </w:p>
    <w:p w14:paraId="4D82EB6D">
      <w:pPr>
        <w:spacing w:line="500" w:lineRule="exact"/>
        <w:rPr>
          <w:rFonts w:hint="eastAsia" w:ascii="宋体" w:hAnsi="宋体" w:eastAsia="宋体" w:cs="宋体"/>
          <w:color w:val="auto"/>
          <w:sz w:val="32"/>
          <w:szCs w:val="32"/>
          <w:highlight w:val="none"/>
        </w:rPr>
      </w:pPr>
    </w:p>
    <w:p w14:paraId="10E64E59">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w:t>
      </w:r>
      <w:r>
        <w:rPr>
          <w:rFonts w:hint="eastAsia" w:ascii="宋体" w:hAnsi="宋体" w:eastAsia="宋体" w:cs="宋体"/>
          <w:color w:val="auto"/>
          <w:kern w:val="0"/>
          <w:sz w:val="24"/>
          <w:szCs w:val="24"/>
          <w:highlight w:val="none"/>
          <w:lang w:eastAsia="zh-CN"/>
        </w:rPr>
        <w:t>盖公章</w:t>
      </w:r>
      <w:r>
        <w:rPr>
          <w:rFonts w:hint="eastAsia" w:ascii="宋体" w:hAnsi="宋体" w:eastAsia="宋体" w:cs="宋体"/>
          <w:color w:val="auto"/>
          <w:kern w:val="0"/>
          <w:sz w:val="24"/>
          <w:szCs w:val="24"/>
          <w:highlight w:val="none"/>
        </w:rPr>
        <w:t>）：</w:t>
      </w:r>
    </w:p>
    <w:p w14:paraId="3FEED6A3">
      <w:pPr>
        <w:autoSpaceDE w:val="0"/>
        <w:autoSpaceDN w:val="0"/>
        <w:spacing w:line="360" w:lineRule="auto"/>
        <w:ind w:firstLine="6480" w:firstLineChars="27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  年  月   日</w:t>
      </w:r>
    </w:p>
    <w:p w14:paraId="28CDDA7B">
      <w:pPr>
        <w:snapToGrid w:val="0"/>
        <w:spacing w:line="360" w:lineRule="auto"/>
        <w:ind w:firstLine="0" w:firstLineChars="0"/>
        <w:rPr>
          <w:rFonts w:hint="eastAsia" w:ascii="宋体" w:hAnsi="宋体" w:eastAsia="宋体" w:cs="宋体"/>
          <w:b/>
          <w:color w:val="auto"/>
          <w:sz w:val="30"/>
          <w:szCs w:val="30"/>
          <w:highlight w:val="none"/>
        </w:rPr>
      </w:pPr>
    </w:p>
    <w:p w14:paraId="7D7ADDF6">
      <w:pPr>
        <w:snapToGrid w:val="0"/>
        <w:spacing w:line="360" w:lineRule="auto"/>
        <w:ind w:firstLine="0" w:firstLineChars="0"/>
        <w:rPr>
          <w:rFonts w:hint="eastAsia" w:ascii="宋体" w:hAnsi="宋体" w:eastAsia="宋体" w:cs="宋体"/>
          <w:b/>
          <w:color w:val="auto"/>
          <w:sz w:val="28"/>
          <w:szCs w:val="28"/>
          <w:highlight w:val="none"/>
          <w:lang w:val="en-US" w:eastAsia="zh-CN"/>
        </w:rPr>
      </w:pPr>
    </w:p>
    <w:p w14:paraId="7FC4F1FD">
      <w:pPr>
        <w:snapToGrid w:val="0"/>
        <w:spacing w:line="360" w:lineRule="auto"/>
        <w:ind w:firstLine="0" w:firstLineChars="0"/>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val="en-US" w:eastAsia="zh-CN"/>
        </w:rPr>
        <w:t>10.</w:t>
      </w:r>
      <w:r>
        <w:rPr>
          <w:rFonts w:hint="eastAsia" w:ascii="宋体" w:hAnsi="宋体" w:eastAsia="宋体" w:cs="宋体"/>
          <w:b/>
          <w:color w:val="auto"/>
          <w:sz w:val="28"/>
          <w:szCs w:val="28"/>
          <w:highlight w:val="none"/>
        </w:rPr>
        <w:t>项目实施人员一览表</w:t>
      </w:r>
      <w:r>
        <w:rPr>
          <w:rFonts w:hint="eastAsia" w:ascii="宋体" w:hAnsi="宋体" w:eastAsia="宋体" w:cs="宋体"/>
          <w:b/>
          <w:color w:val="auto"/>
          <w:sz w:val="28"/>
          <w:szCs w:val="28"/>
          <w:highlight w:val="none"/>
        </w:rPr>
        <w:t>（如有要求）</w:t>
      </w:r>
      <w:r>
        <w:rPr>
          <w:rFonts w:hint="eastAsia" w:ascii="宋体" w:hAnsi="宋体" w:eastAsia="宋体" w:cs="宋体"/>
          <w:b/>
          <w:color w:val="auto"/>
          <w:sz w:val="28"/>
          <w:szCs w:val="28"/>
          <w:highlight w:val="none"/>
          <w:lang w:eastAsia="zh-CN"/>
        </w:rPr>
        <w:t>：</w:t>
      </w:r>
    </w:p>
    <w:p w14:paraId="5AF9C123">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（由供应商根据采购文件要求编制）</w:t>
      </w:r>
    </w:p>
    <w:p w14:paraId="38948181">
      <w:pPr>
        <w:pStyle w:val="21"/>
        <w:rPr>
          <w:rFonts w:hint="eastAsia" w:ascii="宋体" w:hAnsi="宋体" w:eastAsia="宋体" w:cs="宋体"/>
          <w:color w:val="auto"/>
          <w:highlight w:val="none"/>
        </w:rPr>
      </w:pPr>
    </w:p>
    <w:p w14:paraId="4B21DF6D">
      <w:pPr>
        <w:spacing w:line="360" w:lineRule="auto"/>
        <w:ind w:firstLine="0" w:firstLineChars="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highlight w:val="none"/>
          <w:u w:val="single"/>
        </w:rPr>
        <w:t xml:space="preserve">             </w:t>
      </w:r>
    </w:p>
    <w:p w14:paraId="4E6A8114">
      <w:pPr>
        <w:keepNext/>
        <w:autoSpaceDE w:val="0"/>
        <w:autoSpaceDN w:val="0"/>
        <w:spacing w:line="360" w:lineRule="auto"/>
        <w:ind w:firstLine="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附表A</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rPr>
        <w:t>本项目的项目经理情况表</w:t>
      </w:r>
    </w:p>
    <w:tbl>
      <w:tblPr>
        <w:tblStyle w:val="28"/>
        <w:tblW w:w="9105" w:type="dxa"/>
        <w:tblInd w:w="0" w:type="dxa"/>
        <w:tblLayout w:type="fixed"/>
        <w:tblCellMar>
          <w:top w:w="0" w:type="dxa"/>
          <w:left w:w="108" w:type="dxa"/>
          <w:bottom w:w="0" w:type="dxa"/>
          <w:right w:w="108" w:type="dxa"/>
        </w:tblCellMar>
      </w:tblPr>
      <w:tblGrid>
        <w:gridCol w:w="2415"/>
        <w:gridCol w:w="930"/>
        <w:gridCol w:w="1065"/>
        <w:gridCol w:w="4695"/>
      </w:tblGrid>
      <w:tr w14:paraId="1A19E799">
        <w:tblPrEx>
          <w:tblCellMar>
            <w:top w:w="0" w:type="dxa"/>
            <w:left w:w="108" w:type="dxa"/>
            <w:bottom w:w="0" w:type="dxa"/>
            <w:right w:w="108" w:type="dxa"/>
          </w:tblCellMar>
        </w:tblPrEx>
        <w:trPr>
          <w:trHeight w:val="604"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2935CB17">
            <w:pPr>
              <w:autoSpaceDE w:val="0"/>
              <w:autoSpaceDN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姓名</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1D1CC300">
            <w:pPr>
              <w:autoSpaceDE w:val="0"/>
              <w:autoSpaceDN w:val="0"/>
              <w:spacing w:line="360" w:lineRule="auto"/>
              <w:jc w:val="center"/>
              <w:rPr>
                <w:rFonts w:hint="eastAsia" w:ascii="宋体" w:hAnsi="宋体" w:eastAsia="宋体" w:cs="宋体"/>
                <w:color w:val="auto"/>
                <w:sz w:val="24"/>
                <w:highlight w:val="none"/>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3747E983">
            <w:pPr>
              <w:autoSpaceDE w:val="0"/>
              <w:autoSpaceDN w:val="0"/>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页码</w:t>
            </w:r>
          </w:p>
        </w:tc>
        <w:tc>
          <w:tcPr>
            <w:tcW w:w="4695" w:type="dxa"/>
            <w:tcBorders>
              <w:top w:val="single" w:color="auto" w:sz="6" w:space="0"/>
              <w:left w:val="single" w:color="auto" w:sz="6" w:space="0"/>
              <w:bottom w:val="single" w:color="auto" w:sz="6" w:space="0"/>
              <w:right w:val="single" w:color="auto" w:sz="6" w:space="0"/>
            </w:tcBorders>
            <w:noWrap w:val="0"/>
            <w:vAlign w:val="center"/>
          </w:tcPr>
          <w:p w14:paraId="4E9FF4F6">
            <w:pPr>
              <w:autoSpaceDE w:val="0"/>
              <w:autoSpaceDN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响应截止时间前三年业绩及承担的主要工作情况，曾担任项目经理的项目应列明细</w:t>
            </w:r>
            <w:r>
              <w:rPr>
                <w:rFonts w:hint="eastAsia" w:ascii="宋体" w:hAnsi="宋体" w:eastAsia="宋体" w:cs="宋体"/>
                <w:color w:val="auto"/>
                <w:sz w:val="24"/>
                <w:highlight w:val="none"/>
                <w:lang w:eastAsia="zh-CN"/>
              </w:rPr>
              <w:t>。</w:t>
            </w:r>
          </w:p>
        </w:tc>
      </w:tr>
      <w:tr w14:paraId="1AC4A4A2">
        <w:tblPrEx>
          <w:tblCellMar>
            <w:top w:w="0" w:type="dxa"/>
            <w:left w:w="108" w:type="dxa"/>
            <w:bottom w:w="0" w:type="dxa"/>
            <w:right w:w="108" w:type="dxa"/>
          </w:tblCellMar>
        </w:tblPrEx>
        <w:trPr>
          <w:cantSplit/>
          <w:trHeight w:val="345"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2B32D694">
            <w:pPr>
              <w:autoSpaceDE w:val="0"/>
              <w:autoSpaceDN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性别</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4EAEE8B7">
            <w:pPr>
              <w:autoSpaceDE w:val="0"/>
              <w:autoSpaceDN w:val="0"/>
              <w:spacing w:line="360" w:lineRule="auto"/>
              <w:jc w:val="center"/>
              <w:rPr>
                <w:rFonts w:hint="eastAsia" w:ascii="宋体" w:hAnsi="宋体" w:eastAsia="宋体" w:cs="宋体"/>
                <w:color w:val="auto"/>
                <w:sz w:val="24"/>
                <w:szCs w:val="24"/>
                <w:highlight w:val="none"/>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2E579CE4">
            <w:pPr>
              <w:autoSpaceDE w:val="0"/>
              <w:autoSpaceDN w:val="0"/>
              <w:spacing w:line="360" w:lineRule="auto"/>
              <w:jc w:val="center"/>
              <w:rPr>
                <w:rFonts w:hint="eastAsia" w:ascii="宋体" w:hAnsi="宋体" w:eastAsia="宋体" w:cs="宋体"/>
                <w:color w:val="auto"/>
                <w:sz w:val="24"/>
                <w:szCs w:val="24"/>
                <w:highlight w:val="none"/>
              </w:rPr>
            </w:pPr>
          </w:p>
        </w:tc>
        <w:tc>
          <w:tcPr>
            <w:tcW w:w="4695" w:type="dxa"/>
            <w:vMerge w:val="restart"/>
            <w:tcBorders>
              <w:top w:val="single" w:color="auto" w:sz="6" w:space="0"/>
              <w:left w:val="single" w:color="auto" w:sz="6" w:space="0"/>
              <w:bottom w:val="single" w:color="auto" w:sz="6" w:space="0"/>
              <w:right w:val="single" w:color="auto" w:sz="6" w:space="0"/>
            </w:tcBorders>
            <w:noWrap w:val="0"/>
            <w:vAlign w:val="center"/>
          </w:tcPr>
          <w:p w14:paraId="15610D55">
            <w:pPr>
              <w:autoSpaceDE w:val="0"/>
              <w:autoSpaceDN w:val="0"/>
              <w:spacing w:line="360" w:lineRule="auto"/>
              <w:jc w:val="center"/>
              <w:rPr>
                <w:rFonts w:hint="eastAsia" w:ascii="宋体" w:hAnsi="宋体" w:eastAsia="宋体" w:cs="宋体"/>
                <w:color w:val="auto"/>
                <w:sz w:val="24"/>
                <w:highlight w:val="none"/>
              </w:rPr>
            </w:pPr>
          </w:p>
        </w:tc>
      </w:tr>
      <w:tr w14:paraId="240E0F6B">
        <w:tblPrEx>
          <w:tblCellMar>
            <w:top w:w="0" w:type="dxa"/>
            <w:left w:w="108" w:type="dxa"/>
            <w:bottom w:w="0" w:type="dxa"/>
            <w:right w:w="108" w:type="dxa"/>
          </w:tblCellMar>
        </w:tblPrEx>
        <w:trPr>
          <w:cantSplit/>
          <w:trHeight w:val="337"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4CD5C6E4">
            <w:pPr>
              <w:autoSpaceDE w:val="0"/>
              <w:autoSpaceDN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年龄</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76886D50">
            <w:pPr>
              <w:autoSpaceDE w:val="0"/>
              <w:autoSpaceDN w:val="0"/>
              <w:spacing w:line="360" w:lineRule="auto"/>
              <w:jc w:val="center"/>
              <w:rPr>
                <w:rFonts w:hint="eastAsia" w:ascii="宋体" w:hAnsi="宋体" w:eastAsia="宋体" w:cs="宋体"/>
                <w:color w:val="auto"/>
                <w:sz w:val="24"/>
                <w:szCs w:val="24"/>
                <w:highlight w:val="none"/>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2852352D">
            <w:pPr>
              <w:autoSpaceDE w:val="0"/>
              <w:autoSpaceDN w:val="0"/>
              <w:spacing w:line="360" w:lineRule="auto"/>
              <w:jc w:val="center"/>
              <w:rPr>
                <w:rFonts w:hint="eastAsia" w:ascii="宋体" w:hAnsi="宋体" w:eastAsia="宋体" w:cs="宋体"/>
                <w:color w:val="auto"/>
                <w:sz w:val="24"/>
                <w:szCs w:val="24"/>
                <w:highlight w:val="none"/>
              </w:rPr>
            </w:pPr>
          </w:p>
        </w:tc>
        <w:tc>
          <w:tcPr>
            <w:tcW w:w="4695" w:type="dxa"/>
            <w:vMerge w:val="continue"/>
            <w:tcBorders>
              <w:top w:val="single" w:color="auto" w:sz="6" w:space="0"/>
              <w:left w:val="single" w:color="auto" w:sz="6" w:space="0"/>
              <w:bottom w:val="single" w:color="auto" w:sz="6" w:space="0"/>
              <w:right w:val="single" w:color="auto" w:sz="6" w:space="0"/>
            </w:tcBorders>
            <w:noWrap w:val="0"/>
            <w:vAlign w:val="center"/>
          </w:tcPr>
          <w:p w14:paraId="598B3538">
            <w:pPr>
              <w:autoSpaceDE w:val="0"/>
              <w:autoSpaceDN w:val="0"/>
              <w:spacing w:line="360" w:lineRule="auto"/>
              <w:jc w:val="center"/>
              <w:rPr>
                <w:rFonts w:hint="eastAsia" w:ascii="宋体" w:hAnsi="宋体" w:eastAsia="宋体" w:cs="宋体"/>
                <w:color w:val="auto"/>
                <w:sz w:val="24"/>
                <w:highlight w:val="none"/>
              </w:rPr>
            </w:pPr>
          </w:p>
        </w:tc>
      </w:tr>
      <w:tr w14:paraId="7F9E8C20">
        <w:tblPrEx>
          <w:tblCellMar>
            <w:top w:w="0" w:type="dxa"/>
            <w:left w:w="108" w:type="dxa"/>
            <w:bottom w:w="0" w:type="dxa"/>
            <w:right w:w="108" w:type="dxa"/>
          </w:tblCellMar>
        </w:tblPrEx>
        <w:trPr>
          <w:cantSplit/>
          <w:trHeight w:val="345"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09CD2638">
            <w:pPr>
              <w:autoSpaceDE w:val="0"/>
              <w:autoSpaceDN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职称</w:t>
            </w:r>
            <w:r>
              <w:rPr>
                <w:rFonts w:hint="eastAsia" w:ascii="宋体" w:hAnsi="宋体" w:eastAsia="宋体" w:cs="宋体"/>
                <w:color w:val="auto"/>
                <w:sz w:val="24"/>
                <w:szCs w:val="24"/>
                <w:highlight w:val="none"/>
                <w:lang w:eastAsia="zh-CN"/>
              </w:rPr>
              <w:t>或职业资格证</w:t>
            </w:r>
            <w:r>
              <w:rPr>
                <w:rFonts w:hint="eastAsia" w:ascii="宋体" w:hAnsi="宋体" w:eastAsia="宋体" w:cs="宋体"/>
                <w:color w:val="auto"/>
                <w:sz w:val="24"/>
                <w:szCs w:val="24"/>
                <w:highlight w:val="none"/>
                <w:lang w:val="en-US" w:eastAsia="zh-CN"/>
              </w:rPr>
              <w:t>书</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51FF341D">
            <w:pPr>
              <w:autoSpaceDE w:val="0"/>
              <w:autoSpaceDN w:val="0"/>
              <w:spacing w:line="360" w:lineRule="auto"/>
              <w:jc w:val="center"/>
              <w:rPr>
                <w:rFonts w:hint="eastAsia" w:ascii="宋体" w:hAnsi="宋体" w:eastAsia="宋体" w:cs="宋体"/>
                <w:color w:val="auto"/>
                <w:sz w:val="24"/>
                <w:szCs w:val="24"/>
                <w:highlight w:val="none"/>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26632862">
            <w:pPr>
              <w:autoSpaceDE w:val="0"/>
              <w:autoSpaceDN w:val="0"/>
              <w:spacing w:line="360" w:lineRule="auto"/>
              <w:jc w:val="center"/>
              <w:rPr>
                <w:rFonts w:hint="eastAsia" w:ascii="宋体" w:hAnsi="宋体" w:eastAsia="宋体" w:cs="宋体"/>
                <w:color w:val="auto"/>
                <w:sz w:val="24"/>
                <w:szCs w:val="24"/>
                <w:highlight w:val="none"/>
              </w:rPr>
            </w:pPr>
          </w:p>
        </w:tc>
        <w:tc>
          <w:tcPr>
            <w:tcW w:w="4695" w:type="dxa"/>
            <w:vMerge w:val="continue"/>
            <w:tcBorders>
              <w:top w:val="single" w:color="auto" w:sz="6" w:space="0"/>
              <w:left w:val="single" w:color="auto" w:sz="6" w:space="0"/>
              <w:bottom w:val="single" w:color="auto" w:sz="6" w:space="0"/>
              <w:right w:val="single" w:color="auto" w:sz="6" w:space="0"/>
            </w:tcBorders>
            <w:noWrap w:val="0"/>
            <w:vAlign w:val="center"/>
          </w:tcPr>
          <w:p w14:paraId="341A7335">
            <w:pPr>
              <w:autoSpaceDE w:val="0"/>
              <w:autoSpaceDN w:val="0"/>
              <w:spacing w:line="360" w:lineRule="auto"/>
              <w:jc w:val="center"/>
              <w:rPr>
                <w:rFonts w:hint="eastAsia" w:ascii="宋体" w:hAnsi="宋体" w:eastAsia="宋体" w:cs="宋体"/>
                <w:color w:val="auto"/>
                <w:sz w:val="24"/>
                <w:highlight w:val="none"/>
              </w:rPr>
            </w:pPr>
          </w:p>
        </w:tc>
      </w:tr>
      <w:tr w14:paraId="19706D46">
        <w:tblPrEx>
          <w:tblCellMar>
            <w:top w:w="0" w:type="dxa"/>
            <w:left w:w="108" w:type="dxa"/>
            <w:bottom w:w="0" w:type="dxa"/>
            <w:right w:w="108" w:type="dxa"/>
          </w:tblCellMar>
        </w:tblPrEx>
        <w:trPr>
          <w:cantSplit/>
          <w:trHeight w:val="345"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383B9BA6">
            <w:pPr>
              <w:autoSpaceDE w:val="0"/>
              <w:autoSpaceDN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学历</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1D8AD930">
            <w:pPr>
              <w:autoSpaceDE w:val="0"/>
              <w:autoSpaceDN w:val="0"/>
              <w:spacing w:line="360" w:lineRule="auto"/>
              <w:jc w:val="center"/>
              <w:rPr>
                <w:rFonts w:hint="eastAsia" w:ascii="宋体" w:hAnsi="宋体" w:eastAsia="宋体" w:cs="宋体"/>
                <w:color w:val="auto"/>
                <w:sz w:val="24"/>
                <w:szCs w:val="24"/>
                <w:highlight w:val="none"/>
                <w:lang w:val="en-US" w:eastAsia="zh-CN"/>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5FE2A513">
            <w:pPr>
              <w:autoSpaceDE w:val="0"/>
              <w:autoSpaceDN w:val="0"/>
              <w:spacing w:line="360" w:lineRule="auto"/>
              <w:jc w:val="center"/>
              <w:rPr>
                <w:rFonts w:hint="eastAsia" w:ascii="宋体" w:hAnsi="宋体" w:eastAsia="宋体" w:cs="宋体"/>
                <w:color w:val="auto"/>
                <w:sz w:val="24"/>
                <w:szCs w:val="24"/>
                <w:highlight w:val="none"/>
                <w:lang w:val="en-US" w:eastAsia="zh-CN"/>
              </w:rPr>
            </w:pPr>
          </w:p>
        </w:tc>
        <w:tc>
          <w:tcPr>
            <w:tcW w:w="4695" w:type="dxa"/>
            <w:vMerge w:val="continue"/>
            <w:tcBorders>
              <w:top w:val="single" w:color="auto" w:sz="6" w:space="0"/>
              <w:left w:val="single" w:color="auto" w:sz="6" w:space="0"/>
              <w:bottom w:val="single" w:color="auto" w:sz="6" w:space="0"/>
              <w:right w:val="single" w:color="auto" w:sz="6" w:space="0"/>
            </w:tcBorders>
            <w:noWrap w:val="0"/>
            <w:vAlign w:val="center"/>
          </w:tcPr>
          <w:p w14:paraId="74F0F7F2">
            <w:pPr>
              <w:autoSpaceDE w:val="0"/>
              <w:autoSpaceDN w:val="0"/>
              <w:spacing w:line="360" w:lineRule="auto"/>
              <w:jc w:val="center"/>
              <w:rPr>
                <w:rFonts w:hint="eastAsia" w:ascii="宋体" w:hAnsi="宋体" w:eastAsia="宋体" w:cs="宋体"/>
                <w:color w:val="auto"/>
                <w:sz w:val="24"/>
                <w:highlight w:val="none"/>
              </w:rPr>
            </w:pPr>
          </w:p>
        </w:tc>
      </w:tr>
      <w:tr w14:paraId="310A82AB">
        <w:tblPrEx>
          <w:tblCellMar>
            <w:top w:w="0" w:type="dxa"/>
            <w:left w:w="108" w:type="dxa"/>
            <w:bottom w:w="0" w:type="dxa"/>
            <w:right w:w="108" w:type="dxa"/>
          </w:tblCellMar>
        </w:tblPrEx>
        <w:trPr>
          <w:cantSplit/>
          <w:trHeight w:val="422"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53B143C3">
            <w:pPr>
              <w:autoSpaceDE w:val="0"/>
              <w:autoSpaceDN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专业</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13EDA26C">
            <w:pPr>
              <w:autoSpaceDE w:val="0"/>
              <w:autoSpaceDN w:val="0"/>
              <w:spacing w:line="360" w:lineRule="auto"/>
              <w:jc w:val="center"/>
              <w:rPr>
                <w:rFonts w:hint="eastAsia" w:ascii="宋体" w:hAnsi="宋体" w:eastAsia="宋体" w:cs="宋体"/>
                <w:color w:val="auto"/>
                <w:sz w:val="24"/>
                <w:szCs w:val="24"/>
                <w:highlight w:val="none"/>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614359C5">
            <w:pPr>
              <w:autoSpaceDE w:val="0"/>
              <w:autoSpaceDN w:val="0"/>
              <w:spacing w:line="360" w:lineRule="auto"/>
              <w:jc w:val="center"/>
              <w:rPr>
                <w:rFonts w:hint="eastAsia" w:ascii="宋体" w:hAnsi="宋体" w:eastAsia="宋体" w:cs="宋体"/>
                <w:color w:val="auto"/>
                <w:sz w:val="24"/>
                <w:szCs w:val="24"/>
                <w:highlight w:val="none"/>
              </w:rPr>
            </w:pPr>
          </w:p>
        </w:tc>
        <w:tc>
          <w:tcPr>
            <w:tcW w:w="4695" w:type="dxa"/>
            <w:vMerge w:val="continue"/>
            <w:tcBorders>
              <w:top w:val="single" w:color="auto" w:sz="6" w:space="0"/>
              <w:left w:val="single" w:color="auto" w:sz="6" w:space="0"/>
              <w:bottom w:val="single" w:color="auto" w:sz="6" w:space="0"/>
              <w:right w:val="single" w:color="auto" w:sz="6" w:space="0"/>
            </w:tcBorders>
            <w:noWrap w:val="0"/>
            <w:vAlign w:val="center"/>
          </w:tcPr>
          <w:p w14:paraId="67E3DCF6">
            <w:pPr>
              <w:autoSpaceDE w:val="0"/>
              <w:autoSpaceDN w:val="0"/>
              <w:spacing w:line="360" w:lineRule="auto"/>
              <w:jc w:val="center"/>
              <w:rPr>
                <w:rFonts w:hint="eastAsia" w:ascii="宋体" w:hAnsi="宋体" w:eastAsia="宋体" w:cs="宋体"/>
                <w:color w:val="auto"/>
                <w:sz w:val="24"/>
                <w:highlight w:val="none"/>
              </w:rPr>
            </w:pPr>
          </w:p>
        </w:tc>
      </w:tr>
      <w:tr w14:paraId="0F847E2E">
        <w:tblPrEx>
          <w:tblCellMar>
            <w:top w:w="0" w:type="dxa"/>
            <w:left w:w="108" w:type="dxa"/>
            <w:bottom w:w="0" w:type="dxa"/>
            <w:right w:w="108" w:type="dxa"/>
          </w:tblCellMar>
        </w:tblPrEx>
        <w:trPr>
          <w:cantSplit/>
          <w:trHeight w:val="416"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5BD2DB0F">
            <w:pPr>
              <w:autoSpaceDE w:val="0"/>
              <w:autoSpaceDN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职称</w:t>
            </w:r>
            <w:r>
              <w:rPr>
                <w:rFonts w:hint="eastAsia" w:ascii="宋体" w:hAnsi="宋体" w:eastAsia="宋体" w:cs="宋体"/>
                <w:color w:val="auto"/>
                <w:sz w:val="24"/>
                <w:szCs w:val="24"/>
                <w:highlight w:val="none"/>
                <w:lang w:eastAsia="zh-CN"/>
              </w:rPr>
              <w:t>或资格</w:t>
            </w:r>
            <w:r>
              <w:rPr>
                <w:rFonts w:hint="eastAsia" w:ascii="宋体" w:hAnsi="宋体" w:eastAsia="宋体" w:cs="宋体"/>
                <w:color w:val="auto"/>
                <w:sz w:val="24"/>
                <w:szCs w:val="24"/>
                <w:highlight w:val="none"/>
              </w:rPr>
              <w:t>证书编号</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59EA4EF6">
            <w:pPr>
              <w:autoSpaceDE w:val="0"/>
              <w:autoSpaceDN w:val="0"/>
              <w:spacing w:line="360" w:lineRule="auto"/>
              <w:jc w:val="center"/>
              <w:rPr>
                <w:rFonts w:hint="eastAsia" w:ascii="宋体" w:hAnsi="宋体" w:eastAsia="宋体" w:cs="宋体"/>
                <w:color w:val="auto"/>
                <w:sz w:val="24"/>
                <w:szCs w:val="24"/>
                <w:highlight w:val="none"/>
                <w:lang w:eastAsia="zh-CN"/>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215A4E6C">
            <w:pPr>
              <w:autoSpaceDE w:val="0"/>
              <w:autoSpaceDN w:val="0"/>
              <w:spacing w:line="360" w:lineRule="auto"/>
              <w:jc w:val="center"/>
              <w:rPr>
                <w:rFonts w:hint="eastAsia" w:ascii="宋体" w:hAnsi="宋体" w:eastAsia="宋体" w:cs="宋体"/>
                <w:color w:val="auto"/>
                <w:sz w:val="24"/>
                <w:szCs w:val="24"/>
                <w:highlight w:val="none"/>
                <w:lang w:eastAsia="zh-CN"/>
              </w:rPr>
            </w:pPr>
          </w:p>
        </w:tc>
        <w:tc>
          <w:tcPr>
            <w:tcW w:w="4695" w:type="dxa"/>
            <w:vMerge w:val="continue"/>
            <w:tcBorders>
              <w:top w:val="single" w:color="auto" w:sz="6" w:space="0"/>
              <w:left w:val="single" w:color="auto" w:sz="6" w:space="0"/>
              <w:bottom w:val="single" w:color="auto" w:sz="6" w:space="0"/>
              <w:right w:val="single" w:color="auto" w:sz="6" w:space="0"/>
            </w:tcBorders>
            <w:noWrap w:val="0"/>
            <w:vAlign w:val="center"/>
          </w:tcPr>
          <w:p w14:paraId="54879352">
            <w:pPr>
              <w:autoSpaceDE w:val="0"/>
              <w:autoSpaceDN w:val="0"/>
              <w:spacing w:line="360" w:lineRule="auto"/>
              <w:jc w:val="center"/>
              <w:rPr>
                <w:rFonts w:hint="eastAsia" w:ascii="宋体" w:hAnsi="宋体" w:eastAsia="宋体" w:cs="宋体"/>
                <w:color w:val="auto"/>
                <w:sz w:val="24"/>
                <w:highlight w:val="none"/>
              </w:rPr>
            </w:pPr>
          </w:p>
        </w:tc>
      </w:tr>
      <w:tr w14:paraId="64D6EC8E">
        <w:tblPrEx>
          <w:tblCellMar>
            <w:top w:w="0" w:type="dxa"/>
            <w:left w:w="108" w:type="dxa"/>
            <w:bottom w:w="0" w:type="dxa"/>
            <w:right w:w="108" w:type="dxa"/>
          </w:tblCellMar>
        </w:tblPrEx>
        <w:trPr>
          <w:cantSplit/>
          <w:trHeight w:val="356"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068748DB">
            <w:pPr>
              <w:autoSpaceDE w:val="0"/>
              <w:autoSpaceDN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其他</w:t>
            </w:r>
            <w:r>
              <w:rPr>
                <w:rFonts w:hint="eastAsia" w:ascii="宋体" w:hAnsi="宋体" w:eastAsia="宋体" w:cs="宋体"/>
                <w:color w:val="auto"/>
                <w:sz w:val="24"/>
                <w:szCs w:val="24"/>
                <w:highlight w:val="none"/>
                <w:lang w:eastAsia="zh-CN"/>
              </w:rPr>
              <w:t>证书</w:t>
            </w:r>
            <w:r>
              <w:rPr>
                <w:rFonts w:hint="eastAsia" w:ascii="宋体" w:hAnsi="宋体" w:eastAsia="宋体" w:cs="宋体"/>
                <w:color w:val="auto"/>
                <w:sz w:val="24"/>
                <w:szCs w:val="24"/>
                <w:highlight w:val="none"/>
              </w:rPr>
              <w:t>情况</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481E565B">
            <w:pPr>
              <w:autoSpaceDE w:val="0"/>
              <w:autoSpaceDN w:val="0"/>
              <w:spacing w:line="360" w:lineRule="auto"/>
              <w:jc w:val="center"/>
              <w:rPr>
                <w:rFonts w:hint="eastAsia" w:ascii="宋体" w:hAnsi="宋体" w:eastAsia="宋体" w:cs="宋体"/>
                <w:color w:val="auto"/>
                <w:sz w:val="24"/>
                <w:szCs w:val="24"/>
                <w:highlight w:val="none"/>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3B7809F5">
            <w:pPr>
              <w:autoSpaceDE w:val="0"/>
              <w:autoSpaceDN w:val="0"/>
              <w:spacing w:line="360" w:lineRule="auto"/>
              <w:jc w:val="center"/>
              <w:rPr>
                <w:rFonts w:hint="eastAsia" w:ascii="宋体" w:hAnsi="宋体" w:eastAsia="宋体" w:cs="宋体"/>
                <w:color w:val="auto"/>
                <w:sz w:val="24"/>
                <w:szCs w:val="24"/>
                <w:highlight w:val="none"/>
              </w:rPr>
            </w:pPr>
          </w:p>
        </w:tc>
        <w:tc>
          <w:tcPr>
            <w:tcW w:w="4695" w:type="dxa"/>
            <w:vMerge w:val="continue"/>
            <w:tcBorders>
              <w:top w:val="single" w:color="auto" w:sz="6" w:space="0"/>
              <w:left w:val="single" w:color="auto" w:sz="6" w:space="0"/>
              <w:bottom w:val="single" w:color="auto" w:sz="6" w:space="0"/>
              <w:right w:val="single" w:color="auto" w:sz="6" w:space="0"/>
            </w:tcBorders>
            <w:noWrap w:val="0"/>
            <w:vAlign w:val="center"/>
          </w:tcPr>
          <w:p w14:paraId="076171BE">
            <w:pPr>
              <w:autoSpaceDE w:val="0"/>
              <w:autoSpaceDN w:val="0"/>
              <w:spacing w:line="360" w:lineRule="auto"/>
              <w:jc w:val="center"/>
              <w:rPr>
                <w:rFonts w:hint="eastAsia" w:ascii="宋体" w:hAnsi="宋体" w:eastAsia="宋体" w:cs="宋体"/>
                <w:color w:val="auto"/>
                <w:sz w:val="24"/>
                <w:highlight w:val="none"/>
              </w:rPr>
            </w:pPr>
          </w:p>
        </w:tc>
      </w:tr>
      <w:tr w14:paraId="6C0659DE">
        <w:tblPrEx>
          <w:tblCellMar>
            <w:top w:w="0" w:type="dxa"/>
            <w:left w:w="108" w:type="dxa"/>
            <w:bottom w:w="0" w:type="dxa"/>
            <w:right w:w="108" w:type="dxa"/>
          </w:tblCellMar>
        </w:tblPrEx>
        <w:trPr>
          <w:cantSplit/>
          <w:trHeight w:val="177"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7EF30995">
            <w:pPr>
              <w:autoSpaceDE w:val="0"/>
              <w:autoSpaceDN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联系电话</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0E5329DD">
            <w:pPr>
              <w:autoSpaceDE w:val="0"/>
              <w:autoSpaceDN w:val="0"/>
              <w:spacing w:line="360" w:lineRule="auto"/>
              <w:jc w:val="center"/>
              <w:rPr>
                <w:rFonts w:hint="eastAsia" w:ascii="宋体" w:hAnsi="宋体" w:eastAsia="宋体" w:cs="宋体"/>
                <w:color w:val="auto"/>
                <w:sz w:val="24"/>
                <w:szCs w:val="24"/>
                <w:highlight w:val="none"/>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3C6727ED">
            <w:pPr>
              <w:autoSpaceDE w:val="0"/>
              <w:autoSpaceDN w:val="0"/>
              <w:spacing w:line="360" w:lineRule="auto"/>
              <w:jc w:val="center"/>
              <w:rPr>
                <w:rFonts w:hint="eastAsia" w:ascii="宋体" w:hAnsi="宋体" w:eastAsia="宋体" w:cs="宋体"/>
                <w:color w:val="auto"/>
                <w:sz w:val="24"/>
                <w:szCs w:val="24"/>
                <w:highlight w:val="none"/>
              </w:rPr>
            </w:pPr>
          </w:p>
        </w:tc>
        <w:tc>
          <w:tcPr>
            <w:tcW w:w="4695" w:type="dxa"/>
            <w:vMerge w:val="continue"/>
            <w:tcBorders>
              <w:top w:val="single" w:color="auto" w:sz="6" w:space="0"/>
              <w:left w:val="single" w:color="auto" w:sz="6" w:space="0"/>
              <w:bottom w:val="single" w:color="auto" w:sz="6" w:space="0"/>
              <w:right w:val="single" w:color="auto" w:sz="6" w:space="0"/>
            </w:tcBorders>
            <w:noWrap w:val="0"/>
            <w:vAlign w:val="center"/>
          </w:tcPr>
          <w:p w14:paraId="2341929F">
            <w:pPr>
              <w:autoSpaceDE w:val="0"/>
              <w:autoSpaceDN w:val="0"/>
              <w:spacing w:line="360" w:lineRule="auto"/>
              <w:jc w:val="center"/>
              <w:rPr>
                <w:rFonts w:hint="eastAsia" w:ascii="宋体" w:hAnsi="宋体" w:eastAsia="宋体" w:cs="宋体"/>
                <w:color w:val="auto"/>
                <w:sz w:val="24"/>
                <w:highlight w:val="none"/>
              </w:rPr>
            </w:pPr>
          </w:p>
        </w:tc>
      </w:tr>
      <w:tr w14:paraId="345D580C">
        <w:tblPrEx>
          <w:tblCellMar>
            <w:top w:w="0" w:type="dxa"/>
            <w:left w:w="108" w:type="dxa"/>
            <w:bottom w:w="0" w:type="dxa"/>
            <w:right w:w="108" w:type="dxa"/>
          </w:tblCellMar>
        </w:tblPrEx>
        <w:trPr>
          <w:cantSplit/>
          <w:trHeight w:val="169"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3436BC18">
            <w:pPr>
              <w:autoSpaceDE w:val="0"/>
              <w:autoSpaceDN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性别</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69C0BAD0">
            <w:pPr>
              <w:autoSpaceDE w:val="0"/>
              <w:autoSpaceDN w:val="0"/>
              <w:spacing w:line="360" w:lineRule="auto"/>
              <w:jc w:val="center"/>
              <w:rPr>
                <w:rFonts w:hint="eastAsia" w:ascii="宋体" w:hAnsi="宋体" w:eastAsia="宋体" w:cs="宋体"/>
                <w:color w:val="auto"/>
                <w:sz w:val="24"/>
                <w:szCs w:val="24"/>
                <w:highlight w:val="none"/>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1EBC8F75">
            <w:pPr>
              <w:autoSpaceDE w:val="0"/>
              <w:autoSpaceDN w:val="0"/>
              <w:spacing w:line="360" w:lineRule="auto"/>
              <w:jc w:val="center"/>
              <w:rPr>
                <w:rFonts w:hint="eastAsia" w:ascii="宋体" w:hAnsi="宋体" w:eastAsia="宋体" w:cs="宋体"/>
                <w:color w:val="auto"/>
                <w:sz w:val="24"/>
                <w:szCs w:val="24"/>
                <w:highlight w:val="none"/>
              </w:rPr>
            </w:pPr>
          </w:p>
        </w:tc>
        <w:tc>
          <w:tcPr>
            <w:tcW w:w="4695" w:type="dxa"/>
            <w:vMerge w:val="continue"/>
            <w:tcBorders>
              <w:top w:val="single" w:color="auto" w:sz="6" w:space="0"/>
              <w:left w:val="single" w:color="auto" w:sz="6" w:space="0"/>
              <w:bottom w:val="single" w:color="auto" w:sz="6" w:space="0"/>
              <w:right w:val="single" w:color="auto" w:sz="6" w:space="0"/>
            </w:tcBorders>
            <w:noWrap w:val="0"/>
            <w:vAlign w:val="center"/>
          </w:tcPr>
          <w:p w14:paraId="4E4791EF">
            <w:pPr>
              <w:autoSpaceDE w:val="0"/>
              <w:autoSpaceDN w:val="0"/>
              <w:spacing w:line="360" w:lineRule="auto"/>
              <w:jc w:val="center"/>
              <w:rPr>
                <w:rFonts w:hint="eastAsia" w:ascii="宋体" w:hAnsi="宋体" w:eastAsia="宋体" w:cs="宋体"/>
                <w:color w:val="auto"/>
                <w:sz w:val="24"/>
                <w:highlight w:val="none"/>
              </w:rPr>
            </w:pPr>
          </w:p>
        </w:tc>
      </w:tr>
    </w:tbl>
    <w:p w14:paraId="051F2FCD">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注：供应商可</w:t>
      </w:r>
      <w:r>
        <w:rPr>
          <w:rFonts w:hint="eastAsia" w:ascii="宋体" w:hAnsi="宋体" w:eastAsia="宋体" w:cs="宋体"/>
          <w:b/>
          <w:color w:val="auto"/>
          <w:sz w:val="24"/>
          <w:highlight w:val="none"/>
          <w:lang w:eastAsia="zh-CN"/>
        </w:rPr>
        <w:t>参照</w:t>
      </w:r>
      <w:r>
        <w:rPr>
          <w:rFonts w:hint="eastAsia" w:ascii="宋体" w:hAnsi="宋体" w:eastAsia="宋体" w:cs="宋体"/>
          <w:b/>
          <w:color w:val="auto"/>
          <w:sz w:val="24"/>
          <w:highlight w:val="none"/>
        </w:rPr>
        <w:t>上述的格式自行编制，并注明所在</w:t>
      </w:r>
      <w:r>
        <w:rPr>
          <w:rFonts w:hint="eastAsia" w:ascii="宋体" w:hAnsi="宋体" w:eastAsia="宋体" w:cs="宋体"/>
          <w:b/>
          <w:color w:val="auto"/>
          <w:sz w:val="24"/>
          <w:highlight w:val="none"/>
          <w:lang w:eastAsia="zh-CN"/>
        </w:rPr>
        <w:t>商务</w:t>
      </w:r>
      <w:r>
        <w:rPr>
          <w:rFonts w:hint="eastAsia" w:ascii="宋体" w:hAnsi="宋体" w:eastAsia="宋体" w:cs="宋体"/>
          <w:b/>
          <w:color w:val="auto"/>
          <w:sz w:val="24"/>
          <w:highlight w:val="none"/>
        </w:rPr>
        <w:t>技术文件页码。</w:t>
      </w:r>
    </w:p>
    <w:p w14:paraId="489E4C9C">
      <w:pPr>
        <w:autoSpaceDE w:val="0"/>
        <w:autoSpaceDN w:val="0"/>
        <w:spacing w:line="360" w:lineRule="auto"/>
        <w:rPr>
          <w:rFonts w:hint="eastAsia" w:ascii="宋体" w:hAnsi="宋体" w:eastAsia="宋体" w:cs="宋体"/>
          <w:b/>
          <w:color w:val="auto"/>
          <w:sz w:val="24"/>
          <w:highlight w:val="none"/>
        </w:rPr>
      </w:pPr>
    </w:p>
    <w:p w14:paraId="62DD0BE1">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附表B</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rPr>
        <w:t>本项目的项目小组人员情况表</w:t>
      </w:r>
    </w:p>
    <w:tbl>
      <w:tblPr>
        <w:tblStyle w:val="28"/>
        <w:tblW w:w="0" w:type="auto"/>
        <w:tblInd w:w="108" w:type="dxa"/>
        <w:tblLayout w:type="fixed"/>
        <w:tblCellMar>
          <w:top w:w="0" w:type="dxa"/>
          <w:left w:w="108" w:type="dxa"/>
          <w:bottom w:w="0" w:type="dxa"/>
          <w:right w:w="108" w:type="dxa"/>
        </w:tblCellMar>
      </w:tblPr>
      <w:tblGrid>
        <w:gridCol w:w="420"/>
        <w:gridCol w:w="787"/>
        <w:gridCol w:w="412"/>
        <w:gridCol w:w="586"/>
        <w:gridCol w:w="1035"/>
        <w:gridCol w:w="1080"/>
        <w:gridCol w:w="1392"/>
        <w:gridCol w:w="948"/>
        <w:gridCol w:w="900"/>
        <w:gridCol w:w="1470"/>
      </w:tblGrid>
      <w:tr w14:paraId="517ABC99">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noWrap w:val="0"/>
            <w:vAlign w:val="center"/>
          </w:tcPr>
          <w:p w14:paraId="48AD4F8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643B7CE1">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48E0A41A">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noWrap w:val="0"/>
            <w:vAlign w:val="center"/>
          </w:tcPr>
          <w:p w14:paraId="1102046C">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noWrap w:val="0"/>
            <w:vAlign w:val="center"/>
          </w:tcPr>
          <w:p w14:paraId="1272AE1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p w14:paraId="7354529B">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5187BBE8">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p w14:paraId="029C1E8E">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392" w:type="dxa"/>
            <w:tcBorders>
              <w:top w:val="single" w:color="auto" w:sz="6" w:space="0"/>
              <w:left w:val="single" w:color="auto" w:sz="6" w:space="0"/>
              <w:bottom w:val="single" w:color="auto" w:sz="6" w:space="0"/>
              <w:right w:val="single" w:color="auto" w:sz="6" w:space="0"/>
            </w:tcBorders>
            <w:noWrap w:val="0"/>
            <w:vAlign w:val="center"/>
          </w:tcPr>
          <w:p w14:paraId="3EBCE7A6">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职称</w:t>
            </w:r>
            <w:r>
              <w:rPr>
                <w:rFonts w:hint="eastAsia" w:ascii="宋体" w:hAnsi="宋体" w:eastAsia="宋体" w:cs="宋体"/>
                <w:color w:val="auto"/>
                <w:sz w:val="24"/>
                <w:szCs w:val="24"/>
                <w:highlight w:val="none"/>
                <w:lang w:eastAsia="zh-CN"/>
              </w:rPr>
              <w:t>或职业资格证书</w:t>
            </w:r>
            <w:r>
              <w:rPr>
                <w:rFonts w:hint="eastAsia" w:ascii="宋体" w:hAnsi="宋体" w:eastAsia="宋体" w:cs="宋体"/>
                <w:color w:val="auto"/>
                <w:sz w:val="24"/>
                <w:highlight w:val="none"/>
              </w:rPr>
              <w:t>(页码)</w:t>
            </w:r>
          </w:p>
        </w:tc>
        <w:tc>
          <w:tcPr>
            <w:tcW w:w="948" w:type="dxa"/>
            <w:tcBorders>
              <w:top w:val="single" w:color="auto" w:sz="6" w:space="0"/>
              <w:left w:val="single" w:color="auto" w:sz="6" w:space="0"/>
              <w:bottom w:val="single" w:color="auto" w:sz="6" w:space="0"/>
              <w:right w:val="single" w:color="auto" w:sz="6" w:space="0"/>
            </w:tcBorders>
            <w:noWrap w:val="0"/>
            <w:vAlign w:val="center"/>
          </w:tcPr>
          <w:p w14:paraId="411688AD">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132060EC">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noWrap w:val="0"/>
            <w:vAlign w:val="center"/>
          </w:tcPr>
          <w:p w14:paraId="0B93F74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参与本项目的到位情况</w:t>
            </w:r>
          </w:p>
        </w:tc>
      </w:tr>
      <w:tr w14:paraId="4E72A861">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282223E7">
            <w:pPr>
              <w:autoSpaceDE w:val="0"/>
              <w:autoSpaceDN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0B45FE9C">
            <w:pPr>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4A298C1F">
            <w:pPr>
              <w:autoSpaceDE w:val="0"/>
              <w:autoSpaceDN w:val="0"/>
              <w:spacing w:line="360" w:lineRule="auto"/>
              <w:rPr>
                <w:rFonts w:hint="eastAsia" w:ascii="宋体" w:hAnsi="宋体" w:eastAsia="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5B8626FC">
            <w:pPr>
              <w:autoSpaceDE w:val="0"/>
              <w:autoSpaceDN w:val="0"/>
              <w:spacing w:line="360" w:lineRule="auto"/>
              <w:rPr>
                <w:rFonts w:hint="eastAsia" w:ascii="宋体" w:hAnsi="宋体" w:eastAsia="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596E4AC1">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3977191">
            <w:pPr>
              <w:autoSpaceDE w:val="0"/>
              <w:autoSpaceDN w:val="0"/>
              <w:spacing w:line="360" w:lineRule="auto"/>
              <w:rPr>
                <w:rFonts w:hint="eastAsia" w:ascii="宋体" w:hAnsi="宋体" w:eastAsia="宋体" w:cs="宋体"/>
                <w:color w:val="auto"/>
                <w:sz w:val="24"/>
                <w:highlight w:val="none"/>
              </w:rPr>
            </w:pPr>
          </w:p>
        </w:tc>
        <w:tc>
          <w:tcPr>
            <w:tcW w:w="1392" w:type="dxa"/>
            <w:tcBorders>
              <w:top w:val="single" w:color="auto" w:sz="6" w:space="0"/>
              <w:left w:val="single" w:color="auto" w:sz="6" w:space="0"/>
              <w:bottom w:val="single" w:color="auto" w:sz="6" w:space="0"/>
              <w:right w:val="single" w:color="auto" w:sz="6" w:space="0"/>
            </w:tcBorders>
            <w:noWrap w:val="0"/>
            <w:vAlign w:val="top"/>
          </w:tcPr>
          <w:p w14:paraId="47362771">
            <w:pPr>
              <w:autoSpaceDE w:val="0"/>
              <w:autoSpaceDN w:val="0"/>
              <w:spacing w:line="360" w:lineRule="auto"/>
              <w:rPr>
                <w:rFonts w:hint="eastAsia" w:ascii="宋体" w:hAnsi="宋体" w:eastAsia="宋体" w:cs="宋体"/>
                <w:color w:val="auto"/>
                <w:sz w:val="24"/>
                <w:highlight w:val="none"/>
              </w:rPr>
            </w:pPr>
          </w:p>
        </w:tc>
        <w:tc>
          <w:tcPr>
            <w:tcW w:w="948" w:type="dxa"/>
            <w:tcBorders>
              <w:top w:val="single" w:color="auto" w:sz="6" w:space="0"/>
              <w:left w:val="single" w:color="auto" w:sz="6" w:space="0"/>
              <w:bottom w:val="single" w:color="auto" w:sz="6" w:space="0"/>
              <w:right w:val="single" w:color="auto" w:sz="6" w:space="0"/>
            </w:tcBorders>
            <w:noWrap w:val="0"/>
            <w:vAlign w:val="top"/>
          </w:tcPr>
          <w:p w14:paraId="355E9407">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7FFF7EE5">
            <w:pPr>
              <w:autoSpaceDE w:val="0"/>
              <w:autoSpaceDN w:val="0"/>
              <w:spacing w:line="360" w:lineRule="auto"/>
              <w:rPr>
                <w:rFonts w:hint="eastAsia" w:ascii="宋体" w:hAnsi="宋体" w:eastAsia="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47479A1D">
            <w:pPr>
              <w:autoSpaceDE w:val="0"/>
              <w:autoSpaceDN w:val="0"/>
              <w:spacing w:line="360" w:lineRule="auto"/>
              <w:rPr>
                <w:rFonts w:hint="eastAsia" w:ascii="宋体" w:hAnsi="宋体" w:eastAsia="宋体" w:cs="宋体"/>
                <w:color w:val="auto"/>
                <w:sz w:val="24"/>
                <w:highlight w:val="none"/>
              </w:rPr>
            </w:pPr>
          </w:p>
        </w:tc>
      </w:tr>
      <w:tr w14:paraId="28B5A095">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1DA09045">
            <w:pPr>
              <w:autoSpaceDE w:val="0"/>
              <w:autoSpaceDN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0231B41D">
            <w:pPr>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7F7826FA">
            <w:pPr>
              <w:autoSpaceDE w:val="0"/>
              <w:autoSpaceDN w:val="0"/>
              <w:spacing w:line="360" w:lineRule="auto"/>
              <w:rPr>
                <w:rFonts w:hint="eastAsia" w:ascii="宋体" w:hAnsi="宋体" w:eastAsia="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2AFD14F4">
            <w:pPr>
              <w:autoSpaceDE w:val="0"/>
              <w:autoSpaceDN w:val="0"/>
              <w:spacing w:line="360" w:lineRule="auto"/>
              <w:rPr>
                <w:rFonts w:hint="eastAsia" w:ascii="宋体" w:hAnsi="宋体" w:eastAsia="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2F4963A6">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72B0A71">
            <w:pPr>
              <w:autoSpaceDE w:val="0"/>
              <w:autoSpaceDN w:val="0"/>
              <w:spacing w:line="360" w:lineRule="auto"/>
              <w:rPr>
                <w:rFonts w:hint="eastAsia" w:ascii="宋体" w:hAnsi="宋体" w:eastAsia="宋体" w:cs="宋体"/>
                <w:color w:val="auto"/>
                <w:sz w:val="24"/>
                <w:highlight w:val="none"/>
              </w:rPr>
            </w:pPr>
          </w:p>
        </w:tc>
        <w:tc>
          <w:tcPr>
            <w:tcW w:w="1392" w:type="dxa"/>
            <w:tcBorders>
              <w:top w:val="single" w:color="auto" w:sz="6" w:space="0"/>
              <w:left w:val="single" w:color="auto" w:sz="6" w:space="0"/>
              <w:bottom w:val="single" w:color="auto" w:sz="6" w:space="0"/>
              <w:right w:val="single" w:color="auto" w:sz="6" w:space="0"/>
            </w:tcBorders>
            <w:noWrap w:val="0"/>
            <w:vAlign w:val="top"/>
          </w:tcPr>
          <w:p w14:paraId="1EC19069">
            <w:pPr>
              <w:autoSpaceDE w:val="0"/>
              <w:autoSpaceDN w:val="0"/>
              <w:spacing w:line="360" w:lineRule="auto"/>
              <w:rPr>
                <w:rFonts w:hint="eastAsia" w:ascii="宋体" w:hAnsi="宋体" w:eastAsia="宋体" w:cs="宋体"/>
                <w:color w:val="auto"/>
                <w:sz w:val="24"/>
                <w:highlight w:val="none"/>
              </w:rPr>
            </w:pPr>
          </w:p>
        </w:tc>
        <w:tc>
          <w:tcPr>
            <w:tcW w:w="948" w:type="dxa"/>
            <w:tcBorders>
              <w:top w:val="single" w:color="auto" w:sz="6" w:space="0"/>
              <w:left w:val="single" w:color="auto" w:sz="6" w:space="0"/>
              <w:bottom w:val="single" w:color="auto" w:sz="6" w:space="0"/>
              <w:right w:val="single" w:color="auto" w:sz="6" w:space="0"/>
            </w:tcBorders>
            <w:noWrap w:val="0"/>
            <w:vAlign w:val="top"/>
          </w:tcPr>
          <w:p w14:paraId="36D0EDBC">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4D7C2A2C">
            <w:pPr>
              <w:autoSpaceDE w:val="0"/>
              <w:autoSpaceDN w:val="0"/>
              <w:spacing w:line="360" w:lineRule="auto"/>
              <w:rPr>
                <w:rFonts w:hint="eastAsia" w:ascii="宋体" w:hAnsi="宋体" w:eastAsia="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30400601">
            <w:pPr>
              <w:autoSpaceDE w:val="0"/>
              <w:autoSpaceDN w:val="0"/>
              <w:spacing w:line="360" w:lineRule="auto"/>
              <w:rPr>
                <w:rFonts w:hint="eastAsia" w:ascii="宋体" w:hAnsi="宋体" w:eastAsia="宋体" w:cs="宋体"/>
                <w:color w:val="auto"/>
                <w:sz w:val="24"/>
                <w:highlight w:val="none"/>
              </w:rPr>
            </w:pPr>
          </w:p>
        </w:tc>
      </w:tr>
    </w:tbl>
    <w:p w14:paraId="51377898">
      <w:pPr>
        <w:spacing w:line="360" w:lineRule="auto"/>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注：供应商可</w:t>
      </w:r>
      <w:r>
        <w:rPr>
          <w:rFonts w:hint="eastAsia" w:ascii="宋体" w:hAnsi="宋体" w:eastAsia="宋体" w:cs="宋体"/>
          <w:b/>
          <w:color w:val="auto"/>
          <w:sz w:val="24"/>
          <w:highlight w:val="none"/>
          <w:lang w:eastAsia="zh-CN"/>
        </w:rPr>
        <w:t>参照</w:t>
      </w:r>
      <w:r>
        <w:rPr>
          <w:rFonts w:hint="eastAsia" w:ascii="宋体" w:hAnsi="宋体" w:eastAsia="宋体" w:cs="宋体"/>
          <w:b/>
          <w:color w:val="auto"/>
          <w:sz w:val="24"/>
          <w:highlight w:val="none"/>
        </w:rPr>
        <w:t>上述的格式自行编制，并注明所在</w:t>
      </w:r>
      <w:r>
        <w:rPr>
          <w:rFonts w:hint="eastAsia" w:ascii="宋体" w:hAnsi="宋体" w:eastAsia="宋体" w:cs="宋体"/>
          <w:b/>
          <w:color w:val="auto"/>
          <w:sz w:val="24"/>
          <w:highlight w:val="none"/>
          <w:lang w:eastAsia="zh-CN"/>
        </w:rPr>
        <w:t>商务</w:t>
      </w:r>
      <w:r>
        <w:rPr>
          <w:rFonts w:hint="eastAsia" w:ascii="宋体" w:hAnsi="宋体" w:eastAsia="宋体" w:cs="宋体"/>
          <w:b/>
          <w:color w:val="auto"/>
          <w:sz w:val="24"/>
          <w:highlight w:val="none"/>
        </w:rPr>
        <w:t>技术文件页码。</w:t>
      </w:r>
    </w:p>
    <w:p w14:paraId="1DFF9586">
      <w:pPr>
        <w:snapToGrid w:val="0"/>
        <w:spacing w:line="360" w:lineRule="auto"/>
        <w:ind w:firstLine="602" w:firstLineChars="200"/>
        <w:rPr>
          <w:rFonts w:hint="eastAsia" w:ascii="宋体" w:hAnsi="宋体" w:eastAsia="宋体" w:cs="宋体"/>
          <w:b/>
          <w:color w:val="auto"/>
          <w:sz w:val="30"/>
          <w:szCs w:val="30"/>
          <w:highlight w:val="none"/>
        </w:rPr>
      </w:pPr>
    </w:p>
    <w:p w14:paraId="5A77197C">
      <w:pPr>
        <w:autoSpaceDE w:val="0"/>
        <w:autoSpaceDN w:val="0"/>
        <w:spacing w:line="360" w:lineRule="auto"/>
        <w:ind w:firstLine="6505" w:firstLineChars="2700"/>
        <w:rPr>
          <w:rFonts w:hint="eastAsia" w:ascii="宋体" w:hAnsi="宋体" w:eastAsia="宋体" w:cs="宋体"/>
          <w:b/>
          <w:bCs/>
          <w:color w:val="auto"/>
          <w:sz w:val="24"/>
          <w:highlight w:val="none"/>
        </w:rPr>
      </w:pPr>
    </w:p>
    <w:p w14:paraId="5EE822B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067979E4">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9DEC837">
      <w:pPr>
        <w:autoSpaceDE w:val="0"/>
        <w:autoSpaceDN w:val="0"/>
        <w:spacing w:line="360" w:lineRule="auto"/>
        <w:ind w:firstLine="6505" w:firstLineChars="2700"/>
        <w:rPr>
          <w:rFonts w:hint="eastAsia" w:ascii="宋体" w:hAnsi="宋体" w:eastAsia="宋体" w:cs="宋体"/>
          <w:b/>
          <w:bCs/>
          <w:color w:val="auto"/>
          <w:sz w:val="24"/>
          <w:highlight w:val="none"/>
        </w:rPr>
      </w:pPr>
    </w:p>
    <w:p w14:paraId="6BCB394B">
      <w:pPr>
        <w:pStyle w:val="3"/>
        <w:jc w:val="center"/>
        <w:rPr>
          <w:rFonts w:hint="eastAsia" w:ascii="宋体" w:hAnsi="宋体" w:eastAsia="宋体" w:cs="宋体"/>
          <w:color w:val="auto"/>
          <w:highlight w:val="none"/>
        </w:rPr>
      </w:pPr>
      <w:bookmarkStart w:id="130" w:name="_Toc80886945"/>
      <w:bookmarkStart w:id="131" w:name="_Toc80205941"/>
      <w:bookmarkStart w:id="132" w:name="_Toc12611"/>
      <w:bookmarkStart w:id="133" w:name="_Toc31035"/>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节 报价文件格式</w:t>
      </w:r>
      <w:bookmarkEnd w:id="130"/>
      <w:bookmarkEnd w:id="131"/>
      <w:bookmarkEnd w:id="132"/>
      <w:bookmarkEnd w:id="133"/>
    </w:p>
    <w:p w14:paraId="0D4C8F6B">
      <w:pPr>
        <w:pStyle w:val="21"/>
        <w:rPr>
          <w:rFonts w:hint="eastAsia" w:ascii="宋体" w:hAnsi="宋体" w:eastAsia="宋体" w:cs="宋体"/>
          <w:color w:val="auto"/>
          <w:highlight w:val="none"/>
          <w:lang w:val="zh-CN" w:eastAsia="zh-CN"/>
        </w:rPr>
      </w:pPr>
      <w:r>
        <w:rPr>
          <w:rFonts w:hint="eastAsia" w:ascii="宋体" w:hAnsi="宋体" w:eastAsia="宋体" w:cs="宋体"/>
          <w:color w:val="auto"/>
          <w:sz w:val="24"/>
          <w:highlight w:val="none"/>
        </w:rPr>
        <w:t xml:space="preserve">  </w:t>
      </w:r>
      <w:r>
        <w:rPr>
          <w:rFonts w:hint="eastAsia" w:ascii="宋体" w:hAnsi="宋体" w:eastAsia="宋体" w:cs="宋体"/>
          <w:b/>
          <w:bCs/>
          <w:color w:val="auto"/>
          <w:sz w:val="28"/>
          <w:szCs w:val="28"/>
          <w:highlight w:val="none"/>
          <w:lang w:val="en-US" w:eastAsia="zh-CN"/>
        </w:rPr>
        <w:t>1.</w:t>
      </w:r>
      <w:r>
        <w:rPr>
          <w:rFonts w:hint="eastAsia" w:ascii="宋体" w:hAnsi="宋体" w:eastAsia="宋体" w:cs="宋体"/>
          <w:b/>
          <w:bCs/>
          <w:color w:val="auto"/>
          <w:sz w:val="28"/>
          <w:szCs w:val="28"/>
          <w:highlight w:val="none"/>
        </w:rPr>
        <w:t>报价文件</w:t>
      </w:r>
      <w:r>
        <w:rPr>
          <w:rFonts w:hint="eastAsia" w:ascii="宋体" w:hAnsi="宋体" w:eastAsia="宋体" w:cs="宋体"/>
          <w:b/>
          <w:bCs/>
          <w:color w:val="auto"/>
          <w:sz w:val="28"/>
          <w:szCs w:val="28"/>
          <w:highlight w:val="none"/>
          <w:lang w:eastAsia="zh-CN"/>
        </w:rPr>
        <w:t>封面的格式</w:t>
      </w:r>
      <w:r>
        <w:rPr>
          <w:rFonts w:hint="eastAsia" w:ascii="宋体" w:hAnsi="宋体" w:eastAsia="宋体" w:cs="宋体"/>
          <w:b/>
          <w:color w:val="auto"/>
          <w:sz w:val="28"/>
          <w:szCs w:val="28"/>
          <w:highlight w:val="none"/>
        </w:rPr>
        <w:t>（参照此格式自拟）</w:t>
      </w:r>
      <w:r>
        <w:rPr>
          <w:rFonts w:hint="eastAsia" w:ascii="宋体" w:hAnsi="宋体" w:eastAsia="宋体" w:cs="宋体"/>
          <w:b/>
          <w:bCs/>
          <w:color w:val="auto"/>
          <w:sz w:val="28"/>
          <w:szCs w:val="28"/>
          <w:highlight w:val="none"/>
          <w:lang w:eastAsia="zh-CN"/>
        </w:rPr>
        <w:t>：</w:t>
      </w:r>
    </w:p>
    <w:p w14:paraId="6F846230">
      <w:pPr>
        <w:snapToGrid w:val="0"/>
        <w:spacing w:before="120" w:beforeLines="50" w:after="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32CA985">
      <w:pPr>
        <w:snapToGrid w:val="0"/>
        <w:spacing w:before="120" w:beforeLines="50" w:after="50"/>
        <w:ind w:firstLine="6720" w:firstLineChars="3200"/>
        <w:rPr>
          <w:rFonts w:hint="eastAsia" w:ascii="宋体" w:hAnsi="宋体" w:eastAsia="宋体" w:cs="宋体"/>
          <w:bCs/>
          <w:color w:val="auto"/>
          <w:sz w:val="32"/>
          <w:szCs w:val="20"/>
          <w:highlight w:val="none"/>
        </w:rPr>
      </w:pPr>
      <w:r>
        <w:rPr>
          <w:rFonts w:hint="eastAsia" w:ascii="宋体" w:hAnsi="宋体" w:eastAsia="宋体" w:cs="宋体"/>
          <w:bCs/>
          <w:color w:val="auto"/>
          <w:highlight w:val="none"/>
        </w:rPr>
        <w:t>全流程电子文件</w:t>
      </w:r>
    </w:p>
    <w:p w14:paraId="17659989">
      <w:pPr>
        <w:snapToGrid w:val="0"/>
        <w:spacing w:before="120" w:beforeLines="50" w:after="50"/>
        <w:rPr>
          <w:rFonts w:hint="eastAsia" w:ascii="宋体" w:hAnsi="宋体" w:eastAsia="宋体" w:cs="宋体"/>
          <w:color w:val="auto"/>
          <w:sz w:val="24"/>
          <w:szCs w:val="20"/>
          <w:highlight w:val="none"/>
        </w:rPr>
      </w:pPr>
    </w:p>
    <w:p w14:paraId="64CBB00A">
      <w:pPr>
        <w:snapToGrid w:val="0"/>
        <w:spacing w:before="120" w:beforeLines="50" w:after="50"/>
        <w:rPr>
          <w:rFonts w:hint="eastAsia" w:ascii="宋体" w:hAnsi="宋体" w:eastAsia="宋体" w:cs="宋体"/>
          <w:color w:val="auto"/>
          <w:sz w:val="24"/>
          <w:szCs w:val="20"/>
          <w:highlight w:val="none"/>
        </w:rPr>
      </w:pPr>
    </w:p>
    <w:p w14:paraId="4036D205">
      <w:pPr>
        <w:snapToGrid w:val="0"/>
        <w:spacing w:before="120" w:beforeLines="50" w:after="50"/>
        <w:rPr>
          <w:rFonts w:hint="eastAsia" w:ascii="宋体" w:hAnsi="宋体" w:eastAsia="宋体" w:cs="宋体"/>
          <w:color w:val="auto"/>
          <w:sz w:val="24"/>
          <w:szCs w:val="20"/>
          <w:highlight w:val="none"/>
        </w:rPr>
      </w:pPr>
    </w:p>
    <w:p w14:paraId="10FC9A73">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w:t>
      </w:r>
    </w:p>
    <w:p w14:paraId="1BA349D1">
      <w:pPr>
        <w:snapToGrid w:val="0"/>
        <w:spacing w:before="120" w:beforeLines="50" w:after="50"/>
        <w:rPr>
          <w:rFonts w:hint="eastAsia" w:ascii="宋体" w:hAnsi="宋体" w:eastAsia="宋体" w:cs="宋体"/>
          <w:bCs/>
          <w:color w:val="auto"/>
          <w:sz w:val="24"/>
          <w:szCs w:val="20"/>
          <w:highlight w:val="none"/>
        </w:rPr>
      </w:pPr>
    </w:p>
    <w:p w14:paraId="3C69DC7D">
      <w:pPr>
        <w:snapToGrid w:val="0"/>
        <w:spacing w:before="120" w:beforeLines="50" w:after="50"/>
        <w:rPr>
          <w:rFonts w:hint="eastAsia" w:ascii="宋体" w:hAnsi="宋体" w:eastAsia="宋体" w:cs="宋体"/>
          <w:bCs/>
          <w:color w:val="auto"/>
          <w:sz w:val="24"/>
          <w:szCs w:val="20"/>
          <w:highlight w:val="none"/>
        </w:rPr>
      </w:pPr>
    </w:p>
    <w:p w14:paraId="242CD3DC">
      <w:pPr>
        <w:snapToGrid w:val="0"/>
        <w:spacing w:before="120" w:beforeLines="50" w:after="50"/>
        <w:rPr>
          <w:rFonts w:hint="eastAsia" w:ascii="宋体" w:hAnsi="宋体" w:eastAsia="宋体" w:cs="宋体"/>
          <w:bCs/>
          <w:color w:val="auto"/>
          <w:sz w:val="24"/>
          <w:szCs w:val="20"/>
          <w:highlight w:val="none"/>
        </w:rPr>
      </w:pPr>
    </w:p>
    <w:p w14:paraId="12B5CA92">
      <w:pPr>
        <w:snapToGrid w:val="0"/>
        <w:spacing w:before="120" w:beforeLines="50" w:after="50"/>
        <w:rPr>
          <w:rFonts w:hint="eastAsia" w:ascii="宋体" w:hAnsi="宋体" w:eastAsia="宋体" w:cs="宋体"/>
          <w:bCs/>
          <w:color w:val="auto"/>
          <w:sz w:val="24"/>
          <w:szCs w:val="20"/>
          <w:highlight w:val="none"/>
        </w:rPr>
      </w:pPr>
    </w:p>
    <w:p w14:paraId="6E00AD4C">
      <w:pPr>
        <w:snapToGrid w:val="0"/>
        <w:spacing w:before="120" w:beforeLines="50" w:after="50"/>
        <w:rPr>
          <w:rFonts w:hint="eastAsia" w:ascii="宋体" w:hAnsi="宋体" w:eastAsia="宋体" w:cs="宋体"/>
          <w:bCs/>
          <w:color w:val="auto"/>
          <w:sz w:val="24"/>
          <w:szCs w:val="20"/>
          <w:highlight w:val="none"/>
        </w:rPr>
      </w:pPr>
    </w:p>
    <w:p w14:paraId="6F8EB6C6">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04968EBE">
      <w:pPr>
        <w:snapToGrid w:val="0"/>
        <w:spacing w:before="120" w:beforeLines="50" w:after="50"/>
        <w:ind w:firstLine="720" w:firstLineChars="225"/>
        <w:rPr>
          <w:rFonts w:hint="eastAsia" w:ascii="宋体" w:hAnsi="宋体" w:eastAsia="宋体" w:cs="宋体"/>
          <w:bCs/>
          <w:color w:val="auto"/>
          <w:sz w:val="32"/>
          <w:szCs w:val="32"/>
          <w:highlight w:val="none"/>
        </w:rPr>
      </w:pPr>
    </w:p>
    <w:p w14:paraId="2A6B5C50">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5D1EC898">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0E714DD8">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49842E9A">
      <w:pPr>
        <w:snapToGrid w:val="0"/>
        <w:spacing w:before="120" w:beforeLines="50" w:after="50"/>
        <w:ind w:firstLine="720" w:firstLineChars="225"/>
        <w:rPr>
          <w:rFonts w:hint="eastAsia" w:ascii="宋体" w:hAnsi="宋体" w:eastAsia="宋体" w:cs="宋体"/>
          <w:bCs/>
          <w:color w:val="auto"/>
          <w:sz w:val="32"/>
          <w:szCs w:val="32"/>
          <w:highlight w:val="none"/>
        </w:rPr>
      </w:pPr>
    </w:p>
    <w:p w14:paraId="5E478C0D">
      <w:pPr>
        <w:pStyle w:val="6"/>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602D11F">
      <w:pPr>
        <w:pStyle w:val="6"/>
        <w:snapToGrid w:val="0"/>
        <w:spacing w:before="50" w:after="50"/>
        <w:ind w:firstLine="720" w:firstLineChars="225"/>
        <w:rPr>
          <w:rFonts w:hint="eastAsia" w:ascii="宋体" w:hAnsi="宋体" w:eastAsia="宋体" w:cs="宋体"/>
          <w:bCs/>
          <w:color w:val="auto"/>
          <w:sz w:val="32"/>
          <w:szCs w:val="32"/>
          <w:highlight w:val="none"/>
        </w:rPr>
      </w:pPr>
    </w:p>
    <w:p w14:paraId="481D91DA">
      <w:pPr>
        <w:pStyle w:val="6"/>
        <w:snapToGrid w:val="0"/>
        <w:spacing w:before="50" w:after="50"/>
        <w:ind w:firstLine="720" w:firstLineChars="225"/>
        <w:rPr>
          <w:rFonts w:hint="eastAsia" w:ascii="宋体" w:hAnsi="宋体" w:eastAsia="宋体" w:cs="宋体"/>
          <w:bCs/>
          <w:color w:val="auto"/>
          <w:sz w:val="32"/>
          <w:szCs w:val="32"/>
          <w:highlight w:val="none"/>
        </w:rPr>
      </w:pPr>
    </w:p>
    <w:p w14:paraId="0B18841F">
      <w:pPr>
        <w:pStyle w:val="6"/>
        <w:snapToGrid w:val="0"/>
        <w:spacing w:before="50" w:after="50"/>
        <w:ind w:firstLine="1280" w:firstLineChars="400"/>
        <w:rPr>
          <w:rFonts w:hint="eastAsia" w:ascii="宋体" w:hAnsi="宋体" w:eastAsia="宋体" w:cs="宋体"/>
          <w:bCs/>
          <w:color w:val="auto"/>
          <w:sz w:val="32"/>
          <w:szCs w:val="32"/>
          <w:highlight w:val="none"/>
        </w:rPr>
      </w:pPr>
    </w:p>
    <w:p w14:paraId="4EA9405B">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46D06622">
      <w:pPr>
        <w:snapToGrid w:val="0"/>
        <w:spacing w:before="120" w:beforeLines="50" w:after="50"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sz w:val="28"/>
          <w:szCs w:val="28"/>
          <w:highlight w:val="none"/>
          <w:lang w:val="en-US"/>
        </w:rPr>
        <w:t>2</w:t>
      </w:r>
      <w:r>
        <w:rPr>
          <w:rFonts w:hint="eastAsia" w:ascii="宋体" w:hAnsi="宋体" w:eastAsia="宋体" w:cs="宋体"/>
          <w:b/>
          <w:color w:val="auto"/>
          <w:sz w:val="28"/>
          <w:szCs w:val="28"/>
          <w:highlight w:val="none"/>
        </w:rPr>
        <w:t>.</w:t>
      </w:r>
      <w:r>
        <w:rPr>
          <w:rFonts w:hint="eastAsia" w:ascii="宋体" w:hAnsi="宋体" w:eastAsia="宋体" w:cs="宋体"/>
          <w:b/>
          <w:bCs/>
          <w:color w:val="auto"/>
          <w:sz w:val="28"/>
          <w:szCs w:val="28"/>
          <w:highlight w:val="none"/>
        </w:rPr>
        <w:t>报价文件目录</w:t>
      </w:r>
    </w:p>
    <w:p w14:paraId="50367DAD">
      <w:pPr>
        <w:snapToGrid w:val="0"/>
        <w:spacing w:before="50" w:after="120" w:afterLines="50" w:line="360" w:lineRule="auto"/>
        <w:jc w:val="left"/>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根据</w:t>
      </w:r>
      <w:r>
        <w:rPr>
          <w:rFonts w:hint="eastAsia" w:ascii="宋体" w:hAnsi="宋体" w:eastAsia="宋体" w:cs="宋体"/>
          <w:color w:val="auto"/>
          <w:sz w:val="28"/>
          <w:szCs w:val="28"/>
          <w:highlight w:val="none"/>
          <w:lang w:eastAsia="zh-CN"/>
        </w:rPr>
        <w:t>竞争性磋商</w:t>
      </w:r>
      <w:r>
        <w:rPr>
          <w:rFonts w:hint="eastAsia" w:ascii="宋体" w:hAnsi="宋体" w:eastAsia="宋体" w:cs="宋体"/>
          <w:color w:val="auto"/>
          <w:sz w:val="28"/>
          <w:szCs w:val="28"/>
          <w:highlight w:val="none"/>
        </w:rPr>
        <w:t>文件规定及</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提供的材料自行编写目录</w:t>
      </w:r>
      <w:r>
        <w:rPr>
          <w:rFonts w:hint="eastAsia" w:ascii="宋体" w:hAnsi="宋体" w:eastAsia="宋体" w:cs="宋体"/>
          <w:color w:val="auto"/>
          <w:kern w:val="0"/>
          <w:sz w:val="28"/>
          <w:szCs w:val="28"/>
          <w:highlight w:val="none"/>
        </w:rPr>
        <w:t>（部分格式后附）</w:t>
      </w:r>
      <w:r>
        <w:rPr>
          <w:rFonts w:hint="eastAsia" w:ascii="宋体" w:hAnsi="宋体" w:eastAsia="宋体" w:cs="宋体"/>
          <w:color w:val="auto"/>
          <w:sz w:val="28"/>
          <w:szCs w:val="28"/>
          <w:highlight w:val="none"/>
        </w:rPr>
        <w:t>。</w:t>
      </w:r>
    </w:p>
    <w:p w14:paraId="277E65A7">
      <w:pPr>
        <w:spacing w:line="360" w:lineRule="auto"/>
        <w:rPr>
          <w:rFonts w:hint="eastAsia" w:ascii="宋体" w:hAnsi="宋体" w:eastAsia="宋体" w:cs="宋体"/>
          <w:color w:val="auto"/>
          <w:sz w:val="24"/>
          <w:highlight w:val="none"/>
        </w:rPr>
      </w:pPr>
    </w:p>
    <w:p w14:paraId="3B80D8BC">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767B2CEB">
      <w:pPr>
        <w:snapToGrid w:val="0"/>
        <w:spacing w:before="120" w:beforeLines="50" w:after="50" w:line="360" w:lineRule="auto"/>
        <w:ind w:left="0" w:firstLine="0" w:firstLineChars="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lang w:val="zh-CN" w:eastAsia="zh-CN"/>
        </w:rPr>
        <w:t>响应函的格式：</w:t>
      </w:r>
    </w:p>
    <w:p w14:paraId="11841221">
      <w:pPr>
        <w:spacing w:line="500" w:lineRule="exact"/>
        <w:jc w:val="center"/>
        <w:rPr>
          <w:rFonts w:hint="eastAsia"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rPr>
        <w:t>响应函</w:t>
      </w:r>
    </w:p>
    <w:p w14:paraId="0F089AF1">
      <w:pPr>
        <w:spacing w:line="500" w:lineRule="exact"/>
        <w:rPr>
          <w:rFonts w:hint="eastAsia" w:ascii="宋体" w:hAnsi="宋体" w:eastAsia="宋体" w:cs="宋体"/>
          <w:color w:val="auto"/>
          <w:kern w:val="0"/>
          <w:sz w:val="32"/>
          <w:szCs w:val="21"/>
          <w:highlight w:val="none"/>
        </w:rPr>
      </w:pPr>
    </w:p>
    <w:p w14:paraId="651EC4AE">
      <w:pPr>
        <w:spacing w:line="440" w:lineRule="exact"/>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致：</w:t>
      </w:r>
      <w:r>
        <w:rPr>
          <w:rFonts w:hint="eastAsia" w:ascii="宋体" w:hAnsi="宋体" w:eastAsia="宋体" w:cs="宋体"/>
          <w:color w:val="auto"/>
          <w:kern w:val="0"/>
          <w:sz w:val="20"/>
          <w:szCs w:val="21"/>
          <w:highlight w:val="none"/>
          <w:u w:val="single"/>
        </w:rPr>
        <w:t xml:space="preserve">                      </w:t>
      </w:r>
      <w:r>
        <w:rPr>
          <w:rFonts w:hint="eastAsia" w:ascii="宋体" w:hAnsi="宋体" w:eastAsia="宋体" w:cs="宋体"/>
          <w:color w:val="auto"/>
          <w:kern w:val="0"/>
          <w:sz w:val="20"/>
          <w:szCs w:val="21"/>
          <w:highlight w:val="none"/>
        </w:rPr>
        <w:t>（采购代理机构名称）</w:t>
      </w:r>
    </w:p>
    <w:p w14:paraId="5080E49B">
      <w:pPr>
        <w:spacing w:line="440" w:lineRule="exact"/>
        <w:ind w:firstLine="400" w:firstLineChars="200"/>
        <w:rPr>
          <w:rFonts w:hint="eastAsia" w:ascii="宋体" w:hAnsi="宋体" w:eastAsia="宋体" w:cs="宋体"/>
          <w:color w:val="auto"/>
          <w:kern w:val="0"/>
          <w:sz w:val="20"/>
          <w:szCs w:val="21"/>
          <w:highlight w:val="none"/>
        </w:rPr>
      </w:pPr>
    </w:p>
    <w:p w14:paraId="159D54DB">
      <w:pPr>
        <w:spacing w:line="440" w:lineRule="exact"/>
        <w:ind w:firstLine="400" w:firstLineChars="20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我方已仔细阅读了贵方组织的</w:t>
      </w:r>
      <w:r>
        <w:rPr>
          <w:rFonts w:hint="eastAsia" w:ascii="宋体" w:hAnsi="宋体" w:eastAsia="宋体" w:cs="宋体"/>
          <w:color w:val="auto"/>
          <w:kern w:val="0"/>
          <w:sz w:val="20"/>
          <w:szCs w:val="21"/>
          <w:highlight w:val="none"/>
          <w:u w:val="single"/>
        </w:rPr>
        <w:t xml:space="preserve">                </w:t>
      </w:r>
      <w:r>
        <w:rPr>
          <w:rFonts w:hint="eastAsia" w:ascii="宋体" w:hAnsi="宋体" w:eastAsia="宋体" w:cs="宋体"/>
          <w:color w:val="auto"/>
          <w:kern w:val="0"/>
          <w:sz w:val="20"/>
          <w:szCs w:val="21"/>
          <w:highlight w:val="none"/>
        </w:rPr>
        <w:t>项目（项目编号：</w:t>
      </w:r>
      <w:r>
        <w:rPr>
          <w:rFonts w:hint="eastAsia" w:ascii="宋体" w:hAnsi="宋体" w:eastAsia="宋体" w:cs="宋体"/>
          <w:color w:val="auto"/>
          <w:kern w:val="0"/>
          <w:sz w:val="20"/>
          <w:szCs w:val="21"/>
          <w:highlight w:val="none"/>
          <w:u w:val="single"/>
        </w:rPr>
        <w:t xml:space="preserve">             </w:t>
      </w:r>
      <w:r>
        <w:rPr>
          <w:rFonts w:hint="eastAsia" w:ascii="宋体" w:hAnsi="宋体" w:eastAsia="宋体" w:cs="宋体"/>
          <w:color w:val="auto"/>
          <w:kern w:val="0"/>
          <w:sz w:val="20"/>
          <w:szCs w:val="21"/>
          <w:highlight w:val="none"/>
        </w:rPr>
        <w:t>）的竞争性磋商文件的全部内容，现正式</w:t>
      </w:r>
      <w:r>
        <w:rPr>
          <w:rFonts w:hint="eastAsia" w:ascii="宋体" w:hAnsi="宋体" w:eastAsia="宋体" w:cs="宋体"/>
          <w:color w:val="auto"/>
          <w:kern w:val="0"/>
          <w:sz w:val="20"/>
          <w:szCs w:val="21"/>
          <w:highlight w:val="none"/>
          <w:lang w:eastAsia="zh-CN"/>
        </w:rPr>
        <w:t>提交</w:t>
      </w:r>
      <w:r>
        <w:rPr>
          <w:rFonts w:hint="eastAsia" w:ascii="宋体" w:hAnsi="宋体" w:eastAsia="宋体" w:cs="宋体"/>
          <w:color w:val="auto"/>
          <w:kern w:val="0"/>
          <w:sz w:val="20"/>
          <w:szCs w:val="21"/>
          <w:highlight w:val="none"/>
        </w:rPr>
        <w:t xml:space="preserve">下述文件参加贵方组织的本次政府采购活动： </w:t>
      </w:r>
    </w:p>
    <w:p w14:paraId="0A514E9B">
      <w:pPr>
        <w:spacing w:line="440" w:lineRule="exact"/>
        <w:ind w:firstLine="400" w:firstLineChars="20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一、首次报价文件电子版（包含按“第三章 供应商须知”提交的全部文件）；</w:t>
      </w:r>
    </w:p>
    <w:p w14:paraId="77AA96FB">
      <w:pPr>
        <w:spacing w:line="440" w:lineRule="exact"/>
        <w:ind w:firstLine="400" w:firstLineChars="20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二、</w:t>
      </w:r>
      <w:r>
        <w:rPr>
          <w:rFonts w:hint="eastAsia" w:ascii="宋体" w:hAnsi="宋体" w:eastAsia="宋体" w:cs="宋体"/>
          <w:color w:val="auto"/>
          <w:kern w:val="0"/>
          <w:sz w:val="20"/>
          <w:szCs w:val="21"/>
          <w:highlight w:val="none"/>
          <w:lang w:val="zh-CN" w:eastAsia="zh-CN"/>
        </w:rPr>
        <w:t>商务技术文件</w:t>
      </w:r>
      <w:r>
        <w:rPr>
          <w:rFonts w:hint="eastAsia" w:ascii="宋体" w:hAnsi="宋体" w:eastAsia="宋体" w:cs="宋体"/>
          <w:color w:val="auto"/>
          <w:kern w:val="0"/>
          <w:sz w:val="20"/>
          <w:szCs w:val="21"/>
          <w:highlight w:val="none"/>
          <w:lang w:val="zh-CN"/>
        </w:rPr>
        <w:t>电子版</w:t>
      </w:r>
      <w:r>
        <w:rPr>
          <w:rFonts w:hint="eastAsia" w:ascii="宋体" w:hAnsi="宋体" w:eastAsia="宋体" w:cs="宋体"/>
          <w:color w:val="auto"/>
          <w:kern w:val="0"/>
          <w:sz w:val="20"/>
          <w:szCs w:val="21"/>
          <w:highlight w:val="none"/>
          <w:lang w:val="zh-CN" w:eastAsia="zh-CN"/>
        </w:rPr>
        <w:t>（包含按</w:t>
      </w:r>
      <w:r>
        <w:rPr>
          <w:rFonts w:hint="eastAsia" w:ascii="宋体" w:hAnsi="宋体" w:eastAsia="宋体" w:cs="宋体"/>
          <w:color w:val="auto"/>
          <w:kern w:val="0"/>
          <w:sz w:val="20"/>
          <w:szCs w:val="21"/>
          <w:highlight w:val="none"/>
          <w:lang w:val="zh-CN"/>
        </w:rPr>
        <w:t>“第三章 供应商须知”</w:t>
      </w:r>
      <w:r>
        <w:rPr>
          <w:rFonts w:hint="eastAsia" w:ascii="宋体" w:hAnsi="宋体" w:eastAsia="宋体" w:cs="宋体"/>
          <w:color w:val="auto"/>
          <w:kern w:val="0"/>
          <w:sz w:val="20"/>
          <w:szCs w:val="21"/>
          <w:highlight w:val="none"/>
          <w:lang w:val="zh-CN" w:eastAsia="zh-CN"/>
        </w:rPr>
        <w:t>提交的全部文件）</w:t>
      </w:r>
      <w:r>
        <w:rPr>
          <w:rFonts w:hint="eastAsia" w:ascii="宋体" w:hAnsi="宋体" w:eastAsia="宋体" w:cs="宋体"/>
          <w:color w:val="auto"/>
          <w:kern w:val="0"/>
          <w:sz w:val="20"/>
          <w:szCs w:val="21"/>
          <w:highlight w:val="none"/>
        </w:rPr>
        <w:t>；</w:t>
      </w:r>
    </w:p>
    <w:p w14:paraId="464CA7F4">
      <w:pPr>
        <w:spacing w:line="440" w:lineRule="exact"/>
        <w:ind w:firstLine="400" w:firstLineChars="200"/>
        <w:rPr>
          <w:rFonts w:hint="eastAsia" w:ascii="宋体" w:hAnsi="宋体" w:eastAsia="宋体" w:cs="宋体"/>
          <w:color w:val="auto"/>
          <w:kern w:val="0"/>
          <w:sz w:val="20"/>
          <w:szCs w:val="21"/>
          <w:highlight w:val="none"/>
          <w:lang w:eastAsia="zh-CN"/>
        </w:rPr>
      </w:pPr>
      <w:r>
        <w:rPr>
          <w:rFonts w:hint="eastAsia" w:ascii="宋体" w:hAnsi="宋体" w:eastAsia="宋体" w:cs="宋体"/>
          <w:color w:val="auto"/>
          <w:kern w:val="0"/>
          <w:sz w:val="20"/>
          <w:szCs w:val="21"/>
          <w:highlight w:val="none"/>
        </w:rPr>
        <w:t>三、资格文件电子版（包含按“第三章供应商须知”提交的全部文件）</w:t>
      </w:r>
      <w:r>
        <w:rPr>
          <w:rFonts w:hint="eastAsia" w:ascii="宋体" w:hAnsi="宋体" w:eastAsia="宋体" w:cs="宋体"/>
          <w:color w:val="auto"/>
          <w:kern w:val="0"/>
          <w:sz w:val="20"/>
          <w:szCs w:val="21"/>
          <w:highlight w:val="none"/>
          <w:lang w:eastAsia="zh-CN"/>
        </w:rPr>
        <w:t>。</w:t>
      </w:r>
    </w:p>
    <w:p w14:paraId="6C8EE6CD">
      <w:pPr>
        <w:spacing w:line="440" w:lineRule="exact"/>
        <w:ind w:firstLine="400" w:firstLineChars="20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据此函，</w:t>
      </w:r>
      <w:r>
        <w:rPr>
          <w:rFonts w:hint="eastAsia" w:ascii="宋体" w:hAnsi="宋体" w:eastAsia="宋体" w:cs="宋体"/>
          <w:color w:val="auto"/>
          <w:kern w:val="0"/>
          <w:sz w:val="20"/>
          <w:szCs w:val="21"/>
          <w:highlight w:val="none"/>
          <w:lang w:val="en-US" w:eastAsia="zh-CN"/>
        </w:rPr>
        <w:t>我方</w:t>
      </w:r>
      <w:r>
        <w:rPr>
          <w:rFonts w:hint="eastAsia" w:ascii="宋体" w:hAnsi="宋体" w:eastAsia="宋体" w:cs="宋体"/>
          <w:color w:val="auto"/>
          <w:kern w:val="0"/>
          <w:sz w:val="20"/>
          <w:szCs w:val="21"/>
          <w:highlight w:val="none"/>
        </w:rPr>
        <w:t>兹宣布：</w:t>
      </w:r>
    </w:p>
    <w:p w14:paraId="65D587CD">
      <w:pPr>
        <w:spacing w:line="440" w:lineRule="exact"/>
        <w:ind w:firstLine="482"/>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1、我方愿意以</w:t>
      </w:r>
      <w:r>
        <w:rPr>
          <w:rFonts w:hint="eastAsia" w:ascii="宋体" w:hAnsi="宋体" w:eastAsia="宋体" w:cs="宋体"/>
          <w:color w:val="auto"/>
          <w:highlight w:val="none"/>
          <w:lang w:eastAsia="zh-CN"/>
        </w:rPr>
        <w:t>磋商总报价</w:t>
      </w:r>
      <w:r>
        <w:rPr>
          <w:rFonts w:hint="eastAsia" w:ascii="宋体" w:hAnsi="宋体" w:eastAsia="宋体" w:cs="宋体"/>
          <w:color w:val="auto"/>
          <w:szCs w:val="22"/>
          <w:highlight w:val="none"/>
          <w:lang w:eastAsia="zh-CN"/>
        </w:rPr>
        <w:t>，</w:t>
      </w:r>
      <w:r>
        <w:rPr>
          <w:rFonts w:hint="eastAsia" w:ascii="宋体" w:hAnsi="宋体" w:eastAsia="宋体" w:cs="宋体"/>
          <w:color w:val="auto"/>
          <w:kern w:val="0"/>
          <w:sz w:val="20"/>
          <w:szCs w:val="21"/>
          <w:highlight w:val="none"/>
        </w:rPr>
        <w:t>提供本项目竞争性磋商文件第二章“</w:t>
      </w:r>
      <w:r>
        <w:rPr>
          <w:rFonts w:hint="eastAsia" w:ascii="宋体" w:hAnsi="宋体" w:eastAsia="宋体" w:cs="宋体"/>
          <w:color w:val="auto"/>
          <w:kern w:val="0"/>
          <w:sz w:val="20"/>
          <w:szCs w:val="21"/>
          <w:highlight w:val="none"/>
          <w:lang w:eastAsia="zh-CN"/>
        </w:rPr>
        <w:t>采购需求</w:t>
      </w:r>
      <w:r>
        <w:rPr>
          <w:rFonts w:hint="eastAsia" w:ascii="宋体" w:hAnsi="宋体" w:eastAsia="宋体" w:cs="宋体"/>
          <w:color w:val="auto"/>
          <w:kern w:val="0"/>
          <w:sz w:val="20"/>
          <w:szCs w:val="21"/>
          <w:highlight w:val="none"/>
        </w:rPr>
        <w:t>”中相应的采购内容</w:t>
      </w:r>
      <w:r>
        <w:rPr>
          <w:rFonts w:hint="eastAsia" w:ascii="宋体" w:hAnsi="宋体" w:eastAsia="宋体" w:cs="宋体"/>
          <w:color w:val="auto"/>
          <w:highlight w:val="none"/>
          <w:lang w:eastAsia="zh-CN"/>
        </w:rPr>
        <w:t>，具体详见最后报价表</w:t>
      </w:r>
      <w:r>
        <w:rPr>
          <w:rFonts w:hint="eastAsia" w:ascii="宋体" w:hAnsi="宋体" w:eastAsia="宋体" w:cs="宋体"/>
          <w:color w:val="auto"/>
          <w:kern w:val="0"/>
          <w:sz w:val="20"/>
          <w:szCs w:val="21"/>
          <w:highlight w:val="none"/>
        </w:rPr>
        <w:t>。</w:t>
      </w:r>
    </w:p>
    <w:p w14:paraId="2DB990B3">
      <w:pPr>
        <w:spacing w:line="440" w:lineRule="exact"/>
        <w:ind w:firstLine="482"/>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2、我方同意自本项目竞争性磋商文件采购公告规定的</w:t>
      </w:r>
      <w:r>
        <w:rPr>
          <w:rFonts w:hint="eastAsia" w:ascii="宋体" w:hAnsi="宋体" w:eastAsia="宋体" w:cs="宋体"/>
          <w:color w:val="auto"/>
          <w:kern w:val="0"/>
          <w:sz w:val="20"/>
          <w:szCs w:val="21"/>
          <w:highlight w:val="none"/>
          <w:lang w:eastAsia="zh-CN"/>
        </w:rPr>
        <w:t>提</w:t>
      </w:r>
      <w:r>
        <w:rPr>
          <w:rFonts w:hint="eastAsia" w:ascii="宋体" w:hAnsi="宋体" w:eastAsia="宋体" w:cs="宋体"/>
          <w:color w:val="auto"/>
          <w:kern w:val="0"/>
          <w:sz w:val="20"/>
          <w:szCs w:val="21"/>
          <w:highlight w:val="none"/>
        </w:rPr>
        <w:t>交响应文件截止时间起遵循本响应函，并承诺在“第三章 供应商须知”规定的</w:t>
      </w:r>
      <w:r>
        <w:rPr>
          <w:rFonts w:hint="eastAsia" w:ascii="宋体" w:hAnsi="宋体" w:eastAsia="宋体" w:cs="宋体"/>
          <w:color w:val="auto"/>
          <w:kern w:val="0"/>
          <w:sz w:val="20"/>
          <w:szCs w:val="21"/>
          <w:highlight w:val="none"/>
          <w:lang w:val="en-US" w:eastAsia="zh-CN"/>
        </w:rPr>
        <w:t>竞标</w:t>
      </w:r>
      <w:r>
        <w:rPr>
          <w:rFonts w:hint="eastAsia" w:ascii="宋体" w:hAnsi="宋体" w:eastAsia="宋体" w:cs="宋体"/>
          <w:color w:val="auto"/>
          <w:kern w:val="0"/>
          <w:sz w:val="20"/>
          <w:szCs w:val="21"/>
          <w:highlight w:val="none"/>
        </w:rPr>
        <w:t>有效期内不修改、撤销响应文件。</w:t>
      </w:r>
    </w:p>
    <w:p w14:paraId="1DE107FF">
      <w:pPr>
        <w:spacing w:line="440" w:lineRule="exact"/>
        <w:ind w:firstLine="482"/>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3、我方在此声明，所</w:t>
      </w:r>
      <w:r>
        <w:rPr>
          <w:rFonts w:hint="eastAsia" w:ascii="宋体" w:hAnsi="宋体" w:eastAsia="宋体" w:cs="宋体"/>
          <w:color w:val="auto"/>
          <w:kern w:val="0"/>
          <w:sz w:val="20"/>
          <w:szCs w:val="21"/>
          <w:highlight w:val="none"/>
          <w:lang w:eastAsia="zh-CN"/>
        </w:rPr>
        <w:t>提交</w:t>
      </w:r>
      <w:r>
        <w:rPr>
          <w:rFonts w:hint="eastAsia" w:ascii="宋体" w:hAnsi="宋体" w:eastAsia="宋体" w:cs="宋体"/>
          <w:color w:val="auto"/>
          <w:kern w:val="0"/>
          <w:sz w:val="20"/>
          <w:szCs w:val="21"/>
          <w:highlight w:val="none"/>
        </w:rPr>
        <w:t>的响应文件及有关资料内容完整、真实和准确。</w:t>
      </w:r>
    </w:p>
    <w:p w14:paraId="0F6E0D39">
      <w:pPr>
        <w:spacing w:line="440" w:lineRule="exact"/>
        <w:ind w:firstLine="482"/>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4、如本项目采购内容涉及须符合国家强制规定的，我方承诺我方本次竞标均符合国家有关强制规定。</w:t>
      </w:r>
    </w:p>
    <w:p w14:paraId="4F9DE7A6">
      <w:pPr>
        <w:spacing w:line="440" w:lineRule="exact"/>
        <w:ind w:firstLine="482"/>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5、如我方成交，我方承诺在收到成交通知书后，在成交通知书规定的期限内，根据竞争性磋商文件、我方的响应文件及有关澄清承诺书的要求按第六章“合同文本”与采购人订立书面合同，并按照合同约定承担完成合同的责任和义务。</w:t>
      </w:r>
    </w:p>
    <w:p w14:paraId="34ABAEBF">
      <w:pPr>
        <w:spacing w:line="440" w:lineRule="exact"/>
        <w:ind w:firstLine="482"/>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lang w:val="en-US" w:eastAsia="zh-CN"/>
        </w:rPr>
        <w:t>6</w:t>
      </w:r>
      <w:r>
        <w:rPr>
          <w:rFonts w:hint="eastAsia" w:ascii="宋体" w:hAnsi="宋体" w:eastAsia="宋体" w:cs="宋体"/>
          <w:color w:val="auto"/>
          <w:kern w:val="0"/>
          <w:sz w:val="20"/>
          <w:szCs w:val="21"/>
          <w:highlight w:val="none"/>
        </w:rPr>
        <w:t>、我方已详细审核竞争性磋商文件，我方知道必须放弃提出含糊不清或误解问题的权利。</w:t>
      </w:r>
    </w:p>
    <w:p w14:paraId="2FBF2551">
      <w:pPr>
        <w:spacing w:line="440" w:lineRule="exact"/>
        <w:ind w:firstLine="482"/>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lang w:val="en-US" w:eastAsia="zh-CN"/>
        </w:rPr>
        <w:t>7</w:t>
      </w:r>
      <w:r>
        <w:rPr>
          <w:rFonts w:hint="eastAsia" w:ascii="宋体" w:hAnsi="宋体" w:eastAsia="宋体" w:cs="宋体"/>
          <w:color w:val="auto"/>
          <w:kern w:val="0"/>
          <w:sz w:val="20"/>
          <w:szCs w:val="21"/>
          <w:highlight w:val="none"/>
        </w:rPr>
        <w:t>、我方承诺满足竞争性磋商文件第六章“合同文本”的条款，承担完成合同的责任和义务。</w:t>
      </w:r>
    </w:p>
    <w:p w14:paraId="31D624F9">
      <w:pPr>
        <w:spacing w:line="440" w:lineRule="exact"/>
        <w:ind w:firstLine="482"/>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lang w:val="en-US" w:eastAsia="zh-CN"/>
        </w:rPr>
        <w:t>8</w:t>
      </w:r>
      <w:r>
        <w:rPr>
          <w:rFonts w:hint="eastAsia" w:ascii="宋体" w:hAnsi="宋体" w:eastAsia="宋体" w:cs="宋体"/>
          <w:color w:val="auto"/>
          <w:kern w:val="0"/>
          <w:sz w:val="20"/>
          <w:szCs w:val="21"/>
          <w:highlight w:val="none"/>
        </w:rPr>
        <w:t>、我方同意应贵方要求提供与本竞标有关的任何数据或资料。若贵方需要，我方愿意提供我方作出的一切承诺的证明材料。</w:t>
      </w:r>
    </w:p>
    <w:p w14:paraId="45891AC9">
      <w:pPr>
        <w:spacing w:line="440" w:lineRule="exact"/>
        <w:ind w:firstLine="482"/>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lang w:val="en-US" w:eastAsia="zh-CN"/>
        </w:rPr>
        <w:t>9</w:t>
      </w:r>
      <w:r>
        <w:rPr>
          <w:rFonts w:hint="eastAsia" w:ascii="宋体" w:hAnsi="宋体" w:eastAsia="宋体" w:cs="宋体"/>
          <w:color w:val="auto"/>
          <w:kern w:val="0"/>
          <w:sz w:val="20"/>
          <w:szCs w:val="21"/>
          <w:highlight w:val="none"/>
        </w:rPr>
        <w:t>、我方完全理解贵方不一定接受响应报价最低的</w:t>
      </w:r>
      <w:r>
        <w:rPr>
          <w:rFonts w:hint="eastAsia" w:ascii="宋体" w:hAnsi="宋体" w:eastAsia="宋体" w:cs="宋体"/>
          <w:color w:val="auto"/>
          <w:kern w:val="0"/>
          <w:sz w:val="20"/>
          <w:szCs w:val="21"/>
          <w:highlight w:val="none"/>
          <w:lang w:eastAsia="zh-CN"/>
        </w:rPr>
        <w:t>供应商</w:t>
      </w:r>
      <w:r>
        <w:rPr>
          <w:rFonts w:hint="eastAsia" w:ascii="宋体" w:hAnsi="宋体" w:eastAsia="宋体" w:cs="宋体"/>
          <w:color w:val="auto"/>
          <w:kern w:val="0"/>
          <w:sz w:val="20"/>
          <w:szCs w:val="21"/>
          <w:highlight w:val="none"/>
        </w:rPr>
        <w:t>为成交供应商的行为。</w:t>
      </w:r>
    </w:p>
    <w:p w14:paraId="63808F95">
      <w:pPr>
        <w:spacing w:line="440" w:lineRule="exact"/>
        <w:ind w:firstLine="482"/>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1</w:t>
      </w:r>
      <w:r>
        <w:rPr>
          <w:rFonts w:hint="eastAsia" w:ascii="宋体" w:hAnsi="宋体" w:eastAsia="宋体" w:cs="宋体"/>
          <w:color w:val="auto"/>
          <w:kern w:val="0"/>
          <w:sz w:val="20"/>
          <w:szCs w:val="21"/>
          <w:highlight w:val="none"/>
          <w:lang w:val="en-US" w:eastAsia="zh-CN"/>
        </w:rPr>
        <w:t>0</w:t>
      </w:r>
      <w:r>
        <w:rPr>
          <w:rFonts w:hint="eastAsia" w:ascii="宋体" w:hAnsi="宋体" w:eastAsia="宋体" w:cs="宋体"/>
          <w:color w:val="auto"/>
          <w:kern w:val="0"/>
          <w:sz w:val="20"/>
          <w:szCs w:val="21"/>
          <w:highlight w:val="none"/>
        </w:rPr>
        <w:t>、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0C5D64B">
      <w:pPr>
        <w:numPr>
          <w:ilvl w:val="0"/>
          <w:numId w:val="2"/>
        </w:numPr>
        <w:tabs>
          <w:tab w:val="left" w:pos="945"/>
        </w:tabs>
        <w:spacing w:line="480" w:lineRule="auto"/>
        <w:ind w:left="114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提供虚假材料谋取中标、成交的；</w:t>
      </w:r>
    </w:p>
    <w:p w14:paraId="18B9DBEE">
      <w:pPr>
        <w:numPr>
          <w:ilvl w:val="0"/>
          <w:numId w:val="2"/>
        </w:numPr>
        <w:tabs>
          <w:tab w:val="left" w:pos="945"/>
        </w:tabs>
        <w:spacing w:line="480" w:lineRule="auto"/>
        <w:ind w:left="114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采取不正当手段诋毁、排挤其他供应商的；</w:t>
      </w:r>
    </w:p>
    <w:p w14:paraId="5CF6816F">
      <w:pPr>
        <w:numPr>
          <w:ilvl w:val="0"/>
          <w:numId w:val="2"/>
        </w:numPr>
        <w:tabs>
          <w:tab w:val="left" w:pos="945"/>
        </w:tabs>
        <w:spacing w:line="480" w:lineRule="auto"/>
        <w:ind w:left="114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与采购人、其他供应商或者采购代理机构恶意串通的；</w:t>
      </w:r>
    </w:p>
    <w:p w14:paraId="3E1118A8">
      <w:pPr>
        <w:numPr>
          <w:ilvl w:val="0"/>
          <w:numId w:val="2"/>
        </w:numPr>
        <w:tabs>
          <w:tab w:val="left" w:pos="945"/>
        </w:tabs>
        <w:spacing w:line="480" w:lineRule="auto"/>
        <w:ind w:left="114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向采购人、采购代理机构行贿或者提供其他不正当利益的；</w:t>
      </w:r>
    </w:p>
    <w:p w14:paraId="424B06BA">
      <w:pPr>
        <w:numPr>
          <w:ilvl w:val="0"/>
          <w:numId w:val="2"/>
        </w:numPr>
        <w:tabs>
          <w:tab w:val="left" w:pos="945"/>
        </w:tabs>
        <w:spacing w:line="480" w:lineRule="auto"/>
        <w:ind w:left="114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在采购过程中与采购人进行协商</w:t>
      </w:r>
      <w:r>
        <w:rPr>
          <w:rFonts w:hint="eastAsia" w:ascii="宋体" w:hAnsi="宋体" w:eastAsia="宋体" w:cs="宋体"/>
          <w:color w:val="auto"/>
          <w:kern w:val="0"/>
          <w:sz w:val="20"/>
          <w:szCs w:val="21"/>
          <w:highlight w:val="none"/>
          <w:lang w:eastAsia="zh-CN"/>
        </w:rPr>
        <w:t>磋商</w:t>
      </w:r>
      <w:r>
        <w:rPr>
          <w:rFonts w:hint="eastAsia" w:ascii="宋体" w:hAnsi="宋体" w:eastAsia="宋体" w:cs="宋体"/>
          <w:color w:val="auto"/>
          <w:kern w:val="0"/>
          <w:sz w:val="20"/>
          <w:szCs w:val="21"/>
          <w:highlight w:val="none"/>
        </w:rPr>
        <w:t>的；</w:t>
      </w:r>
    </w:p>
    <w:p w14:paraId="6E597FC5">
      <w:pPr>
        <w:numPr>
          <w:ilvl w:val="0"/>
          <w:numId w:val="2"/>
        </w:numPr>
        <w:tabs>
          <w:tab w:val="left" w:pos="945"/>
        </w:tabs>
        <w:spacing w:line="480" w:lineRule="auto"/>
        <w:ind w:left="114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拒绝有关部门监督检查或提供虚假情况的。</w:t>
      </w:r>
    </w:p>
    <w:p w14:paraId="26DBBC97">
      <w:pPr>
        <w:spacing w:line="480" w:lineRule="auto"/>
        <w:ind w:firstLine="420"/>
        <w:rPr>
          <w:rFonts w:hint="eastAsia" w:ascii="宋体" w:hAnsi="宋体" w:eastAsia="宋体" w:cs="宋体"/>
          <w:b/>
          <w:bCs/>
          <w:color w:val="auto"/>
          <w:kern w:val="0"/>
          <w:szCs w:val="21"/>
          <w:highlight w:val="none"/>
        </w:rPr>
      </w:pPr>
      <w:r>
        <w:rPr>
          <w:rFonts w:hint="eastAsia" w:ascii="宋体" w:hAnsi="宋体" w:eastAsia="宋体" w:cs="宋体"/>
          <w:color w:val="auto"/>
          <w:kern w:val="0"/>
          <w:sz w:val="20"/>
          <w:szCs w:val="20"/>
          <w:highlight w:val="none"/>
          <w:lang w:val="en-US" w:eastAsia="zh-CN"/>
        </w:rPr>
        <w:t>11、</w:t>
      </w:r>
      <w:r>
        <w:rPr>
          <w:rFonts w:hint="eastAsia" w:ascii="宋体" w:hAnsi="宋体" w:eastAsia="宋体" w:cs="宋体"/>
          <w:color w:val="auto"/>
          <w:highlight w:val="none"/>
        </w:rPr>
        <w:t>以上事项如有虚假或</w:t>
      </w:r>
      <w:r>
        <w:rPr>
          <w:rFonts w:hint="eastAsia" w:ascii="宋体" w:hAnsi="宋体" w:eastAsia="宋体" w:cs="宋体"/>
          <w:color w:val="auto"/>
          <w:highlight w:val="none"/>
          <w:lang w:val="en-US" w:eastAsia="zh-CN"/>
        </w:rPr>
        <w:t>者</w:t>
      </w:r>
      <w:r>
        <w:rPr>
          <w:rFonts w:hint="eastAsia" w:ascii="宋体" w:hAnsi="宋体" w:eastAsia="宋体" w:cs="宋体"/>
          <w:color w:val="auto"/>
          <w:highlight w:val="none"/>
        </w:rPr>
        <w:t>隐瞒，我方愿意承担一切后果，并不再寻求任何旨在减轻或</w:t>
      </w:r>
      <w:r>
        <w:rPr>
          <w:rFonts w:hint="eastAsia" w:ascii="宋体" w:hAnsi="宋体" w:eastAsia="宋体" w:cs="宋体"/>
          <w:color w:val="auto"/>
          <w:highlight w:val="none"/>
          <w:lang w:val="en-US" w:eastAsia="zh-CN"/>
        </w:rPr>
        <w:t>者</w:t>
      </w:r>
      <w:r>
        <w:rPr>
          <w:rFonts w:hint="eastAsia" w:ascii="宋体" w:hAnsi="宋体" w:eastAsia="宋体" w:cs="宋体"/>
          <w:color w:val="auto"/>
          <w:highlight w:val="none"/>
        </w:rPr>
        <w:t>免除法律责任的辩解</w:t>
      </w:r>
      <w:r>
        <w:rPr>
          <w:rFonts w:hint="eastAsia" w:ascii="宋体" w:hAnsi="宋体" w:eastAsia="宋体" w:cs="宋体"/>
          <w:color w:val="auto"/>
          <w:highlight w:val="none"/>
          <w:lang w:eastAsia="zh-CN"/>
        </w:rPr>
        <w:t>。</w:t>
      </w:r>
    </w:p>
    <w:p w14:paraId="5AD068DB">
      <w:pPr>
        <w:spacing w:line="480" w:lineRule="auto"/>
        <w:ind w:firstLine="42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Cs w:val="21"/>
          <w:highlight w:val="none"/>
        </w:rPr>
        <w:t>1</w:t>
      </w:r>
      <w:r>
        <w:rPr>
          <w:rFonts w:hint="eastAsia" w:ascii="宋体" w:hAnsi="宋体" w:eastAsia="宋体" w:cs="宋体"/>
          <w:b/>
          <w:bCs/>
          <w:color w:val="auto"/>
          <w:kern w:val="0"/>
          <w:szCs w:val="21"/>
          <w:highlight w:val="none"/>
          <w:lang w:val="en-US"/>
        </w:rPr>
        <w:t>2</w:t>
      </w:r>
      <w:r>
        <w:rPr>
          <w:rFonts w:hint="eastAsia" w:ascii="宋体" w:hAnsi="宋体" w:eastAsia="宋体" w:cs="宋体"/>
          <w:b/>
          <w:bCs/>
          <w:color w:val="auto"/>
          <w:kern w:val="0"/>
          <w:szCs w:val="21"/>
          <w:highlight w:val="none"/>
          <w:lang w:val="en-US" w:eastAsia="zh-CN"/>
        </w:rPr>
        <w:t>、</w:t>
      </w:r>
      <w:r>
        <w:rPr>
          <w:rFonts w:hint="eastAsia" w:ascii="宋体" w:hAnsi="宋体" w:eastAsia="宋体" w:cs="宋体"/>
          <w:b/>
          <w:bCs/>
          <w:color w:val="auto"/>
          <w:kern w:val="0"/>
          <w:szCs w:val="21"/>
          <w:highlight w:val="none"/>
        </w:rPr>
        <w:t>与本磋商有关的一切正式往来信函请寄</w:t>
      </w: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u w:val="none"/>
        </w:rPr>
        <w:t xml:space="preserve"> </w:t>
      </w:r>
    </w:p>
    <w:p w14:paraId="48A6EB7F">
      <w:pPr>
        <w:spacing w:line="480" w:lineRule="auto"/>
        <w:ind w:firstLine="42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地址：</w:t>
      </w:r>
      <w:r>
        <w:rPr>
          <w:rFonts w:hint="eastAsia" w:ascii="宋体" w:hAnsi="宋体" w:eastAsia="宋体" w:cs="宋体"/>
          <w:color w:val="auto"/>
          <w:kern w:val="0"/>
          <w:sz w:val="20"/>
          <w:szCs w:val="21"/>
          <w:highlight w:val="none"/>
          <w:u w:val="single"/>
        </w:rPr>
        <w:t xml:space="preserve">                                                        </w:t>
      </w:r>
      <w:r>
        <w:rPr>
          <w:rFonts w:hint="eastAsia" w:ascii="宋体" w:hAnsi="宋体" w:eastAsia="宋体" w:cs="宋体"/>
          <w:color w:val="auto"/>
          <w:kern w:val="0"/>
          <w:sz w:val="20"/>
          <w:szCs w:val="21"/>
          <w:highlight w:val="none"/>
        </w:rPr>
        <w:t xml:space="preserve"> </w:t>
      </w:r>
    </w:p>
    <w:p w14:paraId="135BB35F">
      <w:pPr>
        <w:spacing w:line="480" w:lineRule="auto"/>
        <w:ind w:firstLine="420"/>
        <w:rPr>
          <w:rFonts w:hint="eastAsia" w:ascii="宋体" w:hAnsi="宋体" w:eastAsia="宋体" w:cs="宋体"/>
          <w:color w:val="auto"/>
          <w:kern w:val="0"/>
          <w:sz w:val="20"/>
          <w:szCs w:val="21"/>
          <w:highlight w:val="none"/>
          <w:u w:val="single"/>
        </w:rPr>
      </w:pPr>
      <w:r>
        <w:rPr>
          <w:rFonts w:hint="eastAsia" w:ascii="宋体" w:hAnsi="宋体" w:eastAsia="宋体" w:cs="宋体"/>
          <w:color w:val="auto"/>
          <w:kern w:val="0"/>
          <w:sz w:val="20"/>
          <w:szCs w:val="21"/>
          <w:highlight w:val="none"/>
        </w:rPr>
        <w:t>电话：</w:t>
      </w:r>
      <w:r>
        <w:rPr>
          <w:rFonts w:hint="eastAsia" w:ascii="宋体" w:hAnsi="宋体" w:eastAsia="宋体" w:cs="宋体"/>
          <w:color w:val="auto"/>
          <w:kern w:val="0"/>
          <w:sz w:val="20"/>
          <w:szCs w:val="21"/>
          <w:highlight w:val="none"/>
          <w:u w:val="single"/>
        </w:rPr>
        <w:t xml:space="preserve">                                      　　　　　　　　　</w:t>
      </w:r>
    </w:p>
    <w:p w14:paraId="23F187AB">
      <w:pPr>
        <w:spacing w:line="480" w:lineRule="auto"/>
        <w:ind w:firstLine="420"/>
        <w:rPr>
          <w:rFonts w:hint="eastAsia" w:ascii="宋体" w:hAnsi="宋体" w:eastAsia="宋体" w:cs="宋体"/>
          <w:color w:val="auto"/>
          <w:kern w:val="0"/>
          <w:sz w:val="20"/>
          <w:szCs w:val="21"/>
          <w:highlight w:val="none"/>
          <w:u w:val="single"/>
        </w:rPr>
      </w:pPr>
      <w:r>
        <w:rPr>
          <w:rFonts w:hint="eastAsia" w:ascii="宋体" w:hAnsi="宋体" w:eastAsia="宋体" w:cs="宋体"/>
          <w:color w:val="auto"/>
          <w:kern w:val="0"/>
          <w:sz w:val="20"/>
          <w:szCs w:val="21"/>
          <w:highlight w:val="none"/>
        </w:rPr>
        <w:t>传真：</w:t>
      </w:r>
      <w:r>
        <w:rPr>
          <w:rFonts w:hint="eastAsia" w:ascii="宋体" w:hAnsi="宋体" w:eastAsia="宋体" w:cs="宋体"/>
          <w:color w:val="auto"/>
          <w:kern w:val="0"/>
          <w:sz w:val="20"/>
          <w:szCs w:val="21"/>
          <w:highlight w:val="none"/>
          <w:u w:val="single"/>
        </w:rPr>
        <w:t>　　　　　　　　　　　　　　　　　　　　　　　　　　　　</w:t>
      </w:r>
    </w:p>
    <w:p w14:paraId="30718F91">
      <w:pPr>
        <w:spacing w:line="480" w:lineRule="auto"/>
        <w:ind w:firstLine="420"/>
        <w:rPr>
          <w:rFonts w:hint="eastAsia" w:ascii="宋体" w:hAnsi="宋体" w:eastAsia="宋体" w:cs="宋体"/>
          <w:color w:val="auto"/>
          <w:highlight w:val="none"/>
          <w:lang w:val="en-US" w:eastAsia="zh-CN"/>
        </w:rPr>
      </w:pPr>
      <w:r>
        <w:rPr>
          <w:rFonts w:hint="eastAsia" w:ascii="宋体" w:hAnsi="宋体" w:eastAsia="宋体" w:cs="宋体"/>
          <w:color w:val="auto"/>
          <w:kern w:val="0"/>
          <w:sz w:val="20"/>
          <w:szCs w:val="21"/>
          <w:highlight w:val="none"/>
          <w:u w:val="none"/>
          <w:lang w:val="en-US" w:eastAsia="zh-CN"/>
        </w:rPr>
        <w:t>电子邮箱：</w:t>
      </w:r>
      <w:r>
        <w:rPr>
          <w:rFonts w:hint="eastAsia" w:ascii="宋体" w:hAnsi="宋体" w:eastAsia="宋体" w:cs="宋体"/>
          <w:color w:val="auto"/>
          <w:kern w:val="0"/>
          <w:sz w:val="20"/>
          <w:szCs w:val="21"/>
          <w:highlight w:val="none"/>
          <w:u w:val="single"/>
        </w:rPr>
        <w:t>　　　　　　　　　　　　　　　　　　　　　　　　　　</w:t>
      </w:r>
    </w:p>
    <w:p w14:paraId="33E1C60B">
      <w:pPr>
        <w:spacing w:line="480" w:lineRule="auto"/>
        <w:ind w:firstLine="420"/>
        <w:rPr>
          <w:rFonts w:hint="eastAsia" w:ascii="宋体" w:hAnsi="宋体" w:eastAsia="宋体" w:cs="宋体"/>
          <w:color w:val="auto"/>
          <w:kern w:val="0"/>
          <w:sz w:val="20"/>
          <w:szCs w:val="21"/>
          <w:highlight w:val="none"/>
          <w:u w:val="single"/>
        </w:rPr>
      </w:pPr>
      <w:r>
        <w:rPr>
          <w:rFonts w:hint="eastAsia" w:ascii="宋体" w:hAnsi="宋体" w:eastAsia="宋体" w:cs="宋体"/>
          <w:color w:val="auto"/>
          <w:kern w:val="0"/>
          <w:sz w:val="20"/>
          <w:szCs w:val="21"/>
          <w:highlight w:val="none"/>
        </w:rPr>
        <w:t>邮政编码：</w:t>
      </w:r>
      <w:r>
        <w:rPr>
          <w:rFonts w:hint="eastAsia" w:ascii="宋体" w:hAnsi="宋体" w:eastAsia="宋体" w:cs="宋体"/>
          <w:color w:val="auto"/>
          <w:kern w:val="0"/>
          <w:sz w:val="20"/>
          <w:szCs w:val="21"/>
          <w:highlight w:val="none"/>
          <w:u w:val="single"/>
        </w:rPr>
        <w:t xml:space="preserve">                                                    </w:t>
      </w:r>
    </w:p>
    <w:p w14:paraId="0439AE95">
      <w:pPr>
        <w:spacing w:line="480" w:lineRule="auto"/>
        <w:ind w:firstLine="420"/>
        <w:rPr>
          <w:rFonts w:hint="eastAsia" w:ascii="宋体" w:hAnsi="宋体" w:eastAsia="宋体" w:cs="宋体"/>
          <w:color w:val="auto"/>
          <w:kern w:val="0"/>
          <w:sz w:val="20"/>
          <w:szCs w:val="21"/>
          <w:highlight w:val="none"/>
          <w:u w:val="single"/>
        </w:rPr>
      </w:pPr>
      <w:r>
        <w:rPr>
          <w:rFonts w:hint="eastAsia" w:ascii="宋体" w:hAnsi="宋体" w:eastAsia="宋体" w:cs="宋体"/>
          <w:color w:val="auto"/>
          <w:kern w:val="0"/>
          <w:sz w:val="20"/>
          <w:szCs w:val="21"/>
          <w:highlight w:val="none"/>
        </w:rPr>
        <w:t>开户名称：</w:t>
      </w:r>
      <w:r>
        <w:rPr>
          <w:rFonts w:hint="eastAsia" w:ascii="宋体" w:hAnsi="宋体" w:eastAsia="宋体" w:cs="宋体"/>
          <w:color w:val="auto"/>
          <w:kern w:val="0"/>
          <w:sz w:val="20"/>
          <w:szCs w:val="21"/>
          <w:highlight w:val="none"/>
          <w:u w:val="single"/>
        </w:rPr>
        <w:t xml:space="preserve">                                                    </w:t>
      </w:r>
    </w:p>
    <w:p w14:paraId="61CDB772">
      <w:pPr>
        <w:spacing w:line="480" w:lineRule="auto"/>
        <w:ind w:firstLine="420"/>
        <w:rPr>
          <w:rFonts w:hint="eastAsia" w:ascii="宋体" w:hAnsi="宋体" w:eastAsia="宋体" w:cs="宋体"/>
          <w:color w:val="auto"/>
          <w:kern w:val="0"/>
          <w:sz w:val="20"/>
          <w:szCs w:val="21"/>
          <w:highlight w:val="none"/>
          <w:u w:val="single"/>
        </w:rPr>
      </w:pPr>
      <w:r>
        <w:rPr>
          <w:rFonts w:hint="eastAsia" w:ascii="宋体" w:hAnsi="宋体" w:eastAsia="宋体" w:cs="宋体"/>
          <w:color w:val="auto"/>
          <w:kern w:val="0"/>
          <w:sz w:val="20"/>
          <w:szCs w:val="21"/>
          <w:highlight w:val="none"/>
        </w:rPr>
        <w:t>开户银行：</w:t>
      </w:r>
      <w:r>
        <w:rPr>
          <w:rFonts w:hint="eastAsia" w:ascii="宋体" w:hAnsi="宋体" w:eastAsia="宋体" w:cs="宋体"/>
          <w:color w:val="auto"/>
          <w:kern w:val="0"/>
          <w:sz w:val="20"/>
          <w:szCs w:val="21"/>
          <w:highlight w:val="none"/>
          <w:u w:val="single"/>
        </w:rPr>
        <w:t xml:space="preserve">                                                    </w:t>
      </w:r>
    </w:p>
    <w:p w14:paraId="6045E717">
      <w:pPr>
        <w:spacing w:line="480" w:lineRule="auto"/>
        <w:ind w:firstLine="420"/>
        <w:rPr>
          <w:rFonts w:hint="eastAsia" w:ascii="宋体" w:hAnsi="宋体" w:eastAsia="宋体" w:cs="宋体"/>
          <w:color w:val="auto"/>
          <w:kern w:val="0"/>
          <w:sz w:val="20"/>
          <w:szCs w:val="21"/>
          <w:highlight w:val="none"/>
          <w:u w:val="single"/>
        </w:rPr>
      </w:pPr>
      <w:r>
        <w:rPr>
          <w:rFonts w:hint="eastAsia" w:ascii="宋体" w:hAnsi="宋体" w:eastAsia="宋体" w:cs="宋体"/>
          <w:color w:val="auto"/>
          <w:kern w:val="0"/>
          <w:sz w:val="20"/>
          <w:szCs w:val="21"/>
          <w:highlight w:val="none"/>
        </w:rPr>
        <w:t>银行账号：</w:t>
      </w:r>
      <w:r>
        <w:rPr>
          <w:rFonts w:hint="eastAsia" w:ascii="宋体" w:hAnsi="宋体" w:eastAsia="宋体" w:cs="宋体"/>
          <w:color w:val="auto"/>
          <w:kern w:val="0"/>
          <w:sz w:val="20"/>
          <w:szCs w:val="21"/>
          <w:highlight w:val="none"/>
          <w:u w:val="single"/>
        </w:rPr>
        <w:t xml:space="preserve">                                                    </w:t>
      </w:r>
    </w:p>
    <w:p w14:paraId="24CBC30F">
      <w:pPr>
        <w:pStyle w:val="15"/>
        <w:tabs>
          <w:tab w:val="left" w:pos="939"/>
        </w:tabs>
        <w:spacing w:line="48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60E4C16A">
      <w:pPr>
        <w:spacing w:line="360" w:lineRule="auto"/>
        <w:contextualSpacing/>
        <w:jc w:val="left"/>
        <w:rPr>
          <w:rFonts w:hint="eastAsia" w:ascii="宋体" w:hAnsi="宋体" w:eastAsia="宋体" w:cs="宋体"/>
          <w:color w:val="auto"/>
          <w:szCs w:val="21"/>
          <w:highlight w:val="none"/>
        </w:rPr>
      </w:pPr>
    </w:p>
    <w:p w14:paraId="3ABC25E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1CAE0971">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748F49B">
      <w:pPr>
        <w:spacing w:line="500" w:lineRule="exact"/>
        <w:ind w:firstLine="0" w:firstLineChars="0"/>
        <w:rPr>
          <w:rFonts w:hint="eastAsia" w:ascii="宋体" w:hAnsi="宋体" w:eastAsia="宋体" w:cs="宋体"/>
          <w:b/>
          <w:color w:val="auto"/>
          <w:sz w:val="28"/>
          <w:szCs w:val="28"/>
          <w:highlight w:val="none"/>
          <w:lang w:val="en-US" w:eastAsia="zh-CN"/>
        </w:rPr>
      </w:pPr>
    </w:p>
    <w:p w14:paraId="2D8B3EAA">
      <w:pPr>
        <w:spacing w:line="500" w:lineRule="exact"/>
        <w:ind w:firstLine="0" w:firstLineChars="0"/>
        <w:rPr>
          <w:rFonts w:hint="eastAsia" w:ascii="宋体" w:hAnsi="宋体" w:eastAsia="宋体" w:cs="宋体"/>
          <w:b/>
          <w:color w:val="auto"/>
          <w:sz w:val="30"/>
          <w:szCs w:val="30"/>
          <w:highlight w:val="none"/>
          <w:lang w:val="zh-CN" w:eastAsia="zh-CN"/>
        </w:rPr>
      </w:pPr>
      <w:r>
        <w:rPr>
          <w:rFonts w:hint="eastAsia" w:ascii="宋体" w:hAnsi="宋体" w:eastAsia="宋体" w:cs="宋体"/>
          <w:b/>
          <w:color w:val="auto"/>
          <w:sz w:val="28"/>
          <w:szCs w:val="28"/>
          <w:highlight w:val="none"/>
          <w:lang w:val="en-US" w:eastAsia="zh-CN"/>
        </w:rPr>
        <w:br w:type="page"/>
      </w:r>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lang w:val="zh-CN" w:eastAsia="zh-CN"/>
        </w:rPr>
        <w:t>.响应报价表的格式：</w:t>
      </w:r>
      <w:r>
        <w:rPr>
          <w:rFonts w:hint="eastAsia" w:ascii="宋体" w:hAnsi="宋体" w:eastAsia="宋体" w:cs="宋体"/>
          <w:b/>
          <w:color w:val="auto"/>
          <w:sz w:val="30"/>
          <w:szCs w:val="30"/>
          <w:highlight w:val="none"/>
          <w:lang w:val="zh-CN" w:eastAsia="zh-CN"/>
        </w:rPr>
        <w:t xml:space="preserve"> </w:t>
      </w:r>
    </w:p>
    <w:p w14:paraId="710C5701">
      <w:pPr>
        <w:spacing w:line="520" w:lineRule="exact"/>
        <w:ind w:firstLine="0" w:firstLineChars="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响应报价表</w:t>
      </w:r>
    </w:p>
    <w:p w14:paraId="54B5968C">
      <w:pPr>
        <w:snapToGrid w:val="0"/>
        <w:spacing w:before="50" w:after="5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0A4EAA44">
      <w:pPr>
        <w:snapToGrid w:val="0"/>
        <w:spacing w:before="50" w:after="5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4256679">
      <w:pPr>
        <w:snapToGrid/>
        <w:spacing w:before="0" w:after="0" w:line="24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2093"/>
        <w:gridCol w:w="1337"/>
      </w:tblGrid>
      <w:tr w14:paraId="141A3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1337D27A">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36EBAAD">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lang w:eastAsia="zh-CN"/>
              </w:rPr>
              <w:t>标的</w:t>
            </w:r>
            <w:r>
              <w:rPr>
                <w:rFonts w:hint="eastAsia" w:ascii="宋体" w:hAnsi="宋体" w:eastAsia="宋体" w:cs="宋体"/>
                <w:color w:val="auto"/>
                <w:szCs w:val="22"/>
                <w:highlight w:val="none"/>
              </w:rPr>
              <w:t>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42865FBC">
            <w:pPr>
              <w:jc w:val="center"/>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rPr>
              <w:t>服务内容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AF5F059">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w:t>
            </w:r>
            <w:r>
              <w:rPr>
                <w:rFonts w:hint="eastAsia" w:ascii="宋体" w:hAnsi="宋体" w:eastAsia="宋体" w:cs="宋体"/>
                <w:color w:val="auto"/>
                <w:szCs w:val="22"/>
                <w:highlight w:val="none"/>
                <w:lang w:eastAsia="zh-CN"/>
              </w:rPr>
              <w:t>及</w:t>
            </w:r>
            <w:r>
              <w:rPr>
                <w:rFonts w:hint="eastAsia" w:ascii="宋体" w:hAnsi="宋体" w:eastAsia="宋体" w:cs="宋体"/>
                <w:color w:val="auto"/>
                <w:szCs w:val="22"/>
                <w:highlight w:val="none"/>
                <w:lang w:val="en-US" w:eastAsia="zh-CN"/>
              </w:rPr>
              <w:t xml:space="preserve"> 单位</w:t>
            </w:r>
            <w:r>
              <w:rPr>
                <w:rFonts w:hint="eastAsia" w:ascii="宋体" w:hAnsi="宋体" w:eastAsia="宋体" w:cs="宋体"/>
                <w:color w:val="auto"/>
                <w:szCs w:val="22"/>
                <w:highlight w:val="none"/>
              </w:rPr>
              <w:t>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0BE6EA5">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单价(元)②</w:t>
            </w:r>
          </w:p>
        </w:tc>
        <w:tc>
          <w:tcPr>
            <w:tcW w:w="2093" w:type="dxa"/>
            <w:tcBorders>
              <w:top w:val="single" w:color="auto" w:sz="4" w:space="0"/>
              <w:left w:val="single" w:color="auto" w:sz="4" w:space="0"/>
              <w:bottom w:val="single" w:color="auto" w:sz="4" w:space="0"/>
              <w:right w:val="single" w:color="auto" w:sz="4" w:space="0"/>
            </w:tcBorders>
            <w:noWrap w:val="0"/>
            <w:vAlign w:val="center"/>
          </w:tcPr>
          <w:p w14:paraId="50FC403A">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13C257E9">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③＝①×②</w:t>
            </w:r>
          </w:p>
        </w:tc>
        <w:tc>
          <w:tcPr>
            <w:tcW w:w="1337" w:type="dxa"/>
            <w:tcBorders>
              <w:top w:val="single" w:color="auto" w:sz="4" w:space="0"/>
              <w:left w:val="single" w:color="auto" w:sz="4" w:space="0"/>
              <w:bottom w:val="single" w:color="auto" w:sz="4" w:space="0"/>
              <w:right w:val="single" w:color="auto" w:sz="4" w:space="0"/>
            </w:tcBorders>
            <w:noWrap w:val="0"/>
            <w:vAlign w:val="top"/>
          </w:tcPr>
          <w:p w14:paraId="6A3F5303">
            <w:pPr>
              <w:spacing w:line="360" w:lineRule="auto"/>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lang w:eastAsia="zh-CN"/>
              </w:rPr>
              <w:t>供应商名称及地址</w:t>
            </w:r>
          </w:p>
        </w:tc>
      </w:tr>
      <w:tr w14:paraId="43022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41727316">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B33A2FB">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6B365B52">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6E65F6E">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049310E">
            <w:pPr>
              <w:rPr>
                <w:rFonts w:hint="eastAsia" w:ascii="宋体" w:hAnsi="宋体" w:eastAsia="宋体" w:cs="宋体"/>
                <w:color w:val="auto"/>
                <w:szCs w:val="22"/>
                <w:highlight w:val="none"/>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38188D6A">
            <w:pPr>
              <w:rPr>
                <w:rFonts w:hint="eastAsia" w:ascii="宋体" w:hAnsi="宋体" w:eastAsia="宋体" w:cs="宋体"/>
                <w:color w:val="auto"/>
                <w:szCs w:val="22"/>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812813F">
            <w:pPr>
              <w:rPr>
                <w:rFonts w:hint="eastAsia" w:ascii="宋体" w:hAnsi="宋体" w:eastAsia="宋体" w:cs="宋体"/>
                <w:color w:val="auto"/>
                <w:szCs w:val="22"/>
                <w:highlight w:val="none"/>
              </w:rPr>
            </w:pPr>
          </w:p>
        </w:tc>
      </w:tr>
      <w:tr w14:paraId="3D9E8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25997549">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6B08868">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2AFE39BA">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FFB502A">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ED8ECCB">
            <w:pPr>
              <w:rPr>
                <w:rFonts w:hint="eastAsia" w:ascii="宋体" w:hAnsi="宋体" w:eastAsia="宋体" w:cs="宋体"/>
                <w:color w:val="auto"/>
                <w:szCs w:val="22"/>
                <w:highlight w:val="none"/>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5B99D286">
            <w:pPr>
              <w:rPr>
                <w:rFonts w:hint="eastAsia" w:ascii="宋体" w:hAnsi="宋体" w:eastAsia="宋体" w:cs="宋体"/>
                <w:color w:val="auto"/>
                <w:szCs w:val="22"/>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153B2B1">
            <w:pPr>
              <w:rPr>
                <w:rFonts w:hint="eastAsia" w:ascii="宋体" w:hAnsi="宋体" w:eastAsia="宋体" w:cs="宋体"/>
                <w:color w:val="auto"/>
                <w:szCs w:val="22"/>
                <w:highlight w:val="none"/>
              </w:rPr>
            </w:pPr>
          </w:p>
        </w:tc>
      </w:tr>
      <w:tr w14:paraId="48B41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864A909">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273DF37">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30D39FB2">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BF51456">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6102DFC">
            <w:pPr>
              <w:rPr>
                <w:rFonts w:hint="eastAsia" w:ascii="宋体" w:hAnsi="宋体" w:eastAsia="宋体" w:cs="宋体"/>
                <w:color w:val="auto"/>
                <w:szCs w:val="22"/>
                <w:highlight w:val="none"/>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7A06EDF9">
            <w:pPr>
              <w:rPr>
                <w:rFonts w:hint="eastAsia" w:ascii="宋体" w:hAnsi="宋体" w:eastAsia="宋体" w:cs="宋体"/>
                <w:color w:val="auto"/>
                <w:szCs w:val="22"/>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B6C1611">
            <w:pPr>
              <w:rPr>
                <w:rFonts w:hint="eastAsia" w:ascii="宋体" w:hAnsi="宋体" w:eastAsia="宋体" w:cs="宋体"/>
                <w:color w:val="auto"/>
                <w:szCs w:val="22"/>
                <w:highlight w:val="none"/>
              </w:rPr>
            </w:pPr>
          </w:p>
        </w:tc>
      </w:tr>
      <w:tr w14:paraId="06FBD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2809E466">
            <w:pPr>
              <w:rPr>
                <w:rFonts w:hint="eastAsia" w:ascii="宋体" w:hAnsi="宋体" w:eastAsia="宋体" w:cs="宋体"/>
                <w:color w:val="auto"/>
                <w:szCs w:val="22"/>
                <w:highlight w:val="none"/>
              </w:rPr>
            </w:pPr>
            <w:r>
              <w:rPr>
                <w:rFonts w:hint="eastAsia" w:ascii="宋体" w:hAnsi="宋体" w:eastAsia="宋体" w:cs="宋体"/>
                <w:color w:val="auto"/>
                <w:kern w:val="0"/>
                <w:sz w:val="20"/>
                <w:szCs w:val="21"/>
                <w:highlight w:val="none"/>
                <w:lang w:eastAsia="zh-CN"/>
              </w:rPr>
              <w:t>磋商总报价</w:t>
            </w:r>
            <w:r>
              <w:rPr>
                <w:rFonts w:hint="eastAsia" w:ascii="宋体" w:hAnsi="宋体" w:eastAsia="宋体" w:cs="宋体"/>
                <w:color w:val="auto"/>
                <w:szCs w:val="22"/>
                <w:highlight w:val="none"/>
              </w:rPr>
              <w:t>（包含税费等所有费用）：</w:t>
            </w:r>
            <w:r>
              <w:rPr>
                <w:rFonts w:hint="eastAsia" w:ascii="宋体" w:hAnsi="宋体" w:eastAsia="宋体" w:cs="宋体"/>
                <w:color w:val="auto"/>
                <w:szCs w:val="22"/>
                <w:highlight w:val="none"/>
                <w:u w:val="single"/>
              </w:rPr>
              <w:t>（大写）人民币       （</w:t>
            </w:r>
            <w:r>
              <w:rPr>
                <w:rFonts w:hint="eastAsia" w:ascii="宋体" w:hAnsi="宋体" w:eastAsia="宋体" w:cs="宋体"/>
                <w:color w:val="auto"/>
                <w:szCs w:val="22"/>
                <w:highlight w:val="none"/>
                <w:u w:val="single"/>
                <w:lang w:eastAsia="zh-CN"/>
              </w:rPr>
              <w:t>小写</w:t>
            </w:r>
            <w:r>
              <w:rPr>
                <w:rFonts w:hint="eastAsia" w:ascii="宋体" w:hAnsi="宋体" w:eastAsia="宋体" w:cs="宋体"/>
                <w:color w:val="auto"/>
                <w:szCs w:val="22"/>
                <w:highlight w:val="none"/>
                <w:u w:val="single"/>
              </w:rPr>
              <w:t>）</w:t>
            </w:r>
            <w:r>
              <w:rPr>
                <w:rFonts w:hint="eastAsia" w:ascii="宋体" w:hAnsi="宋体" w:eastAsia="宋体" w:cs="宋体"/>
                <w:color w:val="auto"/>
                <w:szCs w:val="22"/>
                <w:highlight w:val="none"/>
                <w:u w:val="single"/>
                <w:lang w:eastAsia="zh-CN"/>
              </w:rPr>
              <w:t>¥</w:t>
            </w:r>
            <w:r>
              <w:rPr>
                <w:rFonts w:hint="eastAsia" w:ascii="宋体" w:hAnsi="宋体" w:eastAsia="宋体" w:cs="宋体"/>
                <w:color w:val="auto"/>
                <w:szCs w:val="22"/>
                <w:highlight w:val="none"/>
                <w:u w:val="single"/>
              </w:rPr>
              <w:t xml:space="preserve"> </w:t>
            </w:r>
            <w:r>
              <w:rPr>
                <w:rFonts w:hint="eastAsia" w:ascii="宋体" w:hAnsi="宋体" w:eastAsia="宋体" w:cs="宋体"/>
                <w:color w:val="auto"/>
                <w:szCs w:val="22"/>
                <w:highlight w:val="none"/>
                <w:u w:val="single"/>
                <w:lang w:val="en-US" w:eastAsia="zh-CN"/>
              </w:rPr>
              <w:t xml:space="preserve">      </w:t>
            </w:r>
            <w:r>
              <w:rPr>
                <w:rFonts w:hint="eastAsia" w:ascii="宋体" w:hAnsi="宋体" w:eastAsia="宋体" w:cs="宋体"/>
                <w:color w:val="auto"/>
                <w:szCs w:val="22"/>
                <w:highlight w:val="none"/>
                <w:u w:val="single"/>
              </w:rPr>
              <w:t xml:space="preserve"> </w:t>
            </w:r>
          </w:p>
        </w:tc>
      </w:tr>
      <w:tr w14:paraId="0045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3B0B6B11">
            <w:pPr>
              <w:rPr>
                <w:rFonts w:hint="eastAsia" w:ascii="宋体" w:hAnsi="宋体" w:eastAsia="宋体" w:cs="宋体"/>
                <w:color w:val="auto"/>
                <w:kern w:val="0"/>
                <w:sz w:val="20"/>
                <w:szCs w:val="21"/>
                <w:highlight w:val="none"/>
                <w:lang w:eastAsia="zh-CN"/>
              </w:rPr>
            </w:pPr>
            <w:r>
              <w:rPr>
                <w:rFonts w:hint="eastAsia" w:ascii="宋体" w:hAnsi="宋体" w:eastAsia="宋体" w:cs="宋体"/>
                <w:color w:val="auto"/>
                <w:kern w:val="0"/>
                <w:sz w:val="20"/>
                <w:szCs w:val="21"/>
                <w:highlight w:val="none"/>
                <w:lang w:eastAsia="zh-CN"/>
              </w:rPr>
              <w:t>服务期限：</w:t>
            </w:r>
          </w:p>
        </w:tc>
      </w:tr>
    </w:tbl>
    <w:p w14:paraId="46A42637">
      <w:pPr>
        <w:snapToGrid w:val="0"/>
        <w:spacing w:before="50" w:after="50"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注： </w:t>
      </w:r>
    </w:p>
    <w:p w14:paraId="106D05F2">
      <w:pPr>
        <w:snapToGrid w:val="0"/>
        <w:spacing w:before="50" w:after="50"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1、供应商需按本表格式填写，不得自行更改，也不得留空, 如有多分标，按分标分别提供响应报价表，</w:t>
      </w:r>
      <w:r>
        <w:rPr>
          <w:rFonts w:hint="eastAsia" w:ascii="宋体" w:hAnsi="宋体" w:eastAsia="宋体" w:cs="宋体"/>
          <w:b/>
          <w:color w:val="auto"/>
          <w:kern w:val="0"/>
          <w:sz w:val="21"/>
          <w:szCs w:val="21"/>
          <w:highlight w:val="none"/>
          <w:lang w:val="zh-CN"/>
        </w:rPr>
        <w:t>否则其响应按无效响应处理。</w:t>
      </w:r>
    </w:p>
    <w:p w14:paraId="62E266AE">
      <w:pPr>
        <w:snapToGrid w:val="0"/>
        <w:spacing w:before="50" w:after="50" w:line="360" w:lineRule="auto"/>
        <w:ind w:firstLine="420" w:firstLineChars="200"/>
        <w:jc w:val="left"/>
        <w:rPr>
          <w:rFonts w:hint="eastAsia" w:ascii="宋体" w:hAnsi="宋体" w:eastAsia="宋体" w:cs="宋体"/>
          <w:b/>
          <w:color w:val="auto"/>
          <w:kern w:val="0"/>
          <w:sz w:val="21"/>
          <w:szCs w:val="21"/>
          <w:highlight w:val="none"/>
          <w:lang w:val="zh-CN"/>
        </w:rPr>
      </w:pPr>
      <w:r>
        <w:rPr>
          <w:rFonts w:hint="eastAsia" w:ascii="宋体" w:hAnsi="宋体" w:eastAsia="宋体" w:cs="宋体"/>
          <w:color w:val="auto"/>
          <w:kern w:val="0"/>
          <w:sz w:val="21"/>
          <w:szCs w:val="21"/>
          <w:highlight w:val="none"/>
          <w:lang w:val="zh-CN"/>
        </w:rPr>
        <w:t>2、如为联合体响应的，“供应商名称”处必须列明联合体各方名称，并标注联合体牵头人名称，且盖章处须加盖联合体各方公章，</w:t>
      </w:r>
      <w:r>
        <w:rPr>
          <w:rFonts w:hint="eastAsia" w:ascii="宋体" w:hAnsi="宋体" w:eastAsia="宋体" w:cs="宋体"/>
          <w:b/>
          <w:color w:val="auto"/>
          <w:kern w:val="0"/>
          <w:sz w:val="21"/>
          <w:szCs w:val="21"/>
          <w:highlight w:val="none"/>
          <w:lang w:val="zh-CN"/>
        </w:rPr>
        <w:t>否则其响应按无效响应处理。</w:t>
      </w:r>
    </w:p>
    <w:p w14:paraId="1BE3A338">
      <w:pPr>
        <w:snapToGrid w:val="0"/>
        <w:spacing w:before="50" w:after="50" w:line="360" w:lineRule="auto"/>
        <w:ind w:firstLine="420" w:firstLineChars="200"/>
        <w:jc w:val="left"/>
        <w:rPr>
          <w:rFonts w:hint="eastAsia" w:ascii="宋体" w:hAnsi="宋体" w:eastAsia="宋体" w:cs="宋体"/>
          <w:b/>
          <w:color w:val="auto"/>
          <w:kern w:val="0"/>
          <w:sz w:val="21"/>
          <w:szCs w:val="21"/>
          <w:highlight w:val="none"/>
          <w:lang w:val="zh-CN"/>
        </w:rPr>
      </w:pPr>
      <w:r>
        <w:rPr>
          <w:rFonts w:hint="eastAsia" w:ascii="宋体" w:hAnsi="宋体" w:eastAsia="宋体" w:cs="宋体"/>
          <w:color w:val="auto"/>
          <w:kern w:val="0"/>
          <w:sz w:val="21"/>
          <w:szCs w:val="21"/>
          <w:highlight w:val="none"/>
          <w:lang w:val="zh-CN"/>
        </w:rPr>
        <w:t>3、</w:t>
      </w:r>
      <w:r>
        <w:rPr>
          <w:rFonts w:hint="eastAsia" w:ascii="宋体" w:hAnsi="宋体" w:eastAsia="宋体" w:cs="宋体"/>
          <w:color w:val="auto"/>
          <w:kern w:val="0"/>
          <w:sz w:val="21"/>
          <w:szCs w:val="21"/>
          <w:highlight w:val="none"/>
          <w:lang w:val="en-US" w:eastAsia="zh-CN"/>
        </w:rPr>
        <w:t>请</w:t>
      </w:r>
      <w:r>
        <w:rPr>
          <w:rFonts w:hint="eastAsia" w:ascii="宋体" w:hAnsi="宋体" w:eastAsia="宋体" w:cs="宋体"/>
          <w:color w:val="auto"/>
          <w:sz w:val="21"/>
          <w:szCs w:val="21"/>
          <w:highlight w:val="none"/>
        </w:rPr>
        <w:t>根据所</w:t>
      </w:r>
      <w:r>
        <w:rPr>
          <w:rFonts w:hint="eastAsia" w:ascii="宋体" w:hAnsi="宋体" w:eastAsia="宋体" w:cs="宋体"/>
          <w:color w:val="auto"/>
          <w:sz w:val="21"/>
          <w:szCs w:val="21"/>
          <w:highlight w:val="none"/>
          <w:lang w:val="en-US" w:eastAsia="zh-CN"/>
        </w:rPr>
        <w:t>竞</w:t>
      </w:r>
      <w:r>
        <w:rPr>
          <w:rFonts w:hint="eastAsia" w:ascii="宋体" w:hAnsi="宋体" w:eastAsia="宋体" w:cs="宋体"/>
          <w:color w:val="auto"/>
          <w:sz w:val="21"/>
          <w:szCs w:val="21"/>
          <w:highlight w:val="none"/>
          <w:lang w:eastAsia="zh-CN"/>
        </w:rPr>
        <w:t>服务内容</w:t>
      </w:r>
      <w:r>
        <w:rPr>
          <w:rFonts w:hint="eastAsia" w:ascii="宋体" w:hAnsi="宋体" w:eastAsia="宋体" w:cs="宋体"/>
          <w:color w:val="auto"/>
          <w:sz w:val="21"/>
          <w:szCs w:val="21"/>
          <w:highlight w:val="none"/>
        </w:rPr>
        <w:t>，</w:t>
      </w:r>
      <w:r>
        <w:rPr>
          <w:rFonts w:hint="eastAsia" w:ascii="宋体" w:hAnsi="宋体" w:eastAsia="宋体" w:cs="宋体"/>
          <w:b w:val="0"/>
          <w:color w:val="auto"/>
          <w:sz w:val="21"/>
          <w:szCs w:val="21"/>
          <w:highlight w:val="none"/>
        </w:rPr>
        <w:t>逐条对应</w:t>
      </w: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val="en-US" w:eastAsia="zh-CN"/>
        </w:rPr>
        <w:t>竞争性磋商</w:t>
      </w:r>
      <w:r>
        <w:rPr>
          <w:rFonts w:hint="eastAsia" w:ascii="宋体" w:hAnsi="宋体" w:eastAsia="宋体" w:cs="宋体"/>
          <w:color w:val="auto"/>
          <w:sz w:val="21"/>
          <w:szCs w:val="21"/>
          <w:highlight w:val="none"/>
        </w:rPr>
        <w:t>文件“第二章</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采购需求</w:t>
      </w: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“服务要求”</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内容</w:t>
      </w:r>
      <w:r>
        <w:rPr>
          <w:rFonts w:hint="eastAsia" w:ascii="宋体" w:hAnsi="宋体" w:eastAsia="宋体" w:cs="宋体"/>
          <w:color w:val="auto"/>
          <w:sz w:val="21"/>
          <w:szCs w:val="21"/>
          <w:highlight w:val="none"/>
        </w:rPr>
        <w:t>详细填写相应的具体内容。</w:t>
      </w:r>
    </w:p>
    <w:p w14:paraId="3DF9E131">
      <w:pPr>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4、特别提示：采购代理机构将对项目名称和项目编号，成交供应商名称、地址和成交金额，主要成交标的名称、服务范围、服务要求、服务时间、服务标准等予以公示。</w:t>
      </w:r>
    </w:p>
    <w:p w14:paraId="516265E3">
      <w:pPr>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5、符合采购文件中列明的可享受中小企业扶持政策的供应商，请填写中小企业声明函。</w:t>
      </w:r>
    </w:p>
    <w:p w14:paraId="49B04970">
      <w:pPr>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val="zh-CN"/>
        </w:rPr>
        <w:t>供应商提供的中小企业声明函内容不实的，属于提供虚假材料谋取中标、成交，依照《中华人民共和国政府采购法》等国家有关规定追究相应责任。</w:t>
      </w:r>
    </w:p>
    <w:p w14:paraId="135A9CB9">
      <w:pPr>
        <w:autoSpaceDE w:val="0"/>
        <w:autoSpaceDN w:val="0"/>
        <w:spacing w:line="360" w:lineRule="auto"/>
        <w:ind w:left="0" w:leftChars="0" w:firstLine="4560" w:firstLineChars="1900"/>
        <w:rPr>
          <w:rFonts w:hint="eastAsia" w:ascii="宋体" w:hAnsi="宋体" w:eastAsia="宋体" w:cs="宋体"/>
          <w:color w:val="auto"/>
          <w:kern w:val="0"/>
          <w:sz w:val="24"/>
          <w:highlight w:val="none"/>
        </w:rPr>
      </w:pPr>
    </w:p>
    <w:p w14:paraId="399B81F2">
      <w:pPr>
        <w:autoSpaceDE w:val="0"/>
        <w:autoSpaceDN w:val="0"/>
        <w:spacing w:line="360" w:lineRule="auto"/>
        <w:ind w:left="0" w:leftChars="0" w:firstLine="4560" w:firstLineChars="19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31A19882">
      <w:pPr>
        <w:autoSpaceDE w:val="0"/>
        <w:autoSpaceDN w:val="0"/>
        <w:spacing w:line="360" w:lineRule="auto"/>
        <w:ind w:firstLine="4560" w:firstLineChars="1900"/>
        <w:rPr>
          <w:rFonts w:hint="eastAsia" w:ascii="宋体" w:hAnsi="宋体" w:eastAsia="宋体" w:cs="宋体"/>
          <w:color w:val="auto"/>
          <w:kern w:val="0"/>
          <w:sz w:val="24"/>
          <w:szCs w:val="21"/>
          <w:highlight w:val="none"/>
          <w:lang w:val="zh-CN"/>
        </w:rPr>
      </w:pPr>
      <w:r>
        <w:rPr>
          <w:rFonts w:hint="eastAsia" w:ascii="宋体" w:hAnsi="宋体" w:eastAsia="宋体" w:cs="宋体"/>
          <w:color w:val="auto"/>
          <w:kern w:val="0"/>
          <w:sz w:val="24"/>
          <w:szCs w:val="21"/>
          <w:highlight w:val="none"/>
          <w:lang w:val="zh-CN"/>
        </w:rPr>
        <w:t>日期：  年  月   日</w:t>
      </w:r>
    </w:p>
    <w:p w14:paraId="69E1D6C3">
      <w:pPr>
        <w:spacing w:line="500" w:lineRule="exact"/>
        <w:ind w:firstLine="0" w:firstLineChars="0"/>
        <w:rPr>
          <w:rFonts w:hint="eastAsia" w:ascii="宋体" w:hAnsi="宋体" w:eastAsia="宋体" w:cs="宋体"/>
          <w:b/>
          <w:color w:val="auto"/>
          <w:sz w:val="30"/>
          <w:szCs w:val="30"/>
          <w:highlight w:val="none"/>
          <w:lang w:val="zh-CN" w:eastAsia="zh-CN"/>
        </w:rPr>
      </w:pPr>
      <w:r>
        <w:rPr>
          <w:rFonts w:hint="eastAsia" w:ascii="宋体" w:hAnsi="宋体" w:eastAsia="宋体" w:cs="宋体"/>
          <w:color w:val="auto"/>
          <w:kern w:val="0"/>
          <w:sz w:val="24"/>
          <w:szCs w:val="21"/>
          <w:highlight w:val="none"/>
          <w:lang w:val="zh-CN"/>
        </w:rPr>
        <w:br w:type="page"/>
      </w:r>
      <w:r>
        <w:rPr>
          <w:rFonts w:hint="eastAsia" w:ascii="宋体" w:hAnsi="宋体" w:eastAsia="宋体" w:cs="宋体"/>
          <w:b/>
          <w:color w:val="auto"/>
          <w:sz w:val="28"/>
          <w:szCs w:val="28"/>
          <w:highlight w:val="none"/>
          <w:lang w:val="en-US" w:eastAsia="zh-CN"/>
        </w:rPr>
        <w:t>5.</w:t>
      </w:r>
      <w:r>
        <w:rPr>
          <w:rFonts w:hint="eastAsia" w:ascii="宋体" w:hAnsi="宋体" w:eastAsia="宋体" w:cs="宋体"/>
          <w:b/>
          <w:color w:val="auto"/>
          <w:sz w:val="28"/>
          <w:szCs w:val="28"/>
          <w:highlight w:val="none"/>
          <w:lang w:val="zh-CN" w:eastAsia="zh-CN"/>
        </w:rPr>
        <w:t>最后报价表的格式：</w:t>
      </w:r>
      <w:r>
        <w:rPr>
          <w:rFonts w:hint="eastAsia" w:ascii="宋体" w:hAnsi="宋体" w:eastAsia="宋体" w:cs="宋体"/>
          <w:b/>
          <w:color w:val="auto"/>
          <w:sz w:val="30"/>
          <w:szCs w:val="30"/>
          <w:highlight w:val="none"/>
          <w:lang w:val="zh-CN" w:eastAsia="zh-CN"/>
        </w:rPr>
        <w:t xml:space="preserve"> </w:t>
      </w:r>
    </w:p>
    <w:p w14:paraId="6BA15972">
      <w:pPr>
        <w:spacing w:line="520" w:lineRule="exact"/>
        <w:ind w:firstLine="420" w:firstLineChars="200"/>
        <w:rPr>
          <w:rFonts w:hint="eastAsia" w:ascii="宋体" w:hAnsi="宋体" w:eastAsia="宋体" w:cs="宋体"/>
          <w:color w:val="auto"/>
          <w:highlight w:val="none"/>
        </w:rPr>
      </w:pPr>
    </w:p>
    <w:p w14:paraId="0A1B218E">
      <w:pPr>
        <w:spacing w:line="520" w:lineRule="exact"/>
        <w:ind w:firstLine="0" w:firstLineChars="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eastAsia="zh-CN"/>
        </w:rPr>
        <w:t>最后</w:t>
      </w:r>
      <w:r>
        <w:rPr>
          <w:rFonts w:hint="eastAsia" w:ascii="宋体" w:hAnsi="宋体" w:eastAsia="宋体" w:cs="宋体"/>
          <w:b/>
          <w:bCs/>
          <w:color w:val="auto"/>
          <w:sz w:val="32"/>
          <w:szCs w:val="32"/>
          <w:highlight w:val="none"/>
        </w:rPr>
        <w:t>报价表</w:t>
      </w:r>
    </w:p>
    <w:p w14:paraId="57F4682C">
      <w:pPr>
        <w:snapToGrid w:val="0"/>
        <w:spacing w:before="50" w:after="50" w:line="360" w:lineRule="auto"/>
        <w:rPr>
          <w:rFonts w:hint="eastAsia" w:ascii="宋体" w:hAnsi="宋体" w:eastAsia="宋体" w:cs="宋体"/>
          <w:color w:val="auto"/>
          <w:sz w:val="24"/>
          <w:highlight w:val="none"/>
        </w:rPr>
      </w:pPr>
    </w:p>
    <w:p w14:paraId="11B2AB44">
      <w:pPr>
        <w:snapToGrid w:val="0"/>
        <w:spacing w:before="50" w:after="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01520D90">
      <w:pPr>
        <w:snapToGrid w:val="0"/>
        <w:spacing w:before="50" w:after="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3D34470E">
      <w:pPr>
        <w:snapToGrid/>
        <w:spacing w:before="0" w:after="0"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1929"/>
        <w:gridCol w:w="1501"/>
      </w:tblGrid>
      <w:tr w14:paraId="083AE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63E72549">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8B33849">
            <w:pPr>
              <w:rPr>
                <w:rFonts w:hint="eastAsia" w:ascii="宋体" w:hAnsi="宋体" w:eastAsia="宋体" w:cs="宋体"/>
                <w:color w:val="auto"/>
                <w:szCs w:val="22"/>
                <w:highlight w:val="none"/>
              </w:rPr>
            </w:pPr>
            <w:r>
              <w:rPr>
                <w:rFonts w:hint="eastAsia" w:ascii="宋体" w:hAnsi="宋体" w:eastAsia="宋体" w:cs="宋体"/>
                <w:color w:val="auto"/>
                <w:szCs w:val="22"/>
                <w:highlight w:val="none"/>
                <w:lang w:eastAsia="zh-CN"/>
              </w:rPr>
              <w:t>标的</w:t>
            </w:r>
            <w:r>
              <w:rPr>
                <w:rFonts w:hint="eastAsia" w:ascii="宋体" w:hAnsi="宋体" w:eastAsia="宋体" w:cs="宋体"/>
                <w:color w:val="auto"/>
                <w:szCs w:val="22"/>
                <w:highlight w:val="none"/>
              </w:rPr>
              <w:t>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08B388B2">
            <w:pPr>
              <w:jc w:val="center"/>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rPr>
              <w:t>服务内容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FFCD4CF">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w:t>
            </w:r>
            <w:r>
              <w:rPr>
                <w:rFonts w:hint="eastAsia" w:ascii="宋体" w:hAnsi="宋体" w:eastAsia="宋体" w:cs="宋体"/>
                <w:color w:val="auto"/>
                <w:highlight w:val="none"/>
                <w:lang w:eastAsia="zh-CN"/>
              </w:rPr>
              <w:t>及单位</w:t>
            </w:r>
            <w:r>
              <w:rPr>
                <w:rFonts w:hint="eastAsia" w:ascii="宋体" w:hAnsi="宋体" w:eastAsia="宋体" w:cs="宋体"/>
                <w:color w:val="auto"/>
                <w:szCs w:val="22"/>
                <w:highlight w:val="none"/>
              </w:rPr>
              <w:t>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42AC46F">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单价(元)②</w:t>
            </w:r>
          </w:p>
        </w:tc>
        <w:tc>
          <w:tcPr>
            <w:tcW w:w="1929" w:type="dxa"/>
            <w:tcBorders>
              <w:top w:val="single" w:color="auto" w:sz="4" w:space="0"/>
              <w:left w:val="single" w:color="auto" w:sz="4" w:space="0"/>
              <w:bottom w:val="single" w:color="auto" w:sz="4" w:space="0"/>
              <w:right w:val="single" w:color="auto" w:sz="4" w:space="0"/>
            </w:tcBorders>
            <w:noWrap w:val="0"/>
            <w:vAlign w:val="center"/>
          </w:tcPr>
          <w:p w14:paraId="414E142A">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16DF0B24">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③＝①×②</w:t>
            </w:r>
          </w:p>
        </w:tc>
        <w:tc>
          <w:tcPr>
            <w:tcW w:w="1501" w:type="dxa"/>
            <w:tcBorders>
              <w:top w:val="single" w:color="auto" w:sz="4" w:space="0"/>
              <w:left w:val="single" w:color="auto" w:sz="4" w:space="0"/>
              <w:bottom w:val="single" w:color="auto" w:sz="4" w:space="0"/>
              <w:right w:val="single" w:color="auto" w:sz="4" w:space="0"/>
            </w:tcBorders>
            <w:noWrap w:val="0"/>
            <w:vAlign w:val="center"/>
          </w:tcPr>
          <w:p w14:paraId="6959E317">
            <w:pPr>
              <w:jc w:val="both"/>
              <w:rPr>
                <w:rFonts w:hint="eastAsia" w:ascii="宋体" w:hAnsi="宋体" w:eastAsia="宋体" w:cs="宋体"/>
                <w:color w:val="auto"/>
                <w:szCs w:val="22"/>
                <w:highlight w:val="none"/>
              </w:rPr>
            </w:pPr>
            <w:r>
              <w:rPr>
                <w:rFonts w:hint="eastAsia" w:ascii="宋体" w:hAnsi="宋体" w:eastAsia="宋体" w:cs="宋体"/>
                <w:color w:val="auto"/>
                <w:szCs w:val="22"/>
                <w:highlight w:val="none"/>
                <w:lang w:eastAsia="zh-CN"/>
              </w:rPr>
              <w:t>供应商名称及地址</w:t>
            </w:r>
          </w:p>
        </w:tc>
      </w:tr>
      <w:tr w14:paraId="4682B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8980945">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0074523">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5D9F5233">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4168FF0">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332DF3B">
            <w:pPr>
              <w:rPr>
                <w:rFonts w:hint="eastAsia" w:ascii="宋体" w:hAnsi="宋体" w:eastAsia="宋体" w:cs="宋体"/>
                <w:color w:val="auto"/>
                <w:szCs w:val="22"/>
                <w:highlight w:val="none"/>
              </w:rPr>
            </w:pPr>
          </w:p>
        </w:tc>
        <w:tc>
          <w:tcPr>
            <w:tcW w:w="1929" w:type="dxa"/>
            <w:tcBorders>
              <w:top w:val="single" w:color="auto" w:sz="4" w:space="0"/>
              <w:left w:val="single" w:color="auto" w:sz="4" w:space="0"/>
              <w:bottom w:val="single" w:color="auto" w:sz="4" w:space="0"/>
              <w:right w:val="single" w:color="auto" w:sz="4" w:space="0"/>
            </w:tcBorders>
            <w:noWrap w:val="0"/>
            <w:vAlign w:val="center"/>
          </w:tcPr>
          <w:p w14:paraId="7D0B7C41">
            <w:pPr>
              <w:rPr>
                <w:rFonts w:hint="eastAsia" w:ascii="宋体" w:hAnsi="宋体" w:eastAsia="宋体" w:cs="宋体"/>
                <w:color w:val="auto"/>
                <w:szCs w:val="22"/>
                <w:highlight w:val="none"/>
              </w:rPr>
            </w:pPr>
          </w:p>
        </w:tc>
        <w:tc>
          <w:tcPr>
            <w:tcW w:w="1501" w:type="dxa"/>
            <w:tcBorders>
              <w:top w:val="single" w:color="auto" w:sz="4" w:space="0"/>
              <w:left w:val="single" w:color="auto" w:sz="4" w:space="0"/>
              <w:bottom w:val="single" w:color="auto" w:sz="4" w:space="0"/>
              <w:right w:val="single" w:color="auto" w:sz="4" w:space="0"/>
            </w:tcBorders>
            <w:noWrap w:val="0"/>
            <w:vAlign w:val="top"/>
          </w:tcPr>
          <w:p w14:paraId="346AA7DE">
            <w:pPr>
              <w:rPr>
                <w:rFonts w:hint="eastAsia" w:ascii="宋体" w:hAnsi="宋体" w:eastAsia="宋体" w:cs="宋体"/>
                <w:color w:val="auto"/>
                <w:szCs w:val="22"/>
                <w:highlight w:val="none"/>
              </w:rPr>
            </w:pPr>
          </w:p>
        </w:tc>
      </w:tr>
      <w:tr w14:paraId="42A5E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19799233">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66CC3B6">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34438611">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6F0816C">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7CD9CA8">
            <w:pPr>
              <w:rPr>
                <w:rFonts w:hint="eastAsia" w:ascii="宋体" w:hAnsi="宋体" w:eastAsia="宋体" w:cs="宋体"/>
                <w:color w:val="auto"/>
                <w:szCs w:val="22"/>
                <w:highlight w:val="none"/>
              </w:rPr>
            </w:pPr>
          </w:p>
        </w:tc>
        <w:tc>
          <w:tcPr>
            <w:tcW w:w="1929" w:type="dxa"/>
            <w:tcBorders>
              <w:top w:val="single" w:color="auto" w:sz="4" w:space="0"/>
              <w:left w:val="single" w:color="auto" w:sz="4" w:space="0"/>
              <w:bottom w:val="single" w:color="auto" w:sz="4" w:space="0"/>
              <w:right w:val="single" w:color="auto" w:sz="4" w:space="0"/>
            </w:tcBorders>
            <w:noWrap w:val="0"/>
            <w:vAlign w:val="center"/>
          </w:tcPr>
          <w:p w14:paraId="296D0CEB">
            <w:pPr>
              <w:rPr>
                <w:rFonts w:hint="eastAsia" w:ascii="宋体" w:hAnsi="宋体" w:eastAsia="宋体" w:cs="宋体"/>
                <w:color w:val="auto"/>
                <w:szCs w:val="22"/>
                <w:highlight w:val="none"/>
              </w:rPr>
            </w:pPr>
          </w:p>
        </w:tc>
        <w:tc>
          <w:tcPr>
            <w:tcW w:w="1501" w:type="dxa"/>
            <w:tcBorders>
              <w:top w:val="single" w:color="auto" w:sz="4" w:space="0"/>
              <w:left w:val="single" w:color="auto" w:sz="4" w:space="0"/>
              <w:bottom w:val="single" w:color="auto" w:sz="4" w:space="0"/>
              <w:right w:val="single" w:color="auto" w:sz="4" w:space="0"/>
            </w:tcBorders>
            <w:noWrap w:val="0"/>
            <w:vAlign w:val="top"/>
          </w:tcPr>
          <w:p w14:paraId="05AE9A8D">
            <w:pPr>
              <w:rPr>
                <w:rFonts w:hint="eastAsia" w:ascii="宋体" w:hAnsi="宋体" w:eastAsia="宋体" w:cs="宋体"/>
                <w:color w:val="auto"/>
                <w:szCs w:val="22"/>
                <w:highlight w:val="none"/>
              </w:rPr>
            </w:pPr>
          </w:p>
        </w:tc>
      </w:tr>
      <w:tr w14:paraId="4CABB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D9BF047">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6D58C3E">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7237596F">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620C826">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73F98A0">
            <w:pPr>
              <w:rPr>
                <w:rFonts w:hint="eastAsia" w:ascii="宋体" w:hAnsi="宋体" w:eastAsia="宋体" w:cs="宋体"/>
                <w:color w:val="auto"/>
                <w:szCs w:val="22"/>
                <w:highlight w:val="none"/>
              </w:rPr>
            </w:pPr>
          </w:p>
        </w:tc>
        <w:tc>
          <w:tcPr>
            <w:tcW w:w="1929" w:type="dxa"/>
            <w:tcBorders>
              <w:top w:val="single" w:color="auto" w:sz="4" w:space="0"/>
              <w:left w:val="single" w:color="auto" w:sz="4" w:space="0"/>
              <w:bottom w:val="single" w:color="auto" w:sz="4" w:space="0"/>
              <w:right w:val="single" w:color="auto" w:sz="4" w:space="0"/>
            </w:tcBorders>
            <w:noWrap w:val="0"/>
            <w:vAlign w:val="center"/>
          </w:tcPr>
          <w:p w14:paraId="3F6E1593">
            <w:pPr>
              <w:rPr>
                <w:rFonts w:hint="eastAsia" w:ascii="宋体" w:hAnsi="宋体" w:eastAsia="宋体" w:cs="宋体"/>
                <w:color w:val="auto"/>
                <w:szCs w:val="22"/>
                <w:highlight w:val="none"/>
              </w:rPr>
            </w:pPr>
          </w:p>
        </w:tc>
        <w:tc>
          <w:tcPr>
            <w:tcW w:w="1501" w:type="dxa"/>
            <w:tcBorders>
              <w:top w:val="single" w:color="auto" w:sz="4" w:space="0"/>
              <w:left w:val="single" w:color="auto" w:sz="4" w:space="0"/>
              <w:bottom w:val="single" w:color="auto" w:sz="4" w:space="0"/>
              <w:right w:val="single" w:color="auto" w:sz="4" w:space="0"/>
            </w:tcBorders>
            <w:noWrap w:val="0"/>
            <w:vAlign w:val="top"/>
          </w:tcPr>
          <w:p w14:paraId="0A877D7D">
            <w:pPr>
              <w:rPr>
                <w:rFonts w:hint="eastAsia" w:ascii="宋体" w:hAnsi="宋体" w:eastAsia="宋体" w:cs="宋体"/>
                <w:color w:val="auto"/>
                <w:szCs w:val="22"/>
                <w:highlight w:val="none"/>
              </w:rPr>
            </w:pPr>
          </w:p>
        </w:tc>
      </w:tr>
      <w:tr w14:paraId="3F7CE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672207D2">
            <w:pPr>
              <w:rPr>
                <w:rFonts w:hint="eastAsia" w:ascii="宋体" w:hAnsi="宋体" w:eastAsia="宋体" w:cs="宋体"/>
                <w:color w:val="auto"/>
                <w:szCs w:val="22"/>
                <w:highlight w:val="none"/>
              </w:rPr>
            </w:pPr>
            <w:r>
              <w:rPr>
                <w:rFonts w:hint="eastAsia" w:ascii="宋体" w:hAnsi="宋体" w:eastAsia="宋体" w:cs="宋体"/>
                <w:color w:val="auto"/>
                <w:kern w:val="0"/>
                <w:sz w:val="20"/>
                <w:szCs w:val="21"/>
                <w:highlight w:val="none"/>
                <w:lang w:eastAsia="zh-CN"/>
              </w:rPr>
              <w:t>磋商总报价</w:t>
            </w:r>
            <w:r>
              <w:rPr>
                <w:rFonts w:hint="eastAsia" w:ascii="宋体" w:hAnsi="宋体" w:eastAsia="宋体" w:cs="宋体"/>
                <w:color w:val="auto"/>
                <w:szCs w:val="22"/>
                <w:highlight w:val="none"/>
              </w:rPr>
              <w:t>（包含税费等所有费用）：</w:t>
            </w:r>
            <w:r>
              <w:rPr>
                <w:rFonts w:hint="eastAsia" w:ascii="宋体" w:hAnsi="宋体" w:eastAsia="宋体" w:cs="宋体"/>
                <w:color w:val="auto"/>
                <w:szCs w:val="22"/>
                <w:highlight w:val="none"/>
                <w:u w:val="single"/>
              </w:rPr>
              <w:t>（大写）人民币       （</w:t>
            </w:r>
            <w:r>
              <w:rPr>
                <w:rFonts w:hint="eastAsia" w:ascii="宋体" w:hAnsi="宋体" w:eastAsia="宋体" w:cs="宋体"/>
                <w:color w:val="auto"/>
                <w:szCs w:val="22"/>
                <w:highlight w:val="none"/>
                <w:u w:val="single"/>
                <w:lang w:eastAsia="zh-CN"/>
              </w:rPr>
              <w:t>小写</w:t>
            </w:r>
            <w:r>
              <w:rPr>
                <w:rFonts w:hint="eastAsia" w:ascii="宋体" w:hAnsi="宋体" w:eastAsia="宋体" w:cs="宋体"/>
                <w:color w:val="auto"/>
                <w:szCs w:val="22"/>
                <w:highlight w:val="none"/>
                <w:u w:val="single"/>
              </w:rPr>
              <w:t>）</w:t>
            </w:r>
            <w:r>
              <w:rPr>
                <w:rFonts w:hint="eastAsia" w:ascii="宋体" w:hAnsi="宋体" w:eastAsia="宋体" w:cs="宋体"/>
                <w:color w:val="auto"/>
                <w:szCs w:val="22"/>
                <w:highlight w:val="none"/>
                <w:u w:val="single"/>
                <w:lang w:eastAsia="zh-CN"/>
              </w:rPr>
              <w:t>¥</w:t>
            </w:r>
            <w:r>
              <w:rPr>
                <w:rFonts w:hint="eastAsia" w:ascii="宋体" w:hAnsi="宋体" w:eastAsia="宋体" w:cs="宋体"/>
                <w:color w:val="auto"/>
                <w:szCs w:val="22"/>
                <w:highlight w:val="none"/>
                <w:u w:val="single"/>
              </w:rPr>
              <w:t xml:space="preserve"> </w:t>
            </w:r>
            <w:r>
              <w:rPr>
                <w:rFonts w:hint="eastAsia" w:ascii="宋体" w:hAnsi="宋体" w:eastAsia="宋体" w:cs="宋体"/>
                <w:color w:val="auto"/>
                <w:szCs w:val="22"/>
                <w:highlight w:val="none"/>
                <w:u w:val="single"/>
                <w:lang w:val="en-US" w:eastAsia="zh-CN"/>
              </w:rPr>
              <w:t xml:space="preserve">      </w:t>
            </w:r>
            <w:r>
              <w:rPr>
                <w:rFonts w:hint="eastAsia" w:ascii="宋体" w:hAnsi="宋体" w:eastAsia="宋体" w:cs="宋体"/>
                <w:color w:val="auto"/>
                <w:szCs w:val="22"/>
                <w:highlight w:val="none"/>
                <w:u w:val="single"/>
              </w:rPr>
              <w:t xml:space="preserve"> </w:t>
            </w:r>
          </w:p>
        </w:tc>
      </w:tr>
      <w:tr w14:paraId="0855F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7F984E4E">
            <w:pPr>
              <w:rPr>
                <w:rFonts w:hint="eastAsia" w:ascii="宋体" w:hAnsi="宋体" w:eastAsia="宋体" w:cs="宋体"/>
                <w:color w:val="auto"/>
                <w:kern w:val="0"/>
                <w:sz w:val="20"/>
                <w:szCs w:val="21"/>
                <w:highlight w:val="none"/>
              </w:rPr>
            </w:pPr>
            <w:r>
              <w:rPr>
                <w:rFonts w:hint="eastAsia" w:ascii="宋体" w:hAnsi="宋体" w:eastAsia="宋体" w:cs="宋体"/>
                <w:color w:val="auto"/>
                <w:szCs w:val="22"/>
                <w:highlight w:val="none"/>
                <w:lang w:eastAsia="zh-CN"/>
              </w:rPr>
              <w:t>服务期限：</w:t>
            </w:r>
          </w:p>
        </w:tc>
      </w:tr>
    </w:tbl>
    <w:p w14:paraId="1F3B190F">
      <w:pPr>
        <w:pStyle w:val="21"/>
        <w:rPr>
          <w:rFonts w:hint="eastAsia" w:ascii="宋体" w:hAnsi="宋体" w:eastAsia="宋体" w:cs="宋体"/>
          <w:color w:val="auto"/>
          <w:kern w:val="0"/>
          <w:sz w:val="21"/>
          <w:szCs w:val="21"/>
          <w:highlight w:val="none"/>
          <w:lang w:val="zh-CN"/>
        </w:rPr>
      </w:pPr>
    </w:p>
    <w:p w14:paraId="4FA9A453">
      <w:pPr>
        <w:pStyle w:val="21"/>
        <w:rPr>
          <w:rFonts w:hint="eastAsia" w:ascii="宋体" w:hAnsi="宋体" w:eastAsia="宋体" w:cs="宋体"/>
          <w:color w:val="auto"/>
          <w:kern w:val="0"/>
          <w:sz w:val="21"/>
          <w:szCs w:val="21"/>
          <w:highlight w:val="none"/>
          <w:lang w:val="zh-CN"/>
        </w:rPr>
      </w:pPr>
    </w:p>
    <w:p w14:paraId="569DB0A8">
      <w:pPr>
        <w:pStyle w:val="12"/>
        <w:rPr>
          <w:rFonts w:hint="eastAsia" w:ascii="宋体" w:hAnsi="宋体" w:eastAsia="宋体" w:cs="宋体"/>
          <w:color w:val="auto"/>
          <w:highlight w:val="none"/>
        </w:rPr>
      </w:pPr>
    </w:p>
    <w:p w14:paraId="1868E840">
      <w:pPr>
        <w:autoSpaceDE w:val="0"/>
        <w:autoSpaceDN w:val="0"/>
        <w:spacing w:line="360" w:lineRule="auto"/>
        <w:ind w:left="0" w:leftChars="0" w:firstLine="4560" w:firstLineChars="19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78BB55A4">
      <w:pPr>
        <w:spacing w:line="500" w:lineRule="exact"/>
        <w:ind w:firstLine="6360" w:firstLineChars="2650"/>
        <w:rPr>
          <w:rFonts w:hint="eastAsia" w:ascii="宋体" w:hAnsi="宋体" w:eastAsia="宋体" w:cs="宋体"/>
          <w:color w:val="auto"/>
          <w:sz w:val="24"/>
          <w:highlight w:val="none"/>
          <w:lang w:val="zh-CN"/>
        </w:rPr>
        <w:sectPr>
          <w:pgSz w:w="11911" w:h="16838"/>
          <w:pgMar w:top="1134" w:right="1134" w:bottom="1134" w:left="1134" w:header="720" w:footer="720" w:gutter="0"/>
          <w:pgNumType w:fmt="decimal"/>
          <w:cols w:space="720" w:num="1"/>
        </w:sectPr>
      </w:pPr>
      <w:r>
        <w:rPr>
          <w:rFonts w:hint="eastAsia" w:ascii="宋体" w:hAnsi="宋体" w:eastAsia="宋体" w:cs="宋体"/>
          <w:color w:val="auto"/>
          <w:kern w:val="0"/>
          <w:sz w:val="24"/>
          <w:szCs w:val="21"/>
          <w:highlight w:val="none"/>
          <w:lang w:val="zh-CN"/>
        </w:rPr>
        <w:t>日期：  年  月   日</w:t>
      </w:r>
    </w:p>
    <w:p w14:paraId="5762EEB6">
      <w:pPr>
        <w:pStyle w:val="3"/>
        <w:jc w:val="center"/>
        <w:rPr>
          <w:rFonts w:hint="eastAsia" w:ascii="宋体" w:hAnsi="宋体" w:eastAsia="宋体" w:cs="宋体"/>
          <w:b w:val="0"/>
          <w:color w:val="auto"/>
          <w:highlight w:val="none"/>
        </w:rPr>
      </w:pPr>
      <w:bookmarkStart w:id="134" w:name="_Toc80205942"/>
      <w:bookmarkStart w:id="135" w:name="_Toc80886946"/>
      <w:bookmarkStart w:id="136" w:name="_Toc13936"/>
      <w:bookmarkStart w:id="137" w:name="_Toc18482"/>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四</w:t>
      </w:r>
      <w:r>
        <w:rPr>
          <w:rFonts w:hint="eastAsia" w:ascii="宋体" w:hAnsi="宋体" w:eastAsia="宋体" w:cs="宋体"/>
          <w:color w:val="auto"/>
          <w:highlight w:val="none"/>
        </w:rPr>
        <w:t>节 其他文书、文件格式</w:t>
      </w:r>
      <w:bookmarkEnd w:id="134"/>
      <w:bookmarkEnd w:id="135"/>
      <w:bookmarkEnd w:id="136"/>
      <w:bookmarkEnd w:id="137"/>
    </w:p>
    <w:p w14:paraId="30702918">
      <w:pPr>
        <w:spacing w:line="500" w:lineRule="exact"/>
        <w:ind w:firstLine="0" w:firstLineChars="0"/>
        <w:rPr>
          <w:rFonts w:hint="eastAsia" w:ascii="宋体" w:hAnsi="宋体" w:eastAsia="宋体" w:cs="宋体"/>
          <w:b/>
          <w:color w:val="auto"/>
          <w:sz w:val="30"/>
          <w:szCs w:val="30"/>
          <w:highlight w:val="none"/>
          <w:lang w:val="zh-CN" w:eastAsia="zh-CN"/>
        </w:rPr>
      </w:pPr>
      <w:r>
        <w:rPr>
          <w:rFonts w:hint="eastAsia" w:ascii="宋体" w:hAnsi="宋体" w:eastAsia="宋体" w:cs="宋体"/>
          <w:b/>
          <w:color w:val="auto"/>
          <w:sz w:val="30"/>
          <w:szCs w:val="30"/>
          <w:highlight w:val="none"/>
          <w:lang w:val="en-US" w:eastAsia="zh-CN"/>
        </w:rPr>
        <w:t>1.</w:t>
      </w:r>
      <w:r>
        <w:rPr>
          <w:rFonts w:hint="eastAsia" w:ascii="宋体" w:hAnsi="宋体" w:eastAsia="宋体" w:cs="宋体"/>
          <w:b/>
          <w:color w:val="auto"/>
          <w:sz w:val="30"/>
          <w:szCs w:val="30"/>
          <w:highlight w:val="none"/>
          <w:lang w:val="zh-CN" w:eastAsia="zh-CN"/>
        </w:rPr>
        <w:t>中小企业声明函的格式：</w:t>
      </w:r>
    </w:p>
    <w:p w14:paraId="7EDAC502">
      <w:pPr>
        <w:pStyle w:val="21"/>
        <w:rPr>
          <w:rFonts w:hint="eastAsia" w:ascii="宋体" w:hAnsi="宋体" w:eastAsia="宋体" w:cs="宋体"/>
          <w:color w:val="auto"/>
          <w:highlight w:val="none"/>
          <w:lang w:eastAsia="zh-CN"/>
        </w:rPr>
      </w:pPr>
    </w:p>
    <w:p w14:paraId="33B4B03B">
      <w:pPr>
        <w:spacing w:line="300" w:lineRule="auto"/>
        <w:ind w:firstLine="3520" w:firstLineChars="800"/>
        <w:jc w:val="both"/>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中小企业声明函</w:t>
      </w:r>
    </w:p>
    <w:p w14:paraId="2E35F44B">
      <w:pPr>
        <w:pStyle w:val="12"/>
        <w:spacing w:after="0" w:line="360" w:lineRule="auto"/>
        <w:ind w:left="-426" w:right="142" w:firstLine="640"/>
        <w:contextualSpacing/>
        <w:rPr>
          <w:rFonts w:hint="eastAsia" w:ascii="宋体" w:hAnsi="宋体" w:eastAsia="宋体" w:cs="宋体"/>
          <w:color w:val="auto"/>
          <w:sz w:val="24"/>
          <w:highlight w:val="none"/>
        </w:rPr>
      </w:pPr>
    </w:p>
    <w:p w14:paraId="424581C2">
      <w:pPr>
        <w:pStyle w:val="12"/>
        <w:spacing w:after="0" w:line="360" w:lineRule="auto"/>
        <w:ind w:left="-426" w:right="142" w:firstLine="6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本公司（联合体）郑重声明，根据《政府采购促进中小企业发展管理办法》（财库﹝2020﹞46号）的规定，本公司（联合体）参加</w:t>
      </w:r>
      <w:r>
        <w:rPr>
          <w:rFonts w:hint="eastAsia" w:ascii="宋体" w:hAnsi="宋体" w:eastAsia="宋体" w:cs="宋体"/>
          <w:i/>
          <w:iCs/>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i/>
          <w:iCs/>
          <w:color w:val="auto"/>
          <w:sz w:val="24"/>
          <w:highlight w:val="none"/>
          <w:u w:val="single"/>
        </w:rPr>
        <w:t>（项目名称）</w:t>
      </w:r>
      <w:r>
        <w:rPr>
          <w:rFonts w:hint="eastAsia" w:ascii="宋体" w:hAnsi="宋体" w:eastAsia="宋体" w:cs="宋体"/>
          <w:color w:val="auto"/>
          <w:sz w:val="24"/>
          <w:highlight w:val="none"/>
        </w:rPr>
        <w:t>采购活动，</w:t>
      </w:r>
      <w:r>
        <w:rPr>
          <w:rFonts w:hint="eastAsia" w:ascii="宋体" w:hAnsi="宋体" w:eastAsia="宋体" w:cs="宋体"/>
          <w:color w:val="auto"/>
          <w:kern w:val="0"/>
          <w:sz w:val="24"/>
          <w:highlight w:val="none"/>
        </w:rPr>
        <w:t>服务全部由符合政策要求的中小企业承接</w:t>
      </w:r>
      <w:r>
        <w:rPr>
          <w:rFonts w:hint="eastAsia" w:ascii="宋体" w:hAnsi="宋体" w:eastAsia="宋体" w:cs="宋体"/>
          <w:color w:val="auto"/>
          <w:sz w:val="24"/>
          <w:highlight w:val="none"/>
        </w:rPr>
        <w:t>。相关企业（含联合体中的中小企业、签订分包意向协议的中小企业）的具体情况如下：</w:t>
      </w:r>
    </w:p>
    <w:p w14:paraId="737C0ECA">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标的名称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采购文件中明确的所属行业</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承建（承接）企业</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企业名称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中型企业、小型企业、微型企业</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543C20D8">
      <w:pPr>
        <w:tabs>
          <w:tab w:val="left" w:pos="1065"/>
          <w:tab w:val="left" w:pos="6477"/>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标的名称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采购文件中明确的所属行业</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承建（承接）企业</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企业名称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中型企业、小型企业、微型企业</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3CD43E15">
      <w:pPr>
        <w:pStyle w:val="12"/>
        <w:spacing w:after="0" w:line="360" w:lineRule="auto"/>
        <w:ind w:left="142" w:right="142"/>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2E3731B">
      <w:pPr>
        <w:pStyle w:val="12"/>
        <w:spacing w:after="0" w:line="360" w:lineRule="auto"/>
        <w:ind w:left="-405" w:leftChars="-193" w:right="142" w:firstLine="453" w:firstLineChars="189"/>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2AB21696">
      <w:pPr>
        <w:pStyle w:val="12"/>
        <w:spacing w:after="0" w:line="360" w:lineRule="auto"/>
        <w:ind w:left="-426" w:right="142" w:firstLine="567"/>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77DADCA6">
      <w:pPr>
        <w:pStyle w:val="12"/>
        <w:spacing w:after="0" w:line="360" w:lineRule="auto"/>
        <w:ind w:left="3960" w:right="1808"/>
        <w:contextualSpacing/>
        <w:rPr>
          <w:rFonts w:hint="eastAsia" w:ascii="宋体" w:hAnsi="宋体" w:eastAsia="宋体" w:cs="宋体"/>
          <w:color w:val="auto"/>
          <w:sz w:val="24"/>
          <w:highlight w:val="none"/>
        </w:rPr>
      </w:pPr>
    </w:p>
    <w:p w14:paraId="4E671B0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02BE51AC">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845C27F">
      <w:pPr>
        <w:pStyle w:val="12"/>
        <w:spacing w:after="0" w:line="360" w:lineRule="auto"/>
        <w:ind w:left="3960" w:right="1808"/>
        <w:contextualSpacing/>
        <w:rPr>
          <w:rFonts w:hint="eastAsia" w:ascii="宋体" w:hAnsi="宋体" w:eastAsia="宋体" w:cs="宋体"/>
          <w:color w:val="auto"/>
          <w:highlight w:val="none"/>
        </w:rPr>
      </w:pPr>
    </w:p>
    <w:p w14:paraId="6D10F670">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注：享受《政府采购促进中小企业发展管理办法》（财库〔2020〕46号）规定的中小企业扶持政策的，采购人</w:t>
      </w:r>
      <w:r>
        <w:rPr>
          <w:rFonts w:hint="eastAsia" w:ascii="宋体" w:hAnsi="宋体" w:eastAsia="宋体" w:cs="宋体"/>
          <w:color w:val="auto"/>
          <w:sz w:val="24"/>
          <w:highlight w:val="none"/>
          <w:lang w:eastAsia="zh-CN"/>
        </w:rPr>
        <w:t>或者</w:t>
      </w:r>
      <w:r>
        <w:rPr>
          <w:rFonts w:hint="eastAsia" w:ascii="宋体" w:hAnsi="宋体" w:eastAsia="宋体" w:cs="宋体"/>
          <w:color w:val="auto"/>
          <w:sz w:val="24"/>
          <w:highlight w:val="none"/>
        </w:rPr>
        <w:t>采购代理机构应当随成交结果公开成交供应商的《中小企业声明函》</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接受社会监督。从业人员、营业收入、资产总额填报上一年度数据，无上一年度数据的新成立企业可不填报。</w:t>
      </w:r>
    </w:p>
    <w:p w14:paraId="5D15E0DF">
      <w:pPr>
        <w:snapToGrid w:val="0"/>
        <w:spacing w:before="120" w:beforeLines="50" w:after="50" w:line="360" w:lineRule="auto"/>
        <w:outlineLvl w:val="1"/>
        <w:rPr>
          <w:rFonts w:hint="eastAsia" w:ascii="宋体" w:hAnsi="宋体" w:eastAsia="宋体" w:cs="宋体"/>
          <w:b/>
          <w:bCs/>
          <w:color w:val="auto"/>
          <w:sz w:val="32"/>
          <w:szCs w:val="32"/>
          <w:highlight w:val="none"/>
        </w:rPr>
        <w:sectPr>
          <w:pgSz w:w="11911" w:h="16838"/>
          <w:pgMar w:top="1134" w:right="1134" w:bottom="1134" w:left="1134" w:header="720" w:footer="720" w:gutter="0"/>
          <w:pgNumType w:fmt="decimal"/>
          <w:cols w:space="720" w:num="1"/>
        </w:sectPr>
      </w:pPr>
    </w:p>
    <w:p w14:paraId="590BFF13">
      <w:pPr>
        <w:numPr>
          <w:ilvl w:val="0"/>
          <w:numId w:val="0"/>
        </w:numPr>
        <w:spacing w:line="520" w:lineRule="exact"/>
        <w:jc w:val="both"/>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2.残疾人福利性单位声明函的格式：</w:t>
      </w:r>
    </w:p>
    <w:p w14:paraId="42F67CE0">
      <w:pPr>
        <w:pStyle w:val="21"/>
        <w:rPr>
          <w:rFonts w:hint="eastAsia" w:ascii="宋体" w:hAnsi="宋体" w:eastAsia="宋体" w:cs="宋体"/>
          <w:color w:val="auto"/>
          <w:highlight w:val="none"/>
        </w:rPr>
      </w:pPr>
    </w:p>
    <w:p w14:paraId="7A61F637">
      <w:pPr>
        <w:spacing w:line="520" w:lineRule="exact"/>
        <w:jc w:val="center"/>
        <w:rPr>
          <w:rFonts w:hint="eastAsia" w:ascii="宋体" w:hAnsi="宋体" w:eastAsia="宋体" w:cs="宋体"/>
          <w:color w:val="auto"/>
          <w:sz w:val="44"/>
          <w:szCs w:val="44"/>
          <w:highlight w:val="none"/>
        </w:rPr>
      </w:pPr>
    </w:p>
    <w:p w14:paraId="474EF22F">
      <w:pPr>
        <w:spacing w:line="520" w:lineRule="exact"/>
        <w:jc w:val="center"/>
        <w:rPr>
          <w:rFonts w:hint="eastAsia" w:ascii="宋体" w:hAnsi="宋体" w:eastAsia="宋体" w:cs="宋体"/>
          <w:color w:val="auto"/>
          <w:sz w:val="44"/>
          <w:szCs w:val="44"/>
          <w:highlight w:val="none"/>
        </w:rPr>
      </w:pPr>
    </w:p>
    <w:p w14:paraId="58CC71A8">
      <w:pPr>
        <w:spacing w:line="520" w:lineRule="exact"/>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残疾人福利性单位声明函</w:t>
      </w:r>
    </w:p>
    <w:p w14:paraId="79AE9766">
      <w:pPr>
        <w:spacing w:line="520" w:lineRule="exact"/>
        <w:rPr>
          <w:rFonts w:hint="eastAsia" w:ascii="宋体" w:hAnsi="宋体" w:eastAsia="宋体" w:cs="宋体"/>
          <w:color w:val="auto"/>
          <w:sz w:val="32"/>
          <w:szCs w:val="32"/>
          <w:highlight w:val="none"/>
        </w:rPr>
      </w:pPr>
    </w:p>
    <w:p w14:paraId="412E734B">
      <w:pPr>
        <w:spacing w:line="360" w:lineRule="auto"/>
        <w:ind w:firstLine="480" w:firstLineChars="200"/>
        <w:contextualSpacing/>
        <w:rPr>
          <w:rFonts w:hint="eastAsia" w:ascii="宋体" w:hAnsi="宋体" w:eastAsia="宋体" w:cs="宋体"/>
          <w:color w:val="auto"/>
          <w:sz w:val="24"/>
          <w:szCs w:val="24"/>
          <w:highlight w:val="none"/>
        </w:rPr>
      </w:pPr>
    </w:p>
    <w:p w14:paraId="0DA0B9EB">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单位的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14:paraId="29E28D2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0B624A9F">
      <w:pPr>
        <w:spacing w:line="360" w:lineRule="auto"/>
        <w:contextualSpacing/>
        <w:rPr>
          <w:rFonts w:hint="eastAsia" w:ascii="宋体" w:hAnsi="宋体" w:eastAsia="宋体" w:cs="宋体"/>
          <w:color w:val="auto"/>
          <w:sz w:val="24"/>
          <w:highlight w:val="none"/>
        </w:rPr>
      </w:pPr>
    </w:p>
    <w:p w14:paraId="1E83EC76">
      <w:pPr>
        <w:spacing w:line="360" w:lineRule="auto"/>
        <w:contextualSpacing/>
        <w:rPr>
          <w:rFonts w:hint="eastAsia" w:ascii="宋体" w:hAnsi="宋体" w:eastAsia="宋体" w:cs="宋体"/>
          <w:color w:val="auto"/>
          <w:sz w:val="24"/>
          <w:highlight w:val="none"/>
        </w:rPr>
      </w:pPr>
    </w:p>
    <w:p w14:paraId="10801B5C">
      <w:pPr>
        <w:spacing w:line="360" w:lineRule="auto"/>
        <w:contextualSpacing/>
        <w:rPr>
          <w:rFonts w:hint="eastAsia" w:ascii="宋体" w:hAnsi="宋体" w:eastAsia="宋体" w:cs="宋体"/>
          <w:color w:val="auto"/>
          <w:sz w:val="24"/>
          <w:highlight w:val="none"/>
        </w:rPr>
      </w:pPr>
    </w:p>
    <w:p w14:paraId="246EED37">
      <w:pPr>
        <w:spacing w:line="360" w:lineRule="auto"/>
        <w:ind w:firstLine="2400" w:firstLineChars="10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lang w:eastAsia="zh-CN"/>
        </w:rPr>
        <w:t>盖公章</w:t>
      </w:r>
      <w:r>
        <w:rPr>
          <w:rFonts w:hint="eastAsia" w:ascii="宋体" w:hAnsi="宋体" w:eastAsia="宋体" w:cs="宋体"/>
          <w:color w:val="auto"/>
          <w:sz w:val="24"/>
          <w:highlight w:val="none"/>
        </w:rPr>
        <w:t>）：</w:t>
      </w:r>
    </w:p>
    <w:p w14:paraId="7B916E5E">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58ACC3A5">
      <w:pPr>
        <w:spacing w:line="360" w:lineRule="auto"/>
        <w:contextualSpacing/>
        <w:rPr>
          <w:rFonts w:hint="eastAsia" w:ascii="宋体" w:hAnsi="宋体" w:eastAsia="宋体" w:cs="宋体"/>
          <w:color w:val="auto"/>
          <w:sz w:val="24"/>
          <w:highlight w:val="none"/>
        </w:rPr>
      </w:pPr>
    </w:p>
    <w:p w14:paraId="119B8E21">
      <w:pPr>
        <w:spacing w:line="360" w:lineRule="auto"/>
        <w:contextualSpacing/>
        <w:rPr>
          <w:rFonts w:hint="eastAsia" w:ascii="宋体" w:hAnsi="宋体" w:eastAsia="宋体" w:cs="宋体"/>
          <w:color w:val="auto"/>
          <w:sz w:val="24"/>
          <w:highlight w:val="none"/>
        </w:rPr>
      </w:pPr>
    </w:p>
    <w:p w14:paraId="34E95903">
      <w:pPr>
        <w:spacing w:line="360" w:lineRule="auto"/>
        <w:contextualSpacing/>
        <w:rPr>
          <w:rFonts w:hint="eastAsia" w:ascii="宋体" w:hAnsi="宋体" w:eastAsia="宋体" w:cs="宋体"/>
          <w:color w:val="auto"/>
          <w:sz w:val="24"/>
          <w:highlight w:val="none"/>
        </w:rPr>
      </w:pPr>
    </w:p>
    <w:p w14:paraId="037EDEC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w:t>
      </w:r>
      <w:r>
        <w:rPr>
          <w:rFonts w:hint="eastAsia" w:ascii="宋体" w:hAnsi="宋体" w:eastAsia="宋体" w:cs="宋体"/>
          <w:color w:val="auto"/>
          <w:sz w:val="24"/>
          <w:highlight w:val="none"/>
          <w:lang w:eastAsia="zh-CN"/>
        </w:rPr>
        <w:t>扶持</w:t>
      </w:r>
      <w:r>
        <w:rPr>
          <w:rFonts w:hint="eastAsia" w:ascii="宋体" w:hAnsi="宋体" w:eastAsia="宋体" w:cs="宋体"/>
          <w:color w:val="auto"/>
          <w:sz w:val="24"/>
          <w:highlight w:val="none"/>
        </w:rPr>
        <w:t>政策的，采购人或者采购代理机构在公告</w:t>
      </w:r>
      <w:r>
        <w:rPr>
          <w:rFonts w:hint="eastAsia" w:ascii="宋体" w:hAnsi="宋体" w:eastAsia="宋体" w:cs="宋体"/>
          <w:color w:val="auto"/>
          <w:sz w:val="24"/>
          <w:highlight w:val="none"/>
          <w:lang w:eastAsia="zh-CN"/>
        </w:rPr>
        <w:t>成交</w:t>
      </w:r>
      <w:r>
        <w:rPr>
          <w:rFonts w:hint="eastAsia" w:ascii="宋体" w:hAnsi="宋体" w:eastAsia="宋体" w:cs="宋体"/>
          <w:color w:val="auto"/>
          <w:sz w:val="24"/>
          <w:highlight w:val="none"/>
        </w:rPr>
        <w:t>结果时，同时公告其《残疾人福利性单位声明函》，接受社会监督。</w:t>
      </w:r>
    </w:p>
    <w:p w14:paraId="6F27D678">
      <w:pPr>
        <w:widowControl/>
        <w:shd w:val="clear" w:color="auto" w:fill="FFFFFF"/>
        <w:spacing w:line="480" w:lineRule="atLeast"/>
        <w:jc w:val="both"/>
        <w:rPr>
          <w:rFonts w:hint="eastAsia" w:ascii="宋体" w:hAnsi="宋体" w:eastAsia="宋体" w:cs="宋体"/>
          <w:color w:val="auto"/>
          <w:sz w:val="24"/>
          <w:highlight w:val="none"/>
        </w:rPr>
        <w:sectPr>
          <w:pgSz w:w="11911" w:h="16838"/>
          <w:pgMar w:top="1134" w:right="1134" w:bottom="1134" w:left="1134" w:header="720" w:footer="720" w:gutter="0"/>
          <w:pgNumType w:fmt="decimal"/>
          <w:cols w:space="720" w:num="1"/>
        </w:sectPr>
      </w:pPr>
    </w:p>
    <w:p w14:paraId="33B83966">
      <w:pPr>
        <w:widowControl/>
        <w:shd w:val="clear" w:color="auto" w:fill="FFFFFF"/>
        <w:spacing w:line="480" w:lineRule="atLeast"/>
        <w:jc w:val="both"/>
        <w:rPr>
          <w:rFonts w:hint="eastAsia" w:ascii="宋体" w:hAnsi="宋体" w:eastAsia="宋体" w:cs="宋体"/>
          <w:b/>
          <w:bCs w:val="0"/>
          <w:color w:val="auto"/>
          <w:kern w:val="0"/>
          <w:sz w:val="28"/>
          <w:szCs w:val="28"/>
          <w:highlight w:val="none"/>
          <w:lang w:eastAsia="zh-CN"/>
        </w:rPr>
      </w:pPr>
      <w:r>
        <w:rPr>
          <w:rFonts w:hint="eastAsia" w:ascii="宋体" w:hAnsi="宋体" w:eastAsia="宋体" w:cs="宋体"/>
          <w:b/>
          <w:color w:val="auto"/>
          <w:sz w:val="28"/>
          <w:szCs w:val="28"/>
          <w:highlight w:val="none"/>
          <w:lang w:val="en-US" w:eastAsia="zh-CN"/>
        </w:rPr>
        <w:t>3.</w:t>
      </w:r>
      <w:r>
        <w:rPr>
          <w:rFonts w:hint="eastAsia" w:ascii="宋体" w:hAnsi="宋体" w:eastAsia="宋体" w:cs="宋体"/>
          <w:b/>
          <w:bCs w:val="0"/>
          <w:color w:val="auto"/>
          <w:kern w:val="0"/>
          <w:sz w:val="28"/>
          <w:szCs w:val="28"/>
          <w:highlight w:val="none"/>
        </w:rPr>
        <w:t>广西壮族自治区政府采购项目合同验收书</w:t>
      </w:r>
      <w:r>
        <w:rPr>
          <w:rFonts w:hint="eastAsia" w:ascii="宋体" w:hAnsi="宋体" w:eastAsia="宋体" w:cs="宋体"/>
          <w:b/>
          <w:bCs w:val="0"/>
          <w:color w:val="auto"/>
          <w:kern w:val="0"/>
          <w:sz w:val="28"/>
          <w:szCs w:val="28"/>
          <w:highlight w:val="none"/>
          <w:lang w:eastAsia="zh-CN"/>
        </w:rPr>
        <w:t>的</w:t>
      </w:r>
      <w:r>
        <w:rPr>
          <w:rFonts w:hint="eastAsia" w:ascii="宋体" w:hAnsi="宋体" w:eastAsia="宋体" w:cs="宋体"/>
          <w:b/>
          <w:bCs w:val="0"/>
          <w:color w:val="auto"/>
          <w:kern w:val="0"/>
          <w:sz w:val="28"/>
          <w:szCs w:val="28"/>
          <w:highlight w:val="none"/>
        </w:rPr>
        <w:t>格式</w:t>
      </w:r>
      <w:r>
        <w:rPr>
          <w:rFonts w:hint="eastAsia" w:ascii="宋体" w:hAnsi="宋体" w:eastAsia="宋体" w:cs="宋体"/>
          <w:b/>
          <w:bCs w:val="0"/>
          <w:color w:val="auto"/>
          <w:kern w:val="0"/>
          <w:sz w:val="28"/>
          <w:szCs w:val="28"/>
          <w:highlight w:val="none"/>
          <w:lang w:eastAsia="zh-CN"/>
        </w:rPr>
        <w:t>：</w:t>
      </w:r>
    </w:p>
    <w:p w14:paraId="2EDCAA7E">
      <w:pPr>
        <w:spacing w:line="360" w:lineRule="auto"/>
        <w:ind w:firstLine="480" w:firstLineChars="200"/>
        <w:contextualSpacing/>
        <w:rPr>
          <w:rFonts w:hint="eastAsia" w:ascii="宋体" w:hAnsi="宋体" w:eastAsia="宋体" w:cs="宋体"/>
          <w:color w:val="auto"/>
          <w:sz w:val="24"/>
          <w:highlight w:val="none"/>
        </w:rPr>
      </w:pPr>
    </w:p>
    <w:p w14:paraId="66E03B85">
      <w:pPr>
        <w:widowControl/>
        <w:shd w:val="clear" w:color="auto" w:fill="FFFFFF"/>
        <w:spacing w:line="480" w:lineRule="atLeast"/>
        <w:jc w:val="center"/>
        <w:rPr>
          <w:rFonts w:hint="eastAsia" w:ascii="宋体" w:hAnsi="宋体" w:eastAsia="宋体" w:cs="宋体"/>
          <w:color w:val="auto"/>
          <w:kern w:val="0"/>
          <w:sz w:val="32"/>
          <w:szCs w:val="32"/>
          <w:highlight w:val="none"/>
        </w:rPr>
      </w:pPr>
      <w:r>
        <w:rPr>
          <w:rFonts w:hint="eastAsia" w:ascii="宋体" w:hAnsi="宋体" w:eastAsia="宋体" w:cs="宋体"/>
          <w:b/>
          <w:bCs/>
          <w:color w:val="auto"/>
          <w:kern w:val="0"/>
          <w:sz w:val="32"/>
          <w:szCs w:val="32"/>
          <w:highlight w:val="none"/>
        </w:rPr>
        <w:t>广西壮族自治区政府采购项目合同验收书</w:t>
      </w:r>
    </w:p>
    <w:p w14:paraId="592134D4">
      <w:pPr>
        <w:widowControl/>
        <w:shd w:val="clear" w:color="auto" w:fill="FFFFFF"/>
        <w:spacing w:line="480" w:lineRule="atLeast"/>
        <w:jc w:val="center"/>
        <w:rPr>
          <w:rFonts w:hint="eastAsia" w:ascii="宋体" w:hAnsi="宋体" w:eastAsia="宋体" w:cs="宋体"/>
          <w:color w:val="auto"/>
          <w:kern w:val="0"/>
          <w:sz w:val="32"/>
          <w:szCs w:val="32"/>
          <w:highlight w:val="none"/>
        </w:rPr>
      </w:pPr>
    </w:p>
    <w:p w14:paraId="4BA6960D">
      <w:pPr>
        <w:widowControl/>
        <w:shd w:val="clear" w:color="auto" w:fill="FFFFFF"/>
        <w:snapToGrid w:val="0"/>
        <w:spacing w:line="320" w:lineRule="atLeas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根据政府采购项目（</w:t>
      </w:r>
      <w:r>
        <w:rPr>
          <w:rFonts w:hint="eastAsia" w:ascii="宋体" w:hAnsi="宋体" w:eastAsia="宋体" w:cs="宋体"/>
          <w:color w:val="auto"/>
          <w:kern w:val="0"/>
          <w:szCs w:val="21"/>
          <w:highlight w:val="none"/>
          <w:u w:val="single"/>
        </w:rPr>
        <w:t>采购合同编号：</w:t>
      </w:r>
      <w:r>
        <w:rPr>
          <w:rFonts w:hint="eastAsia" w:ascii="宋体" w:hAnsi="宋体" w:eastAsia="宋体" w:cs="宋体"/>
          <w:color w:val="auto"/>
          <w:kern w:val="0"/>
          <w:szCs w:val="21"/>
          <w:highlight w:val="none"/>
          <w:u w:val="single"/>
        </w:rPr>
        <w:softHyphen/>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）的约定，我单位对（</w:t>
      </w:r>
      <w:r>
        <w:rPr>
          <w:rFonts w:hint="eastAsia" w:ascii="宋体" w:hAnsi="宋体" w:eastAsia="宋体" w:cs="宋体"/>
          <w:color w:val="auto"/>
          <w:kern w:val="0"/>
          <w:szCs w:val="21"/>
          <w:highlight w:val="none"/>
          <w:u w:val="single"/>
        </w:rPr>
        <w:t xml:space="preserve"> 项目名称 </w:t>
      </w:r>
      <w:r>
        <w:rPr>
          <w:rFonts w:hint="eastAsia" w:ascii="宋体" w:hAnsi="宋体" w:eastAsia="宋体" w:cs="宋体"/>
          <w:color w:val="auto"/>
          <w:kern w:val="0"/>
          <w:szCs w:val="21"/>
          <w:highlight w:val="none"/>
        </w:rPr>
        <w:t>） 政府采购项目成交供应商（</w:t>
      </w:r>
      <w:r>
        <w:rPr>
          <w:rFonts w:hint="eastAsia" w:ascii="宋体" w:hAnsi="宋体" w:eastAsia="宋体" w:cs="宋体"/>
          <w:color w:val="auto"/>
          <w:kern w:val="0"/>
          <w:szCs w:val="21"/>
          <w:highlight w:val="none"/>
          <w:u w:val="single"/>
        </w:rPr>
        <w:t xml:space="preserve"> 公司名称 </w:t>
      </w:r>
      <w:r>
        <w:rPr>
          <w:rFonts w:hint="eastAsia" w:ascii="宋体" w:hAnsi="宋体" w:eastAsia="宋体" w:cs="宋体"/>
          <w:color w:val="auto"/>
          <w:kern w:val="0"/>
          <w:szCs w:val="21"/>
          <w:highlight w:val="none"/>
        </w:rPr>
        <w:t>） 提供的货物（或者工程、服务）进行了验收，验收情况如下：</w:t>
      </w:r>
    </w:p>
    <w:tbl>
      <w:tblPr>
        <w:tblStyle w:val="28"/>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62327B47">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noWrap w:val="0"/>
            <w:vAlign w:val="center"/>
          </w:tcPr>
          <w:p w14:paraId="454322C4">
            <w:pPr>
              <w:widowControl/>
              <w:snapToGrid w:val="0"/>
              <w:spacing w:before="100" w:beforeAutospacing="1" w:after="100" w:afterAutospacing="1" w:line="320" w:lineRule="atLeast"/>
              <w:ind w:firstLine="5"/>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noWrap w:val="0"/>
            <w:vAlign w:val="center"/>
          </w:tcPr>
          <w:p w14:paraId="0EBE5196">
            <w:pPr>
              <w:widowControl/>
              <w:snapToGrid w:val="0"/>
              <w:spacing w:before="100" w:beforeAutospacing="1" w:after="100" w:afterAutospacing="1" w:line="32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自行验收 □委托验收</w:t>
            </w:r>
          </w:p>
        </w:tc>
      </w:tr>
      <w:tr w14:paraId="45C487DD">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noWrap w:val="0"/>
            <w:vAlign w:val="center"/>
          </w:tcPr>
          <w:p w14:paraId="5B05046D">
            <w:pPr>
              <w:widowControl/>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2448" w:type="dxa"/>
            <w:gridSpan w:val="2"/>
            <w:tcBorders>
              <w:top w:val="nil"/>
              <w:left w:val="nil"/>
              <w:bottom w:val="single" w:color="auto" w:sz="8" w:space="0"/>
              <w:right w:val="single" w:color="auto" w:sz="8" w:space="0"/>
            </w:tcBorders>
            <w:noWrap w:val="0"/>
            <w:vAlign w:val="center"/>
          </w:tcPr>
          <w:p w14:paraId="766EF6EB">
            <w:pPr>
              <w:widowControl/>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noWrap w:val="0"/>
            <w:vAlign w:val="center"/>
          </w:tcPr>
          <w:p w14:paraId="79971C6B">
            <w:pPr>
              <w:widowControl/>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noWrap w:val="0"/>
            <w:vAlign w:val="center"/>
          </w:tcPr>
          <w:p w14:paraId="5761AB88">
            <w:pPr>
              <w:widowControl/>
              <w:snapToGrid w:val="0"/>
              <w:spacing w:before="100" w:beforeAutospacing="1" w:after="100" w:afterAutospacing="1" w:line="32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数量</w:t>
            </w:r>
          </w:p>
        </w:tc>
        <w:tc>
          <w:tcPr>
            <w:tcW w:w="1428" w:type="dxa"/>
            <w:tcBorders>
              <w:top w:val="nil"/>
              <w:left w:val="nil"/>
              <w:bottom w:val="single" w:color="auto" w:sz="8" w:space="0"/>
              <w:right w:val="single" w:color="auto" w:sz="8" w:space="0"/>
            </w:tcBorders>
            <w:noWrap w:val="0"/>
            <w:vAlign w:val="center"/>
          </w:tcPr>
          <w:p w14:paraId="138BA613">
            <w:pPr>
              <w:widowControl/>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金额</w:t>
            </w:r>
          </w:p>
        </w:tc>
      </w:tr>
      <w:tr w14:paraId="769EEA06">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2119276B">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0969BFE1">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57776C56">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419E10B1">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04E64C31">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6CB9A8BE">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6FE72E20">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2A57A18A">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7FC6F5A1">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5E1C01A5">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6EBB442E">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33E97A43">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2BF8EE95">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3C0A0BE8">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19A37B98">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7544C32F">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51BE752A">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75F26800">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noWrap w:val="0"/>
            <w:vAlign w:val="center"/>
          </w:tcPr>
          <w:p w14:paraId="6CC3655C">
            <w:pPr>
              <w:widowControl/>
              <w:snapToGrid w:val="0"/>
              <w:spacing w:before="100" w:beforeAutospacing="1" w:after="100" w:afterAutospacing="1" w:line="320" w:lineRule="atLeast"/>
              <w:ind w:firstLine="5"/>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noWrap w:val="0"/>
            <w:vAlign w:val="center"/>
          </w:tcPr>
          <w:p w14:paraId="016F7C2E">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4AA1865A">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072D539B">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noWrap w:val="0"/>
            <w:vAlign w:val="center"/>
          </w:tcPr>
          <w:p w14:paraId="403ED055">
            <w:pPr>
              <w:widowControl/>
              <w:snapToGrid w:val="0"/>
              <w:spacing w:before="100" w:beforeAutospacing="1" w:after="100" w:afterAutospacing="1" w:line="320" w:lineRule="atLeast"/>
              <w:ind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合计大写金额：  仟  佰  拾  万  仟  佰  拾  元</w:t>
            </w:r>
          </w:p>
        </w:tc>
      </w:tr>
      <w:tr w14:paraId="2AA6D502">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noWrap w:val="0"/>
            <w:vAlign w:val="center"/>
          </w:tcPr>
          <w:p w14:paraId="1D0949B1">
            <w:pPr>
              <w:widowControl/>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noWrap w:val="0"/>
            <w:vAlign w:val="center"/>
          </w:tcPr>
          <w:p w14:paraId="2A43CBAC">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4F8D4710">
            <w:pPr>
              <w:widowControl/>
              <w:snapToGrid w:val="0"/>
              <w:spacing w:before="100" w:beforeAutospacing="1" w:after="100" w:afterAutospacing="1" w:line="320" w:lineRule="atLeast"/>
              <w:ind w:firstLine="46"/>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合同交货验收日期</w:t>
            </w:r>
          </w:p>
        </w:tc>
        <w:tc>
          <w:tcPr>
            <w:tcW w:w="2113" w:type="dxa"/>
            <w:gridSpan w:val="2"/>
            <w:tcBorders>
              <w:top w:val="nil"/>
              <w:left w:val="nil"/>
              <w:bottom w:val="single" w:color="auto" w:sz="8" w:space="0"/>
              <w:right w:val="single" w:color="auto" w:sz="8" w:space="0"/>
            </w:tcBorders>
            <w:noWrap w:val="0"/>
            <w:vAlign w:val="center"/>
          </w:tcPr>
          <w:p w14:paraId="17CDFBA2">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20E54B71">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AA0B15C">
            <w:pPr>
              <w:widowControl/>
              <w:snapToGrid w:val="0"/>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验收具体内容</w:t>
            </w:r>
          </w:p>
        </w:tc>
        <w:tc>
          <w:tcPr>
            <w:tcW w:w="6816"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F3FAA25">
            <w:pPr>
              <w:widowControl/>
              <w:snapToGrid w:val="0"/>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21A50C37">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74222F3">
            <w:pPr>
              <w:widowControl/>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验收小组意见</w:t>
            </w:r>
          </w:p>
        </w:tc>
        <w:tc>
          <w:tcPr>
            <w:tcW w:w="6816" w:type="dxa"/>
            <w:gridSpan w:val="7"/>
            <w:tcBorders>
              <w:top w:val="nil"/>
              <w:left w:val="nil"/>
              <w:bottom w:val="single" w:color="auto" w:sz="8" w:space="0"/>
              <w:right w:val="single" w:color="auto" w:sz="8" w:space="0"/>
            </w:tcBorders>
            <w:noWrap w:val="0"/>
            <w:vAlign w:val="center"/>
          </w:tcPr>
          <w:p w14:paraId="08326A8F">
            <w:pPr>
              <w:widowControl/>
              <w:spacing w:before="100" w:beforeAutospacing="1" w:after="100" w:afterAutospacing="1" w:line="320" w:lineRule="atLeast"/>
              <w:ind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验收结论性意见：</w:t>
            </w:r>
          </w:p>
        </w:tc>
      </w:tr>
      <w:tr w14:paraId="1A3FED9E">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noWrap w:val="0"/>
            <w:vAlign w:val="center"/>
          </w:tcPr>
          <w:p w14:paraId="4F13DB49">
            <w:pPr>
              <w:widowControl/>
              <w:jc w:val="left"/>
              <w:rPr>
                <w:rFonts w:hint="eastAsia" w:ascii="宋体" w:hAnsi="宋体" w:eastAsia="宋体" w:cs="宋体"/>
                <w:color w:val="auto"/>
                <w:kern w:val="0"/>
                <w:szCs w:val="21"/>
                <w:highlight w:val="none"/>
              </w:rPr>
            </w:pPr>
          </w:p>
        </w:tc>
        <w:tc>
          <w:tcPr>
            <w:tcW w:w="6816" w:type="dxa"/>
            <w:gridSpan w:val="7"/>
            <w:tcBorders>
              <w:top w:val="nil"/>
              <w:left w:val="nil"/>
              <w:bottom w:val="single" w:color="auto" w:sz="8" w:space="0"/>
              <w:right w:val="single" w:color="auto" w:sz="8" w:space="0"/>
            </w:tcBorders>
            <w:noWrap w:val="0"/>
            <w:vAlign w:val="center"/>
          </w:tcPr>
          <w:p w14:paraId="1DA5A982">
            <w:pPr>
              <w:widowControl/>
              <w:spacing w:before="100" w:beforeAutospacing="1" w:after="100" w:afterAutospacing="1" w:line="320" w:lineRule="atLeast"/>
              <w:ind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有异议的意见和说明理由：</w:t>
            </w:r>
          </w:p>
          <w:p w14:paraId="1334EDBD">
            <w:pPr>
              <w:widowControl/>
              <w:spacing w:before="100" w:beforeAutospacing="1" w:after="100" w:afterAutospacing="1" w:line="320" w:lineRule="atLeast"/>
              <w:ind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签字：</w:t>
            </w:r>
          </w:p>
        </w:tc>
      </w:tr>
      <w:tr w14:paraId="1D28A70F">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61E5981">
            <w:pPr>
              <w:widowControl/>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验收小组成员签字：</w:t>
            </w:r>
          </w:p>
        </w:tc>
      </w:tr>
      <w:tr w14:paraId="5F424495">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ADA4826">
            <w:pPr>
              <w:widowControl/>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监督人员或者</w:t>
            </w:r>
            <w:r>
              <w:rPr>
                <w:rFonts w:hint="eastAsia" w:ascii="宋体" w:hAnsi="宋体" w:eastAsia="宋体" w:cs="宋体"/>
                <w:color w:val="auto"/>
                <w:kern w:val="0"/>
                <w:szCs w:val="21"/>
                <w:highlight w:val="none"/>
                <w:lang w:eastAsia="zh-CN"/>
              </w:rPr>
              <w:t>其他</w:t>
            </w:r>
            <w:r>
              <w:rPr>
                <w:rFonts w:hint="eastAsia" w:ascii="宋体" w:hAnsi="宋体" w:eastAsia="宋体" w:cs="宋体"/>
                <w:color w:val="auto"/>
                <w:kern w:val="0"/>
                <w:szCs w:val="21"/>
                <w:highlight w:val="none"/>
              </w:rPr>
              <w:t>相关人员签字：</w:t>
            </w:r>
          </w:p>
          <w:p w14:paraId="3E0C86CB">
            <w:pPr>
              <w:widowControl/>
              <w:spacing w:before="100" w:beforeAutospacing="1" w:after="100" w:afterAutospacing="1" w:line="320" w:lineRule="atLeast"/>
              <w:ind w:firstLine="74"/>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或者受邀机构的意见（盖章）：</w:t>
            </w:r>
          </w:p>
        </w:tc>
      </w:tr>
      <w:tr w14:paraId="197205C0">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single" w:color="auto" w:sz="4" w:space="0"/>
            </w:tcBorders>
            <w:noWrap w:val="0"/>
            <w:tcMar>
              <w:top w:w="0" w:type="dxa"/>
              <w:left w:w="108" w:type="dxa"/>
              <w:bottom w:w="0" w:type="dxa"/>
              <w:right w:w="108" w:type="dxa"/>
            </w:tcMar>
            <w:vAlign w:val="center"/>
          </w:tcPr>
          <w:p w14:paraId="7F04A827">
            <w:pPr>
              <w:widowControl/>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成交供应商负责人签字或者盖章：</w:t>
            </w:r>
          </w:p>
          <w:p w14:paraId="7B2AC731">
            <w:pPr>
              <w:widowControl/>
              <w:spacing w:before="100" w:beforeAutospacing="1" w:after="100" w:afterAutospacing="1" w:line="320" w:lineRule="atLeast"/>
              <w:jc w:val="left"/>
              <w:rPr>
                <w:rFonts w:hint="eastAsia" w:ascii="宋体" w:hAnsi="宋体" w:eastAsia="宋体" w:cs="宋体"/>
                <w:color w:val="auto"/>
                <w:kern w:val="0"/>
                <w:szCs w:val="21"/>
                <w:highlight w:val="none"/>
              </w:rPr>
            </w:pPr>
          </w:p>
          <w:p w14:paraId="31B56354">
            <w:pPr>
              <w:widowControl/>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联系电话：                </w:t>
            </w:r>
          </w:p>
          <w:p w14:paraId="0168C8BA">
            <w:pPr>
              <w:widowControl/>
              <w:spacing w:before="100" w:beforeAutospacing="1" w:after="100" w:afterAutospacing="1" w:line="320" w:lineRule="atLeast"/>
              <w:ind w:firstLine="2730" w:firstLineChars="13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月  日</w:t>
            </w:r>
          </w:p>
        </w:tc>
        <w:tc>
          <w:tcPr>
            <w:tcW w:w="4293" w:type="dxa"/>
            <w:gridSpan w:val="4"/>
            <w:tcBorders>
              <w:top w:val="nil"/>
              <w:left w:val="single" w:color="auto" w:sz="4" w:space="0"/>
              <w:bottom w:val="single" w:color="auto" w:sz="8" w:space="0"/>
              <w:right w:val="single" w:color="auto" w:sz="8" w:space="0"/>
            </w:tcBorders>
            <w:noWrap w:val="0"/>
            <w:vAlign w:val="center"/>
          </w:tcPr>
          <w:p w14:paraId="6BB44FE2">
            <w:pPr>
              <w:widowControl/>
              <w:spacing w:before="100" w:beforeAutospacing="1" w:after="100" w:afterAutospacing="1" w:line="320" w:lineRule="atLeast"/>
              <w:ind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采购人或者受托机构的意见（盖章）：</w:t>
            </w:r>
          </w:p>
          <w:p w14:paraId="4799EE1C">
            <w:pPr>
              <w:widowControl/>
              <w:spacing w:before="100" w:beforeAutospacing="1" w:after="100" w:afterAutospacing="1" w:line="320" w:lineRule="atLeast"/>
              <w:ind w:firstLine="210" w:firstLineChars="100"/>
              <w:jc w:val="left"/>
              <w:rPr>
                <w:rFonts w:hint="eastAsia" w:ascii="宋体" w:hAnsi="宋体" w:eastAsia="宋体" w:cs="宋体"/>
                <w:color w:val="auto"/>
                <w:kern w:val="0"/>
                <w:szCs w:val="21"/>
                <w:highlight w:val="none"/>
              </w:rPr>
            </w:pPr>
          </w:p>
          <w:p w14:paraId="572086D7">
            <w:pPr>
              <w:widowControl/>
              <w:spacing w:before="100" w:beforeAutospacing="1" w:after="100" w:afterAutospacing="1" w:line="320" w:lineRule="atLeast"/>
              <w:ind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联系电话：               </w:t>
            </w:r>
          </w:p>
          <w:p w14:paraId="44ABA4B5">
            <w:pPr>
              <w:widowControl/>
              <w:spacing w:before="100" w:beforeAutospacing="1" w:after="100" w:afterAutospacing="1" w:line="320" w:lineRule="atLeast"/>
              <w:ind w:firstLine="2310" w:firstLineChars="1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年  月  日</w:t>
            </w:r>
          </w:p>
        </w:tc>
      </w:tr>
    </w:tbl>
    <w:p w14:paraId="23A28D0E">
      <w:pPr>
        <w:jc w:val="both"/>
        <w:rPr>
          <w:rFonts w:hint="eastAsia" w:ascii="宋体" w:hAnsi="宋体" w:eastAsia="宋体" w:cs="宋体"/>
          <w:b/>
          <w:bCs/>
          <w:color w:val="auto"/>
          <w:sz w:val="28"/>
          <w:szCs w:val="28"/>
          <w:highlight w:val="none"/>
          <w:lang w:val="en-US" w:eastAsia="zh-CN"/>
        </w:rPr>
      </w:pPr>
      <w:r>
        <w:rPr>
          <w:rFonts w:hint="eastAsia" w:ascii="宋体" w:hAnsi="宋体" w:eastAsia="宋体" w:cs="宋体"/>
          <w:color w:val="auto"/>
          <w:highlight w:val="none"/>
        </w:rPr>
        <w:br w:type="page"/>
      </w:r>
      <w:r>
        <w:rPr>
          <w:rFonts w:hint="eastAsia" w:ascii="宋体" w:hAnsi="宋体" w:cs="宋体"/>
          <w:b/>
          <w:bCs/>
          <w:color w:val="auto"/>
          <w:sz w:val="28"/>
          <w:szCs w:val="28"/>
          <w:highlight w:val="none"/>
          <w:lang w:val="en-US" w:eastAsia="zh-CN"/>
        </w:rPr>
        <w:t>4</w:t>
      </w:r>
      <w:r>
        <w:rPr>
          <w:rFonts w:hint="eastAsia" w:ascii="宋体" w:hAnsi="宋体" w:eastAsia="宋体" w:cs="宋体"/>
          <w:b/>
          <w:bCs/>
          <w:color w:val="auto"/>
          <w:sz w:val="28"/>
          <w:szCs w:val="28"/>
          <w:highlight w:val="none"/>
          <w:lang w:val="en-US" w:eastAsia="zh-CN"/>
        </w:rPr>
        <w:t>.政府采购项目履约保证金退付意见书的格式：</w:t>
      </w:r>
    </w:p>
    <w:p w14:paraId="198E3139">
      <w:pPr>
        <w:pStyle w:val="17"/>
        <w:snapToGrid w:val="0"/>
        <w:rPr>
          <w:rFonts w:hint="eastAsia" w:ascii="宋体" w:hAnsi="宋体" w:eastAsia="宋体" w:cs="宋体"/>
          <w:color w:val="auto"/>
          <w:sz w:val="32"/>
          <w:szCs w:val="32"/>
          <w:highlight w:val="none"/>
        </w:rPr>
      </w:pPr>
    </w:p>
    <w:p w14:paraId="1CECEF52">
      <w:pPr>
        <w:pStyle w:val="8"/>
        <w:rPr>
          <w:rFonts w:hint="eastAsia" w:ascii="宋体" w:hAnsi="宋体" w:eastAsia="宋体" w:cs="宋体"/>
          <w:color w:val="auto"/>
          <w:highlight w:val="none"/>
        </w:rPr>
      </w:pPr>
    </w:p>
    <w:p w14:paraId="11C46D05">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政府采购项目履约保证金退付意见书（参考）</w:t>
      </w:r>
    </w:p>
    <w:p w14:paraId="4929BA95">
      <w:pPr>
        <w:jc w:val="center"/>
        <w:rPr>
          <w:rFonts w:hint="eastAsia" w:ascii="宋体" w:hAnsi="宋体" w:eastAsia="宋体" w:cs="宋体"/>
          <w:color w:val="auto"/>
          <w:sz w:val="36"/>
          <w:szCs w:val="36"/>
          <w:highlight w:val="none"/>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14:paraId="01128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noWrap w:val="0"/>
            <w:vAlign w:val="center"/>
          </w:tcPr>
          <w:p w14:paraId="4447767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w:t>
            </w:r>
          </w:p>
          <w:p w14:paraId="0B943C6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应</w:t>
            </w:r>
          </w:p>
          <w:p w14:paraId="46758F5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商</w:t>
            </w:r>
          </w:p>
          <w:p w14:paraId="12BFB1A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申</w:t>
            </w:r>
          </w:p>
          <w:p w14:paraId="037C370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请</w:t>
            </w:r>
          </w:p>
        </w:tc>
        <w:tc>
          <w:tcPr>
            <w:tcW w:w="8009" w:type="dxa"/>
            <w:noWrap w:val="0"/>
            <w:vAlign w:val="center"/>
          </w:tcPr>
          <w:p w14:paraId="030B97B4">
            <w:pP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tc>
      </w:tr>
      <w:tr w14:paraId="72971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noWrap w:val="0"/>
            <w:vAlign w:val="center"/>
          </w:tcPr>
          <w:p w14:paraId="5B8FC7D4">
            <w:pPr>
              <w:rPr>
                <w:rFonts w:hint="eastAsia" w:ascii="宋体" w:hAnsi="宋体" w:eastAsia="宋体" w:cs="宋体"/>
                <w:color w:val="auto"/>
                <w:sz w:val="24"/>
                <w:highlight w:val="none"/>
              </w:rPr>
            </w:pPr>
          </w:p>
        </w:tc>
        <w:tc>
          <w:tcPr>
            <w:tcW w:w="8009" w:type="dxa"/>
            <w:noWrap w:val="0"/>
            <w:vAlign w:val="center"/>
          </w:tcPr>
          <w:p w14:paraId="27008F38">
            <w:pP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r>
      <w:tr w14:paraId="64D08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noWrap w:val="0"/>
            <w:vAlign w:val="top"/>
          </w:tcPr>
          <w:p w14:paraId="187229AD">
            <w:pPr>
              <w:rPr>
                <w:rFonts w:hint="eastAsia" w:ascii="宋体" w:hAnsi="宋体" w:eastAsia="宋体" w:cs="宋体"/>
                <w:color w:val="auto"/>
                <w:sz w:val="24"/>
                <w:highlight w:val="none"/>
              </w:rPr>
            </w:pPr>
          </w:p>
        </w:tc>
        <w:tc>
          <w:tcPr>
            <w:tcW w:w="8009" w:type="dxa"/>
            <w:noWrap w:val="0"/>
            <w:vAlign w:val="top"/>
          </w:tcPr>
          <w:p w14:paraId="59327D85">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31403F8">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该项目已于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日验收并交付使用。根据合同规定，该项目的履约保证金期限于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日已满，请将履约保证金</w:t>
            </w:r>
          </w:p>
          <w:p w14:paraId="435F843C">
            <w:pPr>
              <w:rPr>
                <w:rFonts w:hint="eastAsia" w:ascii="宋体" w:hAnsi="宋体" w:eastAsia="宋体" w:cs="宋体"/>
                <w:color w:val="auto"/>
                <w:sz w:val="24"/>
                <w:highlight w:val="none"/>
              </w:rPr>
            </w:pPr>
            <w:r>
              <w:rPr>
                <w:rFonts w:hint="eastAsia" w:ascii="宋体" w:hAnsi="宋体" w:eastAsia="宋体" w:cs="宋体"/>
                <w:color w:val="auto"/>
                <w:sz w:val="24"/>
                <w:highlight w:val="none"/>
              </w:rPr>
              <w:t>（大写）</w:t>
            </w:r>
            <w:r>
              <w:rPr>
                <w:rFonts w:hint="eastAsia" w:ascii="宋体" w:hAnsi="宋体" w:eastAsia="宋体" w:cs="宋体"/>
                <w:color w:val="auto"/>
                <w:sz w:val="24"/>
                <w:highlight w:val="none"/>
                <w:u w:val="single"/>
                <w:lang w:eastAsia="zh-CN"/>
              </w:rPr>
              <w:t>人民币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（小写）¥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退付到达以下</w:t>
            </w:r>
            <w:r>
              <w:rPr>
                <w:rFonts w:hint="eastAsia" w:ascii="宋体" w:hAnsi="宋体" w:eastAsia="宋体" w:cs="宋体"/>
                <w:color w:val="auto"/>
                <w:sz w:val="24"/>
                <w:highlight w:val="none"/>
                <w:lang w:eastAsia="zh-CN"/>
              </w:rPr>
              <w:t>账</w:t>
            </w:r>
            <w:r>
              <w:rPr>
                <w:rFonts w:hint="eastAsia" w:ascii="宋体" w:hAnsi="宋体" w:eastAsia="宋体" w:cs="宋体"/>
                <w:color w:val="auto"/>
                <w:sz w:val="24"/>
                <w:highlight w:val="none"/>
              </w:rPr>
              <w:t>户。</w:t>
            </w:r>
          </w:p>
          <w:p w14:paraId="53E11FAA">
            <w:pPr>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w:t>
            </w:r>
          </w:p>
          <w:p w14:paraId="144A17EA">
            <w:pPr>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p w14:paraId="10990AF2">
            <w:pP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账</w:t>
            </w:r>
            <w:r>
              <w:rPr>
                <w:rFonts w:hint="eastAsia" w:ascii="宋体" w:hAnsi="宋体" w:eastAsia="宋体" w:cs="宋体"/>
                <w:color w:val="auto"/>
                <w:sz w:val="24"/>
                <w:highlight w:val="none"/>
              </w:rPr>
              <w:t xml:space="preserve">    号：</w:t>
            </w:r>
          </w:p>
          <w:p w14:paraId="0338A06C">
            <w:pP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联系人及电话：</w:t>
            </w:r>
          </w:p>
          <w:p w14:paraId="140D6C59">
            <w:pPr>
              <w:rPr>
                <w:rFonts w:hint="eastAsia" w:ascii="宋体" w:hAnsi="宋体" w:eastAsia="宋体" w:cs="宋体"/>
                <w:color w:val="auto"/>
                <w:sz w:val="24"/>
                <w:highlight w:val="none"/>
              </w:rPr>
            </w:pPr>
          </w:p>
          <w:p w14:paraId="6CB9EA0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供应商签章：</w:t>
            </w:r>
          </w:p>
          <w:p w14:paraId="1726C79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tc>
      </w:tr>
      <w:tr w14:paraId="470CF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noWrap w:val="0"/>
            <w:vAlign w:val="center"/>
          </w:tcPr>
          <w:p w14:paraId="55084C2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w:t>
            </w:r>
          </w:p>
          <w:p w14:paraId="09DA4F0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购</w:t>
            </w:r>
          </w:p>
          <w:p w14:paraId="2123DF8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w:t>
            </w:r>
          </w:p>
          <w:p w14:paraId="62DA90F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位</w:t>
            </w:r>
          </w:p>
          <w:p w14:paraId="61DFB98B">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意</w:t>
            </w:r>
          </w:p>
          <w:p w14:paraId="4986629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见</w:t>
            </w:r>
          </w:p>
        </w:tc>
        <w:tc>
          <w:tcPr>
            <w:tcW w:w="8009" w:type="dxa"/>
            <w:noWrap w:val="0"/>
            <w:vAlign w:val="top"/>
          </w:tcPr>
          <w:p w14:paraId="581F50A6">
            <w:pPr>
              <w:rPr>
                <w:rFonts w:hint="eastAsia" w:ascii="宋体" w:hAnsi="宋体" w:eastAsia="宋体" w:cs="宋体"/>
                <w:color w:val="auto"/>
                <w:sz w:val="24"/>
                <w:highlight w:val="none"/>
              </w:rPr>
            </w:pPr>
          </w:p>
          <w:p w14:paraId="27F7B422">
            <w:pPr>
              <w:rPr>
                <w:rFonts w:hint="eastAsia" w:ascii="宋体" w:hAnsi="宋体" w:eastAsia="宋体" w:cs="宋体"/>
                <w:color w:val="auto"/>
                <w:sz w:val="24"/>
                <w:highlight w:val="none"/>
              </w:rPr>
            </w:pPr>
            <w:r>
              <w:rPr>
                <w:rFonts w:hint="eastAsia" w:ascii="宋体" w:hAnsi="宋体" w:eastAsia="宋体" w:cs="宋体"/>
                <w:color w:val="auto"/>
                <w:sz w:val="24"/>
                <w:highlight w:val="none"/>
              </w:rPr>
              <w:t>退付意见：是否同意退付履约保证金及退付金额：</w:t>
            </w:r>
          </w:p>
          <w:p w14:paraId="677B0042">
            <w:pPr>
              <w:rPr>
                <w:rFonts w:hint="eastAsia" w:ascii="宋体" w:hAnsi="宋体" w:eastAsia="宋体" w:cs="宋体"/>
                <w:color w:val="auto"/>
                <w:sz w:val="24"/>
                <w:highlight w:val="none"/>
              </w:rPr>
            </w:pPr>
          </w:p>
          <w:p w14:paraId="6CD2C4B0">
            <w:pPr>
              <w:rPr>
                <w:rFonts w:hint="eastAsia" w:ascii="宋体" w:hAnsi="宋体" w:eastAsia="宋体" w:cs="宋体"/>
                <w:color w:val="auto"/>
                <w:sz w:val="24"/>
                <w:highlight w:val="none"/>
              </w:rPr>
            </w:pPr>
          </w:p>
          <w:p w14:paraId="5C6A397C">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联系人及电话：                                </w:t>
            </w:r>
          </w:p>
          <w:p w14:paraId="1725AAD4">
            <w:pPr>
              <w:rPr>
                <w:rFonts w:hint="eastAsia" w:ascii="宋体" w:hAnsi="宋体" w:eastAsia="宋体" w:cs="宋体"/>
                <w:color w:val="auto"/>
                <w:sz w:val="24"/>
                <w:highlight w:val="none"/>
              </w:rPr>
            </w:pPr>
          </w:p>
          <w:p w14:paraId="49FEFA25">
            <w:pPr>
              <w:ind w:firstLine="4560" w:firstLineChars="19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采购人签章：</w:t>
            </w:r>
          </w:p>
          <w:p w14:paraId="39791D1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tc>
      </w:tr>
      <w:tr w14:paraId="7811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noWrap w:val="0"/>
            <w:vAlign w:val="center"/>
          </w:tcPr>
          <w:p w14:paraId="3F84B91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c>
          <w:tcPr>
            <w:tcW w:w="8009" w:type="dxa"/>
            <w:noWrap w:val="0"/>
            <w:vAlign w:val="top"/>
          </w:tcPr>
          <w:p w14:paraId="62B4C974">
            <w:pPr>
              <w:rPr>
                <w:rFonts w:hint="eastAsia" w:ascii="宋体" w:hAnsi="宋体" w:eastAsia="宋体" w:cs="宋体"/>
                <w:color w:val="auto"/>
                <w:sz w:val="24"/>
                <w:highlight w:val="none"/>
              </w:rPr>
            </w:pPr>
          </w:p>
        </w:tc>
      </w:tr>
    </w:tbl>
    <w:p w14:paraId="4AB9ABD0">
      <w:pPr>
        <w:pStyle w:val="12"/>
        <w:ind w:left="1" w:firstLine="2" w:firstLineChars="1"/>
        <w:rPr>
          <w:rFonts w:hint="eastAsia" w:ascii="宋体" w:hAnsi="宋体" w:eastAsia="宋体" w:cs="宋体"/>
          <w:b/>
          <w:bCs/>
          <w:color w:val="auto"/>
          <w:sz w:val="18"/>
          <w:szCs w:val="18"/>
          <w:highlight w:val="none"/>
        </w:rPr>
      </w:pPr>
    </w:p>
    <w:p w14:paraId="025B5FB0">
      <w:pPr>
        <w:pStyle w:val="12"/>
        <w:ind w:left="1" w:firstLine="2" w:firstLineChars="1"/>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lang w:eastAsia="zh-CN"/>
        </w:rPr>
        <w:t>　　　</w:t>
      </w:r>
      <w:r>
        <w:rPr>
          <w:rFonts w:hint="eastAsia" w:ascii="宋体" w:hAnsi="宋体" w:eastAsia="宋体" w:cs="宋体"/>
          <w:b/>
          <w:bCs/>
          <w:color w:val="auto"/>
          <w:sz w:val="18"/>
          <w:szCs w:val="18"/>
          <w:highlight w:val="none"/>
        </w:rPr>
        <w:t>注：供应商凭经采购人审批的退付意见书到履约保证金收取单位财务部门办理履约保证金退付事宜。</w:t>
      </w:r>
    </w:p>
    <w:p w14:paraId="3A6037E8">
      <w:pPr>
        <w:spacing w:line="520" w:lineRule="exact"/>
        <w:jc w:val="center"/>
        <w:rPr>
          <w:rFonts w:hint="eastAsia" w:ascii="宋体" w:hAnsi="宋体" w:eastAsia="宋体" w:cs="宋体"/>
          <w:color w:val="auto"/>
          <w:sz w:val="24"/>
          <w:highlight w:val="none"/>
        </w:rPr>
      </w:pPr>
      <w:r>
        <w:rPr>
          <w:rFonts w:hint="eastAsia" w:ascii="宋体" w:hAnsi="宋体" w:eastAsia="宋体" w:cs="宋体"/>
          <w:b/>
          <w:color w:val="auto"/>
          <w:kern w:val="0"/>
          <w:sz w:val="20"/>
          <w:szCs w:val="21"/>
          <w:highlight w:val="none"/>
        </w:rPr>
        <w:br w:type="page"/>
      </w:r>
    </w:p>
    <w:p w14:paraId="0880DC46">
      <w:pPr>
        <w:spacing w:line="520" w:lineRule="exact"/>
        <w:jc w:val="center"/>
        <w:rPr>
          <w:rFonts w:hint="eastAsia" w:ascii="宋体" w:hAnsi="宋体" w:eastAsia="宋体" w:cs="宋体"/>
          <w:color w:val="auto"/>
          <w:sz w:val="24"/>
          <w:highlight w:val="none"/>
        </w:rPr>
      </w:pPr>
    </w:p>
    <w:p w14:paraId="3142DBA4">
      <w:pPr>
        <w:spacing w:line="520" w:lineRule="exact"/>
        <w:jc w:val="center"/>
        <w:rPr>
          <w:rFonts w:hint="eastAsia" w:ascii="宋体" w:hAnsi="宋体" w:eastAsia="宋体" w:cs="宋体"/>
          <w:color w:val="auto"/>
          <w:sz w:val="24"/>
          <w:highlight w:val="none"/>
        </w:rPr>
      </w:pPr>
    </w:p>
    <w:p w14:paraId="189E7E12">
      <w:pPr>
        <w:spacing w:line="520" w:lineRule="exact"/>
        <w:jc w:val="center"/>
        <w:rPr>
          <w:rFonts w:hint="eastAsia" w:ascii="宋体" w:hAnsi="宋体" w:eastAsia="宋体" w:cs="宋体"/>
          <w:color w:val="auto"/>
          <w:sz w:val="24"/>
          <w:highlight w:val="none"/>
        </w:rPr>
      </w:pPr>
    </w:p>
    <w:p w14:paraId="7B44A786">
      <w:pPr>
        <w:spacing w:line="520" w:lineRule="exact"/>
        <w:jc w:val="center"/>
        <w:rPr>
          <w:rFonts w:hint="eastAsia" w:ascii="宋体" w:hAnsi="宋体" w:eastAsia="宋体" w:cs="宋体"/>
          <w:color w:val="auto"/>
          <w:sz w:val="24"/>
          <w:highlight w:val="none"/>
        </w:rPr>
      </w:pPr>
    </w:p>
    <w:p w14:paraId="671AC83A">
      <w:pPr>
        <w:spacing w:line="520" w:lineRule="exact"/>
        <w:jc w:val="center"/>
        <w:rPr>
          <w:rFonts w:hint="eastAsia" w:ascii="宋体" w:hAnsi="宋体" w:eastAsia="宋体" w:cs="宋体"/>
          <w:color w:val="auto"/>
          <w:sz w:val="24"/>
          <w:highlight w:val="none"/>
        </w:rPr>
      </w:pPr>
    </w:p>
    <w:p w14:paraId="1D6B86C0">
      <w:pPr>
        <w:spacing w:line="520" w:lineRule="exact"/>
        <w:jc w:val="center"/>
        <w:rPr>
          <w:rFonts w:hint="eastAsia" w:ascii="宋体" w:hAnsi="宋体" w:eastAsia="宋体" w:cs="宋体"/>
          <w:color w:val="auto"/>
          <w:sz w:val="24"/>
          <w:highlight w:val="none"/>
        </w:rPr>
      </w:pPr>
    </w:p>
    <w:p w14:paraId="70E74D8D">
      <w:pPr>
        <w:spacing w:line="520" w:lineRule="exact"/>
        <w:jc w:val="center"/>
        <w:rPr>
          <w:rFonts w:hint="eastAsia" w:ascii="宋体" w:hAnsi="宋体" w:eastAsia="宋体" w:cs="宋体"/>
          <w:color w:val="auto"/>
          <w:sz w:val="24"/>
          <w:highlight w:val="none"/>
        </w:rPr>
      </w:pPr>
    </w:p>
    <w:p w14:paraId="0EAE64B6">
      <w:pPr>
        <w:spacing w:line="520" w:lineRule="exact"/>
        <w:jc w:val="center"/>
        <w:rPr>
          <w:rFonts w:hint="eastAsia" w:ascii="宋体" w:hAnsi="宋体" w:eastAsia="宋体" w:cs="宋体"/>
          <w:color w:val="auto"/>
          <w:sz w:val="24"/>
          <w:highlight w:val="none"/>
        </w:rPr>
      </w:pPr>
    </w:p>
    <w:p w14:paraId="01FBC176">
      <w:pPr>
        <w:pStyle w:val="2"/>
        <w:jc w:val="center"/>
        <w:rPr>
          <w:rFonts w:hint="eastAsia" w:ascii="宋体" w:hAnsi="宋体" w:eastAsia="宋体" w:cs="宋体"/>
          <w:b w:val="0"/>
          <w:bCs w:val="0"/>
          <w:color w:val="auto"/>
          <w:highlight w:val="none"/>
        </w:rPr>
      </w:pPr>
      <w:bookmarkStart w:id="138" w:name="_Toc15154"/>
      <w:bookmarkStart w:id="139" w:name="_Toc80886947"/>
      <w:bookmarkStart w:id="140" w:name="_Toc15161"/>
      <w:bookmarkStart w:id="141" w:name="_Toc4005"/>
      <w:bookmarkStart w:id="142" w:name="_Toc24786"/>
      <w:bookmarkStart w:id="143" w:name="_Toc18676"/>
      <w:bookmarkStart w:id="144" w:name="_Toc9343"/>
      <w:bookmarkStart w:id="145" w:name="_Toc12748"/>
      <w:r>
        <w:rPr>
          <w:rFonts w:hint="eastAsia" w:ascii="宋体" w:hAnsi="宋体" w:eastAsia="宋体" w:cs="宋体"/>
          <w:b w:val="0"/>
          <w:bCs w:val="0"/>
          <w:color w:val="auto"/>
          <w:highlight w:val="none"/>
        </w:rPr>
        <w:t>第六章  合同文本</w:t>
      </w:r>
      <w:bookmarkEnd w:id="138"/>
      <w:bookmarkEnd w:id="139"/>
      <w:bookmarkEnd w:id="140"/>
      <w:bookmarkEnd w:id="141"/>
      <w:bookmarkEnd w:id="142"/>
      <w:bookmarkEnd w:id="143"/>
      <w:bookmarkEnd w:id="144"/>
    </w:p>
    <w:p w14:paraId="044B5B59">
      <w:pPr>
        <w:snapToGrid w:val="0"/>
        <w:spacing w:line="360" w:lineRule="exact"/>
        <w:jc w:val="center"/>
        <w:rPr>
          <w:rFonts w:ascii="宋体" w:hAnsi="宋体"/>
          <w:b/>
          <w:bCs/>
          <w:color w:val="auto"/>
          <w:sz w:val="32"/>
          <w:szCs w:val="32"/>
          <w:highlight w:val="none"/>
        </w:rPr>
      </w:pPr>
      <w:r>
        <w:rPr>
          <w:rFonts w:hint="eastAsia" w:ascii="宋体" w:hAnsi="宋体" w:eastAsia="宋体" w:cs="宋体"/>
          <w:b/>
          <w:bCs/>
          <w:color w:val="auto"/>
          <w:highlight w:val="none"/>
        </w:rPr>
        <w:br w:type="page"/>
      </w:r>
      <w:bookmarkEnd w:id="145"/>
      <w:r>
        <w:rPr>
          <w:rFonts w:hint="eastAsia" w:ascii="宋体" w:hAnsi="宋体"/>
          <w:b/>
          <w:bCs/>
          <w:color w:val="auto"/>
          <w:sz w:val="32"/>
          <w:szCs w:val="32"/>
          <w:highlight w:val="none"/>
        </w:rPr>
        <w:t>广西壮族自治区政府采购合同</w:t>
      </w:r>
    </w:p>
    <w:p w14:paraId="01A6F664">
      <w:pPr>
        <w:wordWrap w:val="0"/>
        <w:adjustRightInd w:val="0"/>
        <w:snapToGrid w:val="0"/>
        <w:spacing w:line="360" w:lineRule="auto"/>
        <w:jc w:val="right"/>
        <w:rPr>
          <w:rFonts w:ascii="宋体" w:hAnsi="宋体" w:cs="宋体"/>
          <w:bCs/>
          <w:color w:val="auto"/>
          <w:szCs w:val="21"/>
          <w:highlight w:val="none"/>
        </w:rPr>
      </w:pPr>
    </w:p>
    <w:p w14:paraId="0654BF93">
      <w:pPr>
        <w:snapToGrid w:val="0"/>
        <w:spacing w:line="360" w:lineRule="exact"/>
        <w:ind w:right="480"/>
        <w:jc w:val="center"/>
        <w:rPr>
          <w:rFonts w:ascii="宋体" w:hAnsi="宋体"/>
          <w:bCs/>
          <w:color w:val="auto"/>
          <w:highlight w:val="none"/>
        </w:rPr>
      </w:pPr>
      <w:r>
        <w:rPr>
          <w:rFonts w:hint="eastAsia" w:ascii="宋体" w:hAnsi="宋体"/>
          <w:bCs/>
          <w:color w:val="auto"/>
          <w:highlight w:val="none"/>
        </w:rPr>
        <w:t>合同编号：</w:t>
      </w:r>
    </w:p>
    <w:p w14:paraId="14B4B372">
      <w:pPr>
        <w:snapToGrid w:val="0"/>
        <w:spacing w:line="360" w:lineRule="exact"/>
        <w:ind w:firstLine="3685" w:firstLineChars="1748"/>
        <w:rPr>
          <w:rFonts w:ascii="宋体" w:hAnsi="宋体"/>
          <w:b/>
          <w:color w:val="auto"/>
          <w:highlight w:val="none"/>
        </w:rPr>
      </w:pPr>
    </w:p>
    <w:p w14:paraId="18809C5C">
      <w:pPr>
        <w:snapToGrid w:val="0"/>
        <w:spacing w:line="360" w:lineRule="exact"/>
        <w:rPr>
          <w:rFonts w:ascii="宋体" w:hAnsi="宋体"/>
          <w:color w:val="auto"/>
          <w:highlight w:val="none"/>
          <w:u w:val="single"/>
        </w:rPr>
      </w:pPr>
      <w:r>
        <w:rPr>
          <w:rFonts w:hint="eastAsia" w:ascii="宋体" w:hAnsi="宋体"/>
          <w:color w:val="auto"/>
          <w:highlight w:val="none"/>
        </w:rPr>
        <w:t>采购单位（甲方）</w:t>
      </w:r>
      <w:r>
        <w:rPr>
          <w:rFonts w:hint="eastAsia" w:ascii="宋体" w:hAnsi="宋体"/>
          <w:color w:val="auto"/>
          <w:highlight w:val="none"/>
          <w:u w:val="single"/>
        </w:rPr>
        <w:t xml:space="preserve">                            </w:t>
      </w:r>
      <w:r>
        <w:rPr>
          <w:rFonts w:hint="eastAsia" w:ascii="宋体" w:hAnsi="宋体"/>
          <w:color w:val="auto"/>
          <w:spacing w:val="-20"/>
          <w:highlight w:val="none"/>
        </w:rPr>
        <w:t xml:space="preserve">  采 购 计 划 号</w:t>
      </w:r>
      <w:r>
        <w:rPr>
          <w:rFonts w:hint="eastAsia" w:ascii="宋体" w:hAnsi="宋体"/>
          <w:color w:val="auto"/>
          <w:highlight w:val="none"/>
          <w:u w:val="single"/>
        </w:rPr>
        <w:t xml:space="preserve">                           </w:t>
      </w:r>
    </w:p>
    <w:p w14:paraId="1136BF59">
      <w:pPr>
        <w:snapToGrid w:val="0"/>
        <w:spacing w:line="360" w:lineRule="exact"/>
        <w:rPr>
          <w:rFonts w:ascii="宋体" w:hAnsi="宋体"/>
          <w:color w:val="auto"/>
          <w:highlight w:val="none"/>
          <w:u w:val="single"/>
        </w:rPr>
      </w:pPr>
      <w:r>
        <w:rPr>
          <w:rFonts w:hint="eastAsia" w:ascii="宋体" w:hAnsi="宋体"/>
          <w:color w:val="auto"/>
          <w:highlight w:val="none"/>
        </w:rPr>
        <w:t>供 应 商（乙方）</w:t>
      </w:r>
      <w:r>
        <w:rPr>
          <w:rFonts w:hint="eastAsia" w:ascii="宋体" w:hAnsi="宋体"/>
          <w:color w:val="auto"/>
          <w:highlight w:val="none"/>
          <w:u w:val="single"/>
        </w:rPr>
        <w:t xml:space="preserve">                            </w:t>
      </w:r>
      <w:r>
        <w:rPr>
          <w:rFonts w:hint="eastAsia" w:ascii="宋体" w:hAnsi="宋体"/>
          <w:color w:val="auto"/>
          <w:highlight w:val="none"/>
        </w:rPr>
        <w:t xml:space="preserve"> 项目名称和编号</w:t>
      </w:r>
      <w:r>
        <w:rPr>
          <w:rFonts w:hint="eastAsia" w:ascii="宋体" w:hAnsi="宋体"/>
          <w:color w:val="auto"/>
          <w:highlight w:val="none"/>
          <w:u w:val="single"/>
        </w:rPr>
        <w:t xml:space="preserve">                        </w:t>
      </w:r>
    </w:p>
    <w:p w14:paraId="281CF1BE">
      <w:pPr>
        <w:snapToGrid w:val="0"/>
        <w:spacing w:line="360" w:lineRule="exact"/>
        <w:rPr>
          <w:rFonts w:ascii="宋体" w:hAnsi="宋体"/>
          <w:color w:val="auto"/>
          <w:highlight w:val="none"/>
          <w:u w:val="single"/>
        </w:rPr>
      </w:pPr>
      <w:r>
        <w:rPr>
          <w:rFonts w:hint="eastAsia" w:ascii="宋体" w:hAnsi="宋体"/>
          <w:color w:val="auto"/>
          <w:highlight w:val="none"/>
        </w:rPr>
        <w:t xml:space="preserve">签  订  地  点  </w:t>
      </w:r>
      <w:r>
        <w:rPr>
          <w:rFonts w:hint="eastAsia" w:ascii="宋体" w:hAnsi="宋体"/>
          <w:color w:val="auto"/>
          <w:highlight w:val="none"/>
          <w:u w:val="single"/>
        </w:rPr>
        <w:t xml:space="preserve">                            </w:t>
      </w:r>
      <w:r>
        <w:rPr>
          <w:rFonts w:hint="eastAsia" w:ascii="宋体" w:hAnsi="宋体"/>
          <w:color w:val="auto"/>
          <w:highlight w:val="none"/>
        </w:rPr>
        <w:t xml:space="preserve">  签 订 时 间 </w:t>
      </w:r>
      <w:r>
        <w:rPr>
          <w:rFonts w:hint="eastAsia" w:ascii="宋体" w:hAnsi="宋体"/>
          <w:color w:val="auto"/>
          <w:highlight w:val="none"/>
          <w:u w:val="single"/>
        </w:rPr>
        <w:t xml:space="preserve">                         </w:t>
      </w:r>
    </w:p>
    <w:p w14:paraId="193B73BF">
      <w:pPr>
        <w:spacing w:line="360" w:lineRule="auto"/>
        <w:ind w:firstLine="420" w:firstLineChars="200"/>
        <w:rPr>
          <w:rFonts w:ascii="宋体" w:hAnsi="宋体" w:cs="宋体"/>
          <w:color w:val="auto"/>
          <w:szCs w:val="21"/>
          <w:highlight w:val="none"/>
        </w:rPr>
      </w:pPr>
    </w:p>
    <w:p w14:paraId="474330A1">
      <w:pPr>
        <w:pStyle w:val="17"/>
        <w:spacing w:line="400" w:lineRule="exact"/>
        <w:ind w:firstLine="420" w:firstLineChars="200"/>
        <w:rPr>
          <w:rFonts w:hAnsi="宋体" w:cs="宋体"/>
          <w:color w:val="auto"/>
          <w:sz w:val="21"/>
          <w:highlight w:val="none"/>
        </w:rPr>
      </w:pPr>
      <w:r>
        <w:rPr>
          <w:rFonts w:hint="eastAsia" w:hAnsi="宋体" w:cs="宋体"/>
          <w:color w:val="auto"/>
          <w:sz w:val="21"/>
          <w:highlight w:val="none"/>
        </w:rPr>
        <w:t>根据《中华人民共和国政府采购法》、《中华人民共和国民法典》等法律、法规规定，按照竞争性谈判文件规定条款和成交供应商竞争性谈判响应文件及其承诺，甲乙双方签订本合同。</w:t>
      </w:r>
    </w:p>
    <w:p w14:paraId="4D75E0C4">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第一条　合同标的</w:t>
      </w:r>
    </w:p>
    <w:p w14:paraId="579C4E97">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合同总金额：</w:t>
      </w:r>
      <w:r>
        <w:rPr>
          <w:rFonts w:hint="eastAsia" w:ascii="宋体" w:hAnsi="宋体" w:cs="宋体"/>
          <w:color w:val="auto"/>
          <w:szCs w:val="21"/>
          <w:highlight w:val="none"/>
          <w:u w:val="single"/>
        </w:rPr>
        <w:t xml:space="preserve">                          。</w:t>
      </w:r>
    </w:p>
    <w:p w14:paraId="49FA20B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服务内容一览表（详见附件中的</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报价表）</w:t>
      </w:r>
    </w:p>
    <w:p w14:paraId="3573326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合同总金额包括但不限于满足本次竞标全部采购需求所应提供的服务，以及伴随的货物和工程（如有）的价格；包括但不限于：服务费、设备使用费、差旅费、保险费、各项税金及其他不可预见的费用。如竞争性磋商文件对其另有规定的，从其规定。</w:t>
      </w:r>
    </w:p>
    <w:p w14:paraId="63E498CE">
      <w:pPr>
        <w:spacing w:line="400" w:lineRule="exact"/>
        <w:ind w:firstLine="422" w:firstLineChars="200"/>
        <w:rPr>
          <w:rFonts w:hint="eastAsia" w:ascii="宋体" w:hAnsi="宋体" w:eastAsia="宋体" w:cs="宋体"/>
          <w:b/>
          <w:color w:val="auto"/>
          <w:kern w:val="2"/>
          <w:szCs w:val="21"/>
          <w:highlight w:val="none"/>
        </w:rPr>
      </w:pPr>
      <w:r>
        <w:rPr>
          <w:rFonts w:hint="eastAsia" w:ascii="宋体" w:hAnsi="宋体" w:eastAsia="宋体" w:cs="宋体"/>
          <w:b/>
          <w:color w:val="auto"/>
          <w:kern w:val="2"/>
          <w:szCs w:val="21"/>
          <w:highlight w:val="none"/>
        </w:rPr>
        <w:t>第二条　质量保证</w:t>
      </w:r>
    </w:p>
    <w:p w14:paraId="1D0FCC10">
      <w:pPr>
        <w:spacing w:line="400" w:lineRule="exact"/>
        <w:ind w:firstLine="420" w:firstLineChars="20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乙方所提供的服务及服务内容必须与响应文件承诺相一致，有国家强制性标准的，还必须符合国家强制性标准的规定，没有国家强制性标准但有其他强制性标准的，必须符合其他强制性标准的规定。</w:t>
      </w:r>
    </w:p>
    <w:p w14:paraId="59997F78">
      <w:pPr>
        <w:spacing w:line="40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第三条　权利保证</w:t>
      </w:r>
    </w:p>
    <w:p w14:paraId="290D6993">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乙方应保证所提供服务在使用时不会侵犯任何第三方的专利权、商标权、工业设计权等知识产权及其他合法权利，且所有权、处分权等没有受到任何限制。</w:t>
      </w:r>
    </w:p>
    <w:p w14:paraId="2405BE47">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7CD9E48E">
      <w:pPr>
        <w:spacing w:line="40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第四条　交付和验收</w:t>
      </w:r>
    </w:p>
    <w:p w14:paraId="2BB6F41B">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服务期限：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14:paraId="72CB9EAC">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乙方应按响应文件的承诺向甲方提供相应的服务，并提供所服务内容的相关技术资料。</w:t>
      </w:r>
    </w:p>
    <w:p w14:paraId="235F49C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乙方提供不符合响应文件和本合同规定的服务成果，甲方有权拒绝接受。</w:t>
      </w:r>
    </w:p>
    <w:p w14:paraId="6C488B8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乙方完成服务后应及时书面通知甲方进行验收，甲方应在收到通知后七个工作日内进行验收。验收合格后由甲乙双方签署验收单并加盖采购人公章，甲乙双方各执一份。</w:t>
      </w:r>
    </w:p>
    <w:p w14:paraId="7824ABA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服务完成后，甲方应在五个工作日内对乙方提交的服务依据竞争性磋商采购文件的要求、响应文件的承诺和国家标准或行业标准进行验收。</w:t>
      </w:r>
    </w:p>
    <w:p w14:paraId="19A14D8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甲方在初步验收或者最终验收过程中如发现乙方提供的服务成果不满足响应文件及本合同规定的，可暂缓向乙方付款，直到乙方及时完善并提交相应的服务成果且经甲方验收合格后，方可办理付款。</w:t>
      </w:r>
    </w:p>
    <w:p w14:paraId="2AB53924">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甲方验收时以书面形式提出异议的，乙方应自收到甲方书面异议后五个工作日内及时予以解决，否则甲方有权不出具服务验收合格单。</w:t>
      </w:r>
    </w:p>
    <w:p w14:paraId="23C194DF">
      <w:pPr>
        <w:snapToGrid w:val="0"/>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w:t>
      </w:r>
      <w:r>
        <w:rPr>
          <w:rFonts w:hint="eastAsia" w:ascii="宋体" w:hAnsi="宋体" w:cs="宋体"/>
          <w:b/>
          <w:color w:val="auto"/>
          <w:szCs w:val="21"/>
          <w:highlight w:val="none"/>
          <w:lang w:val="en-US" w:eastAsia="zh-CN"/>
        </w:rPr>
        <w:t>五</w:t>
      </w:r>
      <w:r>
        <w:rPr>
          <w:rFonts w:hint="eastAsia" w:ascii="宋体" w:hAnsi="宋体" w:cs="宋体"/>
          <w:b/>
          <w:color w:val="auto"/>
          <w:szCs w:val="21"/>
          <w:highlight w:val="none"/>
        </w:rPr>
        <w:t>条  售后服务</w:t>
      </w:r>
    </w:p>
    <w:p w14:paraId="648C70DC">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乙方应按照国家有关法律法规和“三包”规定以及竞争性磋商采购文件、响应文件和本合同所附的《服务承诺》，为甲方提供售后服务。</w:t>
      </w:r>
    </w:p>
    <w:p w14:paraId="7259E4DE">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乙方提供的服务承诺和售后服务及质保期责任等其它具体约定事项。（如有，可另附合同附件）</w:t>
      </w:r>
    </w:p>
    <w:p w14:paraId="15C464B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如乙方提供服务过程中发生问题，乙方接到甲方通知后应在响应文件承诺的时间内到达甲方指定现场及时处理。</w:t>
      </w:r>
    </w:p>
    <w:p w14:paraId="285758BD">
      <w:pPr>
        <w:snapToGrid w:val="0"/>
        <w:spacing w:line="400" w:lineRule="exact"/>
        <w:ind w:firstLine="422" w:firstLineChars="200"/>
        <w:rPr>
          <w:rFonts w:ascii="宋体" w:hAnsi="宋体" w:cs="宋体"/>
          <w:color w:val="auto"/>
          <w:szCs w:val="21"/>
          <w:highlight w:val="none"/>
          <w:u w:val="single"/>
        </w:rPr>
      </w:pPr>
      <w:r>
        <w:rPr>
          <w:rFonts w:hint="eastAsia" w:ascii="宋体" w:hAnsi="宋体" w:cs="宋体"/>
          <w:b/>
          <w:color w:val="auto"/>
          <w:szCs w:val="21"/>
          <w:highlight w:val="none"/>
        </w:rPr>
        <w:t>第</w:t>
      </w:r>
      <w:r>
        <w:rPr>
          <w:rFonts w:hint="eastAsia" w:ascii="宋体" w:hAnsi="宋体" w:cs="宋体"/>
          <w:b/>
          <w:color w:val="auto"/>
          <w:szCs w:val="21"/>
          <w:highlight w:val="none"/>
          <w:lang w:val="en-US" w:eastAsia="zh-CN"/>
        </w:rPr>
        <w:t>六</w:t>
      </w:r>
      <w:r>
        <w:rPr>
          <w:rFonts w:hint="eastAsia" w:ascii="宋体" w:hAnsi="宋体" w:cs="宋体"/>
          <w:b/>
          <w:color w:val="auto"/>
          <w:szCs w:val="21"/>
          <w:highlight w:val="none"/>
        </w:rPr>
        <w:t>条　付款方式</w:t>
      </w:r>
    </w:p>
    <w:p w14:paraId="61C659FD">
      <w:pPr>
        <w:spacing w:line="40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1.服务费原则上按月结算，实际结算金额以乙方在本结算周期月内实际提供的服务数量和相应岗位人员实际投入人数计算。</w:t>
      </w:r>
    </w:p>
    <w:p w14:paraId="05074CE7">
      <w:pPr>
        <w:spacing w:line="40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乙方每月15日之前向甲方提交上月服务费付款申请、服务数量、人员考勤表、布草洗涤票据等相关材料，甲方根据各项考核及日常检查结果、考勤结果及乙方付款申请进行综合核定上月应支付服务费，待乙方开具上月服务费全额发票后，向乙方一次性支付此阶段服务费。</w:t>
      </w:r>
    </w:p>
    <w:p w14:paraId="26041F41">
      <w:pPr>
        <w:spacing w:line="40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洗涤费用，两年内不超出合同暂定定量金额，据实结算。乙方未在规定时间内完成甲方任务，或经甲方发现服务质量不符合要求的，按照合同约定扣减相应费用。甲方结合每月小评考核结果进行服务款的支付，涉及罚款的将在每月服务款中扣减后支付，乙方不得以此为由扣减人员工资。甲方根据《广西医科大学教师公寓考核表》定期组织考核，乙方的服务费与服务考核情况挂钩，根据考核情况，甲方有权暂缓支付款项，待乙方出具整改方案或落实后，在办理款项支付事宜。拒不提供整改方案的，甲方按考核结果进行扣罚。</w:t>
      </w:r>
    </w:p>
    <w:p w14:paraId="6FA7674D">
      <w:pPr>
        <w:spacing w:line="40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乙方应向甲方开具相应金额的真实、合法、有效的正式发票。乙方所开具的发票必须为符合国家和广西壮族自治区有关规定的合法有效发票，乙方提供的发票若非合法有效，则甲方在任何时候均有权要求乙方重新开具。</w:t>
      </w:r>
    </w:p>
    <w:p w14:paraId="7229996B">
      <w:pPr>
        <w:snapToGrid w:val="0"/>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w:t>
      </w:r>
      <w:r>
        <w:rPr>
          <w:rFonts w:hint="eastAsia" w:ascii="宋体" w:hAnsi="宋体" w:cs="宋体"/>
          <w:b/>
          <w:color w:val="auto"/>
          <w:szCs w:val="21"/>
          <w:highlight w:val="none"/>
          <w:lang w:val="en-US" w:eastAsia="zh-CN"/>
        </w:rPr>
        <w:t>七</w:t>
      </w:r>
      <w:r>
        <w:rPr>
          <w:rFonts w:hint="eastAsia" w:ascii="宋体" w:hAnsi="宋体" w:cs="宋体"/>
          <w:b/>
          <w:color w:val="auto"/>
          <w:szCs w:val="21"/>
          <w:highlight w:val="none"/>
        </w:rPr>
        <w:t>条　履约保证金</w:t>
      </w:r>
    </w:p>
    <w:p w14:paraId="594465D5">
      <w:pPr>
        <w:snapToGrid w:val="0"/>
        <w:spacing w:line="440" w:lineRule="exact"/>
        <w:ind w:firstLine="420" w:firstLineChars="200"/>
        <w:rPr>
          <w:rFonts w:hint="eastAsia" w:ascii="宋体" w:hAnsi="宋体" w:cs="Arial"/>
          <w:color w:val="auto"/>
          <w:highlight w:val="none"/>
        </w:rPr>
      </w:pPr>
      <w:r>
        <w:rPr>
          <w:rFonts w:hint="eastAsia" w:ascii="宋体" w:hAnsi="宋体" w:cs="Arial"/>
          <w:color w:val="auto"/>
          <w:highlight w:val="none"/>
        </w:rPr>
        <w:t>1．</w:t>
      </w:r>
      <w:r>
        <w:rPr>
          <w:rFonts w:hint="eastAsia" w:ascii="宋体" w:hAnsi="宋体" w:cs="宋体"/>
          <w:color w:val="auto"/>
          <w:highlight w:val="none"/>
        </w:rPr>
        <w:t>在签订合同前乙方向甲方缴纳履约保证金，</w:t>
      </w:r>
      <w:r>
        <w:rPr>
          <w:rFonts w:hint="eastAsia" w:ascii="宋体" w:hAnsi="宋体" w:cs="Arial"/>
          <w:color w:val="auto"/>
          <w:highlight w:val="none"/>
        </w:rPr>
        <w:t>履约保证金金额：</w:t>
      </w:r>
      <w:r>
        <w:rPr>
          <w:rFonts w:hint="eastAsia" w:ascii="宋体" w:hAnsi="宋体" w:cs="宋体"/>
          <w:color w:val="auto"/>
          <w:szCs w:val="21"/>
          <w:highlight w:val="none"/>
        </w:rPr>
        <w:t>按成交金额的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color w:val="auto"/>
          <w:highlight w:val="none"/>
        </w:rPr>
        <w:t>。</w:t>
      </w:r>
    </w:p>
    <w:p w14:paraId="57225BF1">
      <w:pPr>
        <w:spacing w:line="440" w:lineRule="exact"/>
        <w:ind w:firstLine="420" w:firstLineChars="200"/>
        <w:rPr>
          <w:rFonts w:hint="eastAsia" w:ascii="宋体" w:hAnsi="宋体" w:cs="Arial"/>
          <w:color w:val="auto"/>
          <w:highlight w:val="none"/>
        </w:rPr>
      </w:pPr>
      <w:r>
        <w:rPr>
          <w:rFonts w:hint="eastAsia" w:ascii="宋体" w:hAnsi="宋体" w:cs="Arial"/>
          <w:color w:val="auto"/>
          <w:highlight w:val="none"/>
        </w:rPr>
        <w:t>2．履约保证金提交方式：银行转账、支票、汇票、本票或者银行、保险机构出具的保函等非现金方式。</w:t>
      </w:r>
    </w:p>
    <w:p w14:paraId="5D7E4564">
      <w:pPr>
        <w:autoSpaceDE w:val="0"/>
        <w:autoSpaceDN w:val="0"/>
        <w:snapToGrid w:val="0"/>
        <w:spacing w:line="440" w:lineRule="exact"/>
        <w:ind w:firstLine="420" w:firstLineChars="200"/>
        <w:textAlignment w:val="bottom"/>
        <w:rPr>
          <w:rFonts w:ascii="宋体" w:cs="宋体"/>
          <w:color w:val="auto"/>
          <w:highlight w:val="none"/>
          <w:u w:val="single"/>
        </w:rPr>
      </w:pPr>
      <w:r>
        <w:rPr>
          <w:rFonts w:hint="eastAsia" w:ascii="宋体" w:hAnsi="宋体" w:cs="Arial"/>
          <w:color w:val="auto"/>
          <w:highlight w:val="none"/>
        </w:rPr>
        <w:t>3．</w:t>
      </w:r>
      <w:r>
        <w:rPr>
          <w:rFonts w:hint="eastAsia" w:ascii="宋体" w:cs="宋体"/>
          <w:color w:val="auto"/>
          <w:highlight w:val="none"/>
        </w:rPr>
        <w:t>项目验收合格后，乙方提供《政府采购项目履约保证金退付意见书》及《政府采购项目合同验收报告》，向甲方提出书面申请退还，甲方自收到乙方合格的申请材料后5个工作日内办理履约保证金退还手续(不计利息)。</w:t>
      </w:r>
    </w:p>
    <w:p w14:paraId="320C1755">
      <w:pPr>
        <w:spacing w:line="440" w:lineRule="exact"/>
        <w:ind w:firstLine="420" w:firstLineChars="200"/>
        <w:rPr>
          <w:rFonts w:hint="eastAsia" w:ascii="宋体" w:hAnsi="宋体" w:cs="Arial"/>
          <w:color w:val="auto"/>
          <w:highlight w:val="none"/>
        </w:rPr>
      </w:pPr>
      <w:r>
        <w:rPr>
          <w:rFonts w:hint="eastAsia" w:ascii="宋体" w:hAnsi="宋体" w:cs="Arial"/>
          <w:color w:val="auto"/>
          <w:highlight w:val="none"/>
        </w:rPr>
        <w:t>4．履约保证金指定账户：</w:t>
      </w:r>
    </w:p>
    <w:p w14:paraId="55FA45B0">
      <w:pPr>
        <w:spacing w:line="440" w:lineRule="exact"/>
        <w:ind w:firstLine="420" w:firstLineChars="200"/>
        <w:rPr>
          <w:rFonts w:hint="eastAsia" w:ascii="宋体" w:hAnsi="宋体" w:cs="Arial"/>
          <w:color w:val="auto"/>
          <w:highlight w:val="none"/>
        </w:rPr>
      </w:pPr>
      <w:r>
        <w:rPr>
          <w:rFonts w:hint="eastAsia" w:ascii="宋体" w:hAnsi="宋体" w:cs="Arial"/>
          <w:color w:val="auto"/>
          <w:highlight w:val="none"/>
        </w:rPr>
        <w:t xml:space="preserve">开户名称：广西医科大学  </w:t>
      </w:r>
    </w:p>
    <w:p w14:paraId="47BC761D">
      <w:pPr>
        <w:spacing w:line="440" w:lineRule="exact"/>
        <w:ind w:firstLine="420" w:firstLineChars="200"/>
        <w:rPr>
          <w:rFonts w:hint="eastAsia" w:ascii="宋体" w:hAnsi="宋体" w:cs="Arial"/>
          <w:color w:val="auto"/>
          <w:highlight w:val="none"/>
        </w:rPr>
      </w:pPr>
      <w:r>
        <w:rPr>
          <w:rFonts w:hint="eastAsia" w:ascii="宋体" w:hAnsi="宋体" w:cs="Arial"/>
          <w:color w:val="auto"/>
          <w:highlight w:val="none"/>
        </w:rPr>
        <w:t xml:space="preserve">开户银行：中行南宁市医科大支行  </w:t>
      </w:r>
    </w:p>
    <w:p w14:paraId="77F054F2">
      <w:pPr>
        <w:spacing w:line="440" w:lineRule="exact"/>
        <w:ind w:firstLine="420" w:firstLineChars="200"/>
        <w:rPr>
          <w:rFonts w:hint="eastAsia" w:ascii="宋体" w:hAnsi="宋体" w:cs="Arial"/>
          <w:color w:val="auto"/>
          <w:highlight w:val="none"/>
        </w:rPr>
      </w:pPr>
      <w:r>
        <w:rPr>
          <w:rFonts w:hint="eastAsia" w:ascii="宋体" w:hAnsi="宋体" w:cs="Arial"/>
          <w:color w:val="auto"/>
          <w:highlight w:val="none"/>
        </w:rPr>
        <w:t xml:space="preserve">银行账号：622357485287  </w:t>
      </w:r>
    </w:p>
    <w:p w14:paraId="44C5547D">
      <w:pPr>
        <w:spacing w:line="440" w:lineRule="exact"/>
        <w:ind w:firstLine="420" w:firstLineChars="200"/>
        <w:rPr>
          <w:color w:val="auto"/>
          <w:highlight w:val="none"/>
        </w:rPr>
      </w:pPr>
      <w:r>
        <w:rPr>
          <w:rFonts w:ascii="宋体" w:hAnsi="宋体" w:cs="Arial"/>
          <w:color w:val="auto"/>
          <w:highlight w:val="none"/>
        </w:rPr>
        <w:t>5</w:t>
      </w:r>
      <w:r>
        <w:rPr>
          <w:rFonts w:hint="eastAsia" w:ascii="宋体" w:hAnsi="宋体" w:cs="Arial"/>
          <w:color w:val="auto"/>
          <w:highlight w:val="none"/>
        </w:rPr>
        <w:t>．在履约保证金退还日期前，若乙</w:t>
      </w:r>
      <w:r>
        <w:rPr>
          <w:rFonts w:ascii="宋体" w:hAnsi="宋体" w:cs="Arial"/>
          <w:color w:val="auto"/>
          <w:highlight w:val="none"/>
        </w:rPr>
        <w:t>方</w:t>
      </w:r>
      <w:r>
        <w:rPr>
          <w:rFonts w:hint="eastAsia" w:ascii="宋体" w:hAnsi="宋体" w:cs="Arial"/>
          <w:color w:val="auto"/>
          <w:highlight w:val="none"/>
        </w:rPr>
        <w:t>的开户名称、开户银行、账号有变动的，请以书面形式通知甲</w:t>
      </w:r>
      <w:r>
        <w:rPr>
          <w:rFonts w:ascii="宋体" w:hAnsi="宋体" w:cs="Arial"/>
          <w:color w:val="auto"/>
          <w:highlight w:val="none"/>
        </w:rPr>
        <w:t>方</w:t>
      </w:r>
      <w:r>
        <w:rPr>
          <w:rFonts w:hint="eastAsia" w:ascii="宋体" w:hAnsi="宋体" w:cs="Arial"/>
          <w:color w:val="auto"/>
          <w:highlight w:val="none"/>
        </w:rPr>
        <w:t>，否则由此产生的后果由乙</w:t>
      </w:r>
      <w:r>
        <w:rPr>
          <w:rFonts w:ascii="宋体" w:hAnsi="宋体" w:cs="Arial"/>
          <w:color w:val="auto"/>
          <w:highlight w:val="none"/>
        </w:rPr>
        <w:t>方</w:t>
      </w:r>
      <w:r>
        <w:rPr>
          <w:rFonts w:hint="eastAsia" w:ascii="宋体" w:hAnsi="宋体" w:cs="Arial"/>
          <w:color w:val="auto"/>
          <w:highlight w:val="none"/>
        </w:rPr>
        <w:t>自行承担。</w:t>
      </w:r>
    </w:p>
    <w:p w14:paraId="133F7697">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w:t>
      </w:r>
      <w:r>
        <w:rPr>
          <w:rFonts w:hint="eastAsia" w:ascii="宋体" w:hAnsi="宋体" w:cs="宋体"/>
          <w:b/>
          <w:color w:val="auto"/>
          <w:szCs w:val="21"/>
          <w:highlight w:val="none"/>
          <w:lang w:val="en-US" w:eastAsia="zh-CN"/>
        </w:rPr>
        <w:t>八</w:t>
      </w:r>
      <w:r>
        <w:rPr>
          <w:rFonts w:hint="eastAsia" w:ascii="宋体" w:hAnsi="宋体" w:cs="宋体"/>
          <w:b/>
          <w:color w:val="auto"/>
          <w:szCs w:val="21"/>
          <w:highlight w:val="none"/>
        </w:rPr>
        <w:t>条  税费</w:t>
      </w:r>
    </w:p>
    <w:p w14:paraId="271C061B">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本合同执行中相关的一切税费均由乙方负担，合同另有约定的除外。</w:t>
      </w:r>
    </w:p>
    <w:p w14:paraId="3827357C">
      <w:pPr>
        <w:spacing w:line="40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第</w:t>
      </w:r>
      <w:r>
        <w:rPr>
          <w:rFonts w:hint="eastAsia" w:ascii="宋体" w:hAnsi="宋体" w:cs="宋体"/>
          <w:b/>
          <w:color w:val="auto"/>
          <w:szCs w:val="21"/>
          <w:highlight w:val="none"/>
          <w:lang w:val="en-US" w:eastAsia="zh-CN"/>
        </w:rPr>
        <w:t>九</w:t>
      </w:r>
      <w:r>
        <w:rPr>
          <w:rFonts w:hint="eastAsia" w:ascii="宋体" w:hAnsi="宋体" w:cs="宋体"/>
          <w:b/>
          <w:color w:val="auto"/>
          <w:szCs w:val="21"/>
          <w:highlight w:val="none"/>
        </w:rPr>
        <w:t>条　违约责任</w:t>
      </w:r>
    </w:p>
    <w:p w14:paraId="7BA6E193">
      <w:pPr>
        <w:pStyle w:val="17"/>
        <w:spacing w:line="400" w:lineRule="exact"/>
        <w:ind w:left="2" w:firstLine="36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乙方所提供的服务质量不合格的，应及时更换，更换不及时的按逾期提交服务成果处罚，因质量问题甲方不同意接受的或特殊情况甲方同意接收的，乙方应向甲方支付违约服务成果款额5%违约金并赔偿甲方经济损失。</w:t>
      </w:r>
    </w:p>
    <w:p w14:paraId="082915EE">
      <w:pPr>
        <w:snapToGrid w:val="0"/>
        <w:spacing w:line="400" w:lineRule="exact"/>
        <w:ind w:firstLine="420" w:firstLineChars="200"/>
        <w:rPr>
          <w:color w:val="auto"/>
          <w:highlight w:val="none"/>
        </w:rPr>
      </w:pPr>
      <w:r>
        <w:rPr>
          <w:rFonts w:hint="eastAsia" w:hAnsi="宋体" w:cs="宋体"/>
          <w:strike w:val="0"/>
          <w:color w:val="auto"/>
          <w:sz w:val="21"/>
          <w:highlight w:val="none"/>
          <w:lang w:val="en-US" w:eastAsia="zh-CN"/>
        </w:rPr>
        <w:t>2.</w:t>
      </w:r>
      <w:r>
        <w:rPr>
          <w:rFonts w:hint="eastAsia" w:ascii="宋体" w:hAnsi="宋体" w:cs="宋体"/>
          <w:strike w:val="0"/>
          <w:color w:val="auto"/>
          <w:szCs w:val="21"/>
          <w:highlight w:val="none"/>
        </w:rPr>
        <w:t>甲方</w:t>
      </w:r>
      <w:r>
        <w:rPr>
          <w:rFonts w:hint="eastAsia" w:ascii="宋体" w:hAnsi="宋体" w:cs="宋体"/>
          <w:color w:val="auto"/>
          <w:szCs w:val="21"/>
          <w:highlight w:val="none"/>
        </w:rPr>
        <w:t>无故延期接收服务成果、乙方逾期提交服务成果的，每天向对方偿付违约服务成果款额3‰违约金，超过</w:t>
      </w:r>
      <w:r>
        <w:rPr>
          <w:rFonts w:hint="eastAsia" w:ascii="宋体" w:hAnsi="宋体" w:cs="宋体"/>
          <w:color w:val="auto"/>
          <w:szCs w:val="21"/>
          <w:highlight w:val="none"/>
          <w:u w:val="single"/>
          <w:lang w:val="en-US" w:eastAsia="zh-CN"/>
        </w:rPr>
        <w:t>15</w:t>
      </w:r>
      <w:r>
        <w:rPr>
          <w:rFonts w:hint="eastAsia" w:ascii="宋体" w:hAnsi="宋体" w:cs="宋体"/>
          <w:color w:val="auto"/>
          <w:szCs w:val="21"/>
          <w:highlight w:val="none"/>
        </w:rPr>
        <w:t>天对方有权解除合同，违约方承担因此给对方造成经济损失；甲方逾期付服务成果款的，每天向乙方偿付逾期服务成果款额</w:t>
      </w:r>
      <w:r>
        <w:rPr>
          <w:rFonts w:hint="eastAsia" w:ascii="宋体" w:hAnsi="宋体" w:cs="宋体"/>
          <w:color w:val="auto"/>
          <w:szCs w:val="21"/>
          <w:highlight w:val="none"/>
          <w:u w:val="single"/>
        </w:rPr>
        <w:t>3‰</w:t>
      </w:r>
      <w:r>
        <w:rPr>
          <w:rFonts w:hint="eastAsia" w:ascii="宋体" w:hAnsi="宋体" w:cs="宋体"/>
          <w:color w:val="auto"/>
          <w:szCs w:val="21"/>
          <w:highlight w:val="none"/>
        </w:rPr>
        <w:t>滞纳金。</w:t>
      </w:r>
    </w:p>
    <w:p w14:paraId="37564570">
      <w:pPr>
        <w:pStyle w:val="17"/>
        <w:spacing w:line="400" w:lineRule="exact"/>
        <w:ind w:left="2" w:firstLine="360"/>
        <w:rPr>
          <w:rFonts w:hAnsi="宋体" w:cs="宋体"/>
          <w:color w:val="auto"/>
          <w:sz w:val="21"/>
          <w:highlight w:val="none"/>
        </w:rPr>
      </w:pPr>
      <w:r>
        <w:rPr>
          <w:rFonts w:hint="eastAsia" w:hAnsi="宋体" w:cs="宋体"/>
          <w:color w:val="auto"/>
          <w:sz w:val="21"/>
          <w:highlight w:val="none"/>
          <w:lang w:val="en-US" w:eastAsia="zh-CN"/>
        </w:rPr>
        <w:t>3</w:t>
      </w:r>
      <w:r>
        <w:rPr>
          <w:rFonts w:hint="eastAsia" w:hAnsi="宋体" w:cs="宋体"/>
          <w:color w:val="auto"/>
          <w:sz w:val="21"/>
          <w:highlight w:val="none"/>
        </w:rPr>
        <w:t>.乙方未按本合同和投标文件中规定的服务承诺提供售后服务的，乙方应按本合同合计金额</w:t>
      </w:r>
      <w:r>
        <w:rPr>
          <w:rFonts w:hint="eastAsia" w:hAnsi="宋体" w:cs="宋体"/>
          <w:color w:val="auto"/>
          <w:sz w:val="21"/>
          <w:highlight w:val="none"/>
          <w:lang w:val="en-US" w:eastAsia="zh-CN"/>
        </w:rPr>
        <w:t>5</w:t>
      </w:r>
      <w:r>
        <w:rPr>
          <w:rFonts w:hint="eastAsia" w:hAnsi="宋体" w:cs="宋体"/>
          <w:color w:val="auto"/>
          <w:sz w:val="21"/>
          <w:highlight w:val="none"/>
        </w:rPr>
        <w:t>%向甲方支付违约金。</w:t>
      </w:r>
    </w:p>
    <w:p w14:paraId="23ED3CED">
      <w:pPr>
        <w:pStyle w:val="17"/>
        <w:spacing w:line="400" w:lineRule="exact"/>
        <w:ind w:left="2" w:firstLine="360"/>
        <w:rPr>
          <w:rFonts w:hint="eastAsia"/>
          <w:color w:val="auto"/>
          <w:highlight w:val="none"/>
          <w:lang w:val="en-US" w:eastAsia="zh-CN"/>
        </w:rPr>
      </w:pPr>
      <w:r>
        <w:rPr>
          <w:rFonts w:hint="eastAsia" w:hAnsi="宋体" w:cs="宋体"/>
          <w:color w:val="auto"/>
          <w:sz w:val="21"/>
          <w:highlight w:val="none"/>
          <w:lang w:val="en-US" w:eastAsia="zh-CN"/>
        </w:rPr>
        <w:t>4</w:t>
      </w:r>
      <w:r>
        <w:rPr>
          <w:rFonts w:hint="eastAsia" w:hAnsi="宋体" w:cs="宋体"/>
          <w:color w:val="auto"/>
          <w:sz w:val="21"/>
          <w:highlight w:val="none"/>
        </w:rPr>
        <w:t>.</w:t>
      </w:r>
      <w:r>
        <w:rPr>
          <w:rFonts w:hint="eastAsia"/>
          <w:color w:val="auto"/>
          <w:highlight w:val="none"/>
          <w:lang w:val="en-US" w:eastAsia="zh-CN"/>
        </w:rPr>
        <w:t>本合同履行过程中，未经甲方书面同意，乙方不得将本合同的权利义务以任何方式转让给第三人，否则甲方有权选择单方解除本合同并要求乙方支付合同总金额30%违约金。</w:t>
      </w:r>
    </w:p>
    <w:p w14:paraId="7B176464">
      <w:pPr>
        <w:pStyle w:val="17"/>
        <w:spacing w:line="400" w:lineRule="exact"/>
        <w:ind w:left="2" w:firstLine="360"/>
        <w:rPr>
          <w:rFonts w:hint="eastAsia"/>
          <w:color w:val="auto"/>
          <w:highlight w:val="none"/>
          <w:lang w:val="en-US" w:eastAsia="zh-CN"/>
        </w:rPr>
      </w:pPr>
      <w:r>
        <w:rPr>
          <w:rFonts w:hint="eastAsia"/>
          <w:color w:val="auto"/>
          <w:highlight w:val="none"/>
          <w:lang w:val="en-US" w:eastAsia="zh-CN"/>
        </w:rPr>
        <w:t>5.一方对服务质量有争议，但另一方不配合进行检测的，对服务质量有争议的一方有权自行选择有相应检测资质的检测部门进行质量确认，并按约定确定检查费承担主体。</w:t>
      </w:r>
    </w:p>
    <w:p w14:paraId="583F1837">
      <w:pPr>
        <w:pStyle w:val="17"/>
        <w:spacing w:line="400" w:lineRule="exact"/>
        <w:ind w:left="2" w:firstLine="360"/>
        <w:rPr>
          <w:rFonts w:hint="default"/>
          <w:color w:val="auto"/>
          <w:highlight w:val="none"/>
          <w:lang w:val="en-US" w:eastAsia="zh-CN"/>
        </w:rPr>
      </w:pPr>
      <w:r>
        <w:rPr>
          <w:rFonts w:hint="eastAsia"/>
          <w:color w:val="auto"/>
          <w:highlight w:val="none"/>
          <w:lang w:val="en-US" w:eastAsia="zh-CN"/>
        </w:rPr>
        <w:t>6.本合同</w:t>
      </w:r>
      <w:r>
        <w:rPr>
          <w:rFonts w:hint="eastAsia" w:ascii="宋体" w:hAnsi="宋体" w:cs="宋体"/>
          <w:color w:val="auto"/>
          <w:szCs w:val="21"/>
          <w:highlight w:val="none"/>
        </w:rPr>
        <w:t>乙方无故要求提前解除合同的，应向甲方支付本合同总价款30%的违约金, 退还甲方已支付的全部费用并赔偿由此给甲方造成的全部损失。</w:t>
      </w:r>
    </w:p>
    <w:p w14:paraId="681074E7">
      <w:pPr>
        <w:spacing w:line="400" w:lineRule="exact"/>
        <w:ind w:firstLine="420" w:firstLineChars="200"/>
        <w:rPr>
          <w:rFonts w:ascii="宋体" w:hAnsi="宋体" w:cs="宋体"/>
          <w:color w:val="auto"/>
          <w:szCs w:val="21"/>
          <w:highlight w:val="none"/>
        </w:rPr>
      </w:pPr>
      <w:r>
        <w:rPr>
          <w:rFonts w:hint="eastAsia"/>
          <w:color w:val="auto"/>
          <w:highlight w:val="none"/>
          <w:lang w:val="en-US" w:eastAsia="zh-CN"/>
        </w:rPr>
        <w:t>7.</w:t>
      </w:r>
      <w:r>
        <w:rPr>
          <w:rFonts w:hint="eastAsia" w:ascii="宋体" w:hAnsi="宋体" w:cs="宋体"/>
          <w:color w:val="auto"/>
          <w:szCs w:val="21"/>
          <w:highlight w:val="none"/>
        </w:rPr>
        <w:t>其他违约行为按违约</w:t>
      </w:r>
      <w:r>
        <w:rPr>
          <w:rFonts w:hint="eastAsia" w:ascii="宋体" w:hAnsi="宋体" w:cs="宋体"/>
          <w:color w:val="auto"/>
          <w:szCs w:val="21"/>
          <w:highlight w:val="none"/>
          <w:lang w:val="en-US" w:eastAsia="zh-CN"/>
        </w:rPr>
        <w:t>服务成果</w:t>
      </w:r>
      <w:r>
        <w:rPr>
          <w:rFonts w:hint="eastAsia" w:ascii="宋体" w:hAnsi="宋体" w:cs="宋体"/>
          <w:color w:val="auto"/>
          <w:szCs w:val="21"/>
          <w:highlight w:val="none"/>
        </w:rPr>
        <w:t>款额10%收取违约金并赔偿经济损失。</w:t>
      </w:r>
    </w:p>
    <w:p w14:paraId="4DCCE04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w:t>
      </w:r>
      <w:r>
        <w:rPr>
          <w:rFonts w:hint="eastAsia"/>
          <w:color w:val="auto"/>
          <w:highlight w:val="none"/>
          <w:lang w:val="en-US" w:eastAsia="zh-CN"/>
        </w:rPr>
        <w:t>乙方应当支付给甲方的违约金、赔偿金，甲方有权从未支付本合同的合同款中扣除，违约金不足以赔偿给甲方造成损失的，甲方仍有权向乙方进行追偿。</w:t>
      </w:r>
    </w:p>
    <w:p w14:paraId="309A7984">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第十条  不可抗力事件处理</w:t>
      </w:r>
    </w:p>
    <w:p w14:paraId="1F4795B8">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在合同有效期内，任何一方因不可抗力事件导致不能履行合同，则合同履行期可延长，其延长期与不可抗力影响期相同。</w:t>
      </w:r>
    </w:p>
    <w:p w14:paraId="37F8B29E">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不可抗力事件发生后，应立即通知对方，并寄送有关权威机构出具的证明。</w:t>
      </w:r>
    </w:p>
    <w:p w14:paraId="35EF2A0E">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不可抗力事件延续一百二十天以上，双方应通过友好协商，确定是否继续履行合同。</w:t>
      </w:r>
    </w:p>
    <w:p w14:paraId="07B8E76C">
      <w:pPr>
        <w:spacing w:line="40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第十</w:t>
      </w:r>
      <w:r>
        <w:rPr>
          <w:rFonts w:hint="eastAsia" w:ascii="宋体" w:hAnsi="宋体" w:cs="宋体"/>
          <w:b/>
          <w:color w:val="auto"/>
          <w:szCs w:val="21"/>
          <w:highlight w:val="none"/>
          <w:lang w:val="en-US" w:eastAsia="zh-CN"/>
        </w:rPr>
        <w:t>一</w:t>
      </w:r>
      <w:r>
        <w:rPr>
          <w:rFonts w:hint="eastAsia" w:ascii="宋体" w:hAnsi="宋体" w:cs="宋体"/>
          <w:b/>
          <w:color w:val="auto"/>
          <w:szCs w:val="21"/>
          <w:highlight w:val="none"/>
        </w:rPr>
        <w:t>条  合同争议解决</w:t>
      </w:r>
    </w:p>
    <w:p w14:paraId="23F1921F">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因产品质量或服务质量问题发生争议的，应邀请国家认可的第三方检测机构进行鉴定。鉴定结果符合标准的，鉴定费由甲方承担；鉴定结果不符合标准的，鉴定费由乙方承担。</w:t>
      </w:r>
    </w:p>
    <w:p w14:paraId="63762A2F">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因履行本合同引起的或与本合同有关的争议，甲乙双方应首先通过友好协商解决，如果协商不能解决，可向甲方所在地有管辖权的人民法院提起诉讼。</w:t>
      </w:r>
    </w:p>
    <w:p w14:paraId="39BEC076">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诉讼期间，本合同继续履行。</w:t>
      </w:r>
    </w:p>
    <w:p w14:paraId="52879153">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w:t>
      </w:r>
      <w:r>
        <w:rPr>
          <w:rFonts w:hint="eastAsia" w:ascii="宋体" w:hAnsi="宋体" w:cs="宋体"/>
          <w:b/>
          <w:color w:val="auto"/>
          <w:szCs w:val="21"/>
          <w:highlight w:val="none"/>
          <w:lang w:val="en-US" w:eastAsia="zh-CN"/>
        </w:rPr>
        <w:t>二</w:t>
      </w:r>
      <w:r>
        <w:rPr>
          <w:rFonts w:hint="eastAsia" w:ascii="宋体" w:hAnsi="宋体" w:cs="宋体"/>
          <w:b/>
          <w:color w:val="auto"/>
          <w:szCs w:val="21"/>
          <w:highlight w:val="none"/>
        </w:rPr>
        <w:t>条  合同生效及其他</w:t>
      </w:r>
    </w:p>
    <w:p w14:paraId="7E597E9D">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合同经双方法定代表人或者授权代表签字并加盖单位公章后生效（委托代理人签字的需后附法定代表人授权委托书，格式自拟）。</w:t>
      </w:r>
    </w:p>
    <w:p w14:paraId="401C19AD">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合同执行中涉及采购资金和采购内容修改或者补充的，须经主管部门审批，并签书面补充协议，方可作为主合同不可分割的一部分。</w:t>
      </w:r>
    </w:p>
    <w:p w14:paraId="0A33443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本合同未尽事宜，遵照《中华人民共和国民典法》有关条文执行。</w:t>
      </w:r>
    </w:p>
    <w:p w14:paraId="523A02EE">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w:t>
      </w:r>
      <w:r>
        <w:rPr>
          <w:rFonts w:hint="eastAsia" w:ascii="宋体" w:hAnsi="宋体" w:cs="宋体"/>
          <w:b/>
          <w:color w:val="auto"/>
          <w:szCs w:val="21"/>
          <w:highlight w:val="none"/>
          <w:lang w:val="en-US" w:eastAsia="zh-CN"/>
        </w:rPr>
        <w:t>三</w:t>
      </w:r>
      <w:r>
        <w:rPr>
          <w:rFonts w:hint="eastAsia" w:ascii="宋体" w:hAnsi="宋体" w:cs="宋体"/>
          <w:b/>
          <w:color w:val="auto"/>
          <w:szCs w:val="21"/>
          <w:highlight w:val="none"/>
        </w:rPr>
        <w:t>条　合同的变更、终止与转让</w:t>
      </w:r>
    </w:p>
    <w:p w14:paraId="0F6ABB60">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除《中华人民共和国政府采购法》第五十条规定的情形外，本合同一经签订，甲乙双方不得擅自变更、中止或者终止。</w:t>
      </w:r>
    </w:p>
    <w:p w14:paraId="0D67A5B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乙方不得擅自转让其应履行的合同义务。</w:t>
      </w:r>
    </w:p>
    <w:p w14:paraId="073510AF">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w:t>
      </w:r>
      <w:r>
        <w:rPr>
          <w:rFonts w:hint="eastAsia" w:ascii="宋体" w:hAnsi="宋体" w:cs="宋体"/>
          <w:b/>
          <w:color w:val="auto"/>
          <w:szCs w:val="21"/>
          <w:highlight w:val="none"/>
          <w:lang w:val="en-US" w:eastAsia="zh-CN"/>
        </w:rPr>
        <w:t>四</w:t>
      </w:r>
      <w:r>
        <w:rPr>
          <w:rFonts w:hint="eastAsia" w:ascii="宋体" w:hAnsi="宋体" w:cs="宋体"/>
          <w:b/>
          <w:color w:val="auto"/>
          <w:szCs w:val="21"/>
          <w:highlight w:val="none"/>
        </w:rPr>
        <w:t>条　签订本合同依据</w:t>
      </w:r>
    </w:p>
    <w:p w14:paraId="08959758">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成交通知书；</w:t>
      </w:r>
    </w:p>
    <w:p w14:paraId="2E95E55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报价表；</w:t>
      </w:r>
    </w:p>
    <w:p w14:paraId="1414693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商务条款偏离表和技术需求偏离表；</w:t>
      </w:r>
    </w:p>
    <w:p w14:paraId="02C6292E">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服务方案；</w:t>
      </w:r>
    </w:p>
    <w:p w14:paraId="026C051E">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响应文件中的其他相关文件。</w:t>
      </w:r>
    </w:p>
    <w:p w14:paraId="78A37A8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上述合同文件互相补充和解释。如果合同文件之间存在矛盾或者不一致之处，以上述文件的排列顺序在先者为准。</w:t>
      </w:r>
    </w:p>
    <w:p w14:paraId="02F770F9">
      <w:pPr>
        <w:spacing w:line="400" w:lineRule="exact"/>
        <w:ind w:firstLine="422" w:firstLineChars="200"/>
        <w:rPr>
          <w:color w:val="auto"/>
          <w:highlight w:val="none"/>
        </w:rPr>
      </w:pPr>
      <w:r>
        <w:rPr>
          <w:rFonts w:hint="eastAsia"/>
          <w:b/>
          <w:bCs/>
          <w:color w:val="auto"/>
          <w:highlight w:val="none"/>
        </w:rPr>
        <w:t>第十六条</w:t>
      </w:r>
      <w:r>
        <w:rPr>
          <w:rFonts w:hint="eastAsia"/>
          <w:color w:val="auto"/>
          <w:highlight w:val="none"/>
        </w:rPr>
        <w:t>　本合同一式陆份，具有同等法律效力，采购代理机构一份，甲方三份，乙方两份。（可根据需要另增加）。</w:t>
      </w:r>
    </w:p>
    <w:tbl>
      <w:tblPr>
        <w:tblStyle w:val="28"/>
        <w:tblW w:w="88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0"/>
        <w:gridCol w:w="4233"/>
      </w:tblGrid>
      <w:tr w14:paraId="38D4D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590" w:type="dxa"/>
            <w:tcBorders>
              <w:top w:val="single" w:color="auto" w:sz="4" w:space="0"/>
              <w:left w:val="single" w:color="auto" w:sz="4" w:space="0"/>
              <w:bottom w:val="single" w:color="auto" w:sz="4" w:space="0"/>
              <w:right w:val="single" w:color="auto" w:sz="4" w:space="0"/>
            </w:tcBorders>
            <w:noWrap w:val="0"/>
            <w:vAlign w:val="center"/>
          </w:tcPr>
          <w:p w14:paraId="219F39F4">
            <w:pPr>
              <w:snapToGrid w:val="0"/>
              <w:spacing w:line="400" w:lineRule="exact"/>
              <w:rPr>
                <w:rFonts w:ascii="宋体" w:hAnsi="宋体" w:cs="宋体"/>
                <w:color w:val="auto"/>
                <w:highlight w:val="none"/>
              </w:rPr>
            </w:pPr>
            <w:r>
              <w:rPr>
                <w:rFonts w:hint="eastAsia" w:ascii="宋体" w:hAnsi="宋体" w:cs="宋体"/>
                <w:color w:val="auto"/>
                <w:highlight w:val="none"/>
              </w:rPr>
              <w:t xml:space="preserve">甲方（章）           </w:t>
            </w:r>
          </w:p>
          <w:p w14:paraId="3AC5A565">
            <w:pPr>
              <w:snapToGrid w:val="0"/>
              <w:spacing w:line="400" w:lineRule="exact"/>
              <w:rPr>
                <w:rFonts w:ascii="宋体" w:hAnsi="宋体" w:cs="宋体"/>
                <w:color w:val="auto"/>
                <w:highlight w:val="none"/>
              </w:rPr>
            </w:pPr>
          </w:p>
          <w:p w14:paraId="4C4C8ADC">
            <w:pPr>
              <w:snapToGrid w:val="0"/>
              <w:spacing w:line="400" w:lineRule="exact"/>
              <w:ind w:firstLine="945" w:firstLineChars="450"/>
              <w:jc w:val="right"/>
              <w:rPr>
                <w:rFonts w:ascii="宋体" w:hAnsi="宋体" w:cs="宋体"/>
                <w:color w:val="auto"/>
                <w:highlight w:val="none"/>
              </w:rPr>
            </w:pPr>
            <w:r>
              <w:rPr>
                <w:rFonts w:hint="eastAsia" w:ascii="宋体" w:hAnsi="宋体" w:cs="宋体"/>
                <w:color w:val="auto"/>
                <w:highlight w:val="none"/>
              </w:rPr>
              <w:t>年   月   日</w:t>
            </w:r>
          </w:p>
        </w:tc>
        <w:tc>
          <w:tcPr>
            <w:tcW w:w="4233" w:type="dxa"/>
            <w:tcBorders>
              <w:top w:val="single" w:color="auto" w:sz="4" w:space="0"/>
              <w:left w:val="single" w:color="auto" w:sz="4" w:space="0"/>
              <w:bottom w:val="single" w:color="auto" w:sz="4" w:space="0"/>
              <w:right w:val="single" w:color="auto" w:sz="4" w:space="0"/>
            </w:tcBorders>
            <w:noWrap w:val="0"/>
            <w:vAlign w:val="center"/>
          </w:tcPr>
          <w:p w14:paraId="57C6B00F">
            <w:pPr>
              <w:snapToGrid w:val="0"/>
              <w:spacing w:line="400" w:lineRule="exact"/>
              <w:rPr>
                <w:rFonts w:ascii="宋体" w:hAnsi="宋体" w:cs="宋体"/>
                <w:color w:val="auto"/>
                <w:highlight w:val="none"/>
              </w:rPr>
            </w:pPr>
            <w:r>
              <w:rPr>
                <w:rFonts w:hint="eastAsia" w:ascii="宋体" w:hAnsi="宋体" w:cs="宋体"/>
                <w:color w:val="auto"/>
                <w:highlight w:val="none"/>
              </w:rPr>
              <w:t xml:space="preserve">乙方（章）              </w:t>
            </w:r>
          </w:p>
          <w:p w14:paraId="2608EB03">
            <w:pPr>
              <w:snapToGrid w:val="0"/>
              <w:spacing w:line="400" w:lineRule="exact"/>
              <w:rPr>
                <w:rFonts w:ascii="宋体" w:hAnsi="宋体" w:cs="宋体"/>
                <w:color w:val="auto"/>
                <w:highlight w:val="none"/>
              </w:rPr>
            </w:pPr>
          </w:p>
          <w:p w14:paraId="01AD1464">
            <w:pPr>
              <w:snapToGrid w:val="0"/>
              <w:spacing w:line="400" w:lineRule="exact"/>
              <w:jc w:val="right"/>
              <w:rPr>
                <w:rFonts w:ascii="宋体" w:hAnsi="宋体" w:cs="宋体"/>
                <w:color w:val="auto"/>
                <w:highlight w:val="none"/>
              </w:rPr>
            </w:pPr>
            <w:r>
              <w:rPr>
                <w:rFonts w:hint="eastAsia" w:ascii="宋体" w:hAnsi="宋体" w:cs="宋体"/>
                <w:color w:val="auto"/>
                <w:highlight w:val="none"/>
              </w:rPr>
              <w:t xml:space="preserve"> 年   月   日</w:t>
            </w:r>
          </w:p>
        </w:tc>
      </w:tr>
      <w:tr w14:paraId="4A485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4590" w:type="dxa"/>
            <w:tcBorders>
              <w:top w:val="single" w:color="auto" w:sz="4" w:space="0"/>
              <w:left w:val="single" w:color="auto" w:sz="4" w:space="0"/>
              <w:bottom w:val="single" w:color="auto" w:sz="4" w:space="0"/>
              <w:right w:val="single" w:color="auto" w:sz="4" w:space="0"/>
            </w:tcBorders>
            <w:noWrap w:val="0"/>
            <w:vAlign w:val="center"/>
          </w:tcPr>
          <w:p w14:paraId="1CF30E2E">
            <w:pPr>
              <w:snapToGrid w:val="0"/>
              <w:spacing w:line="400" w:lineRule="exact"/>
              <w:rPr>
                <w:rFonts w:ascii="宋体" w:hAnsi="宋体" w:cs="宋体"/>
                <w:color w:val="auto"/>
                <w:highlight w:val="none"/>
              </w:rPr>
            </w:pPr>
            <w:r>
              <w:rPr>
                <w:rFonts w:hint="eastAsia" w:ascii="宋体" w:hAnsi="宋体" w:cs="宋体"/>
                <w:color w:val="auto"/>
                <w:highlight w:val="none"/>
              </w:rPr>
              <w:t>单位地址：广西南宁市双拥路22号</w:t>
            </w:r>
          </w:p>
        </w:tc>
        <w:tc>
          <w:tcPr>
            <w:tcW w:w="4233" w:type="dxa"/>
            <w:tcBorders>
              <w:top w:val="single" w:color="auto" w:sz="4" w:space="0"/>
              <w:left w:val="single" w:color="auto" w:sz="4" w:space="0"/>
              <w:bottom w:val="single" w:color="auto" w:sz="4" w:space="0"/>
              <w:right w:val="single" w:color="auto" w:sz="4" w:space="0"/>
            </w:tcBorders>
            <w:noWrap w:val="0"/>
            <w:vAlign w:val="center"/>
          </w:tcPr>
          <w:p w14:paraId="323EB1E9">
            <w:pPr>
              <w:snapToGrid w:val="0"/>
              <w:spacing w:line="400" w:lineRule="exact"/>
              <w:rPr>
                <w:rFonts w:ascii="宋体" w:hAnsi="宋体" w:cs="宋体"/>
                <w:color w:val="auto"/>
                <w:highlight w:val="none"/>
              </w:rPr>
            </w:pPr>
            <w:r>
              <w:rPr>
                <w:rFonts w:hint="eastAsia" w:ascii="宋体" w:hAnsi="宋体" w:cs="宋体"/>
                <w:color w:val="auto"/>
                <w:highlight w:val="none"/>
              </w:rPr>
              <w:t>单位地址：</w:t>
            </w:r>
          </w:p>
        </w:tc>
      </w:tr>
      <w:tr w14:paraId="7CB7F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4590" w:type="dxa"/>
            <w:tcBorders>
              <w:top w:val="single" w:color="auto" w:sz="4" w:space="0"/>
              <w:left w:val="single" w:color="auto" w:sz="4" w:space="0"/>
              <w:bottom w:val="single" w:color="auto" w:sz="4" w:space="0"/>
              <w:right w:val="single" w:color="auto" w:sz="4" w:space="0"/>
            </w:tcBorders>
            <w:noWrap w:val="0"/>
            <w:vAlign w:val="center"/>
          </w:tcPr>
          <w:p w14:paraId="3632D592">
            <w:pPr>
              <w:snapToGrid w:val="0"/>
              <w:spacing w:line="400" w:lineRule="exact"/>
              <w:rPr>
                <w:rFonts w:ascii="宋体" w:hAnsi="宋体" w:cs="宋体"/>
                <w:color w:val="auto"/>
                <w:highlight w:val="none"/>
              </w:rPr>
            </w:pPr>
            <w:r>
              <w:rPr>
                <w:rFonts w:hint="eastAsia" w:ascii="宋体" w:hAnsi="宋体" w:cs="宋体"/>
                <w:color w:val="auto"/>
                <w:highlight w:val="none"/>
              </w:rPr>
              <w:t>法定代表人：</w:t>
            </w:r>
          </w:p>
        </w:tc>
        <w:tc>
          <w:tcPr>
            <w:tcW w:w="4233" w:type="dxa"/>
            <w:tcBorders>
              <w:top w:val="single" w:color="auto" w:sz="4" w:space="0"/>
              <w:left w:val="single" w:color="auto" w:sz="4" w:space="0"/>
              <w:bottom w:val="single" w:color="auto" w:sz="4" w:space="0"/>
              <w:right w:val="single" w:color="auto" w:sz="4" w:space="0"/>
            </w:tcBorders>
            <w:noWrap w:val="0"/>
            <w:vAlign w:val="center"/>
          </w:tcPr>
          <w:p w14:paraId="31BC2EFC">
            <w:pPr>
              <w:snapToGrid w:val="0"/>
              <w:spacing w:line="400" w:lineRule="exact"/>
              <w:rPr>
                <w:rFonts w:ascii="宋体" w:hAnsi="宋体" w:cs="宋体"/>
                <w:color w:val="auto"/>
                <w:highlight w:val="none"/>
              </w:rPr>
            </w:pPr>
            <w:r>
              <w:rPr>
                <w:rFonts w:hint="eastAsia" w:ascii="宋体" w:hAnsi="宋体" w:cs="宋体"/>
                <w:color w:val="auto"/>
                <w:highlight w:val="none"/>
              </w:rPr>
              <w:t>法定代表人：</w:t>
            </w:r>
          </w:p>
        </w:tc>
      </w:tr>
      <w:tr w14:paraId="0D193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4590" w:type="dxa"/>
            <w:tcBorders>
              <w:top w:val="single" w:color="auto" w:sz="4" w:space="0"/>
              <w:left w:val="single" w:color="auto" w:sz="4" w:space="0"/>
              <w:bottom w:val="single" w:color="auto" w:sz="4" w:space="0"/>
              <w:right w:val="single" w:color="auto" w:sz="4" w:space="0"/>
            </w:tcBorders>
            <w:noWrap w:val="0"/>
            <w:vAlign w:val="center"/>
          </w:tcPr>
          <w:p w14:paraId="6D9CC8C8">
            <w:pPr>
              <w:snapToGrid w:val="0"/>
              <w:spacing w:line="400" w:lineRule="exact"/>
              <w:rPr>
                <w:rFonts w:ascii="宋体" w:hAnsi="宋体" w:cs="宋体"/>
                <w:color w:val="auto"/>
                <w:highlight w:val="none"/>
              </w:rPr>
            </w:pPr>
            <w:r>
              <w:rPr>
                <w:rFonts w:hint="eastAsia" w:ascii="宋体" w:hAnsi="宋体" w:cs="宋体"/>
                <w:color w:val="auto"/>
                <w:highlight w:val="none"/>
              </w:rPr>
              <w:t>委托代理人：</w:t>
            </w:r>
          </w:p>
        </w:tc>
        <w:tc>
          <w:tcPr>
            <w:tcW w:w="4233" w:type="dxa"/>
            <w:tcBorders>
              <w:top w:val="single" w:color="auto" w:sz="4" w:space="0"/>
              <w:left w:val="single" w:color="auto" w:sz="4" w:space="0"/>
              <w:bottom w:val="single" w:color="auto" w:sz="4" w:space="0"/>
              <w:right w:val="single" w:color="auto" w:sz="4" w:space="0"/>
            </w:tcBorders>
            <w:noWrap w:val="0"/>
            <w:vAlign w:val="center"/>
          </w:tcPr>
          <w:p w14:paraId="72C078B6">
            <w:pPr>
              <w:snapToGrid w:val="0"/>
              <w:spacing w:line="400" w:lineRule="exact"/>
              <w:rPr>
                <w:rFonts w:ascii="宋体" w:hAnsi="宋体" w:cs="宋体"/>
                <w:color w:val="auto"/>
                <w:highlight w:val="none"/>
              </w:rPr>
            </w:pPr>
            <w:r>
              <w:rPr>
                <w:rFonts w:hint="eastAsia" w:ascii="宋体" w:hAnsi="宋体" w:cs="宋体"/>
                <w:color w:val="auto"/>
                <w:highlight w:val="none"/>
              </w:rPr>
              <w:t>委托代理人：</w:t>
            </w:r>
          </w:p>
        </w:tc>
      </w:tr>
      <w:tr w14:paraId="3D4C1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4590" w:type="dxa"/>
            <w:tcBorders>
              <w:top w:val="single" w:color="auto" w:sz="4" w:space="0"/>
              <w:left w:val="single" w:color="auto" w:sz="4" w:space="0"/>
              <w:bottom w:val="single" w:color="auto" w:sz="4" w:space="0"/>
              <w:right w:val="single" w:color="auto" w:sz="4" w:space="0"/>
            </w:tcBorders>
            <w:noWrap w:val="0"/>
            <w:vAlign w:val="center"/>
          </w:tcPr>
          <w:p w14:paraId="2925631C">
            <w:pPr>
              <w:snapToGrid w:val="0"/>
              <w:spacing w:line="400" w:lineRule="exact"/>
              <w:rPr>
                <w:rFonts w:ascii="宋体" w:hAnsi="宋体" w:cs="宋体"/>
                <w:color w:val="auto"/>
                <w:highlight w:val="none"/>
              </w:rPr>
            </w:pPr>
            <w:r>
              <w:rPr>
                <w:rFonts w:hint="eastAsia" w:ascii="宋体" w:hAnsi="宋体" w:cs="宋体"/>
                <w:color w:val="auto"/>
                <w:highlight w:val="none"/>
              </w:rPr>
              <w:t>电话：0771-</w:t>
            </w:r>
          </w:p>
        </w:tc>
        <w:tc>
          <w:tcPr>
            <w:tcW w:w="4233" w:type="dxa"/>
            <w:tcBorders>
              <w:top w:val="single" w:color="auto" w:sz="4" w:space="0"/>
              <w:left w:val="single" w:color="auto" w:sz="4" w:space="0"/>
              <w:bottom w:val="single" w:color="auto" w:sz="4" w:space="0"/>
              <w:right w:val="single" w:color="auto" w:sz="4" w:space="0"/>
            </w:tcBorders>
            <w:noWrap w:val="0"/>
            <w:vAlign w:val="center"/>
          </w:tcPr>
          <w:p w14:paraId="429E406E">
            <w:pPr>
              <w:snapToGrid w:val="0"/>
              <w:spacing w:line="400" w:lineRule="exact"/>
              <w:rPr>
                <w:rFonts w:ascii="宋体" w:hAnsi="宋体" w:cs="宋体"/>
                <w:color w:val="auto"/>
                <w:highlight w:val="none"/>
              </w:rPr>
            </w:pPr>
            <w:r>
              <w:rPr>
                <w:rFonts w:hint="eastAsia" w:ascii="宋体" w:hAnsi="宋体" w:cs="宋体"/>
                <w:color w:val="auto"/>
                <w:highlight w:val="none"/>
              </w:rPr>
              <w:t>电话：</w:t>
            </w:r>
          </w:p>
        </w:tc>
      </w:tr>
      <w:tr w14:paraId="7F15C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4590" w:type="dxa"/>
            <w:tcBorders>
              <w:top w:val="single" w:color="auto" w:sz="4" w:space="0"/>
              <w:left w:val="single" w:color="auto" w:sz="4" w:space="0"/>
              <w:bottom w:val="single" w:color="auto" w:sz="4" w:space="0"/>
              <w:right w:val="single" w:color="auto" w:sz="4" w:space="0"/>
            </w:tcBorders>
            <w:noWrap w:val="0"/>
            <w:vAlign w:val="center"/>
          </w:tcPr>
          <w:p w14:paraId="3F640D36">
            <w:pPr>
              <w:snapToGrid w:val="0"/>
              <w:spacing w:line="400" w:lineRule="exact"/>
              <w:rPr>
                <w:rFonts w:ascii="宋体" w:hAnsi="宋体" w:cs="宋体"/>
                <w:color w:val="auto"/>
                <w:highlight w:val="none"/>
              </w:rPr>
            </w:pPr>
            <w:r>
              <w:rPr>
                <w:rFonts w:hint="eastAsia" w:ascii="宋体" w:hAnsi="宋体" w:cs="宋体"/>
                <w:color w:val="auto"/>
                <w:highlight w:val="none"/>
              </w:rPr>
              <w:t>电子邮箱：gxmugzc@163.com</w:t>
            </w:r>
          </w:p>
        </w:tc>
        <w:tc>
          <w:tcPr>
            <w:tcW w:w="4233" w:type="dxa"/>
            <w:tcBorders>
              <w:top w:val="single" w:color="auto" w:sz="4" w:space="0"/>
              <w:left w:val="single" w:color="auto" w:sz="4" w:space="0"/>
              <w:bottom w:val="single" w:color="auto" w:sz="4" w:space="0"/>
              <w:right w:val="single" w:color="auto" w:sz="4" w:space="0"/>
            </w:tcBorders>
            <w:noWrap w:val="0"/>
            <w:vAlign w:val="center"/>
          </w:tcPr>
          <w:p w14:paraId="1EC0CFE0">
            <w:pPr>
              <w:snapToGrid w:val="0"/>
              <w:spacing w:line="400" w:lineRule="exact"/>
              <w:rPr>
                <w:rFonts w:ascii="宋体" w:hAnsi="宋体" w:cs="宋体"/>
                <w:color w:val="auto"/>
                <w:highlight w:val="none"/>
              </w:rPr>
            </w:pPr>
            <w:r>
              <w:rPr>
                <w:rFonts w:hint="eastAsia" w:ascii="宋体" w:hAnsi="宋体" w:cs="宋体"/>
                <w:color w:val="auto"/>
                <w:highlight w:val="none"/>
              </w:rPr>
              <w:t>电子邮箱：</w:t>
            </w:r>
          </w:p>
        </w:tc>
      </w:tr>
      <w:tr w14:paraId="72922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4590" w:type="dxa"/>
            <w:tcBorders>
              <w:top w:val="single" w:color="auto" w:sz="4" w:space="0"/>
              <w:left w:val="single" w:color="auto" w:sz="4" w:space="0"/>
              <w:bottom w:val="single" w:color="auto" w:sz="4" w:space="0"/>
              <w:right w:val="single" w:color="auto" w:sz="4" w:space="0"/>
            </w:tcBorders>
            <w:noWrap w:val="0"/>
            <w:vAlign w:val="center"/>
          </w:tcPr>
          <w:p w14:paraId="241815FC">
            <w:pPr>
              <w:snapToGrid w:val="0"/>
              <w:spacing w:line="400" w:lineRule="exact"/>
              <w:rPr>
                <w:rFonts w:ascii="宋体" w:hAnsi="宋体" w:cs="宋体"/>
                <w:color w:val="auto"/>
                <w:highlight w:val="none"/>
              </w:rPr>
            </w:pPr>
            <w:r>
              <w:rPr>
                <w:rFonts w:hint="eastAsia" w:ascii="宋体" w:hAnsi="宋体" w:cs="宋体"/>
                <w:color w:val="auto"/>
                <w:highlight w:val="none"/>
              </w:rPr>
              <w:t>开户银行：</w:t>
            </w:r>
            <w:r>
              <w:rPr>
                <w:rFonts w:ascii="宋体" w:hAnsi="宋体" w:cs="宋体"/>
                <w:color w:val="auto"/>
                <w:highlight w:val="none"/>
              </w:rPr>
              <w:t>中行南宁市医科大支行</w:t>
            </w:r>
          </w:p>
        </w:tc>
        <w:tc>
          <w:tcPr>
            <w:tcW w:w="4233" w:type="dxa"/>
            <w:tcBorders>
              <w:top w:val="single" w:color="auto" w:sz="4" w:space="0"/>
              <w:left w:val="single" w:color="auto" w:sz="4" w:space="0"/>
              <w:bottom w:val="single" w:color="auto" w:sz="4" w:space="0"/>
              <w:right w:val="single" w:color="auto" w:sz="4" w:space="0"/>
            </w:tcBorders>
            <w:noWrap w:val="0"/>
            <w:vAlign w:val="center"/>
          </w:tcPr>
          <w:p w14:paraId="59958653">
            <w:pPr>
              <w:snapToGrid w:val="0"/>
              <w:spacing w:line="400" w:lineRule="exact"/>
              <w:rPr>
                <w:rFonts w:ascii="宋体" w:hAnsi="宋体" w:cs="宋体"/>
                <w:color w:val="auto"/>
                <w:highlight w:val="none"/>
              </w:rPr>
            </w:pPr>
            <w:r>
              <w:rPr>
                <w:rFonts w:hint="eastAsia" w:ascii="宋体" w:hAnsi="宋体" w:cs="宋体"/>
                <w:color w:val="auto"/>
                <w:highlight w:val="none"/>
              </w:rPr>
              <w:t>开户银行：</w:t>
            </w:r>
          </w:p>
        </w:tc>
      </w:tr>
      <w:tr w14:paraId="54F57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4590" w:type="dxa"/>
            <w:tcBorders>
              <w:top w:val="single" w:color="auto" w:sz="4" w:space="0"/>
              <w:left w:val="single" w:color="auto" w:sz="4" w:space="0"/>
              <w:bottom w:val="single" w:color="auto" w:sz="4" w:space="0"/>
              <w:right w:val="single" w:color="auto" w:sz="4" w:space="0"/>
            </w:tcBorders>
            <w:noWrap w:val="0"/>
            <w:vAlign w:val="center"/>
          </w:tcPr>
          <w:p w14:paraId="30858988">
            <w:pPr>
              <w:snapToGrid w:val="0"/>
              <w:spacing w:line="400" w:lineRule="exact"/>
              <w:rPr>
                <w:rFonts w:ascii="宋体" w:hAnsi="宋体" w:cs="宋体"/>
                <w:color w:val="auto"/>
                <w:highlight w:val="none"/>
              </w:rPr>
            </w:pPr>
            <w:r>
              <w:rPr>
                <w:rFonts w:hint="eastAsia" w:ascii="宋体" w:hAnsi="宋体" w:cs="宋体"/>
                <w:color w:val="auto"/>
                <w:highlight w:val="none"/>
              </w:rPr>
              <w:t>账号：</w:t>
            </w:r>
            <w:r>
              <w:rPr>
                <w:rFonts w:ascii="宋体" w:hAnsi="宋体" w:cs="宋体"/>
                <w:color w:val="auto"/>
                <w:highlight w:val="none"/>
              </w:rPr>
              <w:t>622357485287</w:t>
            </w:r>
          </w:p>
        </w:tc>
        <w:tc>
          <w:tcPr>
            <w:tcW w:w="4233" w:type="dxa"/>
            <w:tcBorders>
              <w:top w:val="single" w:color="auto" w:sz="4" w:space="0"/>
              <w:left w:val="single" w:color="auto" w:sz="4" w:space="0"/>
              <w:bottom w:val="single" w:color="auto" w:sz="4" w:space="0"/>
              <w:right w:val="single" w:color="auto" w:sz="4" w:space="0"/>
            </w:tcBorders>
            <w:noWrap w:val="0"/>
            <w:vAlign w:val="center"/>
          </w:tcPr>
          <w:p w14:paraId="1BA5CCB5">
            <w:pPr>
              <w:snapToGrid w:val="0"/>
              <w:spacing w:line="400" w:lineRule="exact"/>
              <w:rPr>
                <w:rFonts w:ascii="宋体" w:hAnsi="宋体" w:cs="宋体"/>
                <w:color w:val="auto"/>
                <w:highlight w:val="none"/>
              </w:rPr>
            </w:pPr>
            <w:r>
              <w:rPr>
                <w:rFonts w:hint="eastAsia" w:ascii="宋体" w:hAnsi="宋体" w:cs="宋体"/>
                <w:color w:val="auto"/>
                <w:highlight w:val="none"/>
              </w:rPr>
              <w:t>账号：</w:t>
            </w:r>
          </w:p>
        </w:tc>
      </w:tr>
      <w:tr w14:paraId="76897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8" w:hRule="atLeast"/>
          <w:jc w:val="center"/>
        </w:trPr>
        <w:tc>
          <w:tcPr>
            <w:tcW w:w="4590" w:type="dxa"/>
            <w:tcBorders>
              <w:top w:val="single" w:color="auto" w:sz="4" w:space="0"/>
              <w:left w:val="single" w:color="auto" w:sz="4" w:space="0"/>
              <w:bottom w:val="single" w:color="auto" w:sz="4" w:space="0"/>
              <w:right w:val="single" w:color="auto" w:sz="4" w:space="0"/>
            </w:tcBorders>
            <w:noWrap w:val="0"/>
            <w:vAlign w:val="center"/>
          </w:tcPr>
          <w:p w14:paraId="1C6AA3F2">
            <w:pPr>
              <w:snapToGrid w:val="0"/>
              <w:spacing w:line="240" w:lineRule="exact"/>
              <w:jc w:val="left"/>
              <w:rPr>
                <w:rFonts w:ascii="宋体" w:hAnsi="宋体" w:cs="宋体"/>
                <w:color w:val="auto"/>
                <w:highlight w:val="none"/>
              </w:rPr>
            </w:pPr>
            <w:r>
              <w:rPr>
                <w:rFonts w:hint="eastAsia" w:ascii="宋体" w:hAnsi="宋体" w:cs="宋体"/>
                <w:color w:val="auto"/>
                <w:highlight w:val="none"/>
              </w:rPr>
              <w:t>纳税人识别号或统一社会信用代码：</w:t>
            </w:r>
          </w:p>
          <w:p w14:paraId="52C73CD3">
            <w:pPr>
              <w:snapToGrid w:val="0"/>
              <w:spacing w:line="240" w:lineRule="exact"/>
              <w:jc w:val="left"/>
              <w:rPr>
                <w:rFonts w:ascii="宋体" w:hAnsi="宋体" w:cs="宋体"/>
                <w:color w:val="auto"/>
                <w:highlight w:val="none"/>
              </w:rPr>
            </w:pPr>
          </w:p>
          <w:p w14:paraId="1D745727">
            <w:pPr>
              <w:snapToGrid w:val="0"/>
              <w:spacing w:line="240" w:lineRule="exact"/>
              <w:jc w:val="left"/>
              <w:rPr>
                <w:color w:val="auto"/>
                <w:highlight w:val="none"/>
              </w:rPr>
            </w:pPr>
            <w:r>
              <w:rPr>
                <w:rFonts w:hint="eastAsia" w:ascii="宋体" w:hAnsi="宋体" w:cs="宋体"/>
                <w:color w:val="auto"/>
                <w:highlight w:val="none"/>
              </w:rPr>
              <w:t>12450000498506243T</w:t>
            </w:r>
          </w:p>
        </w:tc>
        <w:tc>
          <w:tcPr>
            <w:tcW w:w="4233" w:type="dxa"/>
            <w:tcBorders>
              <w:top w:val="single" w:color="auto" w:sz="4" w:space="0"/>
              <w:left w:val="single" w:color="auto" w:sz="4" w:space="0"/>
              <w:bottom w:val="single" w:color="auto" w:sz="4" w:space="0"/>
              <w:right w:val="single" w:color="auto" w:sz="4" w:space="0"/>
            </w:tcBorders>
            <w:noWrap w:val="0"/>
            <w:vAlign w:val="center"/>
          </w:tcPr>
          <w:p w14:paraId="7E598AE4">
            <w:pPr>
              <w:snapToGrid w:val="0"/>
              <w:spacing w:line="240" w:lineRule="exact"/>
              <w:rPr>
                <w:rFonts w:ascii="宋体" w:hAnsi="宋体" w:cs="宋体"/>
                <w:color w:val="auto"/>
                <w:highlight w:val="none"/>
              </w:rPr>
            </w:pPr>
          </w:p>
          <w:p w14:paraId="23821978">
            <w:pPr>
              <w:snapToGrid w:val="0"/>
              <w:spacing w:line="240" w:lineRule="exact"/>
              <w:jc w:val="left"/>
              <w:rPr>
                <w:rFonts w:ascii="宋体" w:hAnsi="宋体" w:cs="宋体"/>
                <w:color w:val="auto"/>
                <w:highlight w:val="none"/>
              </w:rPr>
            </w:pPr>
            <w:r>
              <w:rPr>
                <w:rFonts w:hint="eastAsia" w:ascii="宋体" w:hAnsi="宋体" w:cs="宋体"/>
                <w:color w:val="auto"/>
                <w:highlight w:val="none"/>
              </w:rPr>
              <w:t>纳税人识别号或统一社会信用代码：</w:t>
            </w:r>
          </w:p>
          <w:p w14:paraId="54A46D6D">
            <w:pPr>
              <w:pStyle w:val="4"/>
              <w:spacing w:line="240" w:lineRule="exact"/>
              <w:rPr>
                <w:color w:val="auto"/>
                <w:sz w:val="21"/>
                <w:highlight w:val="none"/>
              </w:rPr>
            </w:pPr>
          </w:p>
        </w:tc>
      </w:tr>
      <w:tr w14:paraId="2A7A6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jc w:val="center"/>
        </w:trPr>
        <w:tc>
          <w:tcPr>
            <w:tcW w:w="4590" w:type="dxa"/>
            <w:tcBorders>
              <w:top w:val="single" w:color="auto" w:sz="4" w:space="0"/>
              <w:left w:val="single" w:color="auto" w:sz="4" w:space="0"/>
              <w:bottom w:val="single" w:color="auto" w:sz="4" w:space="0"/>
              <w:right w:val="single" w:color="auto" w:sz="4" w:space="0"/>
            </w:tcBorders>
            <w:noWrap w:val="0"/>
            <w:vAlign w:val="center"/>
          </w:tcPr>
          <w:p w14:paraId="682086F7">
            <w:pPr>
              <w:snapToGrid w:val="0"/>
              <w:spacing w:line="400" w:lineRule="exact"/>
              <w:rPr>
                <w:rFonts w:ascii="宋体" w:hAnsi="宋体" w:cs="宋体"/>
                <w:color w:val="auto"/>
                <w:highlight w:val="none"/>
              </w:rPr>
            </w:pPr>
            <w:r>
              <w:rPr>
                <w:rFonts w:hint="eastAsia" w:ascii="宋体" w:hAnsi="宋体" w:cs="宋体"/>
                <w:color w:val="auto"/>
                <w:highlight w:val="none"/>
              </w:rPr>
              <w:t>邮政编码：530021</w:t>
            </w:r>
          </w:p>
        </w:tc>
        <w:tc>
          <w:tcPr>
            <w:tcW w:w="4233" w:type="dxa"/>
            <w:tcBorders>
              <w:top w:val="single" w:color="auto" w:sz="4" w:space="0"/>
              <w:left w:val="single" w:color="auto" w:sz="4" w:space="0"/>
              <w:bottom w:val="single" w:color="auto" w:sz="4" w:space="0"/>
              <w:right w:val="single" w:color="auto" w:sz="4" w:space="0"/>
            </w:tcBorders>
            <w:noWrap w:val="0"/>
            <w:vAlign w:val="center"/>
          </w:tcPr>
          <w:p w14:paraId="33DC9F67">
            <w:pPr>
              <w:snapToGrid w:val="0"/>
              <w:spacing w:line="400" w:lineRule="exact"/>
              <w:rPr>
                <w:rFonts w:ascii="宋体" w:hAnsi="宋体" w:cs="宋体"/>
                <w:color w:val="auto"/>
                <w:highlight w:val="none"/>
              </w:rPr>
            </w:pPr>
            <w:r>
              <w:rPr>
                <w:rFonts w:hint="eastAsia" w:ascii="宋体" w:hAnsi="宋体" w:cs="宋体"/>
                <w:color w:val="auto"/>
                <w:highlight w:val="none"/>
              </w:rPr>
              <w:t>邮政编码：</w:t>
            </w:r>
          </w:p>
        </w:tc>
      </w:tr>
      <w:tr w14:paraId="592B3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8823" w:type="dxa"/>
            <w:gridSpan w:val="2"/>
            <w:tcBorders>
              <w:top w:val="single" w:color="auto" w:sz="4" w:space="0"/>
              <w:left w:val="single" w:color="auto" w:sz="4" w:space="0"/>
              <w:bottom w:val="single" w:color="auto" w:sz="4" w:space="0"/>
              <w:right w:val="single" w:color="auto" w:sz="4" w:space="0"/>
            </w:tcBorders>
            <w:noWrap w:val="0"/>
            <w:vAlign w:val="top"/>
          </w:tcPr>
          <w:p w14:paraId="37EC5095">
            <w:pPr>
              <w:snapToGrid w:val="0"/>
              <w:spacing w:line="408" w:lineRule="auto"/>
              <w:rPr>
                <w:rFonts w:ascii="宋体" w:hAnsi="宋体"/>
                <w:color w:val="auto"/>
                <w:highlight w:val="none"/>
              </w:rPr>
            </w:pPr>
            <w:r>
              <w:rPr>
                <w:rFonts w:hint="eastAsia" w:ascii="宋体" w:hAnsi="宋体"/>
                <w:color w:val="auto"/>
                <w:highlight w:val="none"/>
              </w:rPr>
              <w:t>经办人：</w:t>
            </w:r>
          </w:p>
          <w:p w14:paraId="24B359AC">
            <w:pPr>
              <w:snapToGrid w:val="0"/>
              <w:spacing w:line="408" w:lineRule="auto"/>
              <w:ind w:firstLine="630" w:firstLineChars="300"/>
              <w:jc w:val="right"/>
              <w:rPr>
                <w:rFonts w:ascii="宋体" w:hAnsi="宋体" w:cs="宋体"/>
                <w:color w:val="auto"/>
                <w:highlight w:val="none"/>
              </w:rPr>
            </w:pPr>
            <w:r>
              <w:rPr>
                <w:rFonts w:hint="eastAsia" w:ascii="宋体" w:hAnsi="宋体"/>
                <w:color w:val="auto"/>
                <w:highlight w:val="none"/>
              </w:rPr>
              <w:t>年    月    日</w:t>
            </w:r>
          </w:p>
        </w:tc>
      </w:tr>
    </w:tbl>
    <w:p w14:paraId="14AAD50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highlight w:val="none"/>
        </w:rPr>
      </w:pPr>
    </w:p>
    <w:p w14:paraId="315BE8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highlight w:val="none"/>
        </w:rPr>
      </w:pPr>
    </w:p>
    <w:p w14:paraId="2116B24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highlight w:val="none"/>
        </w:rPr>
      </w:pPr>
    </w:p>
    <w:p w14:paraId="70CB2DD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highlight w:val="none"/>
        </w:rPr>
      </w:pPr>
    </w:p>
    <w:p w14:paraId="64FFDC3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highlight w:val="none"/>
        </w:rPr>
      </w:pPr>
    </w:p>
    <w:p w14:paraId="25B2C7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highlight w:val="none"/>
        </w:rPr>
      </w:pPr>
    </w:p>
    <w:p w14:paraId="0B67C56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highlight w:val="none"/>
        </w:rPr>
      </w:pPr>
    </w:p>
    <w:p w14:paraId="06F9A6A0">
      <w:pPr>
        <w:snapToGrid w:val="0"/>
        <w:rPr>
          <w:rFonts w:hint="eastAsia" w:ascii="宋体" w:hAnsi="宋体" w:eastAsia="宋体" w:cs="宋体"/>
          <w:b/>
          <w:color w:val="auto"/>
          <w:sz w:val="44"/>
          <w:szCs w:val="44"/>
          <w:highlight w:val="none"/>
        </w:rPr>
      </w:pPr>
    </w:p>
    <w:p w14:paraId="2E298168">
      <w:pPr>
        <w:tabs>
          <w:tab w:val="left" w:pos="3261"/>
        </w:tabs>
        <w:spacing w:line="360" w:lineRule="auto"/>
        <w:contextualSpacing/>
        <w:jc w:val="center"/>
        <w:rPr>
          <w:rFonts w:hint="eastAsia" w:ascii="宋体" w:hAnsi="宋体" w:eastAsia="宋体" w:cs="宋体"/>
          <w:b/>
          <w:color w:val="auto"/>
          <w:sz w:val="44"/>
          <w:szCs w:val="44"/>
          <w:highlight w:val="none"/>
        </w:rPr>
      </w:pPr>
    </w:p>
    <w:p w14:paraId="2B06F488">
      <w:pPr>
        <w:tabs>
          <w:tab w:val="left" w:pos="3261"/>
        </w:tabs>
        <w:spacing w:line="360" w:lineRule="auto"/>
        <w:contextualSpacing/>
        <w:jc w:val="center"/>
        <w:rPr>
          <w:rFonts w:hint="eastAsia" w:ascii="宋体" w:hAnsi="宋体" w:eastAsia="宋体" w:cs="宋体"/>
          <w:b/>
          <w:color w:val="auto"/>
          <w:sz w:val="44"/>
          <w:szCs w:val="44"/>
          <w:highlight w:val="none"/>
        </w:rPr>
      </w:pPr>
    </w:p>
    <w:p w14:paraId="376769E6">
      <w:pPr>
        <w:tabs>
          <w:tab w:val="left" w:pos="3261"/>
        </w:tabs>
        <w:spacing w:line="360" w:lineRule="auto"/>
        <w:contextualSpacing/>
        <w:jc w:val="center"/>
        <w:rPr>
          <w:rFonts w:hint="eastAsia" w:ascii="宋体" w:hAnsi="宋体" w:eastAsia="宋体" w:cs="宋体"/>
          <w:b/>
          <w:color w:val="auto"/>
          <w:sz w:val="44"/>
          <w:szCs w:val="44"/>
          <w:highlight w:val="none"/>
        </w:rPr>
      </w:pPr>
    </w:p>
    <w:p w14:paraId="03465344">
      <w:pPr>
        <w:pStyle w:val="2"/>
        <w:jc w:val="center"/>
        <w:rPr>
          <w:rFonts w:hint="eastAsia" w:ascii="宋体" w:hAnsi="宋体" w:eastAsia="宋体" w:cs="宋体"/>
          <w:color w:val="auto"/>
          <w:highlight w:val="none"/>
        </w:rPr>
        <w:sectPr>
          <w:pgSz w:w="11911" w:h="16838"/>
          <w:pgMar w:top="1134" w:right="1134" w:bottom="1134" w:left="1134" w:header="720" w:footer="720" w:gutter="0"/>
          <w:pgNumType w:fmt="decimal"/>
          <w:cols w:space="720" w:num="1"/>
        </w:sectPr>
      </w:pPr>
      <w:bookmarkStart w:id="146" w:name="_Toc28283"/>
      <w:bookmarkStart w:id="147" w:name="_Toc8963"/>
      <w:bookmarkStart w:id="148" w:name="_Toc80886951"/>
      <w:bookmarkStart w:id="149" w:name="_Toc13011"/>
      <w:bookmarkStart w:id="150" w:name="_Toc20915"/>
      <w:bookmarkStart w:id="151" w:name="_Toc29624"/>
      <w:bookmarkStart w:id="152" w:name="_Toc178"/>
      <w:bookmarkStart w:id="153" w:name="_Toc610"/>
      <w:r>
        <w:rPr>
          <w:rFonts w:hint="eastAsia" w:ascii="宋体" w:hAnsi="宋体" w:eastAsia="宋体" w:cs="宋体"/>
          <w:b w:val="0"/>
          <w:color w:val="auto"/>
          <w:highlight w:val="none"/>
        </w:rPr>
        <w:t>第七章 质疑、投诉材料格式</w:t>
      </w:r>
      <w:bookmarkEnd w:id="146"/>
      <w:bookmarkEnd w:id="147"/>
      <w:bookmarkEnd w:id="148"/>
      <w:bookmarkEnd w:id="149"/>
      <w:bookmarkEnd w:id="150"/>
      <w:bookmarkEnd w:id="151"/>
      <w:bookmarkEnd w:id="152"/>
      <w:bookmarkEnd w:id="153"/>
    </w:p>
    <w:p w14:paraId="7DA592D4">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27616B10">
      <w:pPr>
        <w:spacing w:line="360" w:lineRule="auto"/>
        <w:ind w:firstLine="482" w:firstLineChars="200"/>
        <w:contextualSpacing/>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一、质疑供应商基本信息：</w:t>
      </w:r>
    </w:p>
    <w:p w14:paraId="6D4E9BFB">
      <w:pPr>
        <w:spacing w:line="360" w:lineRule="auto"/>
        <w:ind w:firstLine="480" w:firstLineChars="200"/>
        <w:contextualSpacing/>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质疑供应商：</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 xml:space="preserve">                 </w:t>
      </w:r>
    </w:p>
    <w:p w14:paraId="3044F064">
      <w:pPr>
        <w:spacing w:line="360" w:lineRule="auto"/>
        <w:ind w:firstLine="480" w:firstLineChars="200"/>
        <w:contextualSpacing/>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地址：</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邮编：</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 xml:space="preserve">                 </w:t>
      </w:r>
    </w:p>
    <w:p w14:paraId="61429AE4">
      <w:pPr>
        <w:spacing w:line="360" w:lineRule="auto"/>
        <w:ind w:firstLine="480" w:firstLineChars="200"/>
        <w:contextualSpacing/>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联系人：</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联系电话：</w:t>
      </w:r>
      <w:r>
        <w:rPr>
          <w:rFonts w:hint="eastAsia" w:ascii="宋体" w:hAnsi="宋体" w:eastAsia="宋体" w:cs="宋体"/>
          <w:bCs/>
          <w:color w:val="auto"/>
          <w:kern w:val="0"/>
          <w:sz w:val="24"/>
          <w:highlight w:val="none"/>
          <w:u w:val="single"/>
        </w:rPr>
        <w:t xml:space="preserve">                 </w:t>
      </w:r>
    </w:p>
    <w:p w14:paraId="5E6C3359">
      <w:pPr>
        <w:spacing w:line="360" w:lineRule="auto"/>
        <w:ind w:firstLine="480" w:firstLineChars="200"/>
        <w:contextualSpacing/>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授权代表：</w:t>
      </w:r>
      <w:r>
        <w:rPr>
          <w:rFonts w:hint="eastAsia" w:ascii="宋体" w:hAnsi="宋体" w:eastAsia="宋体" w:cs="宋体"/>
          <w:bCs/>
          <w:color w:val="auto"/>
          <w:kern w:val="0"/>
          <w:sz w:val="24"/>
          <w:highlight w:val="none"/>
          <w:u w:val="single"/>
        </w:rPr>
        <w:t xml:space="preserve">                      </w:t>
      </w:r>
    </w:p>
    <w:p w14:paraId="15B41E7F">
      <w:pPr>
        <w:spacing w:line="360" w:lineRule="auto"/>
        <w:ind w:firstLine="480" w:firstLineChars="200"/>
        <w:contextualSpacing/>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联系电话：</w:t>
      </w:r>
      <w:r>
        <w:rPr>
          <w:rFonts w:hint="eastAsia" w:ascii="宋体" w:hAnsi="宋体" w:eastAsia="宋体" w:cs="宋体"/>
          <w:bCs/>
          <w:color w:val="auto"/>
          <w:kern w:val="0"/>
          <w:sz w:val="24"/>
          <w:highlight w:val="none"/>
          <w:u w:val="single"/>
        </w:rPr>
        <w:t xml:space="preserve">                      </w:t>
      </w:r>
    </w:p>
    <w:p w14:paraId="2973C234">
      <w:pPr>
        <w:spacing w:line="360" w:lineRule="auto"/>
        <w:ind w:firstLine="480" w:firstLineChars="200"/>
        <w:contextualSpacing/>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地址：</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邮编：</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 xml:space="preserve">     </w:t>
      </w:r>
    </w:p>
    <w:p w14:paraId="059B0709">
      <w:pPr>
        <w:spacing w:line="360" w:lineRule="auto"/>
        <w:ind w:firstLine="482" w:firstLineChars="200"/>
        <w:contextualSpacing/>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二、质疑项目基本情况：</w:t>
      </w:r>
    </w:p>
    <w:p w14:paraId="5D56698B">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质疑</w:t>
      </w:r>
      <w:r>
        <w:rPr>
          <w:rFonts w:hint="eastAsia" w:ascii="宋体" w:hAnsi="宋体" w:eastAsia="宋体" w:cs="宋体"/>
          <w:color w:val="auto"/>
          <w:kern w:val="0"/>
          <w:sz w:val="24"/>
          <w:highlight w:val="none"/>
        </w:rPr>
        <w:t>项目的名称：</w:t>
      </w:r>
      <w:r>
        <w:rPr>
          <w:rFonts w:hint="eastAsia" w:ascii="宋体" w:hAnsi="宋体" w:eastAsia="宋体" w:cs="宋体"/>
          <w:bCs/>
          <w:color w:val="auto"/>
          <w:kern w:val="0"/>
          <w:sz w:val="24"/>
          <w:highlight w:val="none"/>
          <w:u w:val="single"/>
        </w:rPr>
        <w:t xml:space="preserve">                                     </w:t>
      </w:r>
    </w:p>
    <w:p w14:paraId="6241C76A">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质疑</w:t>
      </w:r>
      <w:r>
        <w:rPr>
          <w:rFonts w:hint="eastAsia" w:ascii="宋体" w:hAnsi="宋体" w:eastAsia="宋体" w:cs="宋体"/>
          <w:color w:val="auto"/>
          <w:kern w:val="0"/>
          <w:sz w:val="24"/>
          <w:highlight w:val="none"/>
        </w:rPr>
        <w:t>项目的编号：</w:t>
      </w:r>
      <w:r>
        <w:rPr>
          <w:rFonts w:hint="eastAsia" w:ascii="宋体" w:hAnsi="宋体" w:eastAsia="宋体" w:cs="宋体"/>
          <w:bCs/>
          <w:color w:val="auto"/>
          <w:kern w:val="0"/>
          <w:sz w:val="24"/>
          <w:highlight w:val="none"/>
          <w:u w:val="single"/>
        </w:rPr>
        <w:t xml:space="preserve">                                     </w:t>
      </w:r>
    </w:p>
    <w:p w14:paraId="297A4230">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采购人名称：</w:t>
      </w:r>
      <w:r>
        <w:rPr>
          <w:rFonts w:hint="eastAsia" w:ascii="宋体" w:hAnsi="宋体" w:eastAsia="宋体" w:cs="宋体"/>
          <w:bCs/>
          <w:color w:val="auto"/>
          <w:kern w:val="0"/>
          <w:sz w:val="24"/>
          <w:highlight w:val="none"/>
          <w:u w:val="single"/>
        </w:rPr>
        <w:t xml:space="preserve">                                         </w:t>
      </w:r>
    </w:p>
    <w:p w14:paraId="0A23859B">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质疑事项：</w:t>
      </w:r>
    </w:p>
    <w:p w14:paraId="44368596">
      <w:pPr>
        <w:spacing w:line="360" w:lineRule="auto"/>
        <w:ind w:left="25" w:leftChars="12" w:firstLine="352" w:firstLineChars="14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□采购文件   采购文件获取日期：</w:t>
      </w:r>
      <w:r>
        <w:rPr>
          <w:rFonts w:hint="eastAsia" w:ascii="宋体" w:hAnsi="宋体" w:eastAsia="宋体" w:cs="宋体"/>
          <w:bCs/>
          <w:color w:val="auto"/>
          <w:kern w:val="0"/>
          <w:sz w:val="24"/>
          <w:highlight w:val="none"/>
          <w:u w:val="single"/>
        </w:rPr>
        <w:t xml:space="preserve">                                   </w:t>
      </w:r>
    </w:p>
    <w:p w14:paraId="641453E5">
      <w:pPr>
        <w:spacing w:line="360" w:lineRule="auto"/>
        <w:ind w:left="25" w:leftChars="12" w:firstLine="352" w:firstLineChars="14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□采购过程   </w:t>
      </w:r>
    </w:p>
    <w:p w14:paraId="164969BD">
      <w:pPr>
        <w:spacing w:line="360" w:lineRule="auto"/>
        <w:ind w:left="25" w:leftChars="12" w:firstLine="352" w:firstLineChars="147"/>
        <w:contextualSpacing/>
        <w:rPr>
          <w:rFonts w:hint="eastAsia" w:ascii="宋体" w:hAnsi="宋体" w:eastAsia="宋体" w:cs="宋体"/>
          <w:bCs/>
          <w:color w:val="auto"/>
          <w:kern w:val="0"/>
          <w:sz w:val="24"/>
          <w:highlight w:val="none"/>
          <w:u w:val="single"/>
        </w:rPr>
      </w:pPr>
      <w:r>
        <w:rPr>
          <w:rFonts w:hint="eastAsia" w:ascii="宋体" w:hAnsi="宋体" w:eastAsia="宋体" w:cs="宋体"/>
          <w:color w:val="auto"/>
          <w:kern w:val="0"/>
          <w:sz w:val="24"/>
          <w:highlight w:val="none"/>
        </w:rPr>
        <w:t xml:space="preserve">□成交结果   </w:t>
      </w:r>
    </w:p>
    <w:p w14:paraId="1072C015">
      <w:pPr>
        <w:spacing w:line="360" w:lineRule="auto"/>
        <w:ind w:left="25" w:leftChars="12" w:firstLine="472" w:firstLineChars="196"/>
        <w:contextualSpacing/>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三、质疑事项具体内容</w:t>
      </w:r>
    </w:p>
    <w:p w14:paraId="759DA414">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质疑事项1：</w:t>
      </w:r>
      <w:r>
        <w:rPr>
          <w:rFonts w:hint="eastAsia" w:ascii="宋体" w:hAnsi="宋体" w:eastAsia="宋体" w:cs="宋体"/>
          <w:bCs/>
          <w:color w:val="auto"/>
          <w:kern w:val="0"/>
          <w:sz w:val="24"/>
          <w:highlight w:val="none"/>
          <w:u w:val="single"/>
        </w:rPr>
        <w:t xml:space="preserve">                                                                    </w:t>
      </w:r>
    </w:p>
    <w:p w14:paraId="77110FF4">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事实依据：</w:t>
      </w:r>
      <w:r>
        <w:rPr>
          <w:rFonts w:hint="eastAsia" w:ascii="宋体" w:hAnsi="宋体" w:eastAsia="宋体" w:cs="宋体"/>
          <w:bCs/>
          <w:color w:val="auto"/>
          <w:kern w:val="0"/>
          <w:sz w:val="24"/>
          <w:highlight w:val="none"/>
          <w:u w:val="single"/>
        </w:rPr>
        <w:t xml:space="preserve">                                                                      </w:t>
      </w:r>
    </w:p>
    <w:p w14:paraId="633272C4">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法律依据：</w:t>
      </w:r>
      <w:r>
        <w:rPr>
          <w:rFonts w:hint="eastAsia" w:ascii="宋体" w:hAnsi="宋体" w:eastAsia="宋体" w:cs="宋体"/>
          <w:color w:val="auto"/>
          <w:kern w:val="0"/>
          <w:sz w:val="24"/>
          <w:highlight w:val="none"/>
          <w:u w:val="single"/>
        </w:rPr>
        <w:t xml:space="preserve">                                                        </w:t>
      </w:r>
      <w:r>
        <w:rPr>
          <w:rFonts w:hint="eastAsia" w:ascii="宋体" w:hAnsi="宋体" w:eastAsia="宋体" w:cs="宋体"/>
          <w:bCs/>
          <w:color w:val="auto"/>
          <w:kern w:val="0"/>
          <w:sz w:val="24"/>
          <w:highlight w:val="none"/>
          <w:u w:val="single"/>
        </w:rPr>
        <w:t xml:space="preserve">               </w:t>
      </w:r>
    </w:p>
    <w:p w14:paraId="1374A568">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质疑事项2</w:t>
      </w:r>
    </w:p>
    <w:p w14:paraId="4B2ACF77">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p w14:paraId="42CE5287">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四、与质疑事项相关的质疑请求：</w:t>
      </w:r>
    </w:p>
    <w:p w14:paraId="3AC2CE08">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请求：</w:t>
      </w:r>
      <w:r>
        <w:rPr>
          <w:rFonts w:hint="eastAsia" w:ascii="宋体" w:hAnsi="宋体" w:eastAsia="宋体" w:cs="宋体"/>
          <w:bCs/>
          <w:color w:val="auto"/>
          <w:kern w:val="0"/>
          <w:sz w:val="24"/>
          <w:highlight w:val="none"/>
          <w:u w:val="single"/>
        </w:rPr>
        <w:t xml:space="preserve">                                                                </w:t>
      </w:r>
    </w:p>
    <w:p w14:paraId="72221305">
      <w:pPr>
        <w:spacing w:line="360" w:lineRule="auto"/>
        <w:ind w:left="25" w:leftChars="12" w:firstLine="352" w:firstLineChars="147"/>
        <w:contextualSpacing/>
        <w:rPr>
          <w:rFonts w:hint="eastAsia" w:ascii="宋体" w:hAnsi="宋体" w:eastAsia="宋体" w:cs="宋体"/>
          <w:color w:val="auto"/>
          <w:kern w:val="0"/>
          <w:sz w:val="24"/>
          <w:highlight w:val="none"/>
        </w:rPr>
      </w:pPr>
    </w:p>
    <w:p w14:paraId="2CE4CCC1">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签字（签章）：                                       公章：</w:t>
      </w:r>
    </w:p>
    <w:p w14:paraId="02A82762">
      <w:pPr>
        <w:spacing w:line="360" w:lineRule="auto"/>
        <w:ind w:left="25" w:leftChars="12" w:firstLine="352" w:firstLineChars="147"/>
        <w:contextualSpacing/>
        <w:rPr>
          <w:rFonts w:hint="eastAsia" w:ascii="宋体" w:hAnsi="宋体" w:eastAsia="宋体" w:cs="宋体"/>
          <w:color w:val="auto"/>
          <w:kern w:val="0"/>
          <w:sz w:val="24"/>
          <w:highlight w:val="none"/>
        </w:rPr>
      </w:pPr>
    </w:p>
    <w:p w14:paraId="7DCA6629">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日期：</w:t>
      </w:r>
    </w:p>
    <w:p w14:paraId="4FFE670C">
      <w:pPr>
        <w:spacing w:line="360" w:lineRule="auto"/>
        <w:contextualSpacing/>
        <w:rPr>
          <w:rFonts w:hint="eastAsia" w:ascii="宋体" w:hAnsi="宋体" w:eastAsia="宋体" w:cs="宋体"/>
          <w:b/>
          <w:color w:val="auto"/>
          <w:kern w:val="0"/>
          <w:sz w:val="24"/>
          <w:highlight w:val="none"/>
        </w:rPr>
      </w:pPr>
    </w:p>
    <w:p w14:paraId="0389D592">
      <w:pPr>
        <w:spacing w:line="360" w:lineRule="auto"/>
        <w:contextualSpacing/>
        <w:rPr>
          <w:rFonts w:hint="eastAsia" w:ascii="宋体" w:hAnsi="宋体" w:eastAsia="宋体" w:cs="宋体"/>
          <w:b/>
          <w:color w:val="auto"/>
          <w:kern w:val="0"/>
          <w:sz w:val="24"/>
          <w:highlight w:val="none"/>
        </w:rPr>
      </w:pPr>
    </w:p>
    <w:p w14:paraId="54C85435">
      <w:pPr>
        <w:spacing w:line="360" w:lineRule="auto"/>
        <w:contextualSpacing/>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说明：</w:t>
      </w:r>
    </w:p>
    <w:p w14:paraId="741602EA">
      <w:pPr>
        <w:spacing w:line="360" w:lineRule="auto"/>
        <w:ind w:left="25" w:leftChars="12" w:firstLine="354" w:firstLineChars="147"/>
        <w:contextualSpacing/>
        <w:rPr>
          <w:rFonts w:hint="eastAsia" w:ascii="宋体" w:hAnsi="宋体" w:eastAsia="宋体" w:cs="宋体"/>
          <w:b/>
          <w:bCs/>
          <w:color w:val="auto"/>
          <w:kern w:val="0"/>
          <w:sz w:val="24"/>
          <w:highlight w:val="none"/>
        </w:rPr>
      </w:pPr>
      <w:r>
        <w:rPr>
          <w:rFonts w:hint="eastAsia" w:ascii="宋体" w:hAnsi="宋体" w:eastAsia="宋体" w:cs="宋体"/>
          <w:b/>
          <w:color w:val="auto"/>
          <w:kern w:val="0"/>
          <w:sz w:val="24"/>
          <w:highlight w:val="none"/>
        </w:rPr>
        <w:t>1.供应商提出质疑时，应提交质疑函和必要的证明材料</w:t>
      </w:r>
      <w:r>
        <w:rPr>
          <w:rFonts w:hint="eastAsia" w:ascii="宋体" w:hAnsi="宋体" w:eastAsia="宋体" w:cs="宋体"/>
          <w:b/>
          <w:bCs/>
          <w:color w:val="auto"/>
          <w:kern w:val="0"/>
          <w:sz w:val="24"/>
          <w:highlight w:val="none"/>
        </w:rPr>
        <w:t>。</w:t>
      </w:r>
    </w:p>
    <w:p w14:paraId="5B6230D3">
      <w:pPr>
        <w:spacing w:line="360" w:lineRule="auto"/>
        <w:ind w:left="25" w:leftChars="12" w:firstLine="354" w:firstLineChars="147"/>
        <w:contextualSpacing/>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CF282CA">
      <w:pPr>
        <w:spacing w:line="360" w:lineRule="auto"/>
        <w:ind w:left="25" w:leftChars="12" w:firstLine="354" w:firstLineChars="147"/>
        <w:contextualSpacing/>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3.质疑函的质疑事项应具体、明确，并有必要的事实依据和法律依据。</w:t>
      </w:r>
    </w:p>
    <w:p w14:paraId="0B2A4CE5">
      <w:pPr>
        <w:spacing w:line="360" w:lineRule="auto"/>
        <w:ind w:left="25" w:leftChars="12" w:firstLine="354" w:firstLineChars="147"/>
        <w:contextualSpacing/>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4.质疑函的质疑请求应与质疑事项相关。</w:t>
      </w:r>
    </w:p>
    <w:p w14:paraId="6BD20C42">
      <w:pPr>
        <w:spacing w:line="360" w:lineRule="auto"/>
        <w:ind w:left="25" w:leftChars="12" w:firstLine="354" w:firstLineChars="147"/>
        <w:contextualSpacing/>
        <w:rPr>
          <w:rFonts w:hint="eastAsia" w:ascii="宋体" w:hAnsi="宋体" w:eastAsia="宋体" w:cs="宋体"/>
          <w:b/>
          <w:color w:val="auto"/>
          <w:kern w:val="0"/>
          <w:sz w:val="20"/>
          <w:szCs w:val="21"/>
          <w:highlight w:val="none"/>
        </w:rPr>
      </w:pPr>
      <w:r>
        <w:rPr>
          <w:rFonts w:hint="eastAsia" w:ascii="宋体" w:hAnsi="宋体" w:eastAsia="宋体" w:cs="宋体"/>
          <w:b/>
          <w:color w:val="auto"/>
          <w:kern w:val="0"/>
          <w:sz w:val="24"/>
          <w:highlight w:val="none"/>
        </w:rPr>
        <w:t>5.质疑供应商为法人或者其他组织的，质疑函应由法定代表人、主要负责人，或者其授权代表签字或者盖章，并加盖公章。</w:t>
      </w:r>
    </w:p>
    <w:p w14:paraId="0742DAE3">
      <w:pPr>
        <w:snapToGrid w:val="0"/>
        <w:rPr>
          <w:rFonts w:hint="eastAsia" w:ascii="宋体" w:hAnsi="宋体" w:eastAsia="宋体" w:cs="宋体"/>
          <w:b/>
          <w:color w:val="auto"/>
          <w:kern w:val="0"/>
          <w:sz w:val="24"/>
          <w:highlight w:val="none"/>
        </w:rPr>
      </w:pPr>
    </w:p>
    <w:p w14:paraId="196B73C5">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56218220">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73E04B5B">
      <w:pPr>
        <w:snapToGrid w:val="0"/>
        <w:spacing w:line="360" w:lineRule="auto"/>
        <w:ind w:firstLine="482"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一、投诉相关主体基本情况：</w:t>
      </w:r>
    </w:p>
    <w:p w14:paraId="5AF02DC9">
      <w:pPr>
        <w:snapToGrid w:val="0"/>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供应商：</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 xml:space="preserve">                 </w:t>
      </w:r>
    </w:p>
    <w:p w14:paraId="6BE655CB">
      <w:pPr>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地址：</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邮编：</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 xml:space="preserve">                 </w:t>
      </w:r>
    </w:p>
    <w:p w14:paraId="17215911">
      <w:pPr>
        <w:snapToGrid w:val="0"/>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法定代表人/主要负责人：</w:t>
      </w:r>
      <w:r>
        <w:rPr>
          <w:rFonts w:hint="eastAsia" w:ascii="宋体" w:hAnsi="宋体" w:eastAsia="宋体" w:cs="宋体"/>
          <w:bCs/>
          <w:color w:val="auto"/>
          <w:kern w:val="0"/>
          <w:sz w:val="24"/>
          <w:highlight w:val="none"/>
          <w:u w:val="single"/>
        </w:rPr>
        <w:t xml:space="preserve">                                                         </w:t>
      </w:r>
    </w:p>
    <w:p w14:paraId="0587754A">
      <w:pPr>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联系电话：</w:t>
      </w:r>
      <w:r>
        <w:rPr>
          <w:rFonts w:hint="eastAsia" w:ascii="宋体" w:hAnsi="宋体" w:eastAsia="宋体" w:cs="宋体"/>
          <w:bCs/>
          <w:color w:val="auto"/>
          <w:kern w:val="0"/>
          <w:sz w:val="24"/>
          <w:highlight w:val="none"/>
          <w:u w:val="single"/>
        </w:rPr>
        <w:t xml:space="preserve">                                         </w:t>
      </w:r>
    </w:p>
    <w:p w14:paraId="57F8939F">
      <w:pPr>
        <w:snapToGrid w:val="0"/>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授权代表：</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联系电话：</w:t>
      </w:r>
      <w:r>
        <w:rPr>
          <w:rFonts w:hint="eastAsia" w:ascii="宋体" w:hAnsi="宋体" w:eastAsia="宋体" w:cs="宋体"/>
          <w:bCs/>
          <w:color w:val="auto"/>
          <w:kern w:val="0"/>
          <w:sz w:val="24"/>
          <w:highlight w:val="none"/>
          <w:u w:val="single"/>
        </w:rPr>
        <w:t xml:space="preserve">                   </w:t>
      </w:r>
    </w:p>
    <w:p w14:paraId="64E0F960">
      <w:pPr>
        <w:snapToGrid w:val="0"/>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地址：</w:t>
      </w:r>
      <w:r>
        <w:rPr>
          <w:rFonts w:hint="eastAsia" w:ascii="宋体" w:hAnsi="宋体" w:eastAsia="宋体" w:cs="宋体"/>
          <w:bCs/>
          <w:color w:val="auto"/>
          <w:kern w:val="0"/>
          <w:sz w:val="24"/>
          <w:highlight w:val="none"/>
          <w:u w:val="single"/>
        </w:rPr>
        <w:t xml:space="preserve">                                                            </w:t>
      </w:r>
    </w:p>
    <w:p w14:paraId="5B1C5845">
      <w:pPr>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邮编：</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 xml:space="preserve">   </w:t>
      </w:r>
    </w:p>
    <w:p w14:paraId="3228E338">
      <w:pPr>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被投诉人1：</w:t>
      </w:r>
    </w:p>
    <w:p w14:paraId="7CE8DDB6">
      <w:pPr>
        <w:snapToGrid w:val="0"/>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地址：</w:t>
      </w:r>
      <w:r>
        <w:rPr>
          <w:rFonts w:hint="eastAsia" w:ascii="宋体" w:hAnsi="宋体" w:eastAsia="宋体" w:cs="宋体"/>
          <w:bCs/>
          <w:color w:val="auto"/>
          <w:kern w:val="0"/>
          <w:sz w:val="24"/>
          <w:highlight w:val="none"/>
          <w:u w:val="single"/>
        </w:rPr>
        <w:t xml:space="preserve">                                                            </w:t>
      </w:r>
    </w:p>
    <w:p w14:paraId="182ED6BF">
      <w:pPr>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邮编：</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 xml:space="preserve">  </w:t>
      </w:r>
    </w:p>
    <w:p w14:paraId="04E2DA50">
      <w:pPr>
        <w:snapToGrid w:val="0"/>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联系人：</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联系电话：</w:t>
      </w:r>
      <w:r>
        <w:rPr>
          <w:rFonts w:hint="eastAsia" w:ascii="宋体" w:hAnsi="宋体" w:eastAsia="宋体" w:cs="宋体"/>
          <w:bCs/>
          <w:color w:val="auto"/>
          <w:kern w:val="0"/>
          <w:sz w:val="24"/>
          <w:highlight w:val="none"/>
          <w:u w:val="single"/>
        </w:rPr>
        <w:t xml:space="preserve">                </w:t>
      </w:r>
    </w:p>
    <w:p w14:paraId="3E095C01">
      <w:pPr>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被投诉人2：</w:t>
      </w:r>
    </w:p>
    <w:p w14:paraId="19681C0C">
      <w:pPr>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w:t>
      </w:r>
    </w:p>
    <w:p w14:paraId="38E5B0DB">
      <w:pPr>
        <w:snapToGrid w:val="0"/>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相关供应商：</w:t>
      </w:r>
      <w:r>
        <w:rPr>
          <w:rFonts w:hint="eastAsia" w:ascii="宋体" w:hAnsi="宋体" w:eastAsia="宋体" w:cs="宋体"/>
          <w:bCs/>
          <w:color w:val="auto"/>
          <w:kern w:val="0"/>
          <w:sz w:val="24"/>
          <w:highlight w:val="none"/>
          <w:u w:val="single"/>
        </w:rPr>
        <w:t xml:space="preserve">                                                                       </w:t>
      </w:r>
    </w:p>
    <w:p w14:paraId="5A18C5E8">
      <w:pPr>
        <w:snapToGrid w:val="0"/>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地址：</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邮编：</w:t>
      </w:r>
      <w:r>
        <w:rPr>
          <w:rFonts w:hint="eastAsia" w:ascii="宋体" w:hAnsi="宋体" w:eastAsia="宋体" w:cs="宋体"/>
          <w:bCs/>
          <w:color w:val="auto"/>
          <w:kern w:val="0"/>
          <w:sz w:val="24"/>
          <w:highlight w:val="none"/>
          <w:u w:val="single"/>
        </w:rPr>
        <w:t xml:space="preserve">                         </w:t>
      </w:r>
    </w:p>
    <w:p w14:paraId="2AD5C0A8">
      <w:pPr>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联系人：</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联系电话：</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 xml:space="preserve">                </w:t>
      </w:r>
    </w:p>
    <w:p w14:paraId="3830164B">
      <w:pPr>
        <w:snapToGrid w:val="0"/>
        <w:spacing w:line="360" w:lineRule="auto"/>
        <w:ind w:firstLine="482"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二、投诉项目基本情况：</w:t>
      </w:r>
    </w:p>
    <w:p w14:paraId="2F71D465">
      <w:pPr>
        <w:spacing w:line="360" w:lineRule="auto"/>
        <w:ind w:left="25" w:leftChars="12" w:firstLine="472" w:firstLineChars="197"/>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采购</w:t>
      </w:r>
      <w:r>
        <w:rPr>
          <w:rFonts w:hint="eastAsia" w:ascii="宋体" w:hAnsi="宋体" w:eastAsia="宋体" w:cs="宋体"/>
          <w:color w:val="auto"/>
          <w:kern w:val="0"/>
          <w:sz w:val="24"/>
          <w:highlight w:val="none"/>
        </w:rPr>
        <w:t>项目的名称：</w:t>
      </w:r>
      <w:r>
        <w:rPr>
          <w:rFonts w:hint="eastAsia" w:ascii="宋体" w:hAnsi="宋体" w:eastAsia="宋体" w:cs="宋体"/>
          <w:bCs/>
          <w:color w:val="auto"/>
          <w:kern w:val="0"/>
          <w:sz w:val="24"/>
          <w:highlight w:val="none"/>
          <w:u w:val="single"/>
        </w:rPr>
        <w:t xml:space="preserve">                                                                   </w:t>
      </w:r>
    </w:p>
    <w:p w14:paraId="5E6B5E3A">
      <w:pPr>
        <w:spacing w:line="360" w:lineRule="auto"/>
        <w:ind w:left="25" w:leftChars="12" w:firstLine="472" w:firstLineChars="197"/>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采购</w:t>
      </w:r>
      <w:r>
        <w:rPr>
          <w:rFonts w:hint="eastAsia" w:ascii="宋体" w:hAnsi="宋体" w:eastAsia="宋体" w:cs="宋体"/>
          <w:color w:val="auto"/>
          <w:kern w:val="0"/>
          <w:sz w:val="24"/>
          <w:highlight w:val="none"/>
        </w:rPr>
        <w:t>项目的编号：</w:t>
      </w:r>
      <w:r>
        <w:rPr>
          <w:rFonts w:hint="eastAsia" w:ascii="宋体" w:hAnsi="宋体" w:eastAsia="宋体" w:cs="宋体"/>
          <w:bCs/>
          <w:color w:val="auto"/>
          <w:kern w:val="0"/>
          <w:sz w:val="24"/>
          <w:highlight w:val="none"/>
          <w:u w:val="single"/>
        </w:rPr>
        <w:t xml:space="preserve">                                          </w:t>
      </w:r>
    </w:p>
    <w:p w14:paraId="1D785996">
      <w:pPr>
        <w:spacing w:line="360" w:lineRule="auto"/>
        <w:ind w:left="25" w:leftChars="12" w:firstLine="472" w:firstLineChars="197"/>
        <w:rPr>
          <w:rFonts w:hint="eastAsia" w:ascii="宋体" w:hAnsi="宋体" w:eastAsia="宋体" w:cs="宋体"/>
          <w:bCs/>
          <w:color w:val="auto"/>
          <w:kern w:val="0"/>
          <w:sz w:val="24"/>
          <w:highlight w:val="none"/>
          <w:u w:val="single"/>
        </w:rPr>
      </w:pPr>
      <w:r>
        <w:rPr>
          <w:rFonts w:hint="eastAsia" w:ascii="宋体" w:hAnsi="宋体" w:eastAsia="宋体" w:cs="宋体"/>
          <w:color w:val="auto"/>
          <w:kern w:val="0"/>
          <w:sz w:val="24"/>
          <w:highlight w:val="none"/>
        </w:rPr>
        <w:t>采购人名称：</w:t>
      </w:r>
      <w:r>
        <w:rPr>
          <w:rFonts w:hint="eastAsia" w:ascii="宋体" w:hAnsi="宋体" w:eastAsia="宋体" w:cs="宋体"/>
          <w:bCs/>
          <w:color w:val="auto"/>
          <w:kern w:val="0"/>
          <w:sz w:val="24"/>
          <w:highlight w:val="none"/>
          <w:u w:val="single"/>
        </w:rPr>
        <w:t xml:space="preserve">                                                                        </w:t>
      </w:r>
    </w:p>
    <w:p w14:paraId="3FE7DEDB">
      <w:pPr>
        <w:spacing w:line="360" w:lineRule="auto"/>
        <w:ind w:left="25" w:leftChars="12" w:firstLine="472" w:firstLineChars="197"/>
        <w:rPr>
          <w:rFonts w:hint="eastAsia" w:ascii="宋体" w:hAnsi="宋体" w:eastAsia="宋体" w:cs="宋体"/>
          <w:bCs/>
          <w:color w:val="auto"/>
          <w:kern w:val="0"/>
          <w:sz w:val="24"/>
          <w:highlight w:val="none"/>
          <w:u w:val="single"/>
        </w:rPr>
      </w:pPr>
      <w:r>
        <w:rPr>
          <w:rFonts w:hint="eastAsia" w:ascii="宋体" w:hAnsi="宋体" w:eastAsia="宋体" w:cs="宋体"/>
          <w:color w:val="auto"/>
          <w:kern w:val="0"/>
          <w:sz w:val="24"/>
          <w:highlight w:val="none"/>
        </w:rPr>
        <w:t>代理机构名称：</w:t>
      </w:r>
      <w:r>
        <w:rPr>
          <w:rFonts w:hint="eastAsia" w:ascii="宋体" w:hAnsi="宋体" w:eastAsia="宋体" w:cs="宋体"/>
          <w:bCs/>
          <w:color w:val="auto"/>
          <w:kern w:val="0"/>
          <w:sz w:val="24"/>
          <w:highlight w:val="none"/>
          <w:u w:val="single"/>
        </w:rPr>
        <w:t xml:space="preserve">                                                                      </w:t>
      </w:r>
    </w:p>
    <w:p w14:paraId="51323768">
      <w:pPr>
        <w:spacing w:line="360" w:lineRule="auto"/>
        <w:ind w:left="25" w:leftChars="12" w:firstLine="472" w:firstLineChars="197"/>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lang w:eastAsia="zh-CN"/>
        </w:rPr>
        <w:t>采购</w:t>
      </w:r>
      <w:r>
        <w:rPr>
          <w:rFonts w:hint="eastAsia" w:ascii="宋体" w:hAnsi="宋体" w:eastAsia="宋体" w:cs="宋体"/>
          <w:bCs/>
          <w:color w:val="auto"/>
          <w:kern w:val="0"/>
          <w:sz w:val="24"/>
          <w:highlight w:val="none"/>
        </w:rPr>
        <w:t>文件公告：</w:t>
      </w:r>
      <w:r>
        <w:rPr>
          <w:rFonts w:hint="eastAsia" w:ascii="宋体" w:hAnsi="宋体" w:eastAsia="宋体" w:cs="宋体"/>
          <w:bCs/>
          <w:color w:val="auto"/>
          <w:kern w:val="0"/>
          <w:sz w:val="24"/>
          <w:highlight w:val="none"/>
          <w:u w:val="single"/>
        </w:rPr>
        <w:t>是/否</w:t>
      </w:r>
      <w:r>
        <w:rPr>
          <w:rFonts w:hint="eastAsia" w:ascii="宋体" w:hAnsi="宋体" w:eastAsia="宋体" w:cs="宋体"/>
          <w:bCs/>
          <w:color w:val="auto"/>
          <w:kern w:val="0"/>
          <w:sz w:val="24"/>
          <w:highlight w:val="none"/>
        </w:rPr>
        <w:t>公告期限：</w:t>
      </w:r>
      <w:r>
        <w:rPr>
          <w:rFonts w:hint="eastAsia" w:ascii="宋体" w:hAnsi="宋体" w:eastAsia="宋体" w:cs="宋体"/>
          <w:bCs/>
          <w:color w:val="auto"/>
          <w:kern w:val="0"/>
          <w:sz w:val="24"/>
          <w:highlight w:val="none"/>
          <w:u w:val="single"/>
        </w:rPr>
        <w:t xml:space="preserve">                                                       </w:t>
      </w:r>
    </w:p>
    <w:p w14:paraId="031020E0">
      <w:pPr>
        <w:spacing w:line="360" w:lineRule="auto"/>
        <w:ind w:left="25" w:leftChars="12" w:firstLine="472" w:firstLineChars="197"/>
        <w:rPr>
          <w:rFonts w:hint="eastAsia" w:ascii="宋体" w:hAnsi="宋体" w:eastAsia="宋体" w:cs="宋体"/>
          <w:b/>
          <w:color w:val="auto"/>
          <w:kern w:val="0"/>
          <w:sz w:val="24"/>
          <w:highlight w:val="none"/>
        </w:rPr>
      </w:pPr>
      <w:r>
        <w:rPr>
          <w:rFonts w:hint="eastAsia" w:ascii="宋体" w:hAnsi="宋体" w:eastAsia="宋体" w:cs="宋体"/>
          <w:bCs/>
          <w:color w:val="auto"/>
          <w:kern w:val="0"/>
          <w:sz w:val="24"/>
          <w:highlight w:val="none"/>
        </w:rPr>
        <w:t>采购结果公告：</w:t>
      </w:r>
      <w:r>
        <w:rPr>
          <w:rFonts w:hint="eastAsia" w:ascii="宋体" w:hAnsi="宋体" w:eastAsia="宋体" w:cs="宋体"/>
          <w:bCs/>
          <w:color w:val="auto"/>
          <w:kern w:val="0"/>
          <w:sz w:val="24"/>
          <w:highlight w:val="none"/>
          <w:u w:val="single"/>
        </w:rPr>
        <w:t>是/否</w:t>
      </w:r>
      <w:r>
        <w:rPr>
          <w:rFonts w:hint="eastAsia" w:ascii="宋体" w:hAnsi="宋体" w:eastAsia="宋体" w:cs="宋体"/>
          <w:bCs/>
          <w:color w:val="auto"/>
          <w:kern w:val="0"/>
          <w:sz w:val="24"/>
          <w:highlight w:val="none"/>
        </w:rPr>
        <w:t>公告期限：</w:t>
      </w:r>
      <w:r>
        <w:rPr>
          <w:rFonts w:hint="eastAsia" w:ascii="宋体" w:hAnsi="宋体" w:eastAsia="宋体" w:cs="宋体"/>
          <w:bCs/>
          <w:color w:val="auto"/>
          <w:kern w:val="0"/>
          <w:sz w:val="24"/>
          <w:highlight w:val="none"/>
          <w:u w:val="single"/>
        </w:rPr>
        <w:t xml:space="preserve">                                                       </w:t>
      </w:r>
    </w:p>
    <w:p w14:paraId="1E50F584">
      <w:pPr>
        <w:spacing w:line="360" w:lineRule="auto"/>
        <w:ind w:left="25" w:leftChars="12" w:firstLine="472" w:firstLineChars="196"/>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三、质疑基本情况</w:t>
      </w:r>
    </w:p>
    <w:p w14:paraId="533E8099">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投诉人于</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日，向</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提出质疑，质疑事项为：</w:t>
      </w:r>
    </w:p>
    <w:p w14:paraId="405D68A1">
      <w:pPr>
        <w:spacing w:line="360" w:lineRule="auto"/>
        <w:ind w:firstLine="241"/>
        <w:rPr>
          <w:rFonts w:hint="eastAsia" w:ascii="宋体" w:hAnsi="宋体" w:eastAsia="宋体" w:cs="宋体"/>
          <w:bCs/>
          <w:color w:val="auto"/>
          <w:kern w:val="0"/>
          <w:sz w:val="24"/>
          <w:highlight w:val="none"/>
          <w:u w:val="single"/>
        </w:rPr>
      </w:pP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u w:val="single"/>
        </w:rPr>
        <w:t xml:space="preserve">                                                                                      </w:t>
      </w:r>
    </w:p>
    <w:p w14:paraId="7E02750D">
      <w:pPr>
        <w:spacing w:line="360" w:lineRule="auto"/>
        <w:ind w:firstLine="241"/>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 xml:space="preserve">    </w:t>
      </w:r>
      <w:r>
        <w:rPr>
          <w:rFonts w:hint="eastAsia" w:ascii="宋体" w:hAnsi="宋体" w:eastAsia="宋体" w:cs="宋体"/>
          <w:bCs/>
          <w:color w:val="auto"/>
          <w:kern w:val="0"/>
          <w:sz w:val="24"/>
          <w:highlight w:val="none"/>
          <w:u w:val="single"/>
        </w:rPr>
        <w:t xml:space="preserve">                                                                                      </w:t>
      </w:r>
    </w:p>
    <w:p w14:paraId="74A02255">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u w:val="single"/>
        </w:rPr>
        <w:t>采购人/</w:t>
      </w:r>
      <w:r>
        <w:rPr>
          <w:rFonts w:hint="eastAsia" w:ascii="宋体" w:hAnsi="宋体" w:eastAsia="宋体" w:cs="宋体"/>
          <w:bCs/>
          <w:color w:val="auto"/>
          <w:kern w:val="0"/>
          <w:sz w:val="24"/>
          <w:highlight w:val="none"/>
          <w:u w:val="single"/>
          <w:lang w:eastAsia="zh-CN"/>
        </w:rPr>
        <w:t>采购</w:t>
      </w:r>
      <w:r>
        <w:rPr>
          <w:rFonts w:hint="eastAsia" w:ascii="宋体" w:hAnsi="宋体" w:eastAsia="宋体" w:cs="宋体"/>
          <w:bCs/>
          <w:color w:val="auto"/>
          <w:kern w:val="0"/>
          <w:sz w:val="24"/>
          <w:highlight w:val="none"/>
          <w:u w:val="single"/>
        </w:rPr>
        <w:t>代理机构</w:t>
      </w:r>
      <w:r>
        <w:rPr>
          <w:rFonts w:hint="eastAsia" w:ascii="宋体" w:hAnsi="宋体" w:eastAsia="宋体" w:cs="宋体"/>
          <w:bCs/>
          <w:color w:val="auto"/>
          <w:kern w:val="0"/>
          <w:sz w:val="24"/>
          <w:highlight w:val="none"/>
        </w:rPr>
        <w:t>于</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w:t>
      </w:r>
      <w:r>
        <w:rPr>
          <w:rFonts w:hint="eastAsia" w:ascii="宋体" w:hAnsi="宋体" w:eastAsia="宋体" w:cs="宋体"/>
          <w:bCs/>
          <w:color w:val="auto"/>
          <w:kern w:val="0"/>
          <w:sz w:val="24"/>
          <w:highlight w:val="none"/>
        </w:rPr>
        <w:t xml:space="preserve">就质疑事项作出了答复/没有在法定期限内作出答复。                                                                                             </w:t>
      </w:r>
    </w:p>
    <w:p w14:paraId="516871AD">
      <w:pPr>
        <w:spacing w:line="360" w:lineRule="auto"/>
        <w:ind w:left="25" w:leftChars="12" w:firstLine="472" w:firstLineChars="196"/>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四、投诉事项具体内容</w:t>
      </w:r>
    </w:p>
    <w:p w14:paraId="61ED93AC">
      <w:pPr>
        <w:spacing w:line="360" w:lineRule="auto"/>
        <w:ind w:left="25" w:leftChars="12" w:firstLine="472" w:firstLineChars="197"/>
        <w:rPr>
          <w:rFonts w:hint="eastAsia" w:ascii="宋体" w:hAnsi="宋体" w:eastAsia="宋体" w:cs="宋体"/>
          <w:bCs/>
          <w:color w:val="auto"/>
          <w:kern w:val="0"/>
          <w:sz w:val="24"/>
          <w:highlight w:val="none"/>
          <w:u w:val="single"/>
        </w:rPr>
      </w:pPr>
      <w:r>
        <w:rPr>
          <w:rFonts w:hint="eastAsia" w:ascii="宋体" w:hAnsi="宋体" w:eastAsia="宋体" w:cs="宋体"/>
          <w:color w:val="auto"/>
          <w:kern w:val="0"/>
          <w:sz w:val="24"/>
          <w:highlight w:val="none"/>
        </w:rPr>
        <w:t>投诉事项1：</w:t>
      </w:r>
      <w:r>
        <w:rPr>
          <w:rFonts w:hint="eastAsia" w:ascii="宋体" w:hAnsi="宋体" w:eastAsia="宋体" w:cs="宋体"/>
          <w:bCs/>
          <w:color w:val="auto"/>
          <w:kern w:val="0"/>
          <w:sz w:val="24"/>
          <w:highlight w:val="none"/>
          <w:u w:val="single"/>
        </w:rPr>
        <w:t xml:space="preserve">                                                                           </w:t>
      </w:r>
    </w:p>
    <w:p w14:paraId="5137B2AC">
      <w:pPr>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事实依据：</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u w:val="single"/>
        </w:rPr>
        <w:t xml:space="preserve">                                                                                      </w:t>
      </w:r>
    </w:p>
    <w:p w14:paraId="52744C82">
      <w:pPr>
        <w:spacing w:line="360" w:lineRule="auto"/>
        <w:ind w:left="25" w:leftChars="12" w:firstLine="472" w:firstLineChars="197"/>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u w:val="single"/>
        </w:rPr>
        <w:t xml:space="preserve">                                                                                        </w:t>
      </w:r>
    </w:p>
    <w:p w14:paraId="5F229E7A">
      <w:pPr>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法律依据：</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u w:val="single"/>
        </w:rPr>
        <w:t xml:space="preserve">                                                                                      </w:t>
      </w:r>
    </w:p>
    <w:p w14:paraId="1AD315FB">
      <w:pPr>
        <w:spacing w:line="360" w:lineRule="auto"/>
        <w:ind w:left="25" w:leftChars="12" w:firstLine="352" w:firstLineChars="147"/>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 xml:space="preserve"> </w:t>
      </w:r>
      <w:r>
        <w:rPr>
          <w:rFonts w:hint="eastAsia" w:ascii="宋体" w:hAnsi="宋体" w:eastAsia="宋体" w:cs="宋体"/>
          <w:bCs/>
          <w:color w:val="auto"/>
          <w:kern w:val="0"/>
          <w:sz w:val="24"/>
          <w:highlight w:val="none"/>
          <w:u w:val="single"/>
        </w:rPr>
        <w:t xml:space="preserve">                                                                                        </w:t>
      </w:r>
    </w:p>
    <w:p w14:paraId="5A80E23C">
      <w:pPr>
        <w:spacing w:line="360" w:lineRule="auto"/>
        <w:ind w:left="25" w:leftChars="12" w:firstLine="472" w:firstLineChars="197"/>
        <w:rPr>
          <w:rFonts w:hint="eastAsia" w:ascii="宋体" w:hAnsi="宋体" w:eastAsia="宋体" w:cs="宋体"/>
          <w:bCs/>
          <w:color w:val="auto"/>
          <w:kern w:val="0"/>
          <w:sz w:val="24"/>
          <w:highlight w:val="none"/>
        </w:rPr>
      </w:pPr>
      <w:r>
        <w:rPr>
          <w:rFonts w:hint="eastAsia" w:ascii="宋体" w:hAnsi="宋体" w:eastAsia="宋体" w:cs="宋体"/>
          <w:color w:val="auto"/>
          <w:kern w:val="0"/>
          <w:sz w:val="24"/>
          <w:highlight w:val="none"/>
        </w:rPr>
        <w:t xml:space="preserve">投诉事项2  </w:t>
      </w:r>
      <w:r>
        <w:rPr>
          <w:rFonts w:hint="eastAsia" w:ascii="宋体" w:hAnsi="宋体" w:eastAsia="宋体" w:cs="宋体"/>
          <w:bCs/>
          <w:color w:val="auto"/>
          <w:kern w:val="0"/>
          <w:sz w:val="24"/>
          <w:highlight w:val="none"/>
        </w:rPr>
        <w:t xml:space="preserve">   </w:t>
      </w:r>
    </w:p>
    <w:p w14:paraId="14FD6751">
      <w:pPr>
        <w:spacing w:line="360" w:lineRule="auto"/>
        <w:ind w:left="25" w:leftChars="12" w:firstLine="472" w:firstLineChars="197"/>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w:t>
      </w:r>
    </w:p>
    <w:p w14:paraId="54B3B78B">
      <w:pPr>
        <w:spacing w:line="360" w:lineRule="auto"/>
        <w:ind w:left="25" w:leftChars="12" w:firstLine="472" w:firstLineChars="196"/>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五、与投诉事项相关的投诉请求：</w:t>
      </w:r>
    </w:p>
    <w:p w14:paraId="721A403E">
      <w:pPr>
        <w:spacing w:line="360" w:lineRule="auto"/>
        <w:ind w:left="25" w:leftChars="12" w:firstLine="472" w:firstLineChars="197"/>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请求：</w:t>
      </w:r>
      <w:r>
        <w:rPr>
          <w:rFonts w:hint="eastAsia" w:ascii="宋体" w:hAnsi="宋体" w:eastAsia="宋体" w:cs="宋体"/>
          <w:bCs/>
          <w:color w:val="auto"/>
          <w:kern w:val="0"/>
          <w:sz w:val="24"/>
          <w:highlight w:val="none"/>
          <w:u w:val="single"/>
        </w:rPr>
        <w:t xml:space="preserve">                                                                                 </w:t>
      </w:r>
    </w:p>
    <w:p w14:paraId="7670C78C">
      <w:pPr>
        <w:spacing w:line="360" w:lineRule="auto"/>
        <w:ind w:left="25" w:leftChars="12" w:firstLine="352" w:firstLineChars="147"/>
        <w:rPr>
          <w:rFonts w:hint="eastAsia" w:ascii="宋体" w:hAnsi="宋体" w:eastAsia="宋体" w:cs="宋体"/>
          <w:color w:val="auto"/>
          <w:kern w:val="0"/>
          <w:sz w:val="24"/>
          <w:highlight w:val="none"/>
        </w:rPr>
      </w:pPr>
    </w:p>
    <w:p w14:paraId="4A300795">
      <w:pPr>
        <w:spacing w:line="360" w:lineRule="auto"/>
        <w:ind w:left="25" w:leftChars="12" w:firstLine="472" w:firstLineChars="197"/>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签字（签章）：                                       公章：</w:t>
      </w:r>
    </w:p>
    <w:p w14:paraId="6E8A15CF">
      <w:pPr>
        <w:spacing w:line="360" w:lineRule="auto"/>
        <w:ind w:left="25" w:leftChars="12" w:firstLine="352" w:firstLineChars="147"/>
        <w:rPr>
          <w:rFonts w:hint="eastAsia" w:ascii="宋体" w:hAnsi="宋体" w:eastAsia="宋体" w:cs="宋体"/>
          <w:color w:val="auto"/>
          <w:kern w:val="0"/>
          <w:sz w:val="24"/>
          <w:highlight w:val="none"/>
        </w:rPr>
      </w:pPr>
    </w:p>
    <w:p w14:paraId="32104C8C">
      <w:pPr>
        <w:spacing w:line="360" w:lineRule="auto"/>
        <w:ind w:left="25" w:leftChars="12" w:firstLine="472" w:firstLineChars="197"/>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日期：</w:t>
      </w:r>
    </w:p>
    <w:p w14:paraId="63BAAA8E">
      <w:pPr>
        <w:spacing w:line="360" w:lineRule="auto"/>
        <w:ind w:left="25" w:leftChars="12" w:firstLine="472" w:firstLineChars="197"/>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 xml:space="preserve">                                                                                 </w:t>
      </w:r>
    </w:p>
    <w:p w14:paraId="7D972929">
      <w:pPr>
        <w:snapToGrid w:val="0"/>
        <w:spacing w:line="360" w:lineRule="auto"/>
        <w:rPr>
          <w:rFonts w:hint="eastAsia" w:ascii="宋体" w:hAnsi="宋体" w:eastAsia="宋体" w:cs="宋体"/>
          <w:b/>
          <w:color w:val="auto"/>
          <w:kern w:val="0"/>
          <w:sz w:val="24"/>
          <w:highlight w:val="none"/>
        </w:rPr>
      </w:pPr>
    </w:p>
    <w:p w14:paraId="6F92686E">
      <w:pPr>
        <w:snapToGrid w:val="0"/>
        <w:spacing w:line="360" w:lineRule="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说明：</w:t>
      </w:r>
    </w:p>
    <w:p w14:paraId="58FF9279">
      <w:pPr>
        <w:spacing w:line="360" w:lineRule="auto"/>
        <w:ind w:left="25" w:leftChars="12" w:firstLine="354" w:firstLineChars="147"/>
        <w:rPr>
          <w:rFonts w:hint="eastAsia" w:ascii="宋体" w:hAnsi="宋体" w:eastAsia="宋体" w:cs="宋体"/>
          <w:b/>
          <w:bCs/>
          <w:color w:val="auto"/>
          <w:kern w:val="0"/>
          <w:sz w:val="24"/>
          <w:highlight w:val="none"/>
        </w:rPr>
      </w:pPr>
      <w:r>
        <w:rPr>
          <w:rFonts w:hint="eastAsia" w:ascii="宋体" w:hAnsi="宋体" w:eastAsia="宋体" w:cs="宋体"/>
          <w:b/>
          <w:color w:val="auto"/>
          <w:kern w:val="0"/>
          <w:sz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kern w:val="0"/>
          <w:sz w:val="24"/>
          <w:highlight w:val="none"/>
        </w:rPr>
        <w:t>。</w:t>
      </w:r>
    </w:p>
    <w:p w14:paraId="03027CCD">
      <w:pPr>
        <w:spacing w:line="360" w:lineRule="auto"/>
        <w:ind w:left="25" w:leftChars="12" w:firstLine="354" w:firstLineChars="147"/>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EDAC459">
      <w:pPr>
        <w:spacing w:line="360" w:lineRule="auto"/>
        <w:ind w:left="25" w:leftChars="12" w:firstLine="354" w:firstLineChars="147"/>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3.投诉书应简要列明质疑事项，质疑函、质疑答复等作为附件材料提供。</w:t>
      </w:r>
    </w:p>
    <w:p w14:paraId="50DA8D01">
      <w:pPr>
        <w:spacing w:line="360" w:lineRule="auto"/>
        <w:ind w:left="25" w:leftChars="12" w:firstLine="354" w:firstLineChars="147"/>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4.投诉书的投诉事项应具体、明确，并有必要的事实依据和法律依据。</w:t>
      </w:r>
    </w:p>
    <w:p w14:paraId="4A4680AD">
      <w:pPr>
        <w:spacing w:line="360" w:lineRule="auto"/>
        <w:ind w:left="25" w:leftChars="12" w:firstLine="354" w:firstLineChars="147"/>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5.投诉书的投诉请求应与投诉事项相关。</w:t>
      </w:r>
    </w:p>
    <w:p w14:paraId="7571816B">
      <w:pPr>
        <w:spacing w:line="360" w:lineRule="auto"/>
        <w:ind w:left="25" w:leftChars="12" w:firstLine="354" w:firstLineChars="147"/>
        <w:rPr>
          <w:rFonts w:hint="eastAsia" w:ascii="宋体" w:hAnsi="宋体" w:eastAsia="宋体" w:cs="宋体"/>
          <w:color w:val="auto"/>
          <w:highlight w:val="none"/>
        </w:rPr>
      </w:pPr>
      <w:r>
        <w:rPr>
          <w:rFonts w:hint="eastAsia" w:ascii="宋体" w:hAnsi="宋体" w:eastAsia="宋体" w:cs="宋体"/>
          <w:b/>
          <w:color w:val="auto"/>
          <w:kern w:val="0"/>
          <w:sz w:val="24"/>
          <w:highlight w:val="none"/>
        </w:rPr>
        <w:t>6.投诉人为法人或者其他组织的，投诉书应由法定代表人、主要负责人，或者其授权代表签字或者盖章，并加盖公章。</w:t>
      </w:r>
    </w:p>
    <w:p w14:paraId="2AC69C29">
      <w:pPr>
        <w:rPr>
          <w:rFonts w:hint="eastAsia" w:ascii="宋体" w:hAnsi="宋体" w:eastAsia="宋体" w:cs="宋体"/>
          <w:color w:val="auto"/>
          <w:highlight w:val="none"/>
        </w:rPr>
      </w:pPr>
    </w:p>
    <w:sectPr>
      <w:headerReference r:id="rId12" w:type="default"/>
      <w:footerReference r:id="rId13" w:type="default"/>
      <w:pgSz w:w="11910" w:h="16840"/>
      <w:pgMar w:top="1340" w:right="1500" w:bottom="280" w:left="168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静蕾简体">
    <w:altName w:val="宋体"/>
    <w:panose1 w:val="02000000000000000000"/>
    <w:charset w:val="86"/>
    <w:family w:val="auto"/>
    <w:pitch w:val="default"/>
    <w:sig w:usb0="00000000" w:usb1="00000000" w:usb2="00000000" w:usb3="00000000" w:csb0="00040000" w:csb1="00000000"/>
  </w:font>
  <w:font w:name="方正汉简简体">
    <w:altName w:val="宋体"/>
    <w:panose1 w:val="02000000000000000000"/>
    <w:charset w:val="86"/>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9667A">
    <w:pPr>
      <w:pStyle w:val="21"/>
      <w:jc w:val="center"/>
      <w:rPr>
        <w:rFonts w:hint="eastAsia" w:ascii="Calibri" w:hAnsi="Calibri"/>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67AE45">
                          <w:pPr>
                            <w:pStyle w:val="21"/>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5138"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Cjba+B4QEAAMEDAAAOAAAA&#10;AAAAAAEAIAAAAB4BAABkcnMvZTJvRG9jLnhtbFBLBQYAAAAABgAGAFkBAABxBQAAAAA=&#10;">
              <v:fill on="f" focussize="0,0"/>
              <v:stroke on="f"/>
              <v:imagedata o:title=""/>
              <o:lock v:ext="edit" aspectratio="f"/>
              <v:textbox inset="0mm,0mm,0mm,0mm" style="mso-fit-shape-to-text:t;">
                <w:txbxContent>
                  <w:p w14:paraId="5367AE45">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B73D2">
    <w:pPr>
      <w:pStyle w:val="21"/>
      <w:framePr w:wrap="around" w:vAnchor="text" w:hAnchor="margin" w:xAlign="center" w:y="1"/>
      <w:rPr>
        <w:rStyle w:val="33"/>
        <w:rFonts w:ascii="Calibri" w:hAnsi="Calibri"/>
        <w:sz w:val="21"/>
      </w:rPr>
    </w:pPr>
    <w:r>
      <w:rPr>
        <w:rFonts w:ascii="Calibri" w:hAnsi="Calibri"/>
        <w:sz w:val="21"/>
      </w:rPr>
      <w:fldChar w:fldCharType="begin"/>
    </w:r>
    <w:r>
      <w:rPr>
        <w:rStyle w:val="33"/>
        <w:rFonts w:ascii="Calibri" w:hAnsi="Calibri"/>
        <w:sz w:val="21"/>
      </w:rPr>
      <w:instrText xml:space="preserve">PAGE  </w:instrText>
    </w:r>
    <w:r>
      <w:rPr>
        <w:rFonts w:ascii="Calibri" w:hAnsi="Calibri"/>
        <w:sz w:val="21"/>
      </w:rPr>
      <w:fldChar w:fldCharType="separate"/>
    </w:r>
    <w:r>
      <w:rPr>
        <w:rStyle w:val="33"/>
        <w:rFonts w:ascii="Calibri" w:hAnsi="Calibri"/>
        <w:sz w:val="21"/>
      </w:rPr>
      <w:t>0</w:t>
    </w:r>
    <w:r>
      <w:rPr>
        <w:rFonts w:ascii="Calibri" w:hAnsi="Calibri"/>
        <w:sz w:val="21"/>
      </w:rPr>
      <w:fldChar w:fldCharType="end"/>
    </w:r>
  </w:p>
  <w:p w14:paraId="2CE118C8">
    <w:pPr>
      <w:pStyle w:val="21"/>
      <w:rPr>
        <w:rFonts w:ascii="Calibri" w:hAnsi="Calibri"/>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4260B">
    <w:pPr>
      <w:pStyle w:val="21"/>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1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47BC38">
                          <w:pPr>
                            <w:pStyle w:val="21"/>
                          </w:pPr>
                          <w:r>
                            <w:fldChar w:fldCharType="begin"/>
                          </w:r>
                          <w:r>
                            <w:instrText xml:space="preserve"> PAGE  \* MERGEFORMAT </w:instrText>
                          </w:r>
                          <w:r>
                            <w:fldChar w:fldCharType="separate"/>
                          </w:r>
                          <w:r>
                            <w:t>0</w:t>
                          </w:r>
                          <w:r>
                            <w:fldChar w:fldCharType="end"/>
                          </w:r>
                        </w:p>
                      </w:txbxContent>
                    </wps:txbx>
                    <wps:bodyPr vert="horz" wrap="none" lIns="0" tIns="0" rIns="0" bIns="0" anchor="t" anchorCtr="0" upright="0">
                      <a:spAutoFit/>
                    </wps:bodyPr>
                  </wps:wsp>
                </a:graphicData>
              </a:graphic>
            </wp:anchor>
          </w:drawing>
        </mc:Choice>
        <mc:Fallback>
          <w:pict>
            <v:shape id="文本框 5139"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INWHZ4QEAAMEDAAAOAAAA&#10;AAAAAAEAIAAAAB4BAABkcnMvZTJvRG9jLnhtbFBLBQYAAAAABgAGAFkBAABxBQAAAAA=&#10;">
              <v:fill on="f" focussize="0,0"/>
              <v:stroke on="f"/>
              <v:imagedata o:title=""/>
              <o:lock v:ext="edit" aspectratio="f"/>
              <v:textbox inset="0mm,0mm,0mm,0mm" style="mso-fit-shape-to-text:t;">
                <w:txbxContent>
                  <w:p w14:paraId="3847BC38">
                    <w:pPr>
                      <w:pStyle w:val="21"/>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9A1C3">
    <w:pPr>
      <w:pStyle w:val="21"/>
      <w:tabs>
        <w:tab w:val="center" w:pos="4439"/>
        <w:tab w:val="clear" w:pos="4153"/>
      </w:tabs>
      <w:jc w:val="both"/>
      <w:rPr>
        <w:rFonts w:ascii="Calibri" w:hAnsi="Calibri"/>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9DF71B">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513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QLnrv4QEAAMEDAAAOAAAA&#10;AAAAAAEAIAAAAB4BAABkcnMvZTJvRG9jLnhtbFBLBQYAAAAABgAGAFkBAABxBQAAAAA=&#10;">
              <v:fill on="f" focussize="0,0"/>
              <v:stroke on="f"/>
              <v:imagedata o:title=""/>
              <o:lock v:ext="edit" aspectratio="f"/>
              <v:textbox inset="0mm,0mm,0mm,0mm" style="mso-fit-shape-to-text:t;">
                <w:txbxContent>
                  <w:p w14:paraId="7F9DF71B">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E89F6">
    <w:pPr>
      <w:pStyle w:val="21"/>
      <w:tabs>
        <w:tab w:val="center" w:pos="4439"/>
        <w:tab w:val="clear" w:pos="4153"/>
      </w:tabs>
      <w:rPr>
        <w:rFonts w:ascii="Calibri" w:hAnsi="Calibri"/>
      </w:rPr>
    </w:pPr>
    <w:r>
      <w:rPr>
        <w:rFonts w:ascii="Calibri" w:hAnsi="Calibri"/>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8ECB90">
                          <w:pPr>
                            <w:rPr>
                              <w:rFonts w:ascii="Calibri" w:hAnsi="Calibri"/>
                            </w:rPr>
                          </w:pPr>
                        </w:p>
                      </w:txbxContent>
                    </wps:txbx>
                    <wps:bodyPr wrap="none" lIns="0" tIns="0" rIns="0" bIns="0" upright="0">
                      <a:spAutoFit/>
                    </wps:bodyPr>
                  </wps:wsp>
                </a:graphicData>
              </a:graphic>
            </wp:anchor>
          </w:drawing>
        </mc:Choice>
        <mc:Fallback>
          <w:pict>
            <v:shape id="文本框 51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Famc3LAQAAnAMAAA4AAAAAAAAAAQAgAAAAHgEAAGRycy9lMm9E&#10;b2MueG1sUEsFBgAAAAAGAAYAWQEAAFsFAAAAAA==&#10;">
              <v:fill on="f" focussize="0,0"/>
              <v:stroke on="f"/>
              <v:imagedata o:title=""/>
              <o:lock v:ext="edit" aspectratio="f"/>
              <v:textbox inset="0mm,0mm,0mm,0mm" style="mso-fit-shape-to-text:t;">
                <w:txbxContent>
                  <w:p w14:paraId="258ECB90">
                    <w:pPr>
                      <w:rPr>
                        <w:rFonts w:ascii="Calibri" w:hAnsi="Calibri"/>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07263">
    <w:pPr>
      <w:pStyle w:val="21"/>
      <w:jc w:val="center"/>
      <w:rPr>
        <w:rFonts w:ascii="Calibri" w:hAnsi="Calibri"/>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73826C">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513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CBZTHm4QEAAMEDAAAOAAAA&#10;AAAAAAEAIAAAAB4BAABkcnMvZTJvRG9jLnhtbFBLBQYAAAAABgAGAFkBAABxBQAAAAA=&#10;">
              <v:fill on="f" focussize="0,0"/>
              <v:stroke on="f"/>
              <v:imagedata o:title=""/>
              <o:lock v:ext="edit" aspectratio="f"/>
              <v:textbox inset="0mm,0mm,0mm,0mm" style="mso-fit-shape-to-text:t;">
                <w:txbxContent>
                  <w:p w14:paraId="7A73826C">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p w14:paraId="6067D08D">
    <w:pPr>
      <w:pStyle w:val="21"/>
      <w:rPr>
        <w:rFonts w:ascii="Calibri" w:hAnsi="Calibri"/>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E0D51">
    <w:pPr>
      <w:pStyle w:val="2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543B87">
                          <w:pPr>
                            <w:pStyle w:val="21"/>
                            <w:jc w:val="cente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90TwRN8BAADBAwAADgAAAAAA&#10;AAABACAAAAAeAQAAZHJzL2Uyb0RvYy54bWxQSwUGAAAAAAYABgBZAQAAbwUAAAAA&#10;">
              <v:fill on="f" focussize="0,0"/>
              <v:stroke on="f"/>
              <v:imagedata o:title=""/>
              <o:lock v:ext="edit" aspectratio="f"/>
              <v:textbox inset="0mm,0mm,0mm,0mm" style="mso-fit-shape-to-text:t;">
                <w:txbxContent>
                  <w:p w14:paraId="78543B87">
                    <w:pPr>
                      <w:pStyle w:val="21"/>
                      <w:jc w:val="cente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14:paraId="1F29A1AB">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29116">
    <w:pPr>
      <w:pStyle w:val="22"/>
      <w:tabs>
        <w:tab w:val="center" w:pos="0"/>
        <w:tab w:val="clear" w:pos="4153"/>
      </w:tabs>
      <w:rPr>
        <w:rFonts w:ascii="Calibri" w:hAnsi="Calibr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81FA1">
    <w:pPr>
      <w:pStyle w:val="22"/>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BDFF2">
    <w:pPr>
      <w:pStyle w:val="22"/>
      <w:tabs>
        <w:tab w:val="center" w:pos="0"/>
        <w:tab w:val="clear" w:pos="4153"/>
      </w:tabs>
      <w:rPr>
        <w:rFonts w:ascii="Calibri" w:hAnsi="Calibri"/>
      </w:rPr>
    </w:pPr>
    <w:r>
      <w:rPr>
        <w:rFonts w:hint="eastAsia" w:ascii="Calibri" w:hAnsi="Calibri"/>
      </w:rPr>
      <w:t>南宁市政府采购竞争性磋商采购文件（项目编号：NNZC2021-C3--KLZB）</w:t>
    </w:r>
  </w:p>
  <w:p w14:paraId="696E58A5">
    <w:pPr>
      <w:pStyle w:val="22"/>
      <w:pBdr>
        <w:bottom w:val="none" w:color="auto" w:sz="0" w:space="1"/>
      </w:pBdr>
      <w:rPr>
        <w:rFonts w:ascii="Calibri" w:hAnsi="Calibri"/>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C350A">
    <w:pPr>
      <w:pStyle w:val="22"/>
      <w:tabs>
        <w:tab w:val="center" w:pos="0"/>
        <w:tab w:val="clear" w:pos="4153"/>
      </w:tabs>
    </w:pPr>
    <w:r>
      <w:rPr>
        <w:vanish/>
        <w:highlight w:val="yellow"/>
      </w:rPr>
      <w:t>&gt;</w:t>
    </w:r>
  </w:p>
  <w:p w14:paraId="38699AA6">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54FF6AEB"/>
    <w:multiLevelType w:val="singleLevel"/>
    <w:tmpl w:val="54FF6AEB"/>
    <w:lvl w:ilvl="0" w:tentative="0">
      <w:start w:val="1"/>
      <w:numFmt w:val="decimal"/>
      <w:lvlText w:val="%1."/>
      <w:lvlJc w:val="left"/>
      <w:pPr>
        <w:ind w:left="425" w:hanging="425"/>
      </w:pPr>
      <w:rPr>
        <w:rFont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3,4,5,6,7"/>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5ZGY0NGQ5OGEyODUzY2E3MWM2YjNkMTgwZWQ4MjkifQ=="/>
  </w:docVars>
  <w:rsids>
    <w:rsidRoot w:val="00F34B14"/>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A4D"/>
    <w:rsid w:val="00011BC9"/>
    <w:rsid w:val="00012854"/>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4463"/>
    <w:rsid w:val="00025461"/>
    <w:rsid w:val="00025636"/>
    <w:rsid w:val="00025E36"/>
    <w:rsid w:val="00026855"/>
    <w:rsid w:val="00026886"/>
    <w:rsid w:val="0002785D"/>
    <w:rsid w:val="000329E0"/>
    <w:rsid w:val="000352E9"/>
    <w:rsid w:val="00035494"/>
    <w:rsid w:val="00036125"/>
    <w:rsid w:val="00036A07"/>
    <w:rsid w:val="0003780B"/>
    <w:rsid w:val="00040571"/>
    <w:rsid w:val="00040973"/>
    <w:rsid w:val="0004156E"/>
    <w:rsid w:val="00041713"/>
    <w:rsid w:val="0004440C"/>
    <w:rsid w:val="00046B5E"/>
    <w:rsid w:val="000470CB"/>
    <w:rsid w:val="000509D9"/>
    <w:rsid w:val="00051ACB"/>
    <w:rsid w:val="000533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FD"/>
    <w:rsid w:val="00070949"/>
    <w:rsid w:val="000711E4"/>
    <w:rsid w:val="000724D9"/>
    <w:rsid w:val="00072AED"/>
    <w:rsid w:val="00073F47"/>
    <w:rsid w:val="0007492F"/>
    <w:rsid w:val="00074ED8"/>
    <w:rsid w:val="00075B7E"/>
    <w:rsid w:val="00077ACA"/>
    <w:rsid w:val="00077C70"/>
    <w:rsid w:val="000813B5"/>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585"/>
    <w:rsid w:val="000B2BC6"/>
    <w:rsid w:val="000B2D03"/>
    <w:rsid w:val="000B3815"/>
    <w:rsid w:val="000B3C7B"/>
    <w:rsid w:val="000B4321"/>
    <w:rsid w:val="000B552E"/>
    <w:rsid w:val="000B6A6B"/>
    <w:rsid w:val="000B6C95"/>
    <w:rsid w:val="000B79FC"/>
    <w:rsid w:val="000B7BD1"/>
    <w:rsid w:val="000C02B1"/>
    <w:rsid w:val="000C1679"/>
    <w:rsid w:val="000C1EE3"/>
    <w:rsid w:val="000C3AE7"/>
    <w:rsid w:val="000C3CC9"/>
    <w:rsid w:val="000C6DE4"/>
    <w:rsid w:val="000C7202"/>
    <w:rsid w:val="000D0A89"/>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7E5"/>
    <w:rsid w:val="000F1A1B"/>
    <w:rsid w:val="000F2A95"/>
    <w:rsid w:val="000F3281"/>
    <w:rsid w:val="000F32FD"/>
    <w:rsid w:val="000F3733"/>
    <w:rsid w:val="000F5F8B"/>
    <w:rsid w:val="000F6153"/>
    <w:rsid w:val="000F63C8"/>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3678"/>
    <w:rsid w:val="00113C3E"/>
    <w:rsid w:val="00115E11"/>
    <w:rsid w:val="00115EEE"/>
    <w:rsid w:val="00115F56"/>
    <w:rsid w:val="00116CA9"/>
    <w:rsid w:val="00116F38"/>
    <w:rsid w:val="001170A4"/>
    <w:rsid w:val="00117AE7"/>
    <w:rsid w:val="00117CBD"/>
    <w:rsid w:val="0012006A"/>
    <w:rsid w:val="00121979"/>
    <w:rsid w:val="00122064"/>
    <w:rsid w:val="00124341"/>
    <w:rsid w:val="00124492"/>
    <w:rsid w:val="00124B12"/>
    <w:rsid w:val="001250A0"/>
    <w:rsid w:val="001263B8"/>
    <w:rsid w:val="0012763E"/>
    <w:rsid w:val="00130217"/>
    <w:rsid w:val="00130783"/>
    <w:rsid w:val="00130A47"/>
    <w:rsid w:val="00130D7C"/>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55B2"/>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4F57"/>
    <w:rsid w:val="00185544"/>
    <w:rsid w:val="00185617"/>
    <w:rsid w:val="00186823"/>
    <w:rsid w:val="00186FE1"/>
    <w:rsid w:val="00187A14"/>
    <w:rsid w:val="0019171E"/>
    <w:rsid w:val="00192368"/>
    <w:rsid w:val="001923A0"/>
    <w:rsid w:val="001928B1"/>
    <w:rsid w:val="00193537"/>
    <w:rsid w:val="00193846"/>
    <w:rsid w:val="00194EC8"/>
    <w:rsid w:val="00195424"/>
    <w:rsid w:val="001955FF"/>
    <w:rsid w:val="00196D6E"/>
    <w:rsid w:val="00197EDD"/>
    <w:rsid w:val="001A02B3"/>
    <w:rsid w:val="001A04BB"/>
    <w:rsid w:val="001A08D0"/>
    <w:rsid w:val="001A1B39"/>
    <w:rsid w:val="001A2120"/>
    <w:rsid w:val="001A28C6"/>
    <w:rsid w:val="001A2E69"/>
    <w:rsid w:val="001A3C34"/>
    <w:rsid w:val="001A3EDE"/>
    <w:rsid w:val="001A4222"/>
    <w:rsid w:val="001A50EA"/>
    <w:rsid w:val="001A5BA2"/>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6512"/>
    <w:rsid w:val="001B65D7"/>
    <w:rsid w:val="001B6752"/>
    <w:rsid w:val="001B6768"/>
    <w:rsid w:val="001B6F1F"/>
    <w:rsid w:val="001B7CD7"/>
    <w:rsid w:val="001B7ECC"/>
    <w:rsid w:val="001C025B"/>
    <w:rsid w:val="001C115F"/>
    <w:rsid w:val="001C1EAB"/>
    <w:rsid w:val="001C25A7"/>
    <w:rsid w:val="001C318C"/>
    <w:rsid w:val="001C35C4"/>
    <w:rsid w:val="001C4287"/>
    <w:rsid w:val="001C4479"/>
    <w:rsid w:val="001C5190"/>
    <w:rsid w:val="001C6081"/>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B63"/>
    <w:rsid w:val="001E522E"/>
    <w:rsid w:val="001E5A94"/>
    <w:rsid w:val="001E5F6F"/>
    <w:rsid w:val="001F0373"/>
    <w:rsid w:val="001F2A2E"/>
    <w:rsid w:val="001F3356"/>
    <w:rsid w:val="001F3C63"/>
    <w:rsid w:val="001F4460"/>
    <w:rsid w:val="001F4F4F"/>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14C7"/>
    <w:rsid w:val="0021302C"/>
    <w:rsid w:val="00213B1C"/>
    <w:rsid w:val="00214202"/>
    <w:rsid w:val="002148E3"/>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0A51"/>
    <w:rsid w:val="00251043"/>
    <w:rsid w:val="00251C4A"/>
    <w:rsid w:val="0025271C"/>
    <w:rsid w:val="002529E4"/>
    <w:rsid w:val="002533CD"/>
    <w:rsid w:val="002535EA"/>
    <w:rsid w:val="00254EAB"/>
    <w:rsid w:val="002557AF"/>
    <w:rsid w:val="0025589C"/>
    <w:rsid w:val="00255B62"/>
    <w:rsid w:val="002566B1"/>
    <w:rsid w:val="002575E3"/>
    <w:rsid w:val="00257A74"/>
    <w:rsid w:val="002603C1"/>
    <w:rsid w:val="002609A1"/>
    <w:rsid w:val="002612B1"/>
    <w:rsid w:val="00266165"/>
    <w:rsid w:val="002662FE"/>
    <w:rsid w:val="00266F2C"/>
    <w:rsid w:val="0027125E"/>
    <w:rsid w:val="00271767"/>
    <w:rsid w:val="00272293"/>
    <w:rsid w:val="002723C8"/>
    <w:rsid w:val="00273C2A"/>
    <w:rsid w:val="00273CBE"/>
    <w:rsid w:val="002746B1"/>
    <w:rsid w:val="00274BAD"/>
    <w:rsid w:val="002754D6"/>
    <w:rsid w:val="00282D56"/>
    <w:rsid w:val="002835B0"/>
    <w:rsid w:val="00283C74"/>
    <w:rsid w:val="0028407E"/>
    <w:rsid w:val="0028410F"/>
    <w:rsid w:val="00284572"/>
    <w:rsid w:val="00285221"/>
    <w:rsid w:val="00286FB5"/>
    <w:rsid w:val="00287763"/>
    <w:rsid w:val="00287FCB"/>
    <w:rsid w:val="00290606"/>
    <w:rsid w:val="002909B2"/>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B013E"/>
    <w:rsid w:val="002B058D"/>
    <w:rsid w:val="002B0C16"/>
    <w:rsid w:val="002B2AC5"/>
    <w:rsid w:val="002B3528"/>
    <w:rsid w:val="002B3539"/>
    <w:rsid w:val="002B4532"/>
    <w:rsid w:val="002B4625"/>
    <w:rsid w:val="002B5042"/>
    <w:rsid w:val="002B69CC"/>
    <w:rsid w:val="002B6D71"/>
    <w:rsid w:val="002C0C1C"/>
    <w:rsid w:val="002C54C2"/>
    <w:rsid w:val="002C5D34"/>
    <w:rsid w:val="002C5D7F"/>
    <w:rsid w:val="002C60BB"/>
    <w:rsid w:val="002C661A"/>
    <w:rsid w:val="002D0D6F"/>
    <w:rsid w:val="002D25FC"/>
    <w:rsid w:val="002D4AC6"/>
    <w:rsid w:val="002D5BF5"/>
    <w:rsid w:val="002D5E95"/>
    <w:rsid w:val="002D5EE8"/>
    <w:rsid w:val="002D7360"/>
    <w:rsid w:val="002D7648"/>
    <w:rsid w:val="002D780A"/>
    <w:rsid w:val="002E109C"/>
    <w:rsid w:val="002E193E"/>
    <w:rsid w:val="002E1A94"/>
    <w:rsid w:val="002E1D55"/>
    <w:rsid w:val="002E26C4"/>
    <w:rsid w:val="002E30A5"/>
    <w:rsid w:val="002E47E4"/>
    <w:rsid w:val="002E4BF9"/>
    <w:rsid w:val="002E4D61"/>
    <w:rsid w:val="002E5FED"/>
    <w:rsid w:val="002E68A7"/>
    <w:rsid w:val="002E6E6C"/>
    <w:rsid w:val="002F0522"/>
    <w:rsid w:val="002F0B85"/>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83D"/>
    <w:rsid w:val="00310CC1"/>
    <w:rsid w:val="00311B60"/>
    <w:rsid w:val="00312504"/>
    <w:rsid w:val="00313026"/>
    <w:rsid w:val="00313913"/>
    <w:rsid w:val="0031421F"/>
    <w:rsid w:val="00314B31"/>
    <w:rsid w:val="00315A65"/>
    <w:rsid w:val="003165D7"/>
    <w:rsid w:val="00317BA7"/>
    <w:rsid w:val="00320BE2"/>
    <w:rsid w:val="00321886"/>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5EA1"/>
    <w:rsid w:val="0033691E"/>
    <w:rsid w:val="00336A6A"/>
    <w:rsid w:val="00336CCB"/>
    <w:rsid w:val="003411D1"/>
    <w:rsid w:val="003416BA"/>
    <w:rsid w:val="00342148"/>
    <w:rsid w:val="00342F99"/>
    <w:rsid w:val="0034575A"/>
    <w:rsid w:val="00345F57"/>
    <w:rsid w:val="00350458"/>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1F7"/>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728"/>
    <w:rsid w:val="003A60E7"/>
    <w:rsid w:val="003A7092"/>
    <w:rsid w:val="003A72A1"/>
    <w:rsid w:val="003A7611"/>
    <w:rsid w:val="003A7D1F"/>
    <w:rsid w:val="003B0B6A"/>
    <w:rsid w:val="003B22F7"/>
    <w:rsid w:val="003B29CF"/>
    <w:rsid w:val="003B3A90"/>
    <w:rsid w:val="003B534F"/>
    <w:rsid w:val="003B5E4F"/>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63D"/>
    <w:rsid w:val="00410D17"/>
    <w:rsid w:val="00413442"/>
    <w:rsid w:val="00413821"/>
    <w:rsid w:val="00413BA5"/>
    <w:rsid w:val="004141A3"/>
    <w:rsid w:val="00414909"/>
    <w:rsid w:val="0041582F"/>
    <w:rsid w:val="00416112"/>
    <w:rsid w:val="00416AC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60C8"/>
    <w:rsid w:val="004371D5"/>
    <w:rsid w:val="0044006B"/>
    <w:rsid w:val="0044033F"/>
    <w:rsid w:val="00440630"/>
    <w:rsid w:val="00441F0F"/>
    <w:rsid w:val="00442965"/>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6783"/>
    <w:rsid w:val="004578EB"/>
    <w:rsid w:val="004604D5"/>
    <w:rsid w:val="00460697"/>
    <w:rsid w:val="0046117B"/>
    <w:rsid w:val="00464AB7"/>
    <w:rsid w:val="00465DE5"/>
    <w:rsid w:val="00467EF8"/>
    <w:rsid w:val="00472429"/>
    <w:rsid w:val="004725E5"/>
    <w:rsid w:val="00472751"/>
    <w:rsid w:val="00473128"/>
    <w:rsid w:val="00473263"/>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D60"/>
    <w:rsid w:val="00491FA1"/>
    <w:rsid w:val="00492A25"/>
    <w:rsid w:val="004938A3"/>
    <w:rsid w:val="0049558B"/>
    <w:rsid w:val="00496350"/>
    <w:rsid w:val="0049797C"/>
    <w:rsid w:val="004A00E1"/>
    <w:rsid w:val="004A0943"/>
    <w:rsid w:val="004A1405"/>
    <w:rsid w:val="004A1FC6"/>
    <w:rsid w:val="004A2E5F"/>
    <w:rsid w:val="004A38C2"/>
    <w:rsid w:val="004A3C03"/>
    <w:rsid w:val="004A3DB7"/>
    <w:rsid w:val="004A5088"/>
    <w:rsid w:val="004A5255"/>
    <w:rsid w:val="004A6CB0"/>
    <w:rsid w:val="004A70FF"/>
    <w:rsid w:val="004A7EDE"/>
    <w:rsid w:val="004B0D93"/>
    <w:rsid w:val="004B1FA4"/>
    <w:rsid w:val="004B29AC"/>
    <w:rsid w:val="004B35DF"/>
    <w:rsid w:val="004B3627"/>
    <w:rsid w:val="004B4922"/>
    <w:rsid w:val="004B57DF"/>
    <w:rsid w:val="004B5976"/>
    <w:rsid w:val="004B7137"/>
    <w:rsid w:val="004B722E"/>
    <w:rsid w:val="004B72E8"/>
    <w:rsid w:val="004C01A5"/>
    <w:rsid w:val="004C0412"/>
    <w:rsid w:val="004C1142"/>
    <w:rsid w:val="004C2138"/>
    <w:rsid w:val="004C3940"/>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7160"/>
    <w:rsid w:val="00500258"/>
    <w:rsid w:val="00500B2D"/>
    <w:rsid w:val="00501A99"/>
    <w:rsid w:val="00503180"/>
    <w:rsid w:val="005038A4"/>
    <w:rsid w:val="00505450"/>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39D"/>
    <w:rsid w:val="005224EE"/>
    <w:rsid w:val="005225F6"/>
    <w:rsid w:val="00522879"/>
    <w:rsid w:val="00523BB1"/>
    <w:rsid w:val="0052570E"/>
    <w:rsid w:val="005260CD"/>
    <w:rsid w:val="00526265"/>
    <w:rsid w:val="0052655D"/>
    <w:rsid w:val="005265E0"/>
    <w:rsid w:val="00526BC3"/>
    <w:rsid w:val="00531761"/>
    <w:rsid w:val="0053248F"/>
    <w:rsid w:val="0053332A"/>
    <w:rsid w:val="0053358A"/>
    <w:rsid w:val="00534668"/>
    <w:rsid w:val="00534DDD"/>
    <w:rsid w:val="00535291"/>
    <w:rsid w:val="00535A94"/>
    <w:rsid w:val="00537874"/>
    <w:rsid w:val="0053795F"/>
    <w:rsid w:val="00537D3D"/>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B5D"/>
    <w:rsid w:val="005706D5"/>
    <w:rsid w:val="00570757"/>
    <w:rsid w:val="00573733"/>
    <w:rsid w:val="00573F8B"/>
    <w:rsid w:val="00574554"/>
    <w:rsid w:val="00574E06"/>
    <w:rsid w:val="005751BB"/>
    <w:rsid w:val="00576089"/>
    <w:rsid w:val="005764B1"/>
    <w:rsid w:val="00576852"/>
    <w:rsid w:val="00576D06"/>
    <w:rsid w:val="00577287"/>
    <w:rsid w:val="005779E4"/>
    <w:rsid w:val="00577F9F"/>
    <w:rsid w:val="00580EC7"/>
    <w:rsid w:val="00581132"/>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32F"/>
    <w:rsid w:val="005A252B"/>
    <w:rsid w:val="005A2A8F"/>
    <w:rsid w:val="005A3204"/>
    <w:rsid w:val="005A3341"/>
    <w:rsid w:val="005A3C3D"/>
    <w:rsid w:val="005A46EC"/>
    <w:rsid w:val="005A5EAE"/>
    <w:rsid w:val="005A6407"/>
    <w:rsid w:val="005A726C"/>
    <w:rsid w:val="005B07EC"/>
    <w:rsid w:val="005B2B11"/>
    <w:rsid w:val="005B32A4"/>
    <w:rsid w:val="005B3371"/>
    <w:rsid w:val="005B338D"/>
    <w:rsid w:val="005B36D7"/>
    <w:rsid w:val="005B3BAF"/>
    <w:rsid w:val="005B4DA3"/>
    <w:rsid w:val="005B5BEE"/>
    <w:rsid w:val="005B77D2"/>
    <w:rsid w:val="005C019B"/>
    <w:rsid w:val="005C08D0"/>
    <w:rsid w:val="005C1AED"/>
    <w:rsid w:val="005C30F5"/>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6B59"/>
    <w:rsid w:val="005D784B"/>
    <w:rsid w:val="005E03E4"/>
    <w:rsid w:val="005E0454"/>
    <w:rsid w:val="005E05F6"/>
    <w:rsid w:val="005E2442"/>
    <w:rsid w:val="005E3111"/>
    <w:rsid w:val="005E3F85"/>
    <w:rsid w:val="005E4A5F"/>
    <w:rsid w:val="005E57B0"/>
    <w:rsid w:val="005E5B01"/>
    <w:rsid w:val="005E6D3B"/>
    <w:rsid w:val="005F009E"/>
    <w:rsid w:val="005F0DF1"/>
    <w:rsid w:val="005F1516"/>
    <w:rsid w:val="005F229E"/>
    <w:rsid w:val="005F2564"/>
    <w:rsid w:val="005F2D0F"/>
    <w:rsid w:val="005F3822"/>
    <w:rsid w:val="005F4635"/>
    <w:rsid w:val="005F4900"/>
    <w:rsid w:val="005F4E52"/>
    <w:rsid w:val="005F6D58"/>
    <w:rsid w:val="005F7383"/>
    <w:rsid w:val="0060058E"/>
    <w:rsid w:val="00601F77"/>
    <w:rsid w:val="00602A3C"/>
    <w:rsid w:val="00603E47"/>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14DE"/>
    <w:rsid w:val="0062169D"/>
    <w:rsid w:val="0062181E"/>
    <w:rsid w:val="0062211B"/>
    <w:rsid w:val="00622BB7"/>
    <w:rsid w:val="00622C1E"/>
    <w:rsid w:val="00623389"/>
    <w:rsid w:val="00623DAA"/>
    <w:rsid w:val="00623FAF"/>
    <w:rsid w:val="006265C4"/>
    <w:rsid w:val="0062678A"/>
    <w:rsid w:val="006270AF"/>
    <w:rsid w:val="00634367"/>
    <w:rsid w:val="00640082"/>
    <w:rsid w:val="00640291"/>
    <w:rsid w:val="00640EFE"/>
    <w:rsid w:val="00641D6D"/>
    <w:rsid w:val="00641FAC"/>
    <w:rsid w:val="00643664"/>
    <w:rsid w:val="00643CAA"/>
    <w:rsid w:val="00644F16"/>
    <w:rsid w:val="006455EB"/>
    <w:rsid w:val="006456C2"/>
    <w:rsid w:val="00645A65"/>
    <w:rsid w:val="006477F0"/>
    <w:rsid w:val="006478E4"/>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40"/>
    <w:rsid w:val="006A1772"/>
    <w:rsid w:val="006A1780"/>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43B"/>
    <w:rsid w:val="006B6805"/>
    <w:rsid w:val="006B6DE0"/>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10BB"/>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5C43"/>
    <w:rsid w:val="006F61D8"/>
    <w:rsid w:val="006F62B7"/>
    <w:rsid w:val="006F70BC"/>
    <w:rsid w:val="006F734B"/>
    <w:rsid w:val="006F7E7C"/>
    <w:rsid w:val="0070174E"/>
    <w:rsid w:val="007018DB"/>
    <w:rsid w:val="00701DE6"/>
    <w:rsid w:val="00702740"/>
    <w:rsid w:val="0070381B"/>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4044"/>
    <w:rsid w:val="007248D3"/>
    <w:rsid w:val="00724DF8"/>
    <w:rsid w:val="00725137"/>
    <w:rsid w:val="00725378"/>
    <w:rsid w:val="00727A43"/>
    <w:rsid w:val="00727FF2"/>
    <w:rsid w:val="00730550"/>
    <w:rsid w:val="00730C2A"/>
    <w:rsid w:val="00731434"/>
    <w:rsid w:val="00731E59"/>
    <w:rsid w:val="007323E0"/>
    <w:rsid w:val="00732911"/>
    <w:rsid w:val="00733721"/>
    <w:rsid w:val="00733DE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27F7"/>
    <w:rsid w:val="00753C48"/>
    <w:rsid w:val="00753ED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7BFD"/>
    <w:rsid w:val="00767EA0"/>
    <w:rsid w:val="0077068F"/>
    <w:rsid w:val="00771EDF"/>
    <w:rsid w:val="00772A90"/>
    <w:rsid w:val="00772F8D"/>
    <w:rsid w:val="0077408D"/>
    <w:rsid w:val="00774270"/>
    <w:rsid w:val="007743F6"/>
    <w:rsid w:val="00775679"/>
    <w:rsid w:val="0077574F"/>
    <w:rsid w:val="00775823"/>
    <w:rsid w:val="00775EEA"/>
    <w:rsid w:val="007777CC"/>
    <w:rsid w:val="00777B32"/>
    <w:rsid w:val="0078051E"/>
    <w:rsid w:val="00780B59"/>
    <w:rsid w:val="00781089"/>
    <w:rsid w:val="007838F3"/>
    <w:rsid w:val="007856FE"/>
    <w:rsid w:val="00785F46"/>
    <w:rsid w:val="007865F4"/>
    <w:rsid w:val="00786D5C"/>
    <w:rsid w:val="00786E96"/>
    <w:rsid w:val="00787DFF"/>
    <w:rsid w:val="00787F93"/>
    <w:rsid w:val="00791E6D"/>
    <w:rsid w:val="00791EB5"/>
    <w:rsid w:val="00791FF2"/>
    <w:rsid w:val="00793696"/>
    <w:rsid w:val="007955DA"/>
    <w:rsid w:val="00796F65"/>
    <w:rsid w:val="007A11C2"/>
    <w:rsid w:val="007A18BB"/>
    <w:rsid w:val="007A27DD"/>
    <w:rsid w:val="007A41BF"/>
    <w:rsid w:val="007A490A"/>
    <w:rsid w:val="007A7B95"/>
    <w:rsid w:val="007B0297"/>
    <w:rsid w:val="007B02FA"/>
    <w:rsid w:val="007B0F53"/>
    <w:rsid w:val="007B21AE"/>
    <w:rsid w:val="007B2570"/>
    <w:rsid w:val="007B3113"/>
    <w:rsid w:val="007B3304"/>
    <w:rsid w:val="007B7490"/>
    <w:rsid w:val="007C0525"/>
    <w:rsid w:val="007C13F7"/>
    <w:rsid w:val="007C218D"/>
    <w:rsid w:val="007C2D28"/>
    <w:rsid w:val="007C3E22"/>
    <w:rsid w:val="007C5B90"/>
    <w:rsid w:val="007C6218"/>
    <w:rsid w:val="007C6484"/>
    <w:rsid w:val="007C67C6"/>
    <w:rsid w:val="007C78BE"/>
    <w:rsid w:val="007C7E59"/>
    <w:rsid w:val="007D0476"/>
    <w:rsid w:val="007D0B91"/>
    <w:rsid w:val="007D1386"/>
    <w:rsid w:val="007D1452"/>
    <w:rsid w:val="007D3DCB"/>
    <w:rsid w:val="007D460C"/>
    <w:rsid w:val="007D4996"/>
    <w:rsid w:val="007D4AD3"/>
    <w:rsid w:val="007D5D19"/>
    <w:rsid w:val="007D5FDC"/>
    <w:rsid w:val="007D6176"/>
    <w:rsid w:val="007D6D68"/>
    <w:rsid w:val="007E32DA"/>
    <w:rsid w:val="007E4998"/>
    <w:rsid w:val="007E4A9C"/>
    <w:rsid w:val="007E6914"/>
    <w:rsid w:val="007E7884"/>
    <w:rsid w:val="007E7F78"/>
    <w:rsid w:val="007F0179"/>
    <w:rsid w:val="007F2C13"/>
    <w:rsid w:val="007F2CEC"/>
    <w:rsid w:val="007F3435"/>
    <w:rsid w:val="007F4BBE"/>
    <w:rsid w:val="007F55DE"/>
    <w:rsid w:val="007F762D"/>
    <w:rsid w:val="007F78F0"/>
    <w:rsid w:val="007F78FF"/>
    <w:rsid w:val="008001C5"/>
    <w:rsid w:val="00800F6C"/>
    <w:rsid w:val="00801065"/>
    <w:rsid w:val="00802C0B"/>
    <w:rsid w:val="008051FC"/>
    <w:rsid w:val="008055A9"/>
    <w:rsid w:val="008056C4"/>
    <w:rsid w:val="008057FD"/>
    <w:rsid w:val="00805D8B"/>
    <w:rsid w:val="00810BB6"/>
    <w:rsid w:val="00810E8E"/>
    <w:rsid w:val="00812C44"/>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34DB"/>
    <w:rsid w:val="00833B7F"/>
    <w:rsid w:val="00833E8E"/>
    <w:rsid w:val="00834906"/>
    <w:rsid w:val="00836075"/>
    <w:rsid w:val="00836417"/>
    <w:rsid w:val="00836A3E"/>
    <w:rsid w:val="00837526"/>
    <w:rsid w:val="008407A7"/>
    <w:rsid w:val="0084322B"/>
    <w:rsid w:val="00843F81"/>
    <w:rsid w:val="00844087"/>
    <w:rsid w:val="00844526"/>
    <w:rsid w:val="008448F1"/>
    <w:rsid w:val="0084519E"/>
    <w:rsid w:val="00845CAE"/>
    <w:rsid w:val="00846370"/>
    <w:rsid w:val="008477E7"/>
    <w:rsid w:val="00847C2B"/>
    <w:rsid w:val="00850272"/>
    <w:rsid w:val="008506B9"/>
    <w:rsid w:val="00851822"/>
    <w:rsid w:val="008532BF"/>
    <w:rsid w:val="008539B2"/>
    <w:rsid w:val="00853BF4"/>
    <w:rsid w:val="00854294"/>
    <w:rsid w:val="0085572E"/>
    <w:rsid w:val="0085788B"/>
    <w:rsid w:val="00857A9E"/>
    <w:rsid w:val="00857DE2"/>
    <w:rsid w:val="00863A8E"/>
    <w:rsid w:val="0086407F"/>
    <w:rsid w:val="008645E3"/>
    <w:rsid w:val="00864E79"/>
    <w:rsid w:val="008655D2"/>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80106"/>
    <w:rsid w:val="00880F95"/>
    <w:rsid w:val="00882B44"/>
    <w:rsid w:val="008838AD"/>
    <w:rsid w:val="008864B3"/>
    <w:rsid w:val="008865E5"/>
    <w:rsid w:val="008871B0"/>
    <w:rsid w:val="00890B57"/>
    <w:rsid w:val="008916BA"/>
    <w:rsid w:val="0089217C"/>
    <w:rsid w:val="00892790"/>
    <w:rsid w:val="008931DA"/>
    <w:rsid w:val="00893671"/>
    <w:rsid w:val="008946DC"/>
    <w:rsid w:val="00895838"/>
    <w:rsid w:val="00895A1E"/>
    <w:rsid w:val="00895A72"/>
    <w:rsid w:val="00895CDF"/>
    <w:rsid w:val="00896679"/>
    <w:rsid w:val="00896D8C"/>
    <w:rsid w:val="008A05A7"/>
    <w:rsid w:val="008A0FC9"/>
    <w:rsid w:val="008A1956"/>
    <w:rsid w:val="008A1A7C"/>
    <w:rsid w:val="008A2CE2"/>
    <w:rsid w:val="008A40D3"/>
    <w:rsid w:val="008A469C"/>
    <w:rsid w:val="008A51D1"/>
    <w:rsid w:val="008A5DCE"/>
    <w:rsid w:val="008A75D3"/>
    <w:rsid w:val="008B00D4"/>
    <w:rsid w:val="008B05DD"/>
    <w:rsid w:val="008B07B8"/>
    <w:rsid w:val="008B17E8"/>
    <w:rsid w:val="008B2E7C"/>
    <w:rsid w:val="008B321A"/>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03C2"/>
    <w:rsid w:val="008D12FB"/>
    <w:rsid w:val="008D3B2D"/>
    <w:rsid w:val="008D58D9"/>
    <w:rsid w:val="008D5AD4"/>
    <w:rsid w:val="008D695E"/>
    <w:rsid w:val="008D6DD5"/>
    <w:rsid w:val="008D6E59"/>
    <w:rsid w:val="008D7155"/>
    <w:rsid w:val="008D76E0"/>
    <w:rsid w:val="008E09F2"/>
    <w:rsid w:val="008E0B29"/>
    <w:rsid w:val="008E141A"/>
    <w:rsid w:val="008E1A44"/>
    <w:rsid w:val="008E1E55"/>
    <w:rsid w:val="008E28E6"/>
    <w:rsid w:val="008E3232"/>
    <w:rsid w:val="008E3674"/>
    <w:rsid w:val="008E3B6C"/>
    <w:rsid w:val="008E3DE7"/>
    <w:rsid w:val="008E562C"/>
    <w:rsid w:val="008E6540"/>
    <w:rsid w:val="008E6D26"/>
    <w:rsid w:val="008E77D4"/>
    <w:rsid w:val="008E79DC"/>
    <w:rsid w:val="008E7ADD"/>
    <w:rsid w:val="008F091F"/>
    <w:rsid w:val="008F17B2"/>
    <w:rsid w:val="008F22B3"/>
    <w:rsid w:val="008F357B"/>
    <w:rsid w:val="008F44CA"/>
    <w:rsid w:val="008F49D3"/>
    <w:rsid w:val="008F62C1"/>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4570"/>
    <w:rsid w:val="00926112"/>
    <w:rsid w:val="0092625F"/>
    <w:rsid w:val="00926B28"/>
    <w:rsid w:val="00926D9C"/>
    <w:rsid w:val="00927028"/>
    <w:rsid w:val="00927763"/>
    <w:rsid w:val="00927A2D"/>
    <w:rsid w:val="00927B37"/>
    <w:rsid w:val="00931917"/>
    <w:rsid w:val="009321B1"/>
    <w:rsid w:val="00932ED7"/>
    <w:rsid w:val="009333CF"/>
    <w:rsid w:val="0093422D"/>
    <w:rsid w:val="0093483B"/>
    <w:rsid w:val="00934CF9"/>
    <w:rsid w:val="00934DD7"/>
    <w:rsid w:val="009369A9"/>
    <w:rsid w:val="00936CF7"/>
    <w:rsid w:val="00937783"/>
    <w:rsid w:val="00937EAD"/>
    <w:rsid w:val="00937F28"/>
    <w:rsid w:val="00940FE1"/>
    <w:rsid w:val="00942306"/>
    <w:rsid w:val="00942384"/>
    <w:rsid w:val="009424B8"/>
    <w:rsid w:val="00944668"/>
    <w:rsid w:val="00944DC6"/>
    <w:rsid w:val="009458B0"/>
    <w:rsid w:val="00945B52"/>
    <w:rsid w:val="00945B7A"/>
    <w:rsid w:val="00945F05"/>
    <w:rsid w:val="00946348"/>
    <w:rsid w:val="00947797"/>
    <w:rsid w:val="009478A2"/>
    <w:rsid w:val="00953808"/>
    <w:rsid w:val="009539A6"/>
    <w:rsid w:val="00954032"/>
    <w:rsid w:val="00954537"/>
    <w:rsid w:val="0095472D"/>
    <w:rsid w:val="00955FBB"/>
    <w:rsid w:val="0095694B"/>
    <w:rsid w:val="00956BD5"/>
    <w:rsid w:val="00956D84"/>
    <w:rsid w:val="009577B5"/>
    <w:rsid w:val="00960110"/>
    <w:rsid w:val="009608E6"/>
    <w:rsid w:val="00960F57"/>
    <w:rsid w:val="00961C90"/>
    <w:rsid w:val="00965443"/>
    <w:rsid w:val="00965954"/>
    <w:rsid w:val="00965A21"/>
    <w:rsid w:val="00965E55"/>
    <w:rsid w:val="0096608E"/>
    <w:rsid w:val="00966522"/>
    <w:rsid w:val="00966C33"/>
    <w:rsid w:val="00966FCB"/>
    <w:rsid w:val="00967285"/>
    <w:rsid w:val="00970F18"/>
    <w:rsid w:val="00971CF1"/>
    <w:rsid w:val="00971F5D"/>
    <w:rsid w:val="009721E9"/>
    <w:rsid w:val="00973772"/>
    <w:rsid w:val="0097471B"/>
    <w:rsid w:val="0097560A"/>
    <w:rsid w:val="00975E1E"/>
    <w:rsid w:val="00975E70"/>
    <w:rsid w:val="009761DE"/>
    <w:rsid w:val="009766FA"/>
    <w:rsid w:val="00977CD6"/>
    <w:rsid w:val="0098048B"/>
    <w:rsid w:val="00980DF9"/>
    <w:rsid w:val="00981150"/>
    <w:rsid w:val="0098243D"/>
    <w:rsid w:val="00982D26"/>
    <w:rsid w:val="00983B6E"/>
    <w:rsid w:val="00983FE5"/>
    <w:rsid w:val="009849E9"/>
    <w:rsid w:val="009859E4"/>
    <w:rsid w:val="00987812"/>
    <w:rsid w:val="00990225"/>
    <w:rsid w:val="00992A13"/>
    <w:rsid w:val="00994AAD"/>
    <w:rsid w:val="00994DE1"/>
    <w:rsid w:val="00995150"/>
    <w:rsid w:val="00995D67"/>
    <w:rsid w:val="009A013B"/>
    <w:rsid w:val="009A02F4"/>
    <w:rsid w:val="009A06BF"/>
    <w:rsid w:val="009A0D17"/>
    <w:rsid w:val="009A2494"/>
    <w:rsid w:val="009A32B1"/>
    <w:rsid w:val="009A33A3"/>
    <w:rsid w:val="009A36F2"/>
    <w:rsid w:val="009A40C3"/>
    <w:rsid w:val="009A40D5"/>
    <w:rsid w:val="009A57D0"/>
    <w:rsid w:val="009A6559"/>
    <w:rsid w:val="009A68FC"/>
    <w:rsid w:val="009A6CE4"/>
    <w:rsid w:val="009A7514"/>
    <w:rsid w:val="009A7E7A"/>
    <w:rsid w:val="009B1584"/>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2913"/>
    <w:rsid w:val="009C2BD4"/>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A0010C"/>
    <w:rsid w:val="00A004DF"/>
    <w:rsid w:val="00A00FD5"/>
    <w:rsid w:val="00A012C0"/>
    <w:rsid w:val="00A019A8"/>
    <w:rsid w:val="00A01B03"/>
    <w:rsid w:val="00A01B89"/>
    <w:rsid w:val="00A02C66"/>
    <w:rsid w:val="00A02C84"/>
    <w:rsid w:val="00A03DFA"/>
    <w:rsid w:val="00A0464C"/>
    <w:rsid w:val="00A050BB"/>
    <w:rsid w:val="00A054E0"/>
    <w:rsid w:val="00A05D91"/>
    <w:rsid w:val="00A0740B"/>
    <w:rsid w:val="00A07ED3"/>
    <w:rsid w:val="00A10CA8"/>
    <w:rsid w:val="00A11042"/>
    <w:rsid w:val="00A12579"/>
    <w:rsid w:val="00A133D8"/>
    <w:rsid w:val="00A15655"/>
    <w:rsid w:val="00A160B0"/>
    <w:rsid w:val="00A1740C"/>
    <w:rsid w:val="00A20069"/>
    <w:rsid w:val="00A2244D"/>
    <w:rsid w:val="00A2253D"/>
    <w:rsid w:val="00A2267F"/>
    <w:rsid w:val="00A22CDB"/>
    <w:rsid w:val="00A247B8"/>
    <w:rsid w:val="00A2495A"/>
    <w:rsid w:val="00A24C7A"/>
    <w:rsid w:val="00A24D8F"/>
    <w:rsid w:val="00A25B8B"/>
    <w:rsid w:val="00A25C5D"/>
    <w:rsid w:val="00A2689F"/>
    <w:rsid w:val="00A26ECA"/>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0155"/>
    <w:rsid w:val="00A61C60"/>
    <w:rsid w:val="00A61ECB"/>
    <w:rsid w:val="00A6410C"/>
    <w:rsid w:val="00A647B1"/>
    <w:rsid w:val="00A64DEF"/>
    <w:rsid w:val="00A654D2"/>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930"/>
    <w:rsid w:val="00A863F7"/>
    <w:rsid w:val="00A86604"/>
    <w:rsid w:val="00A87519"/>
    <w:rsid w:val="00A9246D"/>
    <w:rsid w:val="00A92CCA"/>
    <w:rsid w:val="00A93BD0"/>
    <w:rsid w:val="00A93CC2"/>
    <w:rsid w:val="00A974CC"/>
    <w:rsid w:val="00AA1067"/>
    <w:rsid w:val="00AA2001"/>
    <w:rsid w:val="00AA2B5C"/>
    <w:rsid w:val="00AA32D2"/>
    <w:rsid w:val="00AA4016"/>
    <w:rsid w:val="00AA4C1F"/>
    <w:rsid w:val="00AA5328"/>
    <w:rsid w:val="00AA5393"/>
    <w:rsid w:val="00AA63D4"/>
    <w:rsid w:val="00AB03FD"/>
    <w:rsid w:val="00AB2000"/>
    <w:rsid w:val="00AB2E94"/>
    <w:rsid w:val="00AB38CB"/>
    <w:rsid w:val="00AB3BEC"/>
    <w:rsid w:val="00AB44E4"/>
    <w:rsid w:val="00AB4AEB"/>
    <w:rsid w:val="00AB4E5F"/>
    <w:rsid w:val="00AB5256"/>
    <w:rsid w:val="00AB5352"/>
    <w:rsid w:val="00AB56AE"/>
    <w:rsid w:val="00AB62D5"/>
    <w:rsid w:val="00AB65B5"/>
    <w:rsid w:val="00AB6DCD"/>
    <w:rsid w:val="00AB6EE0"/>
    <w:rsid w:val="00AC17A2"/>
    <w:rsid w:val="00AC3581"/>
    <w:rsid w:val="00AC40B7"/>
    <w:rsid w:val="00AC531F"/>
    <w:rsid w:val="00AC5B36"/>
    <w:rsid w:val="00AC6377"/>
    <w:rsid w:val="00AC66A4"/>
    <w:rsid w:val="00AC6CB1"/>
    <w:rsid w:val="00AC7D6D"/>
    <w:rsid w:val="00AD0091"/>
    <w:rsid w:val="00AD23EF"/>
    <w:rsid w:val="00AD2662"/>
    <w:rsid w:val="00AD307B"/>
    <w:rsid w:val="00AD4014"/>
    <w:rsid w:val="00AD41B3"/>
    <w:rsid w:val="00AD42F3"/>
    <w:rsid w:val="00AD5721"/>
    <w:rsid w:val="00AD5C4D"/>
    <w:rsid w:val="00AD69F0"/>
    <w:rsid w:val="00AD7127"/>
    <w:rsid w:val="00AD730C"/>
    <w:rsid w:val="00AD7795"/>
    <w:rsid w:val="00AE123A"/>
    <w:rsid w:val="00AE1539"/>
    <w:rsid w:val="00AE28A7"/>
    <w:rsid w:val="00AE2A98"/>
    <w:rsid w:val="00AE2CF2"/>
    <w:rsid w:val="00AE3012"/>
    <w:rsid w:val="00AE33A6"/>
    <w:rsid w:val="00AE3729"/>
    <w:rsid w:val="00AE4138"/>
    <w:rsid w:val="00AE4CCE"/>
    <w:rsid w:val="00AE5C6A"/>
    <w:rsid w:val="00AE6317"/>
    <w:rsid w:val="00AE6B62"/>
    <w:rsid w:val="00AE7280"/>
    <w:rsid w:val="00AF033A"/>
    <w:rsid w:val="00AF1699"/>
    <w:rsid w:val="00AF1FD3"/>
    <w:rsid w:val="00AF2910"/>
    <w:rsid w:val="00AF34B8"/>
    <w:rsid w:val="00AF3896"/>
    <w:rsid w:val="00AF3FC2"/>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504A"/>
    <w:rsid w:val="00B25EE6"/>
    <w:rsid w:val="00B3115A"/>
    <w:rsid w:val="00B31825"/>
    <w:rsid w:val="00B31A5C"/>
    <w:rsid w:val="00B33B06"/>
    <w:rsid w:val="00B33C19"/>
    <w:rsid w:val="00B35A15"/>
    <w:rsid w:val="00B35B45"/>
    <w:rsid w:val="00B36A99"/>
    <w:rsid w:val="00B42264"/>
    <w:rsid w:val="00B434B2"/>
    <w:rsid w:val="00B43D45"/>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53D7"/>
    <w:rsid w:val="00B662FF"/>
    <w:rsid w:val="00B66679"/>
    <w:rsid w:val="00B70145"/>
    <w:rsid w:val="00B71A92"/>
    <w:rsid w:val="00B721D8"/>
    <w:rsid w:val="00B730CA"/>
    <w:rsid w:val="00B747C5"/>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10"/>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2F4"/>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4342"/>
    <w:rsid w:val="00BF4704"/>
    <w:rsid w:val="00BF4FFC"/>
    <w:rsid w:val="00BF5050"/>
    <w:rsid w:val="00BF50D1"/>
    <w:rsid w:val="00BF5422"/>
    <w:rsid w:val="00BF59B1"/>
    <w:rsid w:val="00BF6A78"/>
    <w:rsid w:val="00BF7695"/>
    <w:rsid w:val="00BF79B4"/>
    <w:rsid w:val="00BF7C61"/>
    <w:rsid w:val="00C00037"/>
    <w:rsid w:val="00C01427"/>
    <w:rsid w:val="00C014C7"/>
    <w:rsid w:val="00C047AB"/>
    <w:rsid w:val="00C058AF"/>
    <w:rsid w:val="00C075B6"/>
    <w:rsid w:val="00C124C1"/>
    <w:rsid w:val="00C128AE"/>
    <w:rsid w:val="00C12BA8"/>
    <w:rsid w:val="00C136D6"/>
    <w:rsid w:val="00C13902"/>
    <w:rsid w:val="00C13D5B"/>
    <w:rsid w:val="00C141D7"/>
    <w:rsid w:val="00C16F84"/>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60B3"/>
    <w:rsid w:val="00C37027"/>
    <w:rsid w:val="00C37B19"/>
    <w:rsid w:val="00C413CB"/>
    <w:rsid w:val="00C42752"/>
    <w:rsid w:val="00C42973"/>
    <w:rsid w:val="00C44C69"/>
    <w:rsid w:val="00C4712A"/>
    <w:rsid w:val="00C5034F"/>
    <w:rsid w:val="00C50830"/>
    <w:rsid w:val="00C52479"/>
    <w:rsid w:val="00C5266E"/>
    <w:rsid w:val="00C5280F"/>
    <w:rsid w:val="00C52C59"/>
    <w:rsid w:val="00C5349E"/>
    <w:rsid w:val="00C539FF"/>
    <w:rsid w:val="00C544BD"/>
    <w:rsid w:val="00C54D3D"/>
    <w:rsid w:val="00C55A30"/>
    <w:rsid w:val="00C56384"/>
    <w:rsid w:val="00C60F8C"/>
    <w:rsid w:val="00C61794"/>
    <w:rsid w:val="00C62A48"/>
    <w:rsid w:val="00C62AC4"/>
    <w:rsid w:val="00C62B59"/>
    <w:rsid w:val="00C62F96"/>
    <w:rsid w:val="00C631E1"/>
    <w:rsid w:val="00C638D8"/>
    <w:rsid w:val="00C63AE7"/>
    <w:rsid w:val="00C63D26"/>
    <w:rsid w:val="00C6540A"/>
    <w:rsid w:val="00C668A1"/>
    <w:rsid w:val="00C67223"/>
    <w:rsid w:val="00C707B8"/>
    <w:rsid w:val="00C712AC"/>
    <w:rsid w:val="00C71C15"/>
    <w:rsid w:val="00C71F3D"/>
    <w:rsid w:val="00C72F53"/>
    <w:rsid w:val="00C74035"/>
    <w:rsid w:val="00C748EA"/>
    <w:rsid w:val="00C77818"/>
    <w:rsid w:val="00C8063F"/>
    <w:rsid w:val="00C806ED"/>
    <w:rsid w:val="00C81282"/>
    <w:rsid w:val="00C827B4"/>
    <w:rsid w:val="00C83214"/>
    <w:rsid w:val="00C8329F"/>
    <w:rsid w:val="00C84F8A"/>
    <w:rsid w:val="00C85BA4"/>
    <w:rsid w:val="00C8618F"/>
    <w:rsid w:val="00C8625D"/>
    <w:rsid w:val="00C90372"/>
    <w:rsid w:val="00C9041F"/>
    <w:rsid w:val="00C90F54"/>
    <w:rsid w:val="00C9166B"/>
    <w:rsid w:val="00C91A45"/>
    <w:rsid w:val="00C91FB4"/>
    <w:rsid w:val="00C92150"/>
    <w:rsid w:val="00C92328"/>
    <w:rsid w:val="00C92D42"/>
    <w:rsid w:val="00C938C2"/>
    <w:rsid w:val="00C93F8A"/>
    <w:rsid w:val="00C94EA1"/>
    <w:rsid w:val="00C9511B"/>
    <w:rsid w:val="00C95745"/>
    <w:rsid w:val="00C95902"/>
    <w:rsid w:val="00C962E3"/>
    <w:rsid w:val="00C97246"/>
    <w:rsid w:val="00C978E2"/>
    <w:rsid w:val="00C97997"/>
    <w:rsid w:val="00CA10A2"/>
    <w:rsid w:val="00CA1D83"/>
    <w:rsid w:val="00CA25C0"/>
    <w:rsid w:val="00CA3451"/>
    <w:rsid w:val="00CA35C6"/>
    <w:rsid w:val="00CA4948"/>
    <w:rsid w:val="00CA52F9"/>
    <w:rsid w:val="00CA5368"/>
    <w:rsid w:val="00CA568B"/>
    <w:rsid w:val="00CA573A"/>
    <w:rsid w:val="00CA5C58"/>
    <w:rsid w:val="00CA7D80"/>
    <w:rsid w:val="00CB19D7"/>
    <w:rsid w:val="00CB19FE"/>
    <w:rsid w:val="00CB1C3F"/>
    <w:rsid w:val="00CB2364"/>
    <w:rsid w:val="00CB304C"/>
    <w:rsid w:val="00CB3933"/>
    <w:rsid w:val="00CB53E8"/>
    <w:rsid w:val="00CB594A"/>
    <w:rsid w:val="00CB5CB2"/>
    <w:rsid w:val="00CB6979"/>
    <w:rsid w:val="00CB7DDE"/>
    <w:rsid w:val="00CC0A3D"/>
    <w:rsid w:val="00CC1585"/>
    <w:rsid w:val="00CC3C53"/>
    <w:rsid w:val="00CC3D24"/>
    <w:rsid w:val="00CC3F91"/>
    <w:rsid w:val="00CC472A"/>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5DAD"/>
    <w:rsid w:val="00CD72C5"/>
    <w:rsid w:val="00CD79A7"/>
    <w:rsid w:val="00CE0789"/>
    <w:rsid w:val="00CE0E8D"/>
    <w:rsid w:val="00CE1A03"/>
    <w:rsid w:val="00CE2346"/>
    <w:rsid w:val="00CE25B2"/>
    <w:rsid w:val="00CE2687"/>
    <w:rsid w:val="00CE27B7"/>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DEB"/>
    <w:rsid w:val="00CF55F9"/>
    <w:rsid w:val="00CF7074"/>
    <w:rsid w:val="00CF7390"/>
    <w:rsid w:val="00CF7495"/>
    <w:rsid w:val="00D01CF9"/>
    <w:rsid w:val="00D0334D"/>
    <w:rsid w:val="00D0374D"/>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85A"/>
    <w:rsid w:val="00D259B0"/>
    <w:rsid w:val="00D26C3F"/>
    <w:rsid w:val="00D27026"/>
    <w:rsid w:val="00D27185"/>
    <w:rsid w:val="00D30EF8"/>
    <w:rsid w:val="00D32518"/>
    <w:rsid w:val="00D33488"/>
    <w:rsid w:val="00D33AB3"/>
    <w:rsid w:val="00D33F24"/>
    <w:rsid w:val="00D34160"/>
    <w:rsid w:val="00D346B8"/>
    <w:rsid w:val="00D34DCA"/>
    <w:rsid w:val="00D35AC8"/>
    <w:rsid w:val="00D36F87"/>
    <w:rsid w:val="00D37E4E"/>
    <w:rsid w:val="00D400A4"/>
    <w:rsid w:val="00D40DEF"/>
    <w:rsid w:val="00D417D8"/>
    <w:rsid w:val="00D41F78"/>
    <w:rsid w:val="00D42E6C"/>
    <w:rsid w:val="00D4351C"/>
    <w:rsid w:val="00D43B80"/>
    <w:rsid w:val="00D44988"/>
    <w:rsid w:val="00D45B4C"/>
    <w:rsid w:val="00D45BA4"/>
    <w:rsid w:val="00D471AF"/>
    <w:rsid w:val="00D4724F"/>
    <w:rsid w:val="00D50519"/>
    <w:rsid w:val="00D512C8"/>
    <w:rsid w:val="00D51601"/>
    <w:rsid w:val="00D51ECB"/>
    <w:rsid w:val="00D5264C"/>
    <w:rsid w:val="00D52BBC"/>
    <w:rsid w:val="00D537FE"/>
    <w:rsid w:val="00D53CC9"/>
    <w:rsid w:val="00D54A6A"/>
    <w:rsid w:val="00D54B8F"/>
    <w:rsid w:val="00D55951"/>
    <w:rsid w:val="00D559F0"/>
    <w:rsid w:val="00D57EB6"/>
    <w:rsid w:val="00D608C0"/>
    <w:rsid w:val="00D60D6D"/>
    <w:rsid w:val="00D6128C"/>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A7722"/>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A1D"/>
    <w:rsid w:val="00DE15B2"/>
    <w:rsid w:val="00DE1A9A"/>
    <w:rsid w:val="00DE3D2C"/>
    <w:rsid w:val="00DE5E82"/>
    <w:rsid w:val="00DE5FA6"/>
    <w:rsid w:val="00DE6792"/>
    <w:rsid w:val="00DE6AA1"/>
    <w:rsid w:val="00DE795F"/>
    <w:rsid w:val="00DE7AAB"/>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608"/>
    <w:rsid w:val="00DF6CCC"/>
    <w:rsid w:val="00DF6D0C"/>
    <w:rsid w:val="00DF6F64"/>
    <w:rsid w:val="00DF721E"/>
    <w:rsid w:val="00DF7B8A"/>
    <w:rsid w:val="00DF7C87"/>
    <w:rsid w:val="00E009B0"/>
    <w:rsid w:val="00E00A12"/>
    <w:rsid w:val="00E00C49"/>
    <w:rsid w:val="00E01C9C"/>
    <w:rsid w:val="00E0219D"/>
    <w:rsid w:val="00E04C0F"/>
    <w:rsid w:val="00E0570B"/>
    <w:rsid w:val="00E10343"/>
    <w:rsid w:val="00E10913"/>
    <w:rsid w:val="00E10B87"/>
    <w:rsid w:val="00E121CE"/>
    <w:rsid w:val="00E1478B"/>
    <w:rsid w:val="00E14FAC"/>
    <w:rsid w:val="00E15007"/>
    <w:rsid w:val="00E16277"/>
    <w:rsid w:val="00E16EC7"/>
    <w:rsid w:val="00E219CE"/>
    <w:rsid w:val="00E24071"/>
    <w:rsid w:val="00E24EBC"/>
    <w:rsid w:val="00E2522C"/>
    <w:rsid w:val="00E2552F"/>
    <w:rsid w:val="00E2599B"/>
    <w:rsid w:val="00E2710C"/>
    <w:rsid w:val="00E27428"/>
    <w:rsid w:val="00E305B4"/>
    <w:rsid w:val="00E31182"/>
    <w:rsid w:val="00E3197A"/>
    <w:rsid w:val="00E31AFA"/>
    <w:rsid w:val="00E31CB7"/>
    <w:rsid w:val="00E324EE"/>
    <w:rsid w:val="00E32990"/>
    <w:rsid w:val="00E34DB1"/>
    <w:rsid w:val="00E35931"/>
    <w:rsid w:val="00E359FF"/>
    <w:rsid w:val="00E36BD1"/>
    <w:rsid w:val="00E402C5"/>
    <w:rsid w:val="00E402F4"/>
    <w:rsid w:val="00E405F1"/>
    <w:rsid w:val="00E4178B"/>
    <w:rsid w:val="00E417DB"/>
    <w:rsid w:val="00E43054"/>
    <w:rsid w:val="00E43655"/>
    <w:rsid w:val="00E44440"/>
    <w:rsid w:val="00E46013"/>
    <w:rsid w:val="00E47099"/>
    <w:rsid w:val="00E47284"/>
    <w:rsid w:val="00E4730A"/>
    <w:rsid w:val="00E477C3"/>
    <w:rsid w:val="00E47E23"/>
    <w:rsid w:val="00E517A5"/>
    <w:rsid w:val="00E51E16"/>
    <w:rsid w:val="00E53730"/>
    <w:rsid w:val="00E5438D"/>
    <w:rsid w:val="00E54511"/>
    <w:rsid w:val="00E54E50"/>
    <w:rsid w:val="00E55288"/>
    <w:rsid w:val="00E57577"/>
    <w:rsid w:val="00E62043"/>
    <w:rsid w:val="00E626B9"/>
    <w:rsid w:val="00E627C9"/>
    <w:rsid w:val="00E630F3"/>
    <w:rsid w:val="00E6332F"/>
    <w:rsid w:val="00E637C9"/>
    <w:rsid w:val="00E6402D"/>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1257"/>
    <w:rsid w:val="00E92154"/>
    <w:rsid w:val="00E923CF"/>
    <w:rsid w:val="00E93685"/>
    <w:rsid w:val="00E93B65"/>
    <w:rsid w:val="00E93C8C"/>
    <w:rsid w:val="00E95111"/>
    <w:rsid w:val="00E95FDF"/>
    <w:rsid w:val="00EA14C8"/>
    <w:rsid w:val="00EA2110"/>
    <w:rsid w:val="00EA283A"/>
    <w:rsid w:val="00EA2C90"/>
    <w:rsid w:val="00EA2E07"/>
    <w:rsid w:val="00EA383B"/>
    <w:rsid w:val="00EA41E6"/>
    <w:rsid w:val="00EA48F3"/>
    <w:rsid w:val="00EA60BF"/>
    <w:rsid w:val="00EA7365"/>
    <w:rsid w:val="00EA763F"/>
    <w:rsid w:val="00EA77E9"/>
    <w:rsid w:val="00EB05D0"/>
    <w:rsid w:val="00EB1151"/>
    <w:rsid w:val="00EB1D49"/>
    <w:rsid w:val="00EB23D9"/>
    <w:rsid w:val="00EB39A0"/>
    <w:rsid w:val="00EB559F"/>
    <w:rsid w:val="00EB566C"/>
    <w:rsid w:val="00EB5F3D"/>
    <w:rsid w:val="00EB77E5"/>
    <w:rsid w:val="00EC1CEB"/>
    <w:rsid w:val="00EC1DC0"/>
    <w:rsid w:val="00EC1DC2"/>
    <w:rsid w:val="00EC21EC"/>
    <w:rsid w:val="00EC24B8"/>
    <w:rsid w:val="00EC268C"/>
    <w:rsid w:val="00EC3753"/>
    <w:rsid w:val="00EC4E71"/>
    <w:rsid w:val="00EC5F1C"/>
    <w:rsid w:val="00ED0365"/>
    <w:rsid w:val="00ED0865"/>
    <w:rsid w:val="00ED1C60"/>
    <w:rsid w:val="00ED2EB9"/>
    <w:rsid w:val="00ED32D5"/>
    <w:rsid w:val="00ED3722"/>
    <w:rsid w:val="00ED3A31"/>
    <w:rsid w:val="00ED4469"/>
    <w:rsid w:val="00ED5424"/>
    <w:rsid w:val="00ED5F23"/>
    <w:rsid w:val="00ED6DC0"/>
    <w:rsid w:val="00ED7A7A"/>
    <w:rsid w:val="00EE0327"/>
    <w:rsid w:val="00EE038C"/>
    <w:rsid w:val="00EE28C5"/>
    <w:rsid w:val="00EE2F09"/>
    <w:rsid w:val="00EE47C5"/>
    <w:rsid w:val="00EE4885"/>
    <w:rsid w:val="00EE490C"/>
    <w:rsid w:val="00EE4E57"/>
    <w:rsid w:val="00EE5738"/>
    <w:rsid w:val="00EE58BD"/>
    <w:rsid w:val="00EE5E59"/>
    <w:rsid w:val="00EE6549"/>
    <w:rsid w:val="00EE73D0"/>
    <w:rsid w:val="00EE7CB0"/>
    <w:rsid w:val="00EF08A8"/>
    <w:rsid w:val="00EF167B"/>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92C"/>
    <w:rsid w:val="00F069EA"/>
    <w:rsid w:val="00F070E5"/>
    <w:rsid w:val="00F07DDE"/>
    <w:rsid w:val="00F11675"/>
    <w:rsid w:val="00F12557"/>
    <w:rsid w:val="00F13599"/>
    <w:rsid w:val="00F13B28"/>
    <w:rsid w:val="00F14E01"/>
    <w:rsid w:val="00F156A0"/>
    <w:rsid w:val="00F15730"/>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36B2"/>
    <w:rsid w:val="00F43813"/>
    <w:rsid w:val="00F43FEE"/>
    <w:rsid w:val="00F45A72"/>
    <w:rsid w:val="00F46723"/>
    <w:rsid w:val="00F4706D"/>
    <w:rsid w:val="00F476E1"/>
    <w:rsid w:val="00F47D1D"/>
    <w:rsid w:val="00F47F29"/>
    <w:rsid w:val="00F50016"/>
    <w:rsid w:val="00F50058"/>
    <w:rsid w:val="00F5088F"/>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5171"/>
    <w:rsid w:val="00F6560D"/>
    <w:rsid w:val="00F65C23"/>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87"/>
    <w:rsid w:val="00F8288F"/>
    <w:rsid w:val="00F84033"/>
    <w:rsid w:val="00F84802"/>
    <w:rsid w:val="00F85B72"/>
    <w:rsid w:val="00F86540"/>
    <w:rsid w:val="00F865CE"/>
    <w:rsid w:val="00F8766F"/>
    <w:rsid w:val="00F91082"/>
    <w:rsid w:val="00F9116D"/>
    <w:rsid w:val="00F91A9A"/>
    <w:rsid w:val="00F9203B"/>
    <w:rsid w:val="00F93ABB"/>
    <w:rsid w:val="00F94D79"/>
    <w:rsid w:val="00F963A2"/>
    <w:rsid w:val="00F9658C"/>
    <w:rsid w:val="00F97A7F"/>
    <w:rsid w:val="00FA0889"/>
    <w:rsid w:val="00FA16E7"/>
    <w:rsid w:val="00FA31C7"/>
    <w:rsid w:val="00FA472D"/>
    <w:rsid w:val="00FB0CBF"/>
    <w:rsid w:val="00FB18F6"/>
    <w:rsid w:val="00FB2A52"/>
    <w:rsid w:val="00FB3F92"/>
    <w:rsid w:val="00FB52C7"/>
    <w:rsid w:val="00FB57DC"/>
    <w:rsid w:val="00FB6E19"/>
    <w:rsid w:val="00FB71F6"/>
    <w:rsid w:val="00FC0AF8"/>
    <w:rsid w:val="00FC1483"/>
    <w:rsid w:val="00FC1C47"/>
    <w:rsid w:val="00FC3102"/>
    <w:rsid w:val="00FC3493"/>
    <w:rsid w:val="00FC39ED"/>
    <w:rsid w:val="00FC4419"/>
    <w:rsid w:val="00FC47E2"/>
    <w:rsid w:val="00FC4AA5"/>
    <w:rsid w:val="00FC4B88"/>
    <w:rsid w:val="00FC4BB8"/>
    <w:rsid w:val="00FC5148"/>
    <w:rsid w:val="00FC623A"/>
    <w:rsid w:val="00FC6524"/>
    <w:rsid w:val="00FC75AC"/>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1C9B"/>
    <w:rsid w:val="00FF1D49"/>
    <w:rsid w:val="00FF203B"/>
    <w:rsid w:val="00FF2562"/>
    <w:rsid w:val="00FF3A41"/>
    <w:rsid w:val="00FF3E5B"/>
    <w:rsid w:val="00FF57E4"/>
    <w:rsid w:val="00FF78E5"/>
    <w:rsid w:val="0103398B"/>
    <w:rsid w:val="014C1D05"/>
    <w:rsid w:val="015C7AD5"/>
    <w:rsid w:val="01737C26"/>
    <w:rsid w:val="01907316"/>
    <w:rsid w:val="01A433EB"/>
    <w:rsid w:val="01AF3D99"/>
    <w:rsid w:val="01B90B97"/>
    <w:rsid w:val="01E3453D"/>
    <w:rsid w:val="01FF4BEC"/>
    <w:rsid w:val="021741B2"/>
    <w:rsid w:val="02204683"/>
    <w:rsid w:val="02511F9D"/>
    <w:rsid w:val="025F06CD"/>
    <w:rsid w:val="026E0D49"/>
    <w:rsid w:val="02827C52"/>
    <w:rsid w:val="02C76111"/>
    <w:rsid w:val="02CC0355"/>
    <w:rsid w:val="02D6235F"/>
    <w:rsid w:val="030532A9"/>
    <w:rsid w:val="03286A1E"/>
    <w:rsid w:val="032B79A4"/>
    <w:rsid w:val="03305A68"/>
    <w:rsid w:val="033F12EC"/>
    <w:rsid w:val="03407951"/>
    <w:rsid w:val="03535D6B"/>
    <w:rsid w:val="039A08B0"/>
    <w:rsid w:val="03A314B8"/>
    <w:rsid w:val="03D82B98"/>
    <w:rsid w:val="03D964F4"/>
    <w:rsid w:val="03F83E8B"/>
    <w:rsid w:val="04137DFA"/>
    <w:rsid w:val="041E4068"/>
    <w:rsid w:val="0453760B"/>
    <w:rsid w:val="049570A7"/>
    <w:rsid w:val="04BA414C"/>
    <w:rsid w:val="04CD2CEE"/>
    <w:rsid w:val="04D0617E"/>
    <w:rsid w:val="04F358DC"/>
    <w:rsid w:val="04FA60EF"/>
    <w:rsid w:val="04FC24D4"/>
    <w:rsid w:val="05023BEB"/>
    <w:rsid w:val="050E5E84"/>
    <w:rsid w:val="05102192"/>
    <w:rsid w:val="05480236"/>
    <w:rsid w:val="05557587"/>
    <w:rsid w:val="05760640"/>
    <w:rsid w:val="057F4E2B"/>
    <w:rsid w:val="0585008B"/>
    <w:rsid w:val="058F6224"/>
    <w:rsid w:val="05C56868"/>
    <w:rsid w:val="05D74547"/>
    <w:rsid w:val="06040198"/>
    <w:rsid w:val="06083B9D"/>
    <w:rsid w:val="06211C5A"/>
    <w:rsid w:val="06986394"/>
    <w:rsid w:val="06B25549"/>
    <w:rsid w:val="06B96E5F"/>
    <w:rsid w:val="06C91C0B"/>
    <w:rsid w:val="06D86BC4"/>
    <w:rsid w:val="072940AD"/>
    <w:rsid w:val="072E4C95"/>
    <w:rsid w:val="07633118"/>
    <w:rsid w:val="076F3AC2"/>
    <w:rsid w:val="078627A3"/>
    <w:rsid w:val="0795423F"/>
    <w:rsid w:val="07A5201F"/>
    <w:rsid w:val="07B72767"/>
    <w:rsid w:val="07C23DE6"/>
    <w:rsid w:val="08077E72"/>
    <w:rsid w:val="08203C28"/>
    <w:rsid w:val="083C419B"/>
    <w:rsid w:val="084C5E23"/>
    <w:rsid w:val="08744F7A"/>
    <w:rsid w:val="08882DD0"/>
    <w:rsid w:val="08BE34E2"/>
    <w:rsid w:val="08F821C8"/>
    <w:rsid w:val="090A3F9B"/>
    <w:rsid w:val="093A0FE7"/>
    <w:rsid w:val="096D6029"/>
    <w:rsid w:val="09783845"/>
    <w:rsid w:val="09852AD6"/>
    <w:rsid w:val="09860032"/>
    <w:rsid w:val="09921955"/>
    <w:rsid w:val="09CC2AAC"/>
    <w:rsid w:val="09D26E76"/>
    <w:rsid w:val="09DE2A8F"/>
    <w:rsid w:val="0A171D19"/>
    <w:rsid w:val="0A331AD7"/>
    <w:rsid w:val="0A5C3ECC"/>
    <w:rsid w:val="0A643BDF"/>
    <w:rsid w:val="0A652D3E"/>
    <w:rsid w:val="0A6A1AA6"/>
    <w:rsid w:val="0A767E3E"/>
    <w:rsid w:val="0A7B04A7"/>
    <w:rsid w:val="0A865AAC"/>
    <w:rsid w:val="0A9D4A5C"/>
    <w:rsid w:val="0AAB5F5D"/>
    <w:rsid w:val="0AB6063D"/>
    <w:rsid w:val="0ACF6A23"/>
    <w:rsid w:val="0ADA366D"/>
    <w:rsid w:val="0B193B77"/>
    <w:rsid w:val="0B325243"/>
    <w:rsid w:val="0B326F2A"/>
    <w:rsid w:val="0B3D510B"/>
    <w:rsid w:val="0B623221"/>
    <w:rsid w:val="0BE93715"/>
    <w:rsid w:val="0BEA3C78"/>
    <w:rsid w:val="0C11238F"/>
    <w:rsid w:val="0C1E2888"/>
    <w:rsid w:val="0C2D753D"/>
    <w:rsid w:val="0C2E225D"/>
    <w:rsid w:val="0C4502C0"/>
    <w:rsid w:val="0C530F2E"/>
    <w:rsid w:val="0C5361CC"/>
    <w:rsid w:val="0C6F29D6"/>
    <w:rsid w:val="0C92213C"/>
    <w:rsid w:val="0C9F5D63"/>
    <w:rsid w:val="0CAB5D64"/>
    <w:rsid w:val="0CD304AC"/>
    <w:rsid w:val="0D0114AE"/>
    <w:rsid w:val="0D29001E"/>
    <w:rsid w:val="0D325EDF"/>
    <w:rsid w:val="0D414261"/>
    <w:rsid w:val="0D445D4C"/>
    <w:rsid w:val="0D6D5644"/>
    <w:rsid w:val="0D84032B"/>
    <w:rsid w:val="0D953396"/>
    <w:rsid w:val="0D994191"/>
    <w:rsid w:val="0DA2594C"/>
    <w:rsid w:val="0DE53B38"/>
    <w:rsid w:val="0DF75F39"/>
    <w:rsid w:val="0E2B3D03"/>
    <w:rsid w:val="0E5F47DD"/>
    <w:rsid w:val="0E6B66E8"/>
    <w:rsid w:val="0E8F2DCE"/>
    <w:rsid w:val="0EB36C82"/>
    <w:rsid w:val="0ED45624"/>
    <w:rsid w:val="0EE04BDF"/>
    <w:rsid w:val="0EE44AEB"/>
    <w:rsid w:val="0F150F54"/>
    <w:rsid w:val="0F2A74C4"/>
    <w:rsid w:val="0F553015"/>
    <w:rsid w:val="0FC53859"/>
    <w:rsid w:val="0FE030CE"/>
    <w:rsid w:val="10202CC1"/>
    <w:rsid w:val="10A27F31"/>
    <w:rsid w:val="10A753AB"/>
    <w:rsid w:val="10AA5CB1"/>
    <w:rsid w:val="10B54EB2"/>
    <w:rsid w:val="10BF682C"/>
    <w:rsid w:val="10CB29C5"/>
    <w:rsid w:val="10CC3A02"/>
    <w:rsid w:val="10CC6281"/>
    <w:rsid w:val="10D87300"/>
    <w:rsid w:val="10E33AF2"/>
    <w:rsid w:val="110B438A"/>
    <w:rsid w:val="1167339E"/>
    <w:rsid w:val="11927058"/>
    <w:rsid w:val="11A02DC7"/>
    <w:rsid w:val="11AB0C22"/>
    <w:rsid w:val="11EE4343"/>
    <w:rsid w:val="120F3D85"/>
    <w:rsid w:val="12171B57"/>
    <w:rsid w:val="12573688"/>
    <w:rsid w:val="1260151C"/>
    <w:rsid w:val="127F4FEA"/>
    <w:rsid w:val="12AA40AD"/>
    <w:rsid w:val="12BE3B06"/>
    <w:rsid w:val="12BF0B46"/>
    <w:rsid w:val="12EF08E6"/>
    <w:rsid w:val="132516F3"/>
    <w:rsid w:val="133E327C"/>
    <w:rsid w:val="138653A8"/>
    <w:rsid w:val="138C43DE"/>
    <w:rsid w:val="139C5DE4"/>
    <w:rsid w:val="139D71F2"/>
    <w:rsid w:val="13AC3968"/>
    <w:rsid w:val="13AF4F03"/>
    <w:rsid w:val="140A4F68"/>
    <w:rsid w:val="144401A2"/>
    <w:rsid w:val="14670F31"/>
    <w:rsid w:val="14736E66"/>
    <w:rsid w:val="147F458F"/>
    <w:rsid w:val="148954D3"/>
    <w:rsid w:val="14911257"/>
    <w:rsid w:val="14D958EC"/>
    <w:rsid w:val="14FA3E00"/>
    <w:rsid w:val="1531036E"/>
    <w:rsid w:val="1534169A"/>
    <w:rsid w:val="153C3AA0"/>
    <w:rsid w:val="153E0105"/>
    <w:rsid w:val="156D25A1"/>
    <w:rsid w:val="15812F88"/>
    <w:rsid w:val="15911585"/>
    <w:rsid w:val="159513FB"/>
    <w:rsid w:val="159C0EE7"/>
    <w:rsid w:val="15A27358"/>
    <w:rsid w:val="15B14FA7"/>
    <w:rsid w:val="15C03E03"/>
    <w:rsid w:val="15EE508B"/>
    <w:rsid w:val="160F4148"/>
    <w:rsid w:val="162A25EB"/>
    <w:rsid w:val="163E26D6"/>
    <w:rsid w:val="164258D1"/>
    <w:rsid w:val="169F56FE"/>
    <w:rsid w:val="16A44D20"/>
    <w:rsid w:val="16BD6398"/>
    <w:rsid w:val="16D31DF9"/>
    <w:rsid w:val="16E832E7"/>
    <w:rsid w:val="16FD2A55"/>
    <w:rsid w:val="17067C1A"/>
    <w:rsid w:val="172045B4"/>
    <w:rsid w:val="172F08F7"/>
    <w:rsid w:val="17366761"/>
    <w:rsid w:val="17393A34"/>
    <w:rsid w:val="173A76F6"/>
    <w:rsid w:val="177C01F0"/>
    <w:rsid w:val="178167E0"/>
    <w:rsid w:val="17C50D78"/>
    <w:rsid w:val="17CE6630"/>
    <w:rsid w:val="17D32A08"/>
    <w:rsid w:val="17EB3722"/>
    <w:rsid w:val="17EF65A5"/>
    <w:rsid w:val="18016C3F"/>
    <w:rsid w:val="180E6351"/>
    <w:rsid w:val="18750DB1"/>
    <w:rsid w:val="187B48A5"/>
    <w:rsid w:val="18A419CD"/>
    <w:rsid w:val="18CF3339"/>
    <w:rsid w:val="18D90123"/>
    <w:rsid w:val="18EE2472"/>
    <w:rsid w:val="18F77ED0"/>
    <w:rsid w:val="193F68F3"/>
    <w:rsid w:val="19434380"/>
    <w:rsid w:val="19491239"/>
    <w:rsid w:val="19621891"/>
    <w:rsid w:val="196F096A"/>
    <w:rsid w:val="197A7D49"/>
    <w:rsid w:val="197D06B4"/>
    <w:rsid w:val="198F20D9"/>
    <w:rsid w:val="19A842D7"/>
    <w:rsid w:val="19AD5CB2"/>
    <w:rsid w:val="19C607E7"/>
    <w:rsid w:val="19F6165F"/>
    <w:rsid w:val="1A0B68A8"/>
    <w:rsid w:val="1A1B0F5C"/>
    <w:rsid w:val="1A232551"/>
    <w:rsid w:val="1A614813"/>
    <w:rsid w:val="1A782658"/>
    <w:rsid w:val="1A8573D4"/>
    <w:rsid w:val="1AC3132A"/>
    <w:rsid w:val="1AF65A4C"/>
    <w:rsid w:val="1AFC0627"/>
    <w:rsid w:val="1AFF0AFE"/>
    <w:rsid w:val="1B34103B"/>
    <w:rsid w:val="1B39650C"/>
    <w:rsid w:val="1B3C7E5D"/>
    <w:rsid w:val="1B4A093B"/>
    <w:rsid w:val="1B4F19F8"/>
    <w:rsid w:val="1B5C2F75"/>
    <w:rsid w:val="1B6B7470"/>
    <w:rsid w:val="1B736F2A"/>
    <w:rsid w:val="1BAE3D4C"/>
    <w:rsid w:val="1BBD3EBB"/>
    <w:rsid w:val="1BEE7729"/>
    <w:rsid w:val="1C1A42E7"/>
    <w:rsid w:val="1C226F03"/>
    <w:rsid w:val="1C3F670D"/>
    <w:rsid w:val="1C9A50D4"/>
    <w:rsid w:val="1CA823CD"/>
    <w:rsid w:val="1CDE1F2F"/>
    <w:rsid w:val="1CE61E5F"/>
    <w:rsid w:val="1CE76EE2"/>
    <w:rsid w:val="1CF93E51"/>
    <w:rsid w:val="1CFC28BA"/>
    <w:rsid w:val="1D1C46B8"/>
    <w:rsid w:val="1D3943AC"/>
    <w:rsid w:val="1D701B0C"/>
    <w:rsid w:val="1D805CF0"/>
    <w:rsid w:val="1D8F637F"/>
    <w:rsid w:val="1D996796"/>
    <w:rsid w:val="1DA07F2F"/>
    <w:rsid w:val="1DD106A3"/>
    <w:rsid w:val="1DDC41AB"/>
    <w:rsid w:val="1DE721F7"/>
    <w:rsid w:val="1DF4655A"/>
    <w:rsid w:val="1E0450B5"/>
    <w:rsid w:val="1E0B3353"/>
    <w:rsid w:val="1E375346"/>
    <w:rsid w:val="1E657FE9"/>
    <w:rsid w:val="1E6D229A"/>
    <w:rsid w:val="1E72152A"/>
    <w:rsid w:val="1E842C7C"/>
    <w:rsid w:val="1E8C24F9"/>
    <w:rsid w:val="1EBE0ACE"/>
    <w:rsid w:val="1ECC44FA"/>
    <w:rsid w:val="1ECE7147"/>
    <w:rsid w:val="1F063325"/>
    <w:rsid w:val="1F096018"/>
    <w:rsid w:val="1F206483"/>
    <w:rsid w:val="1F4D240C"/>
    <w:rsid w:val="1F50678E"/>
    <w:rsid w:val="1F6A3BA7"/>
    <w:rsid w:val="1F80168B"/>
    <w:rsid w:val="1F843156"/>
    <w:rsid w:val="1F91158B"/>
    <w:rsid w:val="1FBC5DF5"/>
    <w:rsid w:val="1FC16863"/>
    <w:rsid w:val="1FEA075F"/>
    <w:rsid w:val="1FF90588"/>
    <w:rsid w:val="201167D2"/>
    <w:rsid w:val="20213923"/>
    <w:rsid w:val="20245062"/>
    <w:rsid w:val="204D2ACD"/>
    <w:rsid w:val="20BB6724"/>
    <w:rsid w:val="20C3623F"/>
    <w:rsid w:val="20D84C09"/>
    <w:rsid w:val="20F25B07"/>
    <w:rsid w:val="211041C1"/>
    <w:rsid w:val="21781212"/>
    <w:rsid w:val="21B83F86"/>
    <w:rsid w:val="21DA0475"/>
    <w:rsid w:val="21E069CE"/>
    <w:rsid w:val="22106A4D"/>
    <w:rsid w:val="221178A8"/>
    <w:rsid w:val="221213CF"/>
    <w:rsid w:val="22327A92"/>
    <w:rsid w:val="227744D0"/>
    <w:rsid w:val="22B54A03"/>
    <w:rsid w:val="22BB3EC7"/>
    <w:rsid w:val="22DB129D"/>
    <w:rsid w:val="22FA4C94"/>
    <w:rsid w:val="230436F8"/>
    <w:rsid w:val="231D53A2"/>
    <w:rsid w:val="23435214"/>
    <w:rsid w:val="234401DF"/>
    <w:rsid w:val="235477BA"/>
    <w:rsid w:val="236B5786"/>
    <w:rsid w:val="236D5383"/>
    <w:rsid w:val="23A41B75"/>
    <w:rsid w:val="23B134E6"/>
    <w:rsid w:val="23B7504C"/>
    <w:rsid w:val="23BA654A"/>
    <w:rsid w:val="23C509CD"/>
    <w:rsid w:val="24205BC8"/>
    <w:rsid w:val="24354590"/>
    <w:rsid w:val="24571307"/>
    <w:rsid w:val="247C7D19"/>
    <w:rsid w:val="24853335"/>
    <w:rsid w:val="24B34021"/>
    <w:rsid w:val="24BE0ABD"/>
    <w:rsid w:val="24CB4B0D"/>
    <w:rsid w:val="25110A2A"/>
    <w:rsid w:val="251513DA"/>
    <w:rsid w:val="251569DF"/>
    <w:rsid w:val="252F3220"/>
    <w:rsid w:val="25647DF0"/>
    <w:rsid w:val="256C0944"/>
    <w:rsid w:val="25773D5F"/>
    <w:rsid w:val="257E73F2"/>
    <w:rsid w:val="25BE7679"/>
    <w:rsid w:val="25C00F8A"/>
    <w:rsid w:val="25D53DA4"/>
    <w:rsid w:val="25EC2CF7"/>
    <w:rsid w:val="261F4447"/>
    <w:rsid w:val="26446DE3"/>
    <w:rsid w:val="267B0CDC"/>
    <w:rsid w:val="268F6D25"/>
    <w:rsid w:val="269669E7"/>
    <w:rsid w:val="26A744DB"/>
    <w:rsid w:val="26D4005A"/>
    <w:rsid w:val="26D7699F"/>
    <w:rsid w:val="26E26183"/>
    <w:rsid w:val="26E36ACC"/>
    <w:rsid w:val="26F73A2A"/>
    <w:rsid w:val="26FF2BB8"/>
    <w:rsid w:val="27102C21"/>
    <w:rsid w:val="27227C57"/>
    <w:rsid w:val="2750171F"/>
    <w:rsid w:val="2769156F"/>
    <w:rsid w:val="27793F5D"/>
    <w:rsid w:val="27912539"/>
    <w:rsid w:val="27A2622E"/>
    <w:rsid w:val="27A60F83"/>
    <w:rsid w:val="27D24FCB"/>
    <w:rsid w:val="28124EAE"/>
    <w:rsid w:val="282E59EC"/>
    <w:rsid w:val="28785F5E"/>
    <w:rsid w:val="28BE38E2"/>
    <w:rsid w:val="28E626BF"/>
    <w:rsid w:val="28F14595"/>
    <w:rsid w:val="29063629"/>
    <w:rsid w:val="291137B2"/>
    <w:rsid w:val="29263D2E"/>
    <w:rsid w:val="29343A82"/>
    <w:rsid w:val="293D6B2E"/>
    <w:rsid w:val="29462E61"/>
    <w:rsid w:val="29490B21"/>
    <w:rsid w:val="294C3075"/>
    <w:rsid w:val="295E2317"/>
    <w:rsid w:val="296B020D"/>
    <w:rsid w:val="297D3FFE"/>
    <w:rsid w:val="298E07AA"/>
    <w:rsid w:val="29AD0C8B"/>
    <w:rsid w:val="29BB39AC"/>
    <w:rsid w:val="29C5574F"/>
    <w:rsid w:val="29C67FA0"/>
    <w:rsid w:val="29E509C9"/>
    <w:rsid w:val="2A1279FF"/>
    <w:rsid w:val="2A4D3396"/>
    <w:rsid w:val="2A541720"/>
    <w:rsid w:val="2AAC25A6"/>
    <w:rsid w:val="2AD830F7"/>
    <w:rsid w:val="2AE241C5"/>
    <w:rsid w:val="2B305B1D"/>
    <w:rsid w:val="2B6A0459"/>
    <w:rsid w:val="2B774624"/>
    <w:rsid w:val="2B8A5BDD"/>
    <w:rsid w:val="2B8C3FB1"/>
    <w:rsid w:val="2BC83AB9"/>
    <w:rsid w:val="2BF5056F"/>
    <w:rsid w:val="2C1152C7"/>
    <w:rsid w:val="2C1B56AB"/>
    <w:rsid w:val="2C7A72BE"/>
    <w:rsid w:val="2C8A7A52"/>
    <w:rsid w:val="2C9A7D75"/>
    <w:rsid w:val="2CAB1EE9"/>
    <w:rsid w:val="2CB734DA"/>
    <w:rsid w:val="2CB76CC5"/>
    <w:rsid w:val="2CBC587B"/>
    <w:rsid w:val="2CC17412"/>
    <w:rsid w:val="2CCB04B9"/>
    <w:rsid w:val="2CD40732"/>
    <w:rsid w:val="2CF350E3"/>
    <w:rsid w:val="2CFF7BB9"/>
    <w:rsid w:val="2D04594C"/>
    <w:rsid w:val="2D09222D"/>
    <w:rsid w:val="2D0C5851"/>
    <w:rsid w:val="2D1C1975"/>
    <w:rsid w:val="2D304824"/>
    <w:rsid w:val="2D446A9B"/>
    <w:rsid w:val="2D99286E"/>
    <w:rsid w:val="2DA120C4"/>
    <w:rsid w:val="2DAC6336"/>
    <w:rsid w:val="2DC65BA0"/>
    <w:rsid w:val="2DD85E2E"/>
    <w:rsid w:val="2DE23A89"/>
    <w:rsid w:val="2DEA2D77"/>
    <w:rsid w:val="2E41718B"/>
    <w:rsid w:val="2E5F03A4"/>
    <w:rsid w:val="2E717F8B"/>
    <w:rsid w:val="2E8E1E30"/>
    <w:rsid w:val="2E9976CE"/>
    <w:rsid w:val="2F134027"/>
    <w:rsid w:val="2F401D3C"/>
    <w:rsid w:val="2F5B24E1"/>
    <w:rsid w:val="2F704EEA"/>
    <w:rsid w:val="2F8026D7"/>
    <w:rsid w:val="2F8F65C7"/>
    <w:rsid w:val="2FA95C88"/>
    <w:rsid w:val="2FC97926"/>
    <w:rsid w:val="2FD471C0"/>
    <w:rsid w:val="2FF9770A"/>
    <w:rsid w:val="30242658"/>
    <w:rsid w:val="302F4907"/>
    <w:rsid w:val="303B3107"/>
    <w:rsid w:val="3041370F"/>
    <w:rsid w:val="30506D05"/>
    <w:rsid w:val="306D5836"/>
    <w:rsid w:val="308A7A7D"/>
    <w:rsid w:val="3097349C"/>
    <w:rsid w:val="30D32298"/>
    <w:rsid w:val="30EC5E2A"/>
    <w:rsid w:val="30ED1946"/>
    <w:rsid w:val="311B0A1E"/>
    <w:rsid w:val="311F0E80"/>
    <w:rsid w:val="31216B3F"/>
    <w:rsid w:val="312B50A3"/>
    <w:rsid w:val="317172BB"/>
    <w:rsid w:val="318E6873"/>
    <w:rsid w:val="31B46ACE"/>
    <w:rsid w:val="31E93427"/>
    <w:rsid w:val="31F51115"/>
    <w:rsid w:val="32003808"/>
    <w:rsid w:val="321A6930"/>
    <w:rsid w:val="321D2BC6"/>
    <w:rsid w:val="32453A27"/>
    <w:rsid w:val="3263064A"/>
    <w:rsid w:val="3265766A"/>
    <w:rsid w:val="32A43132"/>
    <w:rsid w:val="32AC0C06"/>
    <w:rsid w:val="32AD0CCA"/>
    <w:rsid w:val="32C33CD3"/>
    <w:rsid w:val="32D96FAB"/>
    <w:rsid w:val="33027836"/>
    <w:rsid w:val="33344EF5"/>
    <w:rsid w:val="333A6BDB"/>
    <w:rsid w:val="334F2212"/>
    <w:rsid w:val="335C4122"/>
    <w:rsid w:val="3378161D"/>
    <w:rsid w:val="33B22505"/>
    <w:rsid w:val="33E85CE2"/>
    <w:rsid w:val="33F61D87"/>
    <w:rsid w:val="33FA4335"/>
    <w:rsid w:val="340C46FC"/>
    <w:rsid w:val="341D0201"/>
    <w:rsid w:val="3427058C"/>
    <w:rsid w:val="34272982"/>
    <w:rsid w:val="342B0F4F"/>
    <w:rsid w:val="345B3B52"/>
    <w:rsid w:val="347B2D6D"/>
    <w:rsid w:val="34800FED"/>
    <w:rsid w:val="34802A56"/>
    <w:rsid w:val="348E1C00"/>
    <w:rsid w:val="34B52163"/>
    <w:rsid w:val="34CD3CF5"/>
    <w:rsid w:val="34D72013"/>
    <w:rsid w:val="34EB7D5F"/>
    <w:rsid w:val="34EE1C44"/>
    <w:rsid w:val="352C24DC"/>
    <w:rsid w:val="3537750C"/>
    <w:rsid w:val="3537798C"/>
    <w:rsid w:val="357005A7"/>
    <w:rsid w:val="357A579A"/>
    <w:rsid w:val="358E312C"/>
    <w:rsid w:val="35C13FC9"/>
    <w:rsid w:val="35CE5925"/>
    <w:rsid w:val="35E91989"/>
    <w:rsid w:val="35EF4FE4"/>
    <w:rsid w:val="36085EA6"/>
    <w:rsid w:val="36266D8A"/>
    <w:rsid w:val="364257B6"/>
    <w:rsid w:val="36457D31"/>
    <w:rsid w:val="36923A28"/>
    <w:rsid w:val="369E4AB8"/>
    <w:rsid w:val="3705788F"/>
    <w:rsid w:val="3724059E"/>
    <w:rsid w:val="374E4FB2"/>
    <w:rsid w:val="37725F65"/>
    <w:rsid w:val="37734E19"/>
    <w:rsid w:val="37DE378C"/>
    <w:rsid w:val="37EA5922"/>
    <w:rsid w:val="380C2E7F"/>
    <w:rsid w:val="38134D6C"/>
    <w:rsid w:val="38276B93"/>
    <w:rsid w:val="38336FC4"/>
    <w:rsid w:val="3840210D"/>
    <w:rsid w:val="384D3BF2"/>
    <w:rsid w:val="386A2AA2"/>
    <w:rsid w:val="389430F0"/>
    <w:rsid w:val="38A75615"/>
    <w:rsid w:val="38AC3431"/>
    <w:rsid w:val="38C26745"/>
    <w:rsid w:val="38CD0AA7"/>
    <w:rsid w:val="38E67108"/>
    <w:rsid w:val="38F06097"/>
    <w:rsid w:val="38FE35D2"/>
    <w:rsid w:val="39226DE8"/>
    <w:rsid w:val="392F2E16"/>
    <w:rsid w:val="39363D87"/>
    <w:rsid w:val="39406F09"/>
    <w:rsid w:val="396554F4"/>
    <w:rsid w:val="39791C92"/>
    <w:rsid w:val="39B614C9"/>
    <w:rsid w:val="39D94185"/>
    <w:rsid w:val="39E00529"/>
    <w:rsid w:val="39E359C2"/>
    <w:rsid w:val="39E9733C"/>
    <w:rsid w:val="3A0B6254"/>
    <w:rsid w:val="3A0B64A7"/>
    <w:rsid w:val="3A1C7B1C"/>
    <w:rsid w:val="3A2F182B"/>
    <w:rsid w:val="3A36312B"/>
    <w:rsid w:val="3A3B5CDC"/>
    <w:rsid w:val="3A520B7E"/>
    <w:rsid w:val="3A574DDA"/>
    <w:rsid w:val="3AA73CF1"/>
    <w:rsid w:val="3AD3075A"/>
    <w:rsid w:val="3AD5142D"/>
    <w:rsid w:val="3AD71232"/>
    <w:rsid w:val="3AEA755C"/>
    <w:rsid w:val="3AF74C02"/>
    <w:rsid w:val="3B1A17C0"/>
    <w:rsid w:val="3B447208"/>
    <w:rsid w:val="3B954BE0"/>
    <w:rsid w:val="3B9F1620"/>
    <w:rsid w:val="3BB84161"/>
    <w:rsid w:val="3BC80135"/>
    <w:rsid w:val="3C0059A5"/>
    <w:rsid w:val="3C0D06AF"/>
    <w:rsid w:val="3C134E78"/>
    <w:rsid w:val="3C15518D"/>
    <w:rsid w:val="3C33057E"/>
    <w:rsid w:val="3C334EAF"/>
    <w:rsid w:val="3C3D49BD"/>
    <w:rsid w:val="3C6D16C6"/>
    <w:rsid w:val="3C7665F0"/>
    <w:rsid w:val="3C921FB2"/>
    <w:rsid w:val="3C9E1EBC"/>
    <w:rsid w:val="3CF52957"/>
    <w:rsid w:val="3D147205"/>
    <w:rsid w:val="3D2E6923"/>
    <w:rsid w:val="3D506996"/>
    <w:rsid w:val="3D5F4636"/>
    <w:rsid w:val="3D67163F"/>
    <w:rsid w:val="3D6871A7"/>
    <w:rsid w:val="3D817764"/>
    <w:rsid w:val="3D8458A9"/>
    <w:rsid w:val="3D873FCE"/>
    <w:rsid w:val="3DC72AE0"/>
    <w:rsid w:val="3DEC7285"/>
    <w:rsid w:val="3DF6345D"/>
    <w:rsid w:val="3E2B5515"/>
    <w:rsid w:val="3E3E5EF1"/>
    <w:rsid w:val="3E42660A"/>
    <w:rsid w:val="3E4746B3"/>
    <w:rsid w:val="3E4D4F28"/>
    <w:rsid w:val="3E7F32DC"/>
    <w:rsid w:val="3EB11AC7"/>
    <w:rsid w:val="3EC9706E"/>
    <w:rsid w:val="3ED16D67"/>
    <w:rsid w:val="3ED818CD"/>
    <w:rsid w:val="3EE13701"/>
    <w:rsid w:val="3EE25742"/>
    <w:rsid w:val="3EF06066"/>
    <w:rsid w:val="3F144FB4"/>
    <w:rsid w:val="3F1A4BB3"/>
    <w:rsid w:val="3F4A64D9"/>
    <w:rsid w:val="3F60225A"/>
    <w:rsid w:val="3F934E86"/>
    <w:rsid w:val="3FF317AE"/>
    <w:rsid w:val="3FFA2455"/>
    <w:rsid w:val="40190DDE"/>
    <w:rsid w:val="40192BA6"/>
    <w:rsid w:val="402C58F5"/>
    <w:rsid w:val="40484D68"/>
    <w:rsid w:val="406C324E"/>
    <w:rsid w:val="40761BDC"/>
    <w:rsid w:val="40963BF6"/>
    <w:rsid w:val="40991CAB"/>
    <w:rsid w:val="40B15F11"/>
    <w:rsid w:val="40BE68D5"/>
    <w:rsid w:val="40D43427"/>
    <w:rsid w:val="41071387"/>
    <w:rsid w:val="41184017"/>
    <w:rsid w:val="413D6CFA"/>
    <w:rsid w:val="4151394D"/>
    <w:rsid w:val="415560AD"/>
    <w:rsid w:val="41766EA9"/>
    <w:rsid w:val="41B95839"/>
    <w:rsid w:val="41E40D4D"/>
    <w:rsid w:val="420B027D"/>
    <w:rsid w:val="42145CCA"/>
    <w:rsid w:val="423035D9"/>
    <w:rsid w:val="4253716E"/>
    <w:rsid w:val="42550A18"/>
    <w:rsid w:val="425A4BD1"/>
    <w:rsid w:val="42764C16"/>
    <w:rsid w:val="427B1BBB"/>
    <w:rsid w:val="429D496A"/>
    <w:rsid w:val="42BB1D1E"/>
    <w:rsid w:val="42CC751E"/>
    <w:rsid w:val="42E0276A"/>
    <w:rsid w:val="42EB6093"/>
    <w:rsid w:val="42F473A1"/>
    <w:rsid w:val="42F80FA5"/>
    <w:rsid w:val="4305361D"/>
    <w:rsid w:val="431C26D3"/>
    <w:rsid w:val="431F637C"/>
    <w:rsid w:val="434E3AB8"/>
    <w:rsid w:val="43537F8A"/>
    <w:rsid w:val="43773250"/>
    <w:rsid w:val="44107EE3"/>
    <w:rsid w:val="441E62C0"/>
    <w:rsid w:val="443E50E2"/>
    <w:rsid w:val="44406167"/>
    <w:rsid w:val="44967985"/>
    <w:rsid w:val="44974521"/>
    <w:rsid w:val="449835DD"/>
    <w:rsid w:val="44FB65C3"/>
    <w:rsid w:val="45192471"/>
    <w:rsid w:val="451B7728"/>
    <w:rsid w:val="452F1A92"/>
    <w:rsid w:val="45325D14"/>
    <w:rsid w:val="453566E5"/>
    <w:rsid w:val="4539319B"/>
    <w:rsid w:val="454F4D0B"/>
    <w:rsid w:val="456A5852"/>
    <w:rsid w:val="457338A3"/>
    <w:rsid w:val="45811C7C"/>
    <w:rsid w:val="45906116"/>
    <w:rsid w:val="45A0305D"/>
    <w:rsid w:val="45A03571"/>
    <w:rsid w:val="45B85A57"/>
    <w:rsid w:val="45F51AEF"/>
    <w:rsid w:val="460B016C"/>
    <w:rsid w:val="463B007F"/>
    <w:rsid w:val="46830E83"/>
    <w:rsid w:val="468B3EFB"/>
    <w:rsid w:val="46B93127"/>
    <w:rsid w:val="46D5130D"/>
    <w:rsid w:val="46E15B1B"/>
    <w:rsid w:val="46F96F71"/>
    <w:rsid w:val="470A6193"/>
    <w:rsid w:val="471B4E2C"/>
    <w:rsid w:val="472F3B49"/>
    <w:rsid w:val="47316652"/>
    <w:rsid w:val="47385210"/>
    <w:rsid w:val="474D5830"/>
    <w:rsid w:val="475C3001"/>
    <w:rsid w:val="476276DC"/>
    <w:rsid w:val="47690E29"/>
    <w:rsid w:val="47925F0D"/>
    <w:rsid w:val="479A5F27"/>
    <w:rsid w:val="47A837E0"/>
    <w:rsid w:val="47C567E9"/>
    <w:rsid w:val="47D31E5D"/>
    <w:rsid w:val="47DC4F5C"/>
    <w:rsid w:val="47DD36B3"/>
    <w:rsid w:val="481C7304"/>
    <w:rsid w:val="482C6A5C"/>
    <w:rsid w:val="48391D37"/>
    <w:rsid w:val="48B40671"/>
    <w:rsid w:val="48B469C5"/>
    <w:rsid w:val="48F73DFC"/>
    <w:rsid w:val="490C1B12"/>
    <w:rsid w:val="490D112E"/>
    <w:rsid w:val="493C2711"/>
    <w:rsid w:val="495664BB"/>
    <w:rsid w:val="49785EB7"/>
    <w:rsid w:val="49970DE0"/>
    <w:rsid w:val="499B5738"/>
    <w:rsid w:val="499F244D"/>
    <w:rsid w:val="49F7207A"/>
    <w:rsid w:val="4A105051"/>
    <w:rsid w:val="4A2D0198"/>
    <w:rsid w:val="4A420EE7"/>
    <w:rsid w:val="4A734591"/>
    <w:rsid w:val="4A973F3F"/>
    <w:rsid w:val="4ACD77C9"/>
    <w:rsid w:val="4AE6282E"/>
    <w:rsid w:val="4AF4108E"/>
    <w:rsid w:val="4AF50338"/>
    <w:rsid w:val="4AF96BC7"/>
    <w:rsid w:val="4B136101"/>
    <w:rsid w:val="4B203103"/>
    <w:rsid w:val="4B32607A"/>
    <w:rsid w:val="4B415A54"/>
    <w:rsid w:val="4B464533"/>
    <w:rsid w:val="4B496045"/>
    <w:rsid w:val="4B545C08"/>
    <w:rsid w:val="4B5A416B"/>
    <w:rsid w:val="4B5B5E66"/>
    <w:rsid w:val="4B667F55"/>
    <w:rsid w:val="4B7C6990"/>
    <w:rsid w:val="4B8352F7"/>
    <w:rsid w:val="4B862A85"/>
    <w:rsid w:val="4B8B200B"/>
    <w:rsid w:val="4B98008D"/>
    <w:rsid w:val="4BAC4867"/>
    <w:rsid w:val="4BDE26E5"/>
    <w:rsid w:val="4BF417D4"/>
    <w:rsid w:val="4BF92147"/>
    <w:rsid w:val="4BFE211F"/>
    <w:rsid w:val="4C1C77E2"/>
    <w:rsid w:val="4C3A28DD"/>
    <w:rsid w:val="4C8018E7"/>
    <w:rsid w:val="4C8624FC"/>
    <w:rsid w:val="4C8A38D4"/>
    <w:rsid w:val="4C9C27CC"/>
    <w:rsid w:val="4CA20A24"/>
    <w:rsid w:val="4CB755B1"/>
    <w:rsid w:val="4CEF28C5"/>
    <w:rsid w:val="4CEF36E2"/>
    <w:rsid w:val="4CEF4DC5"/>
    <w:rsid w:val="4CF25996"/>
    <w:rsid w:val="4D171C3B"/>
    <w:rsid w:val="4D313B49"/>
    <w:rsid w:val="4D482BAA"/>
    <w:rsid w:val="4D4873F2"/>
    <w:rsid w:val="4D54264D"/>
    <w:rsid w:val="4D6A5813"/>
    <w:rsid w:val="4D922FBD"/>
    <w:rsid w:val="4D9A766C"/>
    <w:rsid w:val="4DA62246"/>
    <w:rsid w:val="4DC17B81"/>
    <w:rsid w:val="4DEE41E3"/>
    <w:rsid w:val="4DF71805"/>
    <w:rsid w:val="4E17231F"/>
    <w:rsid w:val="4E18496D"/>
    <w:rsid w:val="4E257655"/>
    <w:rsid w:val="4E30596E"/>
    <w:rsid w:val="4E8E7871"/>
    <w:rsid w:val="4EC4406A"/>
    <w:rsid w:val="4EC455C1"/>
    <w:rsid w:val="4ECF231D"/>
    <w:rsid w:val="4EF86E3C"/>
    <w:rsid w:val="4F06496B"/>
    <w:rsid w:val="4F0C1AC6"/>
    <w:rsid w:val="4F127C58"/>
    <w:rsid w:val="4F372380"/>
    <w:rsid w:val="4F372FFB"/>
    <w:rsid w:val="4F71142E"/>
    <w:rsid w:val="4F7A6CA5"/>
    <w:rsid w:val="4FA566C7"/>
    <w:rsid w:val="4FA7341A"/>
    <w:rsid w:val="4FE34F88"/>
    <w:rsid w:val="4FEF4AC6"/>
    <w:rsid w:val="5016589E"/>
    <w:rsid w:val="5025116D"/>
    <w:rsid w:val="50377F99"/>
    <w:rsid w:val="503D7DBA"/>
    <w:rsid w:val="50BF67C9"/>
    <w:rsid w:val="50ED7CC8"/>
    <w:rsid w:val="50FB62A0"/>
    <w:rsid w:val="511E0283"/>
    <w:rsid w:val="51277770"/>
    <w:rsid w:val="515158DB"/>
    <w:rsid w:val="516623C4"/>
    <w:rsid w:val="51B05107"/>
    <w:rsid w:val="51DA39DC"/>
    <w:rsid w:val="51E0241A"/>
    <w:rsid w:val="51EB2462"/>
    <w:rsid w:val="51F1394A"/>
    <w:rsid w:val="522024E6"/>
    <w:rsid w:val="522C6E00"/>
    <w:rsid w:val="52314419"/>
    <w:rsid w:val="52395ECD"/>
    <w:rsid w:val="526D4E29"/>
    <w:rsid w:val="52735E8B"/>
    <w:rsid w:val="52942A0F"/>
    <w:rsid w:val="52B44696"/>
    <w:rsid w:val="52C10D75"/>
    <w:rsid w:val="52C9005D"/>
    <w:rsid w:val="52D55821"/>
    <w:rsid w:val="52EB2FB5"/>
    <w:rsid w:val="533D513A"/>
    <w:rsid w:val="53655BA8"/>
    <w:rsid w:val="53A303CC"/>
    <w:rsid w:val="53C27FF8"/>
    <w:rsid w:val="53EC03B2"/>
    <w:rsid w:val="541057A4"/>
    <w:rsid w:val="544E00F4"/>
    <w:rsid w:val="5475679C"/>
    <w:rsid w:val="548E485C"/>
    <w:rsid w:val="549E1A80"/>
    <w:rsid w:val="54AB108A"/>
    <w:rsid w:val="54C658F4"/>
    <w:rsid w:val="54CB45B1"/>
    <w:rsid w:val="54D07D9F"/>
    <w:rsid w:val="54E0494C"/>
    <w:rsid w:val="54E171CD"/>
    <w:rsid w:val="550C4BD7"/>
    <w:rsid w:val="55322669"/>
    <w:rsid w:val="5539470A"/>
    <w:rsid w:val="554C1D56"/>
    <w:rsid w:val="554E0253"/>
    <w:rsid w:val="555230CF"/>
    <w:rsid w:val="55572986"/>
    <w:rsid w:val="555761AA"/>
    <w:rsid w:val="555E236D"/>
    <w:rsid w:val="557810FB"/>
    <w:rsid w:val="55A82C22"/>
    <w:rsid w:val="55C062DD"/>
    <w:rsid w:val="5607446A"/>
    <w:rsid w:val="56081243"/>
    <w:rsid w:val="561535A4"/>
    <w:rsid w:val="56245CC2"/>
    <w:rsid w:val="56330E85"/>
    <w:rsid w:val="565340FA"/>
    <w:rsid w:val="565C3ECA"/>
    <w:rsid w:val="56636EEC"/>
    <w:rsid w:val="56790914"/>
    <w:rsid w:val="569A7860"/>
    <w:rsid w:val="56AB08A5"/>
    <w:rsid w:val="56B25952"/>
    <w:rsid w:val="56FC519F"/>
    <w:rsid w:val="571B3688"/>
    <w:rsid w:val="571F4860"/>
    <w:rsid w:val="5723343E"/>
    <w:rsid w:val="573D7EAB"/>
    <w:rsid w:val="575757AD"/>
    <w:rsid w:val="57580904"/>
    <w:rsid w:val="578057C8"/>
    <w:rsid w:val="578231ED"/>
    <w:rsid w:val="57856002"/>
    <w:rsid w:val="57893184"/>
    <w:rsid w:val="57AA18F7"/>
    <w:rsid w:val="57DD34B9"/>
    <w:rsid w:val="57E6392C"/>
    <w:rsid w:val="57F706C9"/>
    <w:rsid w:val="58017793"/>
    <w:rsid w:val="585F0868"/>
    <w:rsid w:val="58685C59"/>
    <w:rsid w:val="58697500"/>
    <w:rsid w:val="58843841"/>
    <w:rsid w:val="588753B0"/>
    <w:rsid w:val="5891308F"/>
    <w:rsid w:val="589236B1"/>
    <w:rsid w:val="58C86B99"/>
    <w:rsid w:val="5904102E"/>
    <w:rsid w:val="590A564B"/>
    <w:rsid w:val="590B5A27"/>
    <w:rsid w:val="59415D84"/>
    <w:rsid w:val="594D2B53"/>
    <w:rsid w:val="598813E0"/>
    <w:rsid w:val="5999679A"/>
    <w:rsid w:val="599C38F2"/>
    <w:rsid w:val="59A03BB4"/>
    <w:rsid w:val="59AA0FB1"/>
    <w:rsid w:val="59B91F8C"/>
    <w:rsid w:val="59EF6A42"/>
    <w:rsid w:val="59F20EF7"/>
    <w:rsid w:val="5A2F2CC8"/>
    <w:rsid w:val="5A462C6E"/>
    <w:rsid w:val="5A673F93"/>
    <w:rsid w:val="5A723722"/>
    <w:rsid w:val="5A7D02BC"/>
    <w:rsid w:val="5A81226C"/>
    <w:rsid w:val="5A8D20F7"/>
    <w:rsid w:val="5AAA4EE2"/>
    <w:rsid w:val="5AC95C92"/>
    <w:rsid w:val="5B050AD9"/>
    <w:rsid w:val="5B2B276E"/>
    <w:rsid w:val="5B436D5A"/>
    <w:rsid w:val="5B487697"/>
    <w:rsid w:val="5B570637"/>
    <w:rsid w:val="5B79092D"/>
    <w:rsid w:val="5B7F28A2"/>
    <w:rsid w:val="5B9C3F03"/>
    <w:rsid w:val="5BA26962"/>
    <w:rsid w:val="5BA85879"/>
    <w:rsid w:val="5BC1259B"/>
    <w:rsid w:val="5BC95544"/>
    <w:rsid w:val="5C10205B"/>
    <w:rsid w:val="5C10702D"/>
    <w:rsid w:val="5C14136F"/>
    <w:rsid w:val="5C152601"/>
    <w:rsid w:val="5C1D32A4"/>
    <w:rsid w:val="5C20614F"/>
    <w:rsid w:val="5C591F03"/>
    <w:rsid w:val="5C6C2EAC"/>
    <w:rsid w:val="5C8A1B2F"/>
    <w:rsid w:val="5C96399E"/>
    <w:rsid w:val="5CAF3DCD"/>
    <w:rsid w:val="5D1E0652"/>
    <w:rsid w:val="5D2C1215"/>
    <w:rsid w:val="5D857790"/>
    <w:rsid w:val="5D861815"/>
    <w:rsid w:val="5D8936D2"/>
    <w:rsid w:val="5D914004"/>
    <w:rsid w:val="5DD80331"/>
    <w:rsid w:val="5DD95E29"/>
    <w:rsid w:val="5DDD16DD"/>
    <w:rsid w:val="5DE63881"/>
    <w:rsid w:val="5DF41766"/>
    <w:rsid w:val="5E015F08"/>
    <w:rsid w:val="5E615889"/>
    <w:rsid w:val="5E727AB0"/>
    <w:rsid w:val="5E847BF7"/>
    <w:rsid w:val="5EA0364D"/>
    <w:rsid w:val="5EC8520A"/>
    <w:rsid w:val="5F0341A4"/>
    <w:rsid w:val="5F174D94"/>
    <w:rsid w:val="5F4F5E24"/>
    <w:rsid w:val="5F561B72"/>
    <w:rsid w:val="5F690AE7"/>
    <w:rsid w:val="5F811AD3"/>
    <w:rsid w:val="5F8E3288"/>
    <w:rsid w:val="5F92448C"/>
    <w:rsid w:val="5FA13309"/>
    <w:rsid w:val="5FA55EB8"/>
    <w:rsid w:val="5FBB0ADC"/>
    <w:rsid w:val="5FE00927"/>
    <w:rsid w:val="5FE24EDD"/>
    <w:rsid w:val="5FE3393B"/>
    <w:rsid w:val="5FE437FC"/>
    <w:rsid w:val="5FED0446"/>
    <w:rsid w:val="5FF87C07"/>
    <w:rsid w:val="60014470"/>
    <w:rsid w:val="602A626F"/>
    <w:rsid w:val="603E60FC"/>
    <w:rsid w:val="60504C82"/>
    <w:rsid w:val="606007BB"/>
    <w:rsid w:val="606107BE"/>
    <w:rsid w:val="606163EC"/>
    <w:rsid w:val="60870181"/>
    <w:rsid w:val="608E10F9"/>
    <w:rsid w:val="60AC7F66"/>
    <w:rsid w:val="60C13070"/>
    <w:rsid w:val="60FB1B80"/>
    <w:rsid w:val="611E12A8"/>
    <w:rsid w:val="61226064"/>
    <w:rsid w:val="61291C28"/>
    <w:rsid w:val="613025C6"/>
    <w:rsid w:val="61497909"/>
    <w:rsid w:val="614F0CAD"/>
    <w:rsid w:val="617D6802"/>
    <w:rsid w:val="6189448A"/>
    <w:rsid w:val="61A66546"/>
    <w:rsid w:val="61BD42A4"/>
    <w:rsid w:val="61BF10D9"/>
    <w:rsid w:val="61DA3D4C"/>
    <w:rsid w:val="61F215C9"/>
    <w:rsid w:val="6265481D"/>
    <w:rsid w:val="626A5412"/>
    <w:rsid w:val="62AC22DC"/>
    <w:rsid w:val="62BF2D76"/>
    <w:rsid w:val="62FA4283"/>
    <w:rsid w:val="630871F9"/>
    <w:rsid w:val="630A6917"/>
    <w:rsid w:val="63177FBC"/>
    <w:rsid w:val="633E67A6"/>
    <w:rsid w:val="634714B4"/>
    <w:rsid w:val="635251C8"/>
    <w:rsid w:val="635A3E88"/>
    <w:rsid w:val="635C1FFD"/>
    <w:rsid w:val="63606311"/>
    <w:rsid w:val="63607FA4"/>
    <w:rsid w:val="63724593"/>
    <w:rsid w:val="637833E8"/>
    <w:rsid w:val="63DE0947"/>
    <w:rsid w:val="63ED0102"/>
    <w:rsid w:val="63F14628"/>
    <w:rsid w:val="63F30799"/>
    <w:rsid w:val="63F57857"/>
    <w:rsid w:val="64481274"/>
    <w:rsid w:val="646D1148"/>
    <w:rsid w:val="648743E5"/>
    <w:rsid w:val="64B10E28"/>
    <w:rsid w:val="64BB10E5"/>
    <w:rsid w:val="64C210FC"/>
    <w:rsid w:val="64D8014C"/>
    <w:rsid w:val="64E45EF7"/>
    <w:rsid w:val="651240A3"/>
    <w:rsid w:val="6528541A"/>
    <w:rsid w:val="6544472C"/>
    <w:rsid w:val="65465871"/>
    <w:rsid w:val="654866C3"/>
    <w:rsid w:val="654E2D83"/>
    <w:rsid w:val="6555098E"/>
    <w:rsid w:val="65A20E73"/>
    <w:rsid w:val="65D06BA5"/>
    <w:rsid w:val="65F12154"/>
    <w:rsid w:val="6630196A"/>
    <w:rsid w:val="665253D0"/>
    <w:rsid w:val="66873275"/>
    <w:rsid w:val="668F6FD2"/>
    <w:rsid w:val="6691014E"/>
    <w:rsid w:val="66A0080A"/>
    <w:rsid w:val="66C87CCE"/>
    <w:rsid w:val="66D045C0"/>
    <w:rsid w:val="66E73D86"/>
    <w:rsid w:val="66FB490A"/>
    <w:rsid w:val="67592253"/>
    <w:rsid w:val="677435B2"/>
    <w:rsid w:val="6779688C"/>
    <w:rsid w:val="67814D8C"/>
    <w:rsid w:val="678801E7"/>
    <w:rsid w:val="678D2EAE"/>
    <w:rsid w:val="67E35B9E"/>
    <w:rsid w:val="67EF75F1"/>
    <w:rsid w:val="67F323FA"/>
    <w:rsid w:val="682062DD"/>
    <w:rsid w:val="68327BBE"/>
    <w:rsid w:val="689736F8"/>
    <w:rsid w:val="68B35F15"/>
    <w:rsid w:val="68B72539"/>
    <w:rsid w:val="68C95C06"/>
    <w:rsid w:val="68D23047"/>
    <w:rsid w:val="69124F16"/>
    <w:rsid w:val="69280117"/>
    <w:rsid w:val="693022D8"/>
    <w:rsid w:val="694A5205"/>
    <w:rsid w:val="699105B7"/>
    <w:rsid w:val="69AD518D"/>
    <w:rsid w:val="69CD5C14"/>
    <w:rsid w:val="69CE068D"/>
    <w:rsid w:val="69CF0D33"/>
    <w:rsid w:val="69D73248"/>
    <w:rsid w:val="69D8686C"/>
    <w:rsid w:val="69D96AC3"/>
    <w:rsid w:val="69F567A0"/>
    <w:rsid w:val="6A1A7186"/>
    <w:rsid w:val="6A36068B"/>
    <w:rsid w:val="6A434A35"/>
    <w:rsid w:val="6A4B2209"/>
    <w:rsid w:val="6A5066CB"/>
    <w:rsid w:val="6A512713"/>
    <w:rsid w:val="6A542D51"/>
    <w:rsid w:val="6A6030C4"/>
    <w:rsid w:val="6A7F05D0"/>
    <w:rsid w:val="6AB235AF"/>
    <w:rsid w:val="6ABD719F"/>
    <w:rsid w:val="6AE644C3"/>
    <w:rsid w:val="6AFD4928"/>
    <w:rsid w:val="6B175FBC"/>
    <w:rsid w:val="6B297797"/>
    <w:rsid w:val="6B2F4D3E"/>
    <w:rsid w:val="6B303F71"/>
    <w:rsid w:val="6B374E7A"/>
    <w:rsid w:val="6B4317B4"/>
    <w:rsid w:val="6B4A10E4"/>
    <w:rsid w:val="6B5C4B71"/>
    <w:rsid w:val="6B9946B3"/>
    <w:rsid w:val="6B9B5061"/>
    <w:rsid w:val="6BF5106A"/>
    <w:rsid w:val="6C072825"/>
    <w:rsid w:val="6C241930"/>
    <w:rsid w:val="6C2D0A9C"/>
    <w:rsid w:val="6C4052D5"/>
    <w:rsid w:val="6C431EF3"/>
    <w:rsid w:val="6C4E6902"/>
    <w:rsid w:val="6C662189"/>
    <w:rsid w:val="6C6B22D7"/>
    <w:rsid w:val="6C6C2F38"/>
    <w:rsid w:val="6C7007C7"/>
    <w:rsid w:val="6C8C2B67"/>
    <w:rsid w:val="6C8D38AF"/>
    <w:rsid w:val="6C8D7684"/>
    <w:rsid w:val="6CB04275"/>
    <w:rsid w:val="6CDC07DA"/>
    <w:rsid w:val="6CF92C55"/>
    <w:rsid w:val="6D4C7D54"/>
    <w:rsid w:val="6D60703C"/>
    <w:rsid w:val="6D68310A"/>
    <w:rsid w:val="6D6D4330"/>
    <w:rsid w:val="6D6F0C29"/>
    <w:rsid w:val="6D8A6D38"/>
    <w:rsid w:val="6D915D95"/>
    <w:rsid w:val="6D94625C"/>
    <w:rsid w:val="6D9B53CB"/>
    <w:rsid w:val="6DB63374"/>
    <w:rsid w:val="6DCE63CD"/>
    <w:rsid w:val="6DE76850"/>
    <w:rsid w:val="6DF8337B"/>
    <w:rsid w:val="6E184B0E"/>
    <w:rsid w:val="6E1A3980"/>
    <w:rsid w:val="6E2B50E3"/>
    <w:rsid w:val="6E506EFF"/>
    <w:rsid w:val="6E8059E4"/>
    <w:rsid w:val="6E9E45BF"/>
    <w:rsid w:val="6EA34CC4"/>
    <w:rsid w:val="6EC00BE3"/>
    <w:rsid w:val="6EE54F57"/>
    <w:rsid w:val="6F055DD7"/>
    <w:rsid w:val="6F6B76CB"/>
    <w:rsid w:val="6F6E0ACF"/>
    <w:rsid w:val="6F753C1F"/>
    <w:rsid w:val="6FB20BD4"/>
    <w:rsid w:val="6FB650F7"/>
    <w:rsid w:val="6FB75277"/>
    <w:rsid w:val="6FBA59BE"/>
    <w:rsid w:val="6FD7425E"/>
    <w:rsid w:val="6FF16C9A"/>
    <w:rsid w:val="6FF2418B"/>
    <w:rsid w:val="6FFC1A3E"/>
    <w:rsid w:val="702726F0"/>
    <w:rsid w:val="70296B3E"/>
    <w:rsid w:val="704255C1"/>
    <w:rsid w:val="704751B9"/>
    <w:rsid w:val="70497291"/>
    <w:rsid w:val="705B357E"/>
    <w:rsid w:val="70611204"/>
    <w:rsid w:val="70BF0EE0"/>
    <w:rsid w:val="70C20C9C"/>
    <w:rsid w:val="70D01410"/>
    <w:rsid w:val="70D32204"/>
    <w:rsid w:val="70F15847"/>
    <w:rsid w:val="70FA40CB"/>
    <w:rsid w:val="713116FD"/>
    <w:rsid w:val="71370AC8"/>
    <w:rsid w:val="71411D50"/>
    <w:rsid w:val="71434E47"/>
    <w:rsid w:val="71486F7F"/>
    <w:rsid w:val="71662A10"/>
    <w:rsid w:val="71982A8B"/>
    <w:rsid w:val="72204649"/>
    <w:rsid w:val="722C5869"/>
    <w:rsid w:val="724B2AA1"/>
    <w:rsid w:val="727D6954"/>
    <w:rsid w:val="72844D41"/>
    <w:rsid w:val="72862C7E"/>
    <w:rsid w:val="72896E7B"/>
    <w:rsid w:val="728976DF"/>
    <w:rsid w:val="72B13AAA"/>
    <w:rsid w:val="72CF4F19"/>
    <w:rsid w:val="72EC79FB"/>
    <w:rsid w:val="733D16A9"/>
    <w:rsid w:val="73425548"/>
    <w:rsid w:val="73445350"/>
    <w:rsid w:val="73514DB1"/>
    <w:rsid w:val="73530A61"/>
    <w:rsid w:val="736A73D7"/>
    <w:rsid w:val="737C5261"/>
    <w:rsid w:val="738A77D2"/>
    <w:rsid w:val="73AC15DC"/>
    <w:rsid w:val="73C05A2C"/>
    <w:rsid w:val="73C73C53"/>
    <w:rsid w:val="73D03F93"/>
    <w:rsid w:val="73F27930"/>
    <w:rsid w:val="74121260"/>
    <w:rsid w:val="743462D3"/>
    <w:rsid w:val="743E7D5E"/>
    <w:rsid w:val="7441374C"/>
    <w:rsid w:val="744149C3"/>
    <w:rsid w:val="74A93E5A"/>
    <w:rsid w:val="74C633BB"/>
    <w:rsid w:val="74FA2C30"/>
    <w:rsid w:val="75066EB4"/>
    <w:rsid w:val="751D1A0B"/>
    <w:rsid w:val="753B09F7"/>
    <w:rsid w:val="754D5C4B"/>
    <w:rsid w:val="756C78B0"/>
    <w:rsid w:val="757E50F6"/>
    <w:rsid w:val="75855224"/>
    <w:rsid w:val="75A05064"/>
    <w:rsid w:val="75CB60C0"/>
    <w:rsid w:val="75E76F6F"/>
    <w:rsid w:val="75EA323F"/>
    <w:rsid w:val="75EC127C"/>
    <w:rsid w:val="75F142DB"/>
    <w:rsid w:val="760B3F34"/>
    <w:rsid w:val="76334397"/>
    <w:rsid w:val="765B4F30"/>
    <w:rsid w:val="766C4E79"/>
    <w:rsid w:val="767D07C6"/>
    <w:rsid w:val="76A143E8"/>
    <w:rsid w:val="76C240A7"/>
    <w:rsid w:val="76C33714"/>
    <w:rsid w:val="76C8773D"/>
    <w:rsid w:val="76E011E8"/>
    <w:rsid w:val="770828C7"/>
    <w:rsid w:val="770F3331"/>
    <w:rsid w:val="77315AC4"/>
    <w:rsid w:val="775246B7"/>
    <w:rsid w:val="77583C37"/>
    <w:rsid w:val="775974AF"/>
    <w:rsid w:val="77977DAD"/>
    <w:rsid w:val="77CA234A"/>
    <w:rsid w:val="77FA4C87"/>
    <w:rsid w:val="781E69D1"/>
    <w:rsid w:val="782A2DF7"/>
    <w:rsid w:val="7849255A"/>
    <w:rsid w:val="78DE4305"/>
    <w:rsid w:val="797F0359"/>
    <w:rsid w:val="79962040"/>
    <w:rsid w:val="799A2861"/>
    <w:rsid w:val="79A25882"/>
    <w:rsid w:val="79BC014A"/>
    <w:rsid w:val="79BC34FC"/>
    <w:rsid w:val="79C95D86"/>
    <w:rsid w:val="79D042C8"/>
    <w:rsid w:val="79EE773C"/>
    <w:rsid w:val="7A263B6B"/>
    <w:rsid w:val="7A2B7028"/>
    <w:rsid w:val="7A2D01BD"/>
    <w:rsid w:val="7A573C85"/>
    <w:rsid w:val="7A6D67DD"/>
    <w:rsid w:val="7A7106D0"/>
    <w:rsid w:val="7A8E7E6B"/>
    <w:rsid w:val="7A9F3904"/>
    <w:rsid w:val="7AF46346"/>
    <w:rsid w:val="7AF753E6"/>
    <w:rsid w:val="7B0F5EBF"/>
    <w:rsid w:val="7B130FB9"/>
    <w:rsid w:val="7B14483E"/>
    <w:rsid w:val="7B1C0A25"/>
    <w:rsid w:val="7B2611AB"/>
    <w:rsid w:val="7B4E6A0D"/>
    <w:rsid w:val="7B641BCE"/>
    <w:rsid w:val="7B770612"/>
    <w:rsid w:val="7B875F34"/>
    <w:rsid w:val="7BCC4FA8"/>
    <w:rsid w:val="7BDD6F19"/>
    <w:rsid w:val="7BF64EDE"/>
    <w:rsid w:val="7C221C6B"/>
    <w:rsid w:val="7C400C1E"/>
    <w:rsid w:val="7C4577FB"/>
    <w:rsid w:val="7C99714C"/>
    <w:rsid w:val="7CA07DE8"/>
    <w:rsid w:val="7CA53FD5"/>
    <w:rsid w:val="7CB416DE"/>
    <w:rsid w:val="7CB50883"/>
    <w:rsid w:val="7CBE6D5D"/>
    <w:rsid w:val="7CC61C8D"/>
    <w:rsid w:val="7CDD1808"/>
    <w:rsid w:val="7CF57CC1"/>
    <w:rsid w:val="7D0B5456"/>
    <w:rsid w:val="7D352792"/>
    <w:rsid w:val="7D563551"/>
    <w:rsid w:val="7D6F6791"/>
    <w:rsid w:val="7D7F289D"/>
    <w:rsid w:val="7D830B9D"/>
    <w:rsid w:val="7D95172F"/>
    <w:rsid w:val="7DB23C3E"/>
    <w:rsid w:val="7DD11708"/>
    <w:rsid w:val="7DF813B2"/>
    <w:rsid w:val="7E0763E6"/>
    <w:rsid w:val="7E1202A7"/>
    <w:rsid w:val="7E156055"/>
    <w:rsid w:val="7E2D7872"/>
    <w:rsid w:val="7E417307"/>
    <w:rsid w:val="7E483654"/>
    <w:rsid w:val="7E522C19"/>
    <w:rsid w:val="7E576F8D"/>
    <w:rsid w:val="7E5C0F61"/>
    <w:rsid w:val="7E8E6EBF"/>
    <w:rsid w:val="7EB81164"/>
    <w:rsid w:val="7EBD579E"/>
    <w:rsid w:val="7EC167BD"/>
    <w:rsid w:val="7ECB1518"/>
    <w:rsid w:val="7ED56D33"/>
    <w:rsid w:val="7EFC345C"/>
    <w:rsid w:val="7F1A6960"/>
    <w:rsid w:val="7F272D9E"/>
    <w:rsid w:val="7F507488"/>
    <w:rsid w:val="7F687D9B"/>
    <w:rsid w:val="7F6E49EE"/>
    <w:rsid w:val="7F7818B1"/>
    <w:rsid w:val="7F7848F6"/>
    <w:rsid w:val="7FC75C5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40"/>
    <w:qFormat/>
    <w:uiPriority w:val="9"/>
    <w:pPr>
      <w:keepNext/>
      <w:keepLines/>
      <w:spacing w:before="260" w:after="260" w:line="416" w:lineRule="auto"/>
      <w:outlineLvl w:val="2"/>
    </w:pPr>
    <w:rPr>
      <w:b/>
      <w:bCs/>
      <w:sz w:val="32"/>
      <w:szCs w:val="32"/>
    </w:rPr>
  </w:style>
  <w:style w:type="paragraph" w:styleId="5">
    <w:name w:val="heading 5"/>
    <w:basedOn w:val="1"/>
    <w:next w:val="6"/>
    <w:link w:val="41"/>
    <w:qFormat/>
    <w:uiPriority w:val="9"/>
    <w:pPr>
      <w:keepNext/>
      <w:keepLines/>
      <w:spacing w:before="280" w:after="290" w:line="376" w:lineRule="auto"/>
      <w:outlineLvl w:val="4"/>
    </w:pPr>
    <w:rPr>
      <w:b/>
      <w:bCs/>
      <w:sz w:val="28"/>
      <w:szCs w:val="28"/>
    </w:rPr>
  </w:style>
  <w:style w:type="paragraph" w:styleId="7">
    <w:name w:val="heading 8"/>
    <w:basedOn w:val="1"/>
    <w:next w:val="1"/>
    <w:link w:val="42"/>
    <w:qFormat/>
    <w:uiPriority w:val="9"/>
    <w:pPr>
      <w:keepNext/>
      <w:keepLines/>
      <w:spacing w:before="240" w:after="64" w:line="320" w:lineRule="auto"/>
      <w:outlineLvl w:val="7"/>
    </w:pPr>
    <w:rPr>
      <w:rFonts w:ascii="等线 Light" w:hAnsi="等线 Light" w:eastAsia="等线 Light"/>
      <w:sz w:val="24"/>
    </w:rPr>
  </w:style>
  <w:style w:type="character" w:default="1" w:styleId="30">
    <w:name w:val="Default Paragraph Font"/>
    <w:unhideWhenUsed/>
    <w:qFormat/>
    <w:uiPriority w:val="1"/>
  </w:style>
  <w:style w:type="table" w:default="1" w:styleId="28">
    <w:name w:val="Normal Table"/>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8">
    <w:name w:val="index 8"/>
    <w:basedOn w:val="1"/>
    <w:next w:val="1"/>
    <w:qFormat/>
    <w:uiPriority w:val="0"/>
    <w:pPr>
      <w:ind w:left="2940"/>
    </w:pPr>
  </w:style>
  <w:style w:type="paragraph" w:styleId="9">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0">
    <w:name w:val="annotation text"/>
    <w:basedOn w:val="1"/>
    <w:link w:val="43"/>
    <w:qFormat/>
    <w:uiPriority w:val="0"/>
    <w:pPr>
      <w:jc w:val="left"/>
    </w:pPr>
  </w:style>
  <w:style w:type="paragraph" w:styleId="11">
    <w:name w:val="Body Text 3"/>
    <w:basedOn w:val="1"/>
    <w:link w:val="44"/>
    <w:unhideWhenUsed/>
    <w:qFormat/>
    <w:uiPriority w:val="99"/>
    <w:pPr>
      <w:spacing w:after="120"/>
    </w:pPr>
    <w:rPr>
      <w:sz w:val="16"/>
      <w:szCs w:val="16"/>
    </w:rPr>
  </w:style>
  <w:style w:type="paragraph" w:styleId="12">
    <w:name w:val="Body Text"/>
    <w:basedOn w:val="1"/>
    <w:link w:val="45"/>
    <w:unhideWhenUsed/>
    <w:qFormat/>
    <w:uiPriority w:val="0"/>
    <w:pPr>
      <w:spacing w:after="120"/>
    </w:pPr>
  </w:style>
  <w:style w:type="paragraph" w:styleId="13">
    <w:name w:val="Body Text Indent"/>
    <w:basedOn w:val="1"/>
    <w:next w:val="14"/>
    <w:link w:val="46"/>
    <w:qFormat/>
    <w:uiPriority w:val="0"/>
    <w:pPr>
      <w:ind w:firstLine="830" w:firstLineChars="352"/>
    </w:pPr>
    <w:rPr>
      <w:rFonts w:ascii="仿宋_GB2312" w:eastAsia="仿宋_GB2312"/>
      <w:kern w:val="0"/>
      <w:sz w:val="32"/>
      <w:szCs w:val="20"/>
    </w:rPr>
  </w:style>
  <w:style w:type="paragraph" w:styleId="14">
    <w:name w:val="annotation subject"/>
    <w:basedOn w:val="10"/>
    <w:next w:val="1"/>
    <w:link w:val="47"/>
    <w:qFormat/>
    <w:uiPriority w:val="99"/>
    <w:rPr>
      <w:b/>
      <w:bCs/>
    </w:rPr>
  </w:style>
  <w:style w:type="paragraph" w:styleId="15">
    <w:name w:val="List 2"/>
    <w:basedOn w:val="1"/>
    <w:unhideWhenUsed/>
    <w:qFormat/>
    <w:uiPriority w:val="99"/>
    <w:pPr>
      <w:ind w:left="100" w:leftChars="200" w:hanging="200" w:hangingChars="200"/>
      <w:contextualSpacing/>
    </w:pPr>
  </w:style>
  <w:style w:type="paragraph" w:styleId="16">
    <w:name w:val="toc 3"/>
    <w:basedOn w:val="1"/>
    <w:next w:val="1"/>
    <w:unhideWhenUsed/>
    <w:qFormat/>
    <w:uiPriority w:val="39"/>
    <w:pPr>
      <w:ind w:left="840" w:leftChars="400"/>
    </w:pPr>
  </w:style>
  <w:style w:type="paragraph" w:styleId="17">
    <w:name w:val="Plain Text"/>
    <w:basedOn w:val="1"/>
    <w:next w:val="18"/>
    <w:link w:val="48"/>
    <w:qFormat/>
    <w:uiPriority w:val="0"/>
    <w:rPr>
      <w:rFonts w:ascii="宋体" w:hAnsi="Courier New"/>
      <w:kern w:val="0"/>
      <w:sz w:val="20"/>
      <w:szCs w:val="21"/>
    </w:rPr>
  </w:style>
  <w:style w:type="paragraph" w:customStyle="1" w:styleId="18">
    <w:name w:val="TOC 标题2"/>
    <w:next w:val="1"/>
    <w:qFormat/>
    <w:uiPriority w:val="99"/>
    <w:pPr>
      <w:wordWrap w:val="0"/>
    </w:pPr>
    <w:rPr>
      <w:rFonts w:ascii="Times New Roman" w:hAnsi="Times New Roman" w:eastAsia="宋体" w:cs="Times New Roman"/>
      <w:sz w:val="32"/>
      <w:lang w:val="en-US" w:eastAsia="zh-CN" w:bidi="ar-SA"/>
    </w:rPr>
  </w:style>
  <w:style w:type="paragraph" w:styleId="19">
    <w:name w:val="Date"/>
    <w:basedOn w:val="1"/>
    <w:next w:val="1"/>
    <w:link w:val="49"/>
    <w:unhideWhenUsed/>
    <w:qFormat/>
    <w:uiPriority w:val="99"/>
    <w:pPr>
      <w:ind w:left="100" w:leftChars="2500"/>
    </w:pPr>
  </w:style>
  <w:style w:type="paragraph" w:styleId="20">
    <w:name w:val="Balloon Text"/>
    <w:basedOn w:val="1"/>
    <w:semiHidden/>
    <w:qFormat/>
    <w:uiPriority w:val="0"/>
    <w:rPr>
      <w:sz w:val="18"/>
      <w:szCs w:val="18"/>
    </w:rPr>
  </w:style>
  <w:style w:type="paragraph" w:styleId="21">
    <w:name w:val="footer"/>
    <w:basedOn w:val="1"/>
    <w:next w:val="1"/>
    <w:link w:val="50"/>
    <w:unhideWhenUsed/>
    <w:qFormat/>
    <w:uiPriority w:val="99"/>
    <w:pPr>
      <w:tabs>
        <w:tab w:val="center" w:pos="4153"/>
        <w:tab w:val="right" w:pos="8306"/>
      </w:tabs>
      <w:snapToGrid w:val="0"/>
      <w:jc w:val="left"/>
    </w:pPr>
    <w:rPr>
      <w:kern w:val="0"/>
      <w:sz w:val="18"/>
      <w:szCs w:val="18"/>
    </w:rPr>
  </w:style>
  <w:style w:type="paragraph" w:styleId="22">
    <w:name w:val="header"/>
    <w:basedOn w:val="1"/>
    <w:link w:val="5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3">
    <w:name w:val="toc 1"/>
    <w:basedOn w:val="1"/>
    <w:next w:val="1"/>
    <w:unhideWhenUsed/>
    <w:qFormat/>
    <w:uiPriority w:val="39"/>
  </w:style>
  <w:style w:type="paragraph" w:styleId="24">
    <w:name w:val="List"/>
    <w:basedOn w:val="1"/>
    <w:unhideWhenUsed/>
    <w:qFormat/>
    <w:uiPriority w:val="99"/>
    <w:pPr>
      <w:ind w:left="200" w:hanging="200" w:hangingChars="200"/>
      <w:contextualSpacing/>
    </w:pPr>
  </w:style>
  <w:style w:type="paragraph" w:styleId="25">
    <w:name w:val="toc 2"/>
    <w:basedOn w:val="1"/>
    <w:next w:val="1"/>
    <w:unhideWhenUsed/>
    <w:qFormat/>
    <w:uiPriority w:val="39"/>
    <w:pPr>
      <w:tabs>
        <w:tab w:val="right" w:leader="dot" w:pos="8296"/>
      </w:tabs>
      <w:ind w:left="420" w:leftChars="200"/>
    </w:pPr>
  </w:style>
  <w:style w:type="paragraph" w:styleId="26">
    <w:name w:val="Normal (Web)"/>
    <w:basedOn w:val="1"/>
    <w:unhideWhenUsed/>
    <w:qFormat/>
    <w:uiPriority w:val="99"/>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27">
    <w:name w:val="Body Text First Indent 2"/>
    <w:basedOn w:val="13"/>
    <w:qFormat/>
    <w:uiPriority w:val="0"/>
    <w:pPr>
      <w:autoSpaceDE w:val="0"/>
      <w:autoSpaceDN w:val="0"/>
      <w:spacing w:after="120" w:afterLines="0" w:line="360" w:lineRule="auto"/>
      <w:ind w:left="420" w:leftChars="200" w:firstLine="420" w:firstLineChars="200"/>
    </w:pPr>
    <w:rPr>
      <w:sz w:val="21"/>
      <w:szCs w:val="24"/>
    </w:rPr>
  </w:style>
  <w:style w:type="table" w:styleId="29">
    <w:name w:val="Table Grid"/>
    <w:basedOn w:val="2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1">
    <w:name w:val="Strong"/>
    <w:basedOn w:val="30"/>
    <w:qFormat/>
    <w:uiPriority w:val="0"/>
    <w:rPr>
      <w:b/>
    </w:rPr>
  </w:style>
  <w:style w:type="character" w:styleId="32">
    <w:name w:val="endnote reference"/>
    <w:unhideWhenUsed/>
    <w:qFormat/>
    <w:uiPriority w:val="99"/>
    <w:rPr>
      <w:vertAlign w:val="superscript"/>
    </w:rPr>
  </w:style>
  <w:style w:type="character" w:styleId="33">
    <w:name w:val="page number"/>
    <w:basedOn w:val="30"/>
    <w:qFormat/>
    <w:uiPriority w:val="0"/>
  </w:style>
  <w:style w:type="character" w:styleId="34">
    <w:name w:val="FollowedHyperlink"/>
    <w:basedOn w:val="30"/>
    <w:unhideWhenUsed/>
    <w:qFormat/>
    <w:uiPriority w:val="99"/>
    <w:rPr>
      <w:color w:val="800080"/>
      <w:u w:val="single"/>
    </w:rPr>
  </w:style>
  <w:style w:type="character" w:styleId="35">
    <w:name w:val="Emphasis"/>
    <w:basedOn w:val="30"/>
    <w:qFormat/>
    <w:uiPriority w:val="0"/>
    <w:rPr>
      <w:i/>
    </w:rPr>
  </w:style>
  <w:style w:type="character" w:styleId="36">
    <w:name w:val="Hyperlink"/>
    <w:unhideWhenUsed/>
    <w:qFormat/>
    <w:uiPriority w:val="99"/>
    <w:rPr>
      <w:color w:val="0000FF"/>
      <w:u w:val="single"/>
    </w:rPr>
  </w:style>
  <w:style w:type="character" w:styleId="37">
    <w:name w:val="annotation reference"/>
    <w:qFormat/>
    <w:uiPriority w:val="99"/>
    <w:rPr>
      <w:sz w:val="21"/>
      <w:szCs w:val="21"/>
    </w:rPr>
  </w:style>
  <w:style w:type="character" w:customStyle="1" w:styleId="38">
    <w:name w:val="标题 1 字符"/>
    <w:link w:val="2"/>
    <w:qFormat/>
    <w:uiPriority w:val="9"/>
    <w:rPr>
      <w:b/>
      <w:bCs/>
      <w:kern w:val="44"/>
      <w:sz w:val="44"/>
      <w:szCs w:val="44"/>
    </w:rPr>
  </w:style>
  <w:style w:type="character" w:customStyle="1" w:styleId="39">
    <w:name w:val="标题 2 字符"/>
    <w:link w:val="3"/>
    <w:qFormat/>
    <w:uiPriority w:val="9"/>
    <w:rPr>
      <w:rFonts w:ascii="Cambria" w:hAnsi="Cambria" w:eastAsia="宋体" w:cs="Times New Roman"/>
      <w:b/>
      <w:bCs/>
      <w:kern w:val="2"/>
      <w:sz w:val="32"/>
      <w:szCs w:val="32"/>
    </w:rPr>
  </w:style>
  <w:style w:type="character" w:customStyle="1" w:styleId="40">
    <w:name w:val="标题 3 字符"/>
    <w:link w:val="4"/>
    <w:semiHidden/>
    <w:qFormat/>
    <w:uiPriority w:val="9"/>
    <w:rPr>
      <w:b/>
      <w:bCs/>
      <w:kern w:val="2"/>
      <w:sz w:val="32"/>
      <w:szCs w:val="32"/>
    </w:rPr>
  </w:style>
  <w:style w:type="character" w:customStyle="1" w:styleId="41">
    <w:name w:val="标题 5 字符"/>
    <w:link w:val="5"/>
    <w:qFormat/>
    <w:uiPriority w:val="9"/>
    <w:rPr>
      <w:rFonts w:ascii="Times New Roman" w:hAnsi="Times New Roman"/>
      <w:b/>
      <w:bCs/>
      <w:kern w:val="2"/>
      <w:sz w:val="28"/>
      <w:szCs w:val="28"/>
    </w:rPr>
  </w:style>
  <w:style w:type="character" w:customStyle="1" w:styleId="42">
    <w:name w:val="标题 8 字符"/>
    <w:link w:val="7"/>
    <w:semiHidden/>
    <w:qFormat/>
    <w:uiPriority w:val="9"/>
    <w:rPr>
      <w:rFonts w:ascii="等线 Light" w:hAnsi="等线 Light" w:eastAsia="等线 Light" w:cs="Times New Roman"/>
      <w:kern w:val="2"/>
      <w:sz w:val="24"/>
      <w:szCs w:val="24"/>
    </w:rPr>
  </w:style>
  <w:style w:type="character" w:customStyle="1" w:styleId="43">
    <w:name w:val="批注文字 字符2"/>
    <w:link w:val="10"/>
    <w:qFormat/>
    <w:uiPriority w:val="0"/>
    <w:rPr>
      <w:rFonts w:ascii="Times New Roman" w:hAnsi="Times New Roman"/>
      <w:kern w:val="2"/>
      <w:sz w:val="21"/>
      <w:szCs w:val="24"/>
    </w:rPr>
  </w:style>
  <w:style w:type="character" w:customStyle="1" w:styleId="44">
    <w:name w:val="正文文本 3 字符"/>
    <w:link w:val="11"/>
    <w:semiHidden/>
    <w:qFormat/>
    <w:uiPriority w:val="99"/>
    <w:rPr>
      <w:kern w:val="2"/>
      <w:sz w:val="16"/>
      <w:szCs w:val="16"/>
    </w:rPr>
  </w:style>
  <w:style w:type="character" w:customStyle="1" w:styleId="45">
    <w:name w:val="正文文本 字符1"/>
    <w:link w:val="12"/>
    <w:qFormat/>
    <w:uiPriority w:val="0"/>
    <w:rPr>
      <w:rFonts w:ascii="Times New Roman" w:hAnsi="Times New Roman"/>
      <w:kern w:val="2"/>
      <w:sz w:val="21"/>
      <w:szCs w:val="24"/>
    </w:rPr>
  </w:style>
  <w:style w:type="character" w:customStyle="1" w:styleId="46">
    <w:name w:val="正文文本缩进 字符"/>
    <w:link w:val="13"/>
    <w:qFormat/>
    <w:uiPriority w:val="0"/>
    <w:rPr>
      <w:rFonts w:ascii="仿宋_GB2312" w:hAnsi="Times New Roman" w:eastAsia="仿宋_GB2312" w:cs="Times New Roman"/>
      <w:sz w:val="32"/>
      <w:szCs w:val="20"/>
    </w:rPr>
  </w:style>
  <w:style w:type="character" w:customStyle="1" w:styleId="47">
    <w:name w:val="批注主题 字符"/>
    <w:link w:val="14"/>
    <w:qFormat/>
    <w:uiPriority w:val="99"/>
    <w:rPr>
      <w:rFonts w:ascii="Times New Roman" w:hAnsi="Times New Roman"/>
      <w:b/>
      <w:bCs/>
      <w:kern w:val="2"/>
      <w:sz w:val="21"/>
      <w:szCs w:val="24"/>
    </w:rPr>
  </w:style>
  <w:style w:type="character" w:customStyle="1" w:styleId="48">
    <w:name w:val="纯文本 字符3"/>
    <w:link w:val="17"/>
    <w:qFormat/>
    <w:uiPriority w:val="0"/>
    <w:rPr>
      <w:rFonts w:ascii="宋体" w:hAnsi="Courier New" w:eastAsia="宋体" w:cs="Courier New"/>
      <w:szCs w:val="21"/>
    </w:rPr>
  </w:style>
  <w:style w:type="character" w:customStyle="1" w:styleId="49">
    <w:name w:val="日期 字符"/>
    <w:link w:val="19"/>
    <w:semiHidden/>
    <w:qFormat/>
    <w:uiPriority w:val="99"/>
    <w:rPr>
      <w:rFonts w:ascii="Times New Roman" w:hAnsi="Times New Roman"/>
      <w:kern w:val="2"/>
      <w:sz w:val="21"/>
      <w:szCs w:val="24"/>
    </w:rPr>
  </w:style>
  <w:style w:type="character" w:customStyle="1" w:styleId="50">
    <w:name w:val="页脚 字符"/>
    <w:link w:val="21"/>
    <w:qFormat/>
    <w:uiPriority w:val="99"/>
    <w:rPr>
      <w:sz w:val="18"/>
      <w:szCs w:val="18"/>
    </w:rPr>
  </w:style>
  <w:style w:type="character" w:customStyle="1" w:styleId="51">
    <w:name w:val="页眉 字符"/>
    <w:link w:val="22"/>
    <w:qFormat/>
    <w:uiPriority w:val="99"/>
    <w:rPr>
      <w:sz w:val="18"/>
      <w:szCs w:val="18"/>
    </w:rPr>
  </w:style>
  <w:style w:type="paragraph" w:customStyle="1" w:styleId="52">
    <w:name w:val="表格文字"/>
    <w:basedOn w:val="1"/>
    <w:qFormat/>
    <w:uiPriority w:val="0"/>
    <w:pPr>
      <w:spacing w:before="25" w:after="25"/>
      <w:jc w:val="left"/>
    </w:pPr>
    <w:rPr>
      <w:spacing w:val="10"/>
      <w:kern w:val="0"/>
      <w:sz w:val="24"/>
      <w:szCs w:val="24"/>
    </w:rPr>
  </w:style>
  <w:style w:type="character" w:customStyle="1" w:styleId="53">
    <w:name w:val="正文文本 字符"/>
    <w:qFormat/>
    <w:uiPriority w:val="0"/>
    <w:rPr>
      <w:rFonts w:ascii="Times New Roman" w:hAnsi="Times New Roman"/>
      <w:kern w:val="2"/>
      <w:sz w:val="21"/>
      <w:szCs w:val="24"/>
    </w:rPr>
  </w:style>
  <w:style w:type="character" w:customStyle="1" w:styleId="54">
    <w:name w:val="标题 2 Char"/>
    <w:qFormat/>
    <w:uiPriority w:val="9"/>
    <w:rPr>
      <w:rFonts w:ascii="Cambria" w:hAnsi="Cambria" w:eastAsia="宋体" w:cs="Times New Roman"/>
      <w:b/>
      <w:bCs/>
      <w:kern w:val="2"/>
      <w:sz w:val="32"/>
      <w:szCs w:val="32"/>
    </w:rPr>
  </w:style>
  <w:style w:type="character" w:customStyle="1" w:styleId="55">
    <w:name w:val="纯文本 字符"/>
    <w:qFormat/>
    <w:uiPriority w:val="0"/>
    <w:rPr>
      <w:rFonts w:ascii="宋体" w:hAnsi="Courier New" w:eastAsia="宋体" w:cs="Courier New"/>
      <w:szCs w:val="21"/>
    </w:rPr>
  </w:style>
  <w:style w:type="character" w:customStyle="1" w:styleId="56">
    <w:name w:val="纯文本 字符1"/>
    <w:qFormat/>
    <w:uiPriority w:val="0"/>
    <w:rPr>
      <w:rFonts w:ascii="宋体" w:hAnsi="Courier New"/>
    </w:rPr>
  </w:style>
  <w:style w:type="character" w:customStyle="1" w:styleId="57">
    <w:name w:val="批注文字 字符"/>
    <w:qFormat/>
    <w:uiPriority w:val="0"/>
    <w:rPr>
      <w:rFonts w:ascii="Times New Roman" w:hAnsi="Times New Roman"/>
      <w:kern w:val="2"/>
      <w:sz w:val="21"/>
      <w:szCs w:val="24"/>
    </w:rPr>
  </w:style>
  <w:style w:type="character" w:customStyle="1" w:styleId="58">
    <w:name w:val="标题 1 字符1"/>
    <w:qFormat/>
    <w:uiPriority w:val="0"/>
    <w:rPr>
      <w:b/>
      <w:bCs/>
      <w:kern w:val="44"/>
      <w:sz w:val="44"/>
      <w:szCs w:val="44"/>
    </w:rPr>
  </w:style>
  <w:style w:type="character" w:customStyle="1" w:styleId="59">
    <w:name w:val="正文2 Char Char"/>
    <w:link w:val="60"/>
    <w:qFormat/>
    <w:uiPriority w:val="0"/>
    <w:rPr>
      <w:sz w:val="24"/>
    </w:rPr>
  </w:style>
  <w:style w:type="paragraph" w:customStyle="1" w:styleId="60">
    <w:name w:val="正文2"/>
    <w:basedOn w:val="1"/>
    <w:link w:val="59"/>
    <w:qFormat/>
    <w:uiPriority w:val="0"/>
    <w:pPr>
      <w:adjustRightInd w:val="0"/>
      <w:spacing w:before="156" w:line="360" w:lineRule="auto"/>
      <w:ind w:firstLine="510" w:firstLineChars="200"/>
    </w:pPr>
    <w:rPr>
      <w:kern w:val="0"/>
      <w:sz w:val="24"/>
      <w:szCs w:val="20"/>
    </w:rPr>
  </w:style>
  <w:style w:type="character" w:customStyle="1" w:styleId="61">
    <w:name w:val="纯文本 字符2"/>
    <w:qFormat/>
    <w:uiPriority w:val="0"/>
    <w:rPr>
      <w:rFonts w:ascii="宋体" w:hAnsi="Courier New" w:eastAsia="宋体" w:cs="Courier New"/>
      <w:szCs w:val="21"/>
    </w:rPr>
  </w:style>
  <w:style w:type="character" w:customStyle="1" w:styleId="62">
    <w:name w:val="apple-style-span"/>
    <w:qFormat/>
    <w:uiPriority w:val="0"/>
  </w:style>
  <w:style w:type="character" w:customStyle="1" w:styleId="63">
    <w:name w:val="正文文本 Char"/>
    <w:qFormat/>
    <w:uiPriority w:val="0"/>
    <w:rPr>
      <w:rFonts w:ascii="Times New Roman" w:hAnsi="Times New Roman"/>
      <w:kern w:val="2"/>
      <w:sz w:val="21"/>
      <w:szCs w:val="24"/>
    </w:rPr>
  </w:style>
  <w:style w:type="character" w:customStyle="1" w:styleId="64">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5">
    <w:name w:val="标题 8 Char"/>
    <w:qFormat/>
    <w:uiPriority w:val="0"/>
    <w:rPr>
      <w:rFonts w:ascii="Arial" w:hAnsi="Arial" w:eastAsia="黑体"/>
      <w:kern w:val="2"/>
      <w:sz w:val="24"/>
      <w:szCs w:val="24"/>
    </w:rPr>
  </w:style>
  <w:style w:type="character" w:customStyle="1" w:styleId="66">
    <w:name w:val="_Style 65"/>
    <w:unhideWhenUsed/>
    <w:qFormat/>
    <w:uiPriority w:val="99"/>
    <w:rPr>
      <w:color w:val="605E5C"/>
      <w:shd w:val="clear" w:color="auto" w:fill="E1DFDD"/>
    </w:rPr>
  </w:style>
  <w:style w:type="character" w:customStyle="1" w:styleId="67">
    <w:name w:val="纯文本 Char"/>
    <w:qFormat/>
    <w:uiPriority w:val="0"/>
    <w:rPr>
      <w:rFonts w:ascii="宋体" w:hAnsi="Courier New" w:eastAsia="宋体" w:cs="Courier New"/>
      <w:szCs w:val="21"/>
    </w:rPr>
  </w:style>
  <w:style w:type="character" w:customStyle="1" w:styleId="68">
    <w:name w:val="批注文字 Char"/>
    <w:qFormat/>
    <w:uiPriority w:val="0"/>
    <w:rPr>
      <w:rFonts w:ascii="Times New Roman" w:hAnsi="Times New Roman"/>
      <w:kern w:val="2"/>
      <w:sz w:val="21"/>
      <w:szCs w:val="24"/>
    </w:rPr>
  </w:style>
  <w:style w:type="character" w:customStyle="1" w:styleId="69">
    <w:name w:val="textcontents"/>
    <w:qFormat/>
    <w:uiPriority w:val="0"/>
  </w:style>
  <w:style w:type="character" w:customStyle="1" w:styleId="70">
    <w:name w:val="批注文字 字符1"/>
    <w:qFormat/>
    <w:uiPriority w:val="0"/>
    <w:rPr>
      <w:rFonts w:ascii="Times New Roman" w:hAnsi="Times New Roman"/>
      <w:kern w:val="2"/>
      <w:sz w:val="21"/>
      <w:szCs w:val="24"/>
    </w:rPr>
  </w:style>
  <w:style w:type="paragraph" w:customStyle="1" w:styleId="71">
    <w:name w:val="列出段落2"/>
    <w:basedOn w:val="1"/>
    <w:unhideWhenUsed/>
    <w:qFormat/>
    <w:uiPriority w:val="99"/>
    <w:pPr>
      <w:spacing w:line="360" w:lineRule="auto"/>
      <w:ind w:firstLine="420" w:firstLineChars="200"/>
    </w:pPr>
    <w:rPr>
      <w:rFonts w:ascii="Calibri" w:hAnsi="Calibri" w:eastAsia="仿宋" w:cs="Times New Roman"/>
      <w:sz w:val="28"/>
      <w:szCs w:val="22"/>
    </w:rPr>
  </w:style>
  <w:style w:type="paragraph" w:customStyle="1" w:styleId="72">
    <w:name w:val="正文缩进1"/>
    <w:basedOn w:val="1"/>
    <w:next w:val="13"/>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styleId="73">
    <w:name w:val="List Paragraph"/>
    <w:basedOn w:val="1"/>
    <w:qFormat/>
    <w:uiPriority w:val="34"/>
    <w:pPr>
      <w:ind w:firstLine="420" w:firstLineChars="200"/>
    </w:pPr>
  </w:style>
  <w:style w:type="paragraph" w:customStyle="1" w:styleId="74">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75">
    <w:name w:val="Table Paragraph"/>
    <w:basedOn w:val="1"/>
    <w:qFormat/>
    <w:uiPriority w:val="1"/>
    <w:pPr>
      <w:jc w:val="left"/>
    </w:pPr>
    <w:rPr>
      <w:rFonts w:ascii="Calibri" w:hAnsi="Calibri"/>
      <w:kern w:val="0"/>
      <w:sz w:val="22"/>
      <w:szCs w:val="22"/>
      <w:lang w:eastAsia="en-US"/>
    </w:rPr>
  </w:style>
  <w:style w:type="paragraph" w:customStyle="1" w:styleId="76">
    <w:name w:val="Char Char Char Char"/>
    <w:basedOn w:val="1"/>
    <w:qFormat/>
    <w:uiPriority w:val="0"/>
    <w:pPr>
      <w:widowControl/>
      <w:spacing w:after="160" w:line="240" w:lineRule="exact"/>
      <w:jc w:val="left"/>
    </w:pPr>
  </w:style>
  <w:style w:type="paragraph" w:customStyle="1" w:styleId="77">
    <w:name w:val="_Style 76"/>
    <w:basedOn w:val="2"/>
    <w:next w:val="1"/>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lang w:val="en-US" w:eastAsia="zh-CN"/>
    </w:rPr>
  </w:style>
  <w:style w:type="paragraph" w:customStyle="1" w:styleId="78">
    <w:name w:val="正文-2字符首行缩进"/>
    <w:basedOn w:val="1"/>
    <w:qFormat/>
    <w:uiPriority w:val="0"/>
    <w:pPr>
      <w:spacing w:line="360" w:lineRule="auto"/>
      <w:ind w:firstLine="200" w:firstLineChars="200"/>
    </w:pPr>
    <w:rPr>
      <w:rFonts w:ascii="仿宋_GB2312" w:hAnsi="宋体" w:eastAsia="仿宋_GB2312" w:cs="Times New Roman"/>
      <w:sz w:val="28"/>
      <w:szCs w:val="22"/>
    </w:rPr>
  </w:style>
  <w:style w:type="paragraph" w:customStyle="1" w:styleId="79">
    <w:name w:val="默认段落字体 Para Char Char Char Char Char Char Char Char Char1 Char Char Char Char"/>
    <w:basedOn w:val="1"/>
    <w:qFormat/>
    <w:uiPriority w:val="0"/>
    <w:rPr>
      <w:rFonts w:ascii="Tahoma" w:hAnsi="Tahoma"/>
      <w:sz w:val="24"/>
      <w:szCs w:val="20"/>
    </w:rPr>
  </w:style>
  <w:style w:type="paragraph" w:customStyle="1" w:styleId="80">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81">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广西云龙招标有限公司</Company>
  <Pages>85</Pages>
  <Words>6442</Words>
  <Characters>7199</Characters>
  <Lines>506</Lines>
  <Paragraphs>142</Paragraphs>
  <TotalTime>43</TotalTime>
  <ScaleCrop>false</ScaleCrop>
  <LinksUpToDate>false</LinksUpToDate>
  <CharactersWithSpaces>7563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2021-08-17T04:20:00Z</dcterms:created>
  <dc:creator>唐冰</dc:creator>
  <cp:lastModifiedBy>韦俊珉</cp:lastModifiedBy>
  <cp:lastPrinted>2021-08-26T02:26:00Z</cp:lastPrinted>
  <dcterms:modified xsi:type="dcterms:W3CDTF">2026-04-08T08:43:38Z</dcterms:modified>
  <dc:title>竞争性谈判文件规范</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A91C55404A5C48D8A67C1366D961803E_13</vt:lpwstr>
  </property>
  <property fmtid="{D5CDD505-2E9C-101B-9397-08002B2CF9AE}" pid="4" name="KSOTemplateDocerSaveRecord">
    <vt:lpwstr>eyJoZGlkIjoiNDFkNzE2ZWZhMjE4MWQzNjk5YjQzYWFiZWYwZGYzZTQiLCJ1c2VySWQiOiIxNTkxNTY5NTE4In0=</vt:lpwstr>
  </property>
</Properties>
</file>