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99D61">
      <w:pPr>
        <w:spacing w:before="165" w:beforeLines="50" w:line="360" w:lineRule="auto"/>
        <w:jc w:val="center"/>
        <w:rPr>
          <w:rFonts w:ascii="宋体" w:cs="宋体"/>
          <w:color w:val="auto"/>
          <w:sz w:val="52"/>
          <w:szCs w:val="52"/>
          <w:highlight w:val="none"/>
        </w:rPr>
      </w:pPr>
    </w:p>
    <w:p w14:paraId="1815F71C">
      <w:pPr>
        <w:spacing w:before="165" w:beforeLines="50" w:line="360" w:lineRule="auto"/>
        <w:jc w:val="center"/>
        <w:rPr>
          <w:rFonts w:ascii="宋体" w:cs="宋体"/>
          <w:color w:val="auto"/>
          <w:sz w:val="72"/>
          <w:szCs w:val="72"/>
          <w:highlight w:val="none"/>
        </w:rPr>
      </w:pPr>
      <w:r>
        <w:rPr>
          <w:rFonts w:hint="eastAsia" w:ascii="宋体" w:cs="宋体"/>
          <w:color w:val="auto"/>
          <w:sz w:val="72"/>
          <w:szCs w:val="72"/>
          <w:highlight w:val="none"/>
        </w:rPr>
        <w:t>广西科联招标中心有限公司</w:t>
      </w:r>
    </w:p>
    <w:p w14:paraId="07A283B0">
      <w:pPr>
        <w:spacing w:before="165" w:beforeLines="50" w:line="360" w:lineRule="auto"/>
        <w:jc w:val="center"/>
        <w:rPr>
          <w:rFonts w:ascii="宋体" w:cs="宋体"/>
          <w:b/>
          <w:color w:val="auto"/>
          <w:sz w:val="48"/>
          <w:szCs w:val="48"/>
          <w:highlight w:val="none"/>
        </w:rPr>
      </w:pPr>
    </w:p>
    <w:p w14:paraId="02D3A7B6">
      <w:pPr>
        <w:spacing w:before="165" w:beforeLines="50" w:line="360" w:lineRule="auto"/>
        <w:jc w:val="center"/>
        <w:rPr>
          <w:rFonts w:ascii="宋体" w:cs="宋体"/>
          <w:b/>
          <w:color w:val="auto"/>
          <w:sz w:val="48"/>
          <w:szCs w:val="48"/>
          <w:highlight w:val="none"/>
        </w:rPr>
      </w:pPr>
    </w:p>
    <w:p w14:paraId="5EAEB1F2">
      <w:pPr>
        <w:snapToGrid w:val="0"/>
        <w:spacing w:before="165" w:beforeLines="50" w:line="360" w:lineRule="auto"/>
        <w:jc w:val="center"/>
        <w:rPr>
          <w:rFonts w:ascii="宋体" w:cs="宋体"/>
          <w:color w:val="auto"/>
          <w:sz w:val="72"/>
          <w:szCs w:val="72"/>
          <w:highlight w:val="none"/>
        </w:rPr>
      </w:pPr>
      <w:r>
        <w:rPr>
          <w:rFonts w:hint="eastAsia" w:ascii="宋体" w:cs="宋体"/>
          <w:color w:val="auto"/>
          <w:sz w:val="72"/>
          <w:szCs w:val="72"/>
          <w:highlight w:val="none"/>
        </w:rPr>
        <w:t>招 标 文 件</w:t>
      </w:r>
    </w:p>
    <w:p w14:paraId="5845F399">
      <w:pPr>
        <w:snapToGrid w:val="0"/>
        <w:spacing w:before="165" w:beforeLines="50" w:line="360" w:lineRule="auto"/>
        <w:jc w:val="center"/>
        <w:rPr>
          <w:rFonts w:ascii="宋体" w:cs="宋体"/>
          <w:color w:val="auto"/>
          <w:sz w:val="30"/>
          <w:szCs w:val="72"/>
          <w:highlight w:val="none"/>
        </w:rPr>
      </w:pPr>
      <w:r>
        <w:rPr>
          <w:rFonts w:hint="eastAsia" w:ascii="宋体" w:cs="宋体"/>
          <w:color w:val="auto"/>
          <w:sz w:val="30"/>
          <w:szCs w:val="72"/>
          <w:highlight w:val="none"/>
        </w:rPr>
        <w:t>（全流程电子化评标）</w:t>
      </w:r>
    </w:p>
    <w:p w14:paraId="200FF159">
      <w:pPr>
        <w:snapToGrid w:val="0"/>
        <w:spacing w:before="165" w:beforeLines="50" w:line="360" w:lineRule="auto"/>
        <w:rPr>
          <w:rFonts w:ascii="宋体" w:cs="宋体"/>
          <w:color w:val="auto"/>
          <w:sz w:val="30"/>
          <w:szCs w:val="72"/>
          <w:highlight w:val="none"/>
        </w:rPr>
      </w:pPr>
    </w:p>
    <w:p w14:paraId="7726B137">
      <w:pPr>
        <w:pStyle w:val="14"/>
        <w:snapToGrid w:val="0"/>
        <w:spacing w:before="50" w:after="120" w:line="360" w:lineRule="auto"/>
        <w:jc w:val="center"/>
        <w:rPr>
          <w:rFonts w:hint="eastAsia" w:eastAsia="宋体" w:cs="宋体"/>
          <w:b/>
          <w:bCs/>
          <w:color w:val="auto"/>
          <w:sz w:val="30"/>
          <w:szCs w:val="30"/>
          <w:highlight w:val="none"/>
          <w:lang w:eastAsia="zh-CN"/>
        </w:rPr>
      </w:pPr>
      <w:r>
        <w:rPr>
          <w:rFonts w:hint="eastAsia" w:cs="宋体"/>
          <w:b/>
          <w:bCs/>
          <w:color w:val="auto"/>
          <w:sz w:val="30"/>
          <w:szCs w:val="30"/>
          <w:highlight w:val="none"/>
        </w:rPr>
        <w:t>项目</w:t>
      </w:r>
      <w:r>
        <w:rPr>
          <w:rFonts w:hint="eastAsia" w:cs="宋体"/>
          <w:b/>
          <w:bCs/>
          <w:color w:val="auto"/>
          <w:w w:val="95"/>
          <w:sz w:val="30"/>
          <w:szCs w:val="30"/>
          <w:highlight w:val="none"/>
        </w:rPr>
        <w:t>名称</w:t>
      </w:r>
      <w:r>
        <w:rPr>
          <w:rFonts w:hint="eastAsia" w:cs="宋体"/>
          <w:b/>
          <w:bCs/>
          <w:color w:val="auto"/>
          <w:sz w:val="30"/>
          <w:szCs w:val="30"/>
          <w:highlight w:val="none"/>
        </w:rPr>
        <w:t>：</w:t>
      </w:r>
      <w:r>
        <w:rPr>
          <w:rFonts w:hint="eastAsia" w:cs="宋体"/>
          <w:b/>
          <w:bCs/>
          <w:color w:val="auto"/>
          <w:sz w:val="30"/>
          <w:szCs w:val="30"/>
          <w:highlight w:val="none"/>
          <w:lang w:eastAsia="zh-CN"/>
        </w:rPr>
        <w:t>教学头模设备采购项目</w:t>
      </w:r>
    </w:p>
    <w:p w14:paraId="5ABFBDFE">
      <w:pPr>
        <w:snapToGrid w:val="0"/>
        <w:spacing w:before="165" w:beforeLines="50" w:line="360" w:lineRule="auto"/>
        <w:jc w:val="center"/>
        <w:rPr>
          <w:rFonts w:hint="eastAsia" w:ascii="宋体" w:eastAsia="宋体" w:cs="宋体"/>
          <w:b/>
          <w:color w:val="auto"/>
          <w:sz w:val="30"/>
          <w:szCs w:val="48"/>
          <w:highlight w:val="none"/>
          <w:lang w:eastAsia="zh-CN"/>
        </w:rPr>
      </w:pPr>
      <w:r>
        <w:rPr>
          <w:rFonts w:hint="eastAsia" w:ascii="宋体" w:cs="宋体"/>
          <w:b/>
          <w:bCs/>
          <w:color w:val="auto"/>
          <w:w w:val="95"/>
          <w:sz w:val="30"/>
          <w:szCs w:val="30"/>
          <w:highlight w:val="none"/>
        </w:rPr>
        <w:t>项目</w:t>
      </w:r>
      <w:r>
        <w:rPr>
          <w:rFonts w:hint="eastAsia" w:ascii="宋体" w:cs="宋体"/>
          <w:b/>
          <w:bCs/>
          <w:color w:val="auto"/>
          <w:sz w:val="30"/>
          <w:szCs w:val="30"/>
          <w:highlight w:val="none"/>
        </w:rPr>
        <w:t>编号</w:t>
      </w:r>
      <w:r>
        <w:rPr>
          <w:rFonts w:hint="eastAsia" w:ascii="宋体" w:cs="宋体"/>
          <w:b/>
          <w:bCs/>
          <w:color w:val="auto"/>
          <w:w w:val="95"/>
          <w:sz w:val="30"/>
          <w:szCs w:val="30"/>
          <w:highlight w:val="none"/>
        </w:rPr>
        <w:t>：</w:t>
      </w:r>
      <w:r>
        <w:rPr>
          <w:rFonts w:hint="eastAsia" w:ascii="宋体" w:cs="宋体"/>
          <w:b/>
          <w:bCs/>
          <w:color w:val="auto"/>
          <w:w w:val="95"/>
          <w:sz w:val="30"/>
          <w:szCs w:val="30"/>
          <w:highlight w:val="none"/>
          <w:lang w:eastAsia="zh-CN"/>
        </w:rPr>
        <w:t>GXZC2026-G1-000567-GXKL</w:t>
      </w:r>
    </w:p>
    <w:p w14:paraId="091C4AA3">
      <w:pPr>
        <w:pStyle w:val="14"/>
        <w:snapToGrid w:val="0"/>
        <w:spacing w:before="50" w:after="120" w:line="360" w:lineRule="auto"/>
        <w:ind w:firstLine="1125" w:firstLineChars="393"/>
        <w:rPr>
          <w:rFonts w:cs="宋体"/>
          <w:b/>
          <w:bCs/>
          <w:color w:val="auto"/>
          <w:w w:val="95"/>
          <w:sz w:val="30"/>
          <w:szCs w:val="30"/>
          <w:highlight w:val="none"/>
        </w:rPr>
      </w:pPr>
    </w:p>
    <w:p w14:paraId="4DE20832">
      <w:pPr>
        <w:pStyle w:val="14"/>
        <w:snapToGrid w:val="0"/>
        <w:spacing w:before="50" w:after="120" w:line="360" w:lineRule="auto"/>
        <w:ind w:firstLine="1125" w:firstLineChars="393"/>
        <w:rPr>
          <w:rFonts w:cs="宋体"/>
          <w:b/>
          <w:bCs/>
          <w:color w:val="auto"/>
          <w:w w:val="95"/>
          <w:sz w:val="30"/>
          <w:szCs w:val="30"/>
          <w:highlight w:val="none"/>
        </w:rPr>
      </w:pPr>
    </w:p>
    <w:p w14:paraId="15553A67">
      <w:pPr>
        <w:pStyle w:val="14"/>
        <w:snapToGrid w:val="0"/>
        <w:spacing w:before="50" w:after="120" w:line="360" w:lineRule="auto"/>
        <w:ind w:firstLine="1125" w:firstLineChars="393"/>
        <w:jc w:val="center"/>
        <w:rPr>
          <w:rFonts w:cs="宋体"/>
          <w:b/>
          <w:bCs/>
          <w:color w:val="auto"/>
          <w:w w:val="95"/>
          <w:sz w:val="30"/>
          <w:szCs w:val="30"/>
          <w:highlight w:val="none"/>
        </w:rPr>
      </w:pPr>
    </w:p>
    <w:p w14:paraId="1FFD6632">
      <w:pPr>
        <w:pStyle w:val="14"/>
        <w:snapToGrid w:val="0"/>
        <w:spacing w:before="50" w:after="120" w:line="360" w:lineRule="auto"/>
        <w:jc w:val="center"/>
        <w:rPr>
          <w:rFonts w:hint="eastAsia" w:eastAsia="宋体" w:cs="宋体"/>
          <w:b/>
          <w:bCs/>
          <w:color w:val="auto"/>
          <w:sz w:val="30"/>
          <w:szCs w:val="30"/>
          <w:highlight w:val="none"/>
          <w:lang w:eastAsia="zh-CN"/>
        </w:rPr>
      </w:pPr>
      <w:r>
        <w:rPr>
          <w:rFonts w:hint="eastAsia" w:cs="宋体"/>
          <w:b/>
          <w:bCs/>
          <w:color w:val="auto"/>
          <w:sz w:val="30"/>
          <w:szCs w:val="30"/>
          <w:highlight w:val="none"/>
        </w:rPr>
        <w:t>采 购 人：</w:t>
      </w:r>
      <w:r>
        <w:rPr>
          <w:rFonts w:hint="eastAsia" w:cs="宋体"/>
          <w:b/>
          <w:bCs/>
          <w:color w:val="auto"/>
          <w:sz w:val="30"/>
          <w:szCs w:val="30"/>
          <w:highlight w:val="none"/>
          <w:lang w:eastAsia="zh-CN"/>
        </w:rPr>
        <w:t>广西医科大学附属口腔医院</w:t>
      </w:r>
    </w:p>
    <w:p w14:paraId="015FE6D2">
      <w:pPr>
        <w:pStyle w:val="14"/>
        <w:snapToGrid w:val="0"/>
        <w:spacing w:before="50" w:after="120" w:line="360" w:lineRule="auto"/>
        <w:jc w:val="center"/>
        <w:rPr>
          <w:rFonts w:hint="eastAsia" w:cs="宋体"/>
          <w:b/>
          <w:bCs/>
          <w:color w:val="auto"/>
          <w:sz w:val="30"/>
          <w:szCs w:val="30"/>
          <w:highlight w:val="none"/>
        </w:rPr>
      </w:pPr>
      <w:r>
        <w:rPr>
          <w:rFonts w:hint="eastAsia" w:cs="宋体"/>
          <w:b/>
          <w:bCs/>
          <w:color w:val="auto"/>
          <w:sz w:val="30"/>
          <w:szCs w:val="30"/>
          <w:highlight w:val="none"/>
        </w:rPr>
        <w:t>采购代理机构：</w:t>
      </w:r>
      <w:bookmarkStart w:id="0" w:name="PO_3000001867_PM031"/>
      <w:r>
        <w:rPr>
          <w:rFonts w:hint="eastAsia" w:cs="宋体"/>
          <w:b/>
          <w:bCs/>
          <w:color w:val="auto"/>
          <w:sz w:val="30"/>
          <w:szCs w:val="30"/>
          <w:highlight w:val="none"/>
        </w:rPr>
        <w:t>广西科联招标中心有限公司</w:t>
      </w:r>
      <w:bookmarkEnd w:id="0"/>
    </w:p>
    <w:p w14:paraId="79C37FCE">
      <w:pPr>
        <w:pStyle w:val="14"/>
        <w:snapToGrid w:val="0"/>
        <w:spacing w:before="50" w:after="120" w:line="360" w:lineRule="auto"/>
        <w:jc w:val="center"/>
        <w:rPr>
          <w:rFonts w:cs="宋体"/>
          <w:b/>
          <w:bCs/>
          <w:color w:val="auto"/>
          <w:w w:val="95"/>
          <w:sz w:val="30"/>
          <w:szCs w:val="30"/>
          <w:highlight w:val="none"/>
        </w:rPr>
      </w:pPr>
      <w:r>
        <w:rPr>
          <w:rFonts w:hint="eastAsia" w:cs="宋体"/>
          <w:b/>
          <w:bCs/>
          <w:color w:val="auto"/>
          <w:w w:val="95"/>
          <w:sz w:val="30"/>
          <w:szCs w:val="30"/>
          <w:highlight w:val="none"/>
        </w:rPr>
        <w:t>202</w:t>
      </w:r>
      <w:r>
        <w:rPr>
          <w:rFonts w:hint="eastAsia" w:cs="宋体"/>
          <w:b/>
          <w:bCs/>
          <w:color w:val="auto"/>
          <w:w w:val="95"/>
          <w:sz w:val="30"/>
          <w:szCs w:val="30"/>
          <w:highlight w:val="none"/>
          <w:lang w:val="en-US" w:eastAsia="zh-CN"/>
        </w:rPr>
        <w:t>6</w:t>
      </w:r>
      <w:r>
        <w:rPr>
          <w:rFonts w:hint="eastAsia" w:cs="宋体"/>
          <w:b/>
          <w:bCs/>
          <w:color w:val="auto"/>
          <w:w w:val="95"/>
          <w:sz w:val="30"/>
          <w:szCs w:val="30"/>
          <w:highlight w:val="none"/>
        </w:rPr>
        <w:t>年</w:t>
      </w:r>
      <w:r>
        <w:rPr>
          <w:rFonts w:hint="eastAsia" w:cs="宋体"/>
          <w:b/>
          <w:bCs/>
          <w:color w:val="auto"/>
          <w:w w:val="95"/>
          <w:sz w:val="30"/>
          <w:szCs w:val="30"/>
          <w:highlight w:val="none"/>
          <w:lang w:val="en-US" w:eastAsia="zh-CN"/>
        </w:rPr>
        <w:t>4</w:t>
      </w:r>
      <w:r>
        <w:rPr>
          <w:rFonts w:hint="eastAsia" w:cs="宋体"/>
          <w:b/>
          <w:bCs/>
          <w:color w:val="auto"/>
          <w:w w:val="95"/>
          <w:sz w:val="30"/>
          <w:szCs w:val="30"/>
          <w:highlight w:val="none"/>
        </w:rPr>
        <w:t>月</w:t>
      </w:r>
      <w:r>
        <w:rPr>
          <w:rFonts w:hint="eastAsia" w:cs="宋体"/>
          <w:b/>
          <w:bCs/>
          <w:color w:val="auto"/>
          <w:w w:val="95"/>
          <w:sz w:val="30"/>
          <w:szCs w:val="30"/>
          <w:highlight w:val="none"/>
          <w:lang w:val="en-US" w:eastAsia="zh-CN"/>
        </w:rPr>
        <w:t>3</w:t>
      </w:r>
      <w:r>
        <w:rPr>
          <w:rFonts w:hint="eastAsia" w:cs="宋体"/>
          <w:b/>
          <w:bCs/>
          <w:color w:val="auto"/>
          <w:w w:val="95"/>
          <w:sz w:val="30"/>
          <w:szCs w:val="30"/>
          <w:highlight w:val="none"/>
        </w:rPr>
        <w:t>日</w:t>
      </w:r>
    </w:p>
    <w:p w14:paraId="723671CE">
      <w:pPr>
        <w:pStyle w:val="10"/>
        <w:kinsoku w:val="0"/>
        <w:overflowPunct w:val="0"/>
        <w:ind w:firstLine="800"/>
        <w:rPr>
          <w:rFonts w:ascii="宋体" w:cs="宋体"/>
          <w:color w:val="auto"/>
          <w:sz w:val="40"/>
          <w:highlight w:val="none"/>
        </w:rPr>
      </w:pPr>
    </w:p>
    <w:p w14:paraId="59BA77AC">
      <w:pPr>
        <w:pStyle w:val="14"/>
        <w:jc w:val="center"/>
        <w:rPr>
          <w:rFonts w:cs="宋体"/>
          <w:b/>
          <w:color w:val="auto"/>
          <w:sz w:val="48"/>
          <w:szCs w:val="48"/>
          <w:highlight w:val="none"/>
        </w:rPr>
      </w:pPr>
      <w:r>
        <w:rPr>
          <w:rFonts w:hint="eastAsia" w:cs="宋体"/>
          <w:color w:val="auto"/>
          <w:highlight w:val="none"/>
        </w:rPr>
        <w:br w:type="page"/>
      </w:r>
      <w:r>
        <w:rPr>
          <w:rFonts w:hint="eastAsia" w:cs="宋体"/>
          <w:b/>
          <w:color w:val="auto"/>
          <w:sz w:val="48"/>
          <w:szCs w:val="48"/>
          <w:highlight w:val="none"/>
        </w:rPr>
        <w:t>目     录</w:t>
      </w:r>
    </w:p>
    <w:p w14:paraId="3A704BC6">
      <w:pPr>
        <w:pStyle w:val="7"/>
        <w:rPr>
          <w:rFonts w:ascii="宋体" w:cs="宋体"/>
          <w:b/>
          <w:color w:val="auto"/>
          <w:sz w:val="48"/>
          <w:szCs w:val="48"/>
          <w:highlight w:val="none"/>
        </w:rPr>
      </w:pPr>
    </w:p>
    <w:p w14:paraId="69A96A71">
      <w:pPr>
        <w:rPr>
          <w:rFonts w:hint="eastAsia" w:ascii="宋体" w:hAnsi="宋体" w:cs="宋体"/>
          <w:color w:val="auto"/>
          <w:sz w:val="32"/>
          <w:szCs w:val="32"/>
          <w:highlight w:val="none"/>
        </w:rPr>
      </w:pPr>
    </w:p>
    <w:p w14:paraId="3085A466">
      <w:pPr>
        <w:pStyle w:val="19"/>
        <w:tabs>
          <w:tab w:val="right" w:leader="dot" w:pos="9638"/>
        </w:tabs>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fldChar w:fldCharType="begin"/>
      </w:r>
      <w:r>
        <w:rPr>
          <w:rFonts w:hint="eastAsia" w:ascii="宋体" w:hAnsi="宋体" w:eastAsia="宋体" w:cs="宋体"/>
          <w:b w:val="0"/>
          <w:bCs w:val="0"/>
          <w:color w:val="auto"/>
          <w:sz w:val="30"/>
          <w:szCs w:val="30"/>
          <w:highlight w:val="none"/>
        </w:rPr>
        <w:instrText xml:space="preserve">TOC \o "1-1" \h \u </w:instrText>
      </w:r>
      <w:r>
        <w:rPr>
          <w:rFonts w:hint="eastAsia" w:ascii="宋体" w:hAnsi="宋体" w:eastAsia="宋体" w:cs="宋体"/>
          <w:b w:val="0"/>
          <w:bCs w:val="0"/>
          <w:color w:val="auto"/>
          <w:sz w:val="30"/>
          <w:szCs w:val="30"/>
          <w:highlight w:val="none"/>
        </w:rPr>
        <w:fldChar w:fldCharType="separate"/>
      </w:r>
      <w:r>
        <w:rPr>
          <w:rFonts w:hint="eastAsia" w:ascii="宋体" w:hAnsi="宋体" w:eastAsia="宋体" w:cs="宋体"/>
          <w:b w:val="0"/>
          <w:bCs w:val="0"/>
          <w:color w:val="auto"/>
          <w:sz w:val="30"/>
          <w:szCs w:val="30"/>
          <w:highlight w:val="none"/>
        </w:rPr>
        <w:fldChar w:fldCharType="begin"/>
      </w:r>
      <w:r>
        <w:rPr>
          <w:rFonts w:hint="eastAsia" w:ascii="宋体" w:hAnsi="宋体" w:eastAsia="宋体" w:cs="宋体"/>
          <w:b w:val="0"/>
          <w:bCs w:val="0"/>
          <w:color w:val="auto"/>
          <w:sz w:val="30"/>
          <w:szCs w:val="30"/>
          <w:highlight w:val="none"/>
        </w:rPr>
        <w:instrText xml:space="preserve"> HYPERLINK \l _Toc24794 </w:instrText>
      </w:r>
      <w:r>
        <w:rPr>
          <w:rFonts w:hint="eastAsia" w:ascii="宋体" w:hAnsi="宋体" w:eastAsia="宋体" w:cs="宋体"/>
          <w:b w:val="0"/>
          <w:bCs w:val="0"/>
          <w:color w:val="auto"/>
          <w:sz w:val="30"/>
          <w:szCs w:val="30"/>
          <w:highlight w:val="none"/>
        </w:rPr>
        <w:fldChar w:fldCharType="separate"/>
      </w:r>
      <w:r>
        <w:rPr>
          <w:rFonts w:hint="eastAsia" w:ascii="宋体" w:hAnsi="宋体" w:eastAsia="宋体" w:cs="宋体"/>
          <w:b w:val="0"/>
          <w:bCs w:val="0"/>
          <w:color w:val="auto"/>
          <w:sz w:val="30"/>
          <w:szCs w:val="30"/>
          <w:highlight w:val="none"/>
        </w:rPr>
        <w:t>第一章  招标公告</w:t>
      </w:r>
      <w:r>
        <w:rPr>
          <w:rFonts w:hint="eastAsia" w:ascii="宋体" w:hAnsi="宋体" w:eastAsia="宋体" w:cs="宋体"/>
          <w:b w:val="0"/>
          <w:bCs w:val="0"/>
          <w:color w:val="auto"/>
          <w:sz w:val="30"/>
          <w:szCs w:val="30"/>
          <w:highlight w:val="none"/>
        </w:rPr>
        <w:tab/>
      </w:r>
      <w:r>
        <w:rPr>
          <w:rFonts w:hint="eastAsia" w:ascii="宋体" w:hAnsi="宋体" w:eastAsia="宋体" w:cs="宋体"/>
          <w:b w:val="0"/>
          <w:bCs w:val="0"/>
          <w:color w:val="auto"/>
          <w:sz w:val="30"/>
          <w:szCs w:val="30"/>
          <w:highlight w:val="none"/>
        </w:rPr>
        <w:fldChar w:fldCharType="begin"/>
      </w:r>
      <w:r>
        <w:rPr>
          <w:rFonts w:hint="eastAsia" w:ascii="宋体" w:hAnsi="宋体" w:eastAsia="宋体" w:cs="宋体"/>
          <w:b w:val="0"/>
          <w:bCs w:val="0"/>
          <w:color w:val="auto"/>
          <w:sz w:val="30"/>
          <w:szCs w:val="30"/>
          <w:highlight w:val="none"/>
        </w:rPr>
        <w:instrText xml:space="preserve"> PAGEREF _Toc24794 \h </w:instrText>
      </w:r>
      <w:r>
        <w:rPr>
          <w:rFonts w:hint="eastAsia" w:ascii="宋体" w:hAnsi="宋体" w:eastAsia="宋体" w:cs="宋体"/>
          <w:b w:val="0"/>
          <w:bCs w:val="0"/>
          <w:color w:val="auto"/>
          <w:sz w:val="30"/>
          <w:szCs w:val="30"/>
          <w:highlight w:val="none"/>
        </w:rPr>
        <w:fldChar w:fldCharType="separate"/>
      </w:r>
      <w:r>
        <w:rPr>
          <w:rFonts w:hint="eastAsia" w:ascii="宋体" w:hAnsi="宋体" w:eastAsia="宋体" w:cs="宋体"/>
          <w:b w:val="0"/>
          <w:bCs w:val="0"/>
          <w:color w:val="auto"/>
          <w:sz w:val="30"/>
          <w:szCs w:val="30"/>
          <w:highlight w:val="none"/>
        </w:rPr>
        <w:t>2</w:t>
      </w:r>
      <w:r>
        <w:rPr>
          <w:rFonts w:hint="eastAsia" w:ascii="宋体" w:hAnsi="宋体" w:eastAsia="宋体" w:cs="宋体"/>
          <w:b w:val="0"/>
          <w:bCs w:val="0"/>
          <w:color w:val="auto"/>
          <w:sz w:val="30"/>
          <w:szCs w:val="30"/>
          <w:highlight w:val="none"/>
        </w:rPr>
        <w:fldChar w:fldCharType="end"/>
      </w:r>
      <w:r>
        <w:rPr>
          <w:rFonts w:hint="eastAsia" w:ascii="宋体" w:hAnsi="宋体" w:eastAsia="宋体" w:cs="宋体"/>
          <w:b w:val="0"/>
          <w:bCs w:val="0"/>
          <w:color w:val="auto"/>
          <w:sz w:val="30"/>
          <w:szCs w:val="30"/>
          <w:highlight w:val="none"/>
        </w:rPr>
        <w:fldChar w:fldCharType="end"/>
      </w:r>
    </w:p>
    <w:p w14:paraId="2C288108">
      <w:pPr>
        <w:pStyle w:val="19"/>
        <w:tabs>
          <w:tab w:val="right" w:leader="dot" w:pos="9638"/>
        </w:tabs>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fldChar w:fldCharType="begin"/>
      </w:r>
      <w:r>
        <w:rPr>
          <w:rFonts w:hint="eastAsia" w:ascii="宋体" w:hAnsi="宋体" w:eastAsia="宋体" w:cs="宋体"/>
          <w:b w:val="0"/>
          <w:bCs w:val="0"/>
          <w:color w:val="auto"/>
          <w:sz w:val="30"/>
          <w:szCs w:val="30"/>
          <w:highlight w:val="none"/>
        </w:rPr>
        <w:instrText xml:space="preserve"> HYPERLINK \l _Toc15472 </w:instrText>
      </w:r>
      <w:r>
        <w:rPr>
          <w:rFonts w:hint="eastAsia" w:ascii="宋体" w:hAnsi="宋体" w:eastAsia="宋体" w:cs="宋体"/>
          <w:b w:val="0"/>
          <w:bCs w:val="0"/>
          <w:color w:val="auto"/>
          <w:sz w:val="30"/>
          <w:szCs w:val="30"/>
          <w:highlight w:val="none"/>
        </w:rPr>
        <w:fldChar w:fldCharType="separate"/>
      </w:r>
      <w:r>
        <w:rPr>
          <w:rFonts w:hint="eastAsia" w:ascii="宋体" w:hAnsi="宋体" w:eastAsia="宋体" w:cs="宋体"/>
          <w:b w:val="0"/>
          <w:bCs w:val="0"/>
          <w:color w:val="auto"/>
          <w:sz w:val="30"/>
          <w:szCs w:val="30"/>
          <w:highlight w:val="none"/>
        </w:rPr>
        <w:t>第二章  采购需求</w:t>
      </w:r>
      <w:r>
        <w:rPr>
          <w:rFonts w:hint="eastAsia" w:ascii="宋体" w:hAnsi="宋体" w:eastAsia="宋体" w:cs="宋体"/>
          <w:b w:val="0"/>
          <w:bCs w:val="0"/>
          <w:color w:val="auto"/>
          <w:sz w:val="30"/>
          <w:szCs w:val="30"/>
          <w:highlight w:val="none"/>
        </w:rPr>
        <w:tab/>
      </w:r>
      <w:r>
        <w:rPr>
          <w:rFonts w:hint="eastAsia" w:ascii="宋体" w:hAnsi="宋体" w:eastAsia="宋体" w:cs="宋体"/>
          <w:b w:val="0"/>
          <w:bCs w:val="0"/>
          <w:color w:val="auto"/>
          <w:sz w:val="30"/>
          <w:szCs w:val="30"/>
          <w:highlight w:val="none"/>
        </w:rPr>
        <w:fldChar w:fldCharType="begin"/>
      </w:r>
      <w:r>
        <w:rPr>
          <w:rFonts w:hint="eastAsia" w:ascii="宋体" w:hAnsi="宋体" w:eastAsia="宋体" w:cs="宋体"/>
          <w:b w:val="0"/>
          <w:bCs w:val="0"/>
          <w:color w:val="auto"/>
          <w:sz w:val="30"/>
          <w:szCs w:val="30"/>
          <w:highlight w:val="none"/>
        </w:rPr>
        <w:instrText xml:space="preserve"> PAGEREF _Toc15472 \h </w:instrText>
      </w:r>
      <w:r>
        <w:rPr>
          <w:rFonts w:hint="eastAsia" w:ascii="宋体" w:hAnsi="宋体" w:eastAsia="宋体" w:cs="宋体"/>
          <w:b w:val="0"/>
          <w:bCs w:val="0"/>
          <w:color w:val="auto"/>
          <w:sz w:val="30"/>
          <w:szCs w:val="30"/>
          <w:highlight w:val="none"/>
        </w:rPr>
        <w:fldChar w:fldCharType="separate"/>
      </w:r>
      <w:r>
        <w:rPr>
          <w:rFonts w:hint="eastAsia" w:ascii="宋体" w:hAnsi="宋体" w:eastAsia="宋体" w:cs="宋体"/>
          <w:b w:val="0"/>
          <w:bCs w:val="0"/>
          <w:color w:val="auto"/>
          <w:sz w:val="30"/>
          <w:szCs w:val="30"/>
          <w:highlight w:val="none"/>
        </w:rPr>
        <w:t>6</w:t>
      </w:r>
      <w:r>
        <w:rPr>
          <w:rFonts w:hint="eastAsia" w:ascii="宋体" w:hAnsi="宋体" w:eastAsia="宋体" w:cs="宋体"/>
          <w:b w:val="0"/>
          <w:bCs w:val="0"/>
          <w:color w:val="auto"/>
          <w:sz w:val="30"/>
          <w:szCs w:val="30"/>
          <w:highlight w:val="none"/>
        </w:rPr>
        <w:fldChar w:fldCharType="end"/>
      </w:r>
      <w:r>
        <w:rPr>
          <w:rFonts w:hint="eastAsia" w:ascii="宋体" w:hAnsi="宋体" w:eastAsia="宋体" w:cs="宋体"/>
          <w:b w:val="0"/>
          <w:bCs w:val="0"/>
          <w:color w:val="auto"/>
          <w:sz w:val="30"/>
          <w:szCs w:val="30"/>
          <w:highlight w:val="none"/>
        </w:rPr>
        <w:fldChar w:fldCharType="end"/>
      </w:r>
    </w:p>
    <w:p w14:paraId="7E077ADF">
      <w:pPr>
        <w:pStyle w:val="19"/>
        <w:tabs>
          <w:tab w:val="right" w:leader="dot" w:pos="9638"/>
        </w:tabs>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fldChar w:fldCharType="begin"/>
      </w:r>
      <w:r>
        <w:rPr>
          <w:rFonts w:hint="eastAsia" w:ascii="宋体" w:hAnsi="宋体" w:eastAsia="宋体" w:cs="宋体"/>
          <w:b w:val="0"/>
          <w:bCs w:val="0"/>
          <w:color w:val="auto"/>
          <w:sz w:val="30"/>
          <w:szCs w:val="30"/>
          <w:highlight w:val="none"/>
        </w:rPr>
        <w:instrText xml:space="preserve"> HYPERLINK \l _Toc19501 </w:instrText>
      </w:r>
      <w:r>
        <w:rPr>
          <w:rFonts w:hint="eastAsia" w:ascii="宋体" w:hAnsi="宋体" w:eastAsia="宋体" w:cs="宋体"/>
          <w:b w:val="0"/>
          <w:bCs w:val="0"/>
          <w:color w:val="auto"/>
          <w:sz w:val="30"/>
          <w:szCs w:val="30"/>
          <w:highlight w:val="none"/>
        </w:rPr>
        <w:fldChar w:fldCharType="separate"/>
      </w:r>
      <w:r>
        <w:rPr>
          <w:rFonts w:hint="eastAsia" w:ascii="宋体" w:hAnsi="宋体" w:eastAsia="宋体" w:cs="宋体"/>
          <w:b w:val="0"/>
          <w:bCs w:val="0"/>
          <w:color w:val="auto"/>
          <w:sz w:val="30"/>
          <w:szCs w:val="30"/>
          <w:highlight w:val="none"/>
        </w:rPr>
        <w:t>第三章  投标人须知</w:t>
      </w:r>
      <w:r>
        <w:rPr>
          <w:rFonts w:hint="eastAsia" w:ascii="宋体" w:hAnsi="宋体" w:eastAsia="宋体" w:cs="宋体"/>
          <w:b w:val="0"/>
          <w:bCs w:val="0"/>
          <w:color w:val="auto"/>
          <w:sz w:val="30"/>
          <w:szCs w:val="30"/>
          <w:highlight w:val="none"/>
        </w:rPr>
        <w:tab/>
      </w:r>
      <w:r>
        <w:rPr>
          <w:rFonts w:hint="eastAsia" w:ascii="宋体" w:hAnsi="宋体" w:eastAsia="宋体" w:cs="宋体"/>
          <w:b w:val="0"/>
          <w:bCs w:val="0"/>
          <w:color w:val="auto"/>
          <w:sz w:val="30"/>
          <w:szCs w:val="30"/>
          <w:highlight w:val="none"/>
        </w:rPr>
        <w:fldChar w:fldCharType="begin"/>
      </w:r>
      <w:r>
        <w:rPr>
          <w:rFonts w:hint="eastAsia" w:ascii="宋体" w:hAnsi="宋体" w:eastAsia="宋体" w:cs="宋体"/>
          <w:b w:val="0"/>
          <w:bCs w:val="0"/>
          <w:color w:val="auto"/>
          <w:sz w:val="30"/>
          <w:szCs w:val="30"/>
          <w:highlight w:val="none"/>
        </w:rPr>
        <w:instrText xml:space="preserve"> PAGEREF _Toc19501 \h </w:instrText>
      </w:r>
      <w:r>
        <w:rPr>
          <w:rFonts w:hint="eastAsia" w:ascii="宋体" w:hAnsi="宋体" w:eastAsia="宋体" w:cs="宋体"/>
          <w:b w:val="0"/>
          <w:bCs w:val="0"/>
          <w:color w:val="auto"/>
          <w:sz w:val="30"/>
          <w:szCs w:val="30"/>
          <w:highlight w:val="none"/>
        </w:rPr>
        <w:fldChar w:fldCharType="separate"/>
      </w:r>
      <w:r>
        <w:rPr>
          <w:rFonts w:hint="eastAsia" w:ascii="宋体" w:hAnsi="宋体" w:eastAsia="宋体" w:cs="宋体"/>
          <w:b w:val="0"/>
          <w:bCs w:val="0"/>
          <w:color w:val="auto"/>
          <w:sz w:val="30"/>
          <w:szCs w:val="30"/>
          <w:highlight w:val="none"/>
        </w:rPr>
        <w:t>30</w:t>
      </w:r>
      <w:r>
        <w:rPr>
          <w:rFonts w:hint="eastAsia" w:ascii="宋体" w:hAnsi="宋体" w:eastAsia="宋体" w:cs="宋体"/>
          <w:b w:val="0"/>
          <w:bCs w:val="0"/>
          <w:color w:val="auto"/>
          <w:sz w:val="30"/>
          <w:szCs w:val="30"/>
          <w:highlight w:val="none"/>
        </w:rPr>
        <w:fldChar w:fldCharType="end"/>
      </w:r>
      <w:r>
        <w:rPr>
          <w:rFonts w:hint="eastAsia" w:ascii="宋体" w:hAnsi="宋体" w:eastAsia="宋体" w:cs="宋体"/>
          <w:b w:val="0"/>
          <w:bCs w:val="0"/>
          <w:color w:val="auto"/>
          <w:sz w:val="30"/>
          <w:szCs w:val="30"/>
          <w:highlight w:val="none"/>
        </w:rPr>
        <w:fldChar w:fldCharType="end"/>
      </w:r>
    </w:p>
    <w:p w14:paraId="56958F30">
      <w:pPr>
        <w:pStyle w:val="19"/>
        <w:tabs>
          <w:tab w:val="right" w:leader="dot" w:pos="9638"/>
        </w:tabs>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fldChar w:fldCharType="begin"/>
      </w:r>
      <w:r>
        <w:rPr>
          <w:rFonts w:hint="eastAsia" w:ascii="宋体" w:hAnsi="宋体" w:eastAsia="宋体" w:cs="宋体"/>
          <w:b w:val="0"/>
          <w:bCs w:val="0"/>
          <w:color w:val="auto"/>
          <w:sz w:val="30"/>
          <w:szCs w:val="30"/>
          <w:highlight w:val="none"/>
        </w:rPr>
        <w:instrText xml:space="preserve"> HYPERLINK \l _Toc25062 </w:instrText>
      </w:r>
      <w:r>
        <w:rPr>
          <w:rFonts w:hint="eastAsia" w:ascii="宋体" w:hAnsi="宋体" w:eastAsia="宋体" w:cs="宋体"/>
          <w:b w:val="0"/>
          <w:bCs w:val="0"/>
          <w:color w:val="auto"/>
          <w:sz w:val="30"/>
          <w:szCs w:val="30"/>
          <w:highlight w:val="none"/>
        </w:rPr>
        <w:fldChar w:fldCharType="separate"/>
      </w:r>
      <w:r>
        <w:rPr>
          <w:rFonts w:hint="eastAsia" w:ascii="宋体" w:hAnsi="宋体" w:eastAsia="宋体" w:cs="宋体"/>
          <w:b w:val="0"/>
          <w:bCs w:val="0"/>
          <w:color w:val="auto"/>
          <w:sz w:val="30"/>
          <w:szCs w:val="30"/>
          <w:highlight w:val="none"/>
        </w:rPr>
        <w:t>第四章  评标方法和评标标准</w:t>
      </w:r>
      <w:r>
        <w:rPr>
          <w:rFonts w:hint="eastAsia" w:ascii="宋体" w:hAnsi="宋体" w:eastAsia="宋体" w:cs="宋体"/>
          <w:b w:val="0"/>
          <w:bCs w:val="0"/>
          <w:color w:val="auto"/>
          <w:sz w:val="30"/>
          <w:szCs w:val="30"/>
          <w:highlight w:val="none"/>
        </w:rPr>
        <w:tab/>
      </w:r>
      <w:r>
        <w:rPr>
          <w:rFonts w:hint="eastAsia" w:ascii="宋体" w:hAnsi="宋体" w:eastAsia="宋体" w:cs="宋体"/>
          <w:b w:val="0"/>
          <w:bCs w:val="0"/>
          <w:color w:val="auto"/>
          <w:sz w:val="30"/>
          <w:szCs w:val="30"/>
          <w:highlight w:val="none"/>
        </w:rPr>
        <w:fldChar w:fldCharType="begin"/>
      </w:r>
      <w:r>
        <w:rPr>
          <w:rFonts w:hint="eastAsia" w:ascii="宋体" w:hAnsi="宋体" w:eastAsia="宋体" w:cs="宋体"/>
          <w:b w:val="0"/>
          <w:bCs w:val="0"/>
          <w:color w:val="auto"/>
          <w:sz w:val="30"/>
          <w:szCs w:val="30"/>
          <w:highlight w:val="none"/>
        </w:rPr>
        <w:instrText xml:space="preserve"> PAGEREF _Toc25062 \h </w:instrText>
      </w:r>
      <w:r>
        <w:rPr>
          <w:rFonts w:hint="eastAsia" w:ascii="宋体" w:hAnsi="宋体" w:eastAsia="宋体" w:cs="宋体"/>
          <w:b w:val="0"/>
          <w:bCs w:val="0"/>
          <w:color w:val="auto"/>
          <w:sz w:val="30"/>
          <w:szCs w:val="30"/>
          <w:highlight w:val="none"/>
        </w:rPr>
        <w:fldChar w:fldCharType="separate"/>
      </w:r>
      <w:r>
        <w:rPr>
          <w:rFonts w:hint="eastAsia" w:ascii="宋体" w:hAnsi="宋体" w:eastAsia="宋体" w:cs="宋体"/>
          <w:b w:val="0"/>
          <w:bCs w:val="0"/>
          <w:color w:val="auto"/>
          <w:sz w:val="30"/>
          <w:szCs w:val="30"/>
          <w:highlight w:val="none"/>
        </w:rPr>
        <w:t>55</w:t>
      </w:r>
      <w:r>
        <w:rPr>
          <w:rFonts w:hint="eastAsia" w:ascii="宋体" w:hAnsi="宋体" w:eastAsia="宋体" w:cs="宋体"/>
          <w:b w:val="0"/>
          <w:bCs w:val="0"/>
          <w:color w:val="auto"/>
          <w:sz w:val="30"/>
          <w:szCs w:val="30"/>
          <w:highlight w:val="none"/>
        </w:rPr>
        <w:fldChar w:fldCharType="end"/>
      </w:r>
      <w:r>
        <w:rPr>
          <w:rFonts w:hint="eastAsia" w:ascii="宋体" w:hAnsi="宋体" w:eastAsia="宋体" w:cs="宋体"/>
          <w:b w:val="0"/>
          <w:bCs w:val="0"/>
          <w:color w:val="auto"/>
          <w:sz w:val="30"/>
          <w:szCs w:val="30"/>
          <w:highlight w:val="none"/>
        </w:rPr>
        <w:fldChar w:fldCharType="end"/>
      </w:r>
    </w:p>
    <w:p w14:paraId="737801BB">
      <w:pPr>
        <w:pStyle w:val="19"/>
        <w:tabs>
          <w:tab w:val="right" w:leader="dot" w:pos="9638"/>
        </w:tabs>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fldChar w:fldCharType="begin"/>
      </w:r>
      <w:r>
        <w:rPr>
          <w:rFonts w:hint="eastAsia" w:ascii="宋体" w:hAnsi="宋体" w:eastAsia="宋体" w:cs="宋体"/>
          <w:b w:val="0"/>
          <w:bCs w:val="0"/>
          <w:color w:val="auto"/>
          <w:sz w:val="30"/>
          <w:szCs w:val="30"/>
          <w:highlight w:val="none"/>
        </w:rPr>
        <w:instrText xml:space="preserve"> HYPERLINK \l _Toc3231 </w:instrText>
      </w:r>
      <w:r>
        <w:rPr>
          <w:rFonts w:hint="eastAsia" w:ascii="宋体" w:hAnsi="宋体" w:eastAsia="宋体" w:cs="宋体"/>
          <w:b w:val="0"/>
          <w:bCs w:val="0"/>
          <w:color w:val="auto"/>
          <w:sz w:val="30"/>
          <w:szCs w:val="30"/>
          <w:highlight w:val="none"/>
        </w:rPr>
        <w:fldChar w:fldCharType="separate"/>
      </w:r>
      <w:r>
        <w:rPr>
          <w:rFonts w:hint="eastAsia" w:ascii="宋体" w:hAnsi="宋体" w:eastAsia="宋体" w:cs="宋体"/>
          <w:b w:val="0"/>
          <w:bCs w:val="0"/>
          <w:color w:val="auto"/>
          <w:sz w:val="30"/>
          <w:szCs w:val="30"/>
          <w:highlight w:val="none"/>
        </w:rPr>
        <w:t xml:space="preserve">第五章 </w:t>
      </w:r>
      <w:r>
        <w:rPr>
          <w:rFonts w:hint="eastAsia" w:ascii="宋体" w:hAnsi="宋体" w:cs="宋体"/>
          <w:b w:val="0"/>
          <w:bCs w:val="0"/>
          <w:color w:val="auto"/>
          <w:sz w:val="30"/>
          <w:szCs w:val="30"/>
          <w:highlight w:val="none"/>
          <w:lang w:val="en-US" w:eastAsia="zh-CN"/>
        </w:rPr>
        <w:t xml:space="preserve"> </w:t>
      </w:r>
      <w:r>
        <w:rPr>
          <w:rFonts w:hint="eastAsia" w:ascii="宋体" w:hAnsi="宋体" w:eastAsia="宋体" w:cs="宋体"/>
          <w:b w:val="0"/>
          <w:bCs w:val="0"/>
          <w:color w:val="auto"/>
          <w:sz w:val="30"/>
          <w:szCs w:val="30"/>
          <w:highlight w:val="none"/>
        </w:rPr>
        <w:t>拟签订的合同文本</w:t>
      </w:r>
      <w:r>
        <w:rPr>
          <w:rFonts w:hint="eastAsia" w:ascii="宋体" w:hAnsi="宋体" w:eastAsia="宋体" w:cs="宋体"/>
          <w:b w:val="0"/>
          <w:bCs w:val="0"/>
          <w:color w:val="auto"/>
          <w:sz w:val="30"/>
          <w:szCs w:val="30"/>
          <w:highlight w:val="none"/>
        </w:rPr>
        <w:tab/>
      </w:r>
      <w:r>
        <w:rPr>
          <w:rFonts w:hint="eastAsia" w:ascii="宋体" w:hAnsi="宋体" w:eastAsia="宋体" w:cs="宋体"/>
          <w:b w:val="0"/>
          <w:bCs w:val="0"/>
          <w:color w:val="auto"/>
          <w:sz w:val="30"/>
          <w:szCs w:val="30"/>
          <w:highlight w:val="none"/>
        </w:rPr>
        <w:fldChar w:fldCharType="begin"/>
      </w:r>
      <w:r>
        <w:rPr>
          <w:rFonts w:hint="eastAsia" w:ascii="宋体" w:hAnsi="宋体" w:eastAsia="宋体" w:cs="宋体"/>
          <w:b w:val="0"/>
          <w:bCs w:val="0"/>
          <w:color w:val="auto"/>
          <w:sz w:val="30"/>
          <w:szCs w:val="30"/>
          <w:highlight w:val="none"/>
        </w:rPr>
        <w:instrText xml:space="preserve"> PAGEREF _Toc3231 \h </w:instrText>
      </w:r>
      <w:r>
        <w:rPr>
          <w:rFonts w:hint="eastAsia" w:ascii="宋体" w:hAnsi="宋体" w:eastAsia="宋体" w:cs="宋体"/>
          <w:b w:val="0"/>
          <w:bCs w:val="0"/>
          <w:color w:val="auto"/>
          <w:sz w:val="30"/>
          <w:szCs w:val="30"/>
          <w:highlight w:val="none"/>
        </w:rPr>
        <w:fldChar w:fldCharType="separate"/>
      </w:r>
      <w:r>
        <w:rPr>
          <w:rFonts w:hint="eastAsia" w:ascii="宋体" w:hAnsi="宋体" w:eastAsia="宋体" w:cs="宋体"/>
          <w:b w:val="0"/>
          <w:bCs w:val="0"/>
          <w:color w:val="auto"/>
          <w:sz w:val="30"/>
          <w:szCs w:val="30"/>
          <w:highlight w:val="none"/>
        </w:rPr>
        <w:t>63</w:t>
      </w:r>
      <w:r>
        <w:rPr>
          <w:rFonts w:hint="eastAsia" w:ascii="宋体" w:hAnsi="宋体" w:eastAsia="宋体" w:cs="宋体"/>
          <w:b w:val="0"/>
          <w:bCs w:val="0"/>
          <w:color w:val="auto"/>
          <w:sz w:val="30"/>
          <w:szCs w:val="30"/>
          <w:highlight w:val="none"/>
        </w:rPr>
        <w:fldChar w:fldCharType="end"/>
      </w:r>
      <w:r>
        <w:rPr>
          <w:rFonts w:hint="eastAsia" w:ascii="宋体" w:hAnsi="宋体" w:eastAsia="宋体" w:cs="宋体"/>
          <w:b w:val="0"/>
          <w:bCs w:val="0"/>
          <w:color w:val="auto"/>
          <w:sz w:val="30"/>
          <w:szCs w:val="30"/>
          <w:highlight w:val="none"/>
        </w:rPr>
        <w:fldChar w:fldCharType="end"/>
      </w:r>
    </w:p>
    <w:p w14:paraId="4F56921E">
      <w:pPr>
        <w:pStyle w:val="19"/>
        <w:tabs>
          <w:tab w:val="right" w:leader="dot" w:pos="9638"/>
        </w:tabs>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fldChar w:fldCharType="begin"/>
      </w:r>
      <w:r>
        <w:rPr>
          <w:rFonts w:hint="eastAsia" w:ascii="宋体" w:hAnsi="宋体" w:eastAsia="宋体" w:cs="宋体"/>
          <w:b w:val="0"/>
          <w:bCs w:val="0"/>
          <w:color w:val="auto"/>
          <w:sz w:val="30"/>
          <w:szCs w:val="30"/>
          <w:highlight w:val="none"/>
        </w:rPr>
        <w:instrText xml:space="preserve"> HYPERLINK \l _Toc22714 </w:instrText>
      </w:r>
      <w:r>
        <w:rPr>
          <w:rFonts w:hint="eastAsia" w:ascii="宋体" w:hAnsi="宋体" w:eastAsia="宋体" w:cs="宋体"/>
          <w:b w:val="0"/>
          <w:bCs w:val="0"/>
          <w:color w:val="auto"/>
          <w:sz w:val="30"/>
          <w:szCs w:val="30"/>
          <w:highlight w:val="none"/>
        </w:rPr>
        <w:fldChar w:fldCharType="separate"/>
      </w:r>
      <w:r>
        <w:rPr>
          <w:rFonts w:hint="eastAsia" w:ascii="宋体" w:hAnsi="宋体" w:eastAsia="宋体" w:cs="宋体"/>
          <w:b w:val="0"/>
          <w:bCs w:val="0"/>
          <w:color w:val="auto"/>
          <w:sz w:val="30"/>
          <w:szCs w:val="30"/>
          <w:highlight w:val="none"/>
        </w:rPr>
        <w:t xml:space="preserve">第六章 </w:t>
      </w:r>
      <w:r>
        <w:rPr>
          <w:rFonts w:hint="eastAsia" w:ascii="宋体" w:hAnsi="宋体" w:cs="宋体"/>
          <w:b w:val="0"/>
          <w:bCs w:val="0"/>
          <w:color w:val="auto"/>
          <w:sz w:val="30"/>
          <w:szCs w:val="30"/>
          <w:highlight w:val="none"/>
          <w:lang w:val="en-US" w:eastAsia="zh-CN"/>
        </w:rPr>
        <w:t xml:space="preserve"> </w:t>
      </w:r>
      <w:r>
        <w:rPr>
          <w:rFonts w:hint="eastAsia" w:ascii="宋体" w:hAnsi="宋体" w:eastAsia="宋体" w:cs="宋体"/>
          <w:b w:val="0"/>
          <w:bCs w:val="0"/>
          <w:color w:val="auto"/>
          <w:sz w:val="30"/>
          <w:szCs w:val="30"/>
          <w:highlight w:val="none"/>
        </w:rPr>
        <w:t>投标文件格式</w:t>
      </w:r>
      <w:r>
        <w:rPr>
          <w:rFonts w:hint="eastAsia" w:ascii="宋体" w:hAnsi="宋体" w:eastAsia="宋体" w:cs="宋体"/>
          <w:b w:val="0"/>
          <w:bCs w:val="0"/>
          <w:color w:val="auto"/>
          <w:sz w:val="30"/>
          <w:szCs w:val="30"/>
          <w:highlight w:val="none"/>
        </w:rPr>
        <w:tab/>
      </w:r>
      <w:r>
        <w:rPr>
          <w:rFonts w:hint="eastAsia" w:ascii="宋体" w:hAnsi="宋体" w:eastAsia="宋体" w:cs="宋体"/>
          <w:b w:val="0"/>
          <w:bCs w:val="0"/>
          <w:color w:val="auto"/>
          <w:sz w:val="30"/>
          <w:szCs w:val="30"/>
          <w:highlight w:val="none"/>
        </w:rPr>
        <w:fldChar w:fldCharType="begin"/>
      </w:r>
      <w:r>
        <w:rPr>
          <w:rFonts w:hint="eastAsia" w:ascii="宋体" w:hAnsi="宋体" w:eastAsia="宋体" w:cs="宋体"/>
          <w:b w:val="0"/>
          <w:bCs w:val="0"/>
          <w:color w:val="auto"/>
          <w:sz w:val="30"/>
          <w:szCs w:val="30"/>
          <w:highlight w:val="none"/>
        </w:rPr>
        <w:instrText xml:space="preserve"> PAGEREF _Toc22714 \h </w:instrText>
      </w:r>
      <w:r>
        <w:rPr>
          <w:rFonts w:hint="eastAsia" w:ascii="宋体" w:hAnsi="宋体" w:eastAsia="宋体" w:cs="宋体"/>
          <w:b w:val="0"/>
          <w:bCs w:val="0"/>
          <w:color w:val="auto"/>
          <w:sz w:val="30"/>
          <w:szCs w:val="30"/>
          <w:highlight w:val="none"/>
        </w:rPr>
        <w:fldChar w:fldCharType="separate"/>
      </w:r>
      <w:r>
        <w:rPr>
          <w:rFonts w:hint="eastAsia" w:ascii="宋体" w:hAnsi="宋体" w:eastAsia="宋体" w:cs="宋体"/>
          <w:b w:val="0"/>
          <w:bCs w:val="0"/>
          <w:color w:val="auto"/>
          <w:sz w:val="30"/>
          <w:szCs w:val="30"/>
          <w:highlight w:val="none"/>
        </w:rPr>
        <w:t>72</w:t>
      </w:r>
      <w:r>
        <w:rPr>
          <w:rFonts w:hint="eastAsia" w:ascii="宋体" w:hAnsi="宋体" w:eastAsia="宋体" w:cs="宋体"/>
          <w:b w:val="0"/>
          <w:bCs w:val="0"/>
          <w:color w:val="auto"/>
          <w:sz w:val="30"/>
          <w:szCs w:val="30"/>
          <w:highlight w:val="none"/>
        </w:rPr>
        <w:fldChar w:fldCharType="end"/>
      </w:r>
      <w:r>
        <w:rPr>
          <w:rFonts w:hint="eastAsia" w:ascii="宋体" w:hAnsi="宋体" w:eastAsia="宋体" w:cs="宋体"/>
          <w:b w:val="0"/>
          <w:bCs w:val="0"/>
          <w:color w:val="auto"/>
          <w:sz w:val="30"/>
          <w:szCs w:val="30"/>
          <w:highlight w:val="none"/>
        </w:rPr>
        <w:fldChar w:fldCharType="end"/>
      </w:r>
    </w:p>
    <w:p w14:paraId="61DF1348">
      <w:pPr>
        <w:pStyle w:val="19"/>
        <w:tabs>
          <w:tab w:val="right" w:leader="dot" w:pos="9638"/>
        </w:tabs>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fldChar w:fldCharType="begin"/>
      </w:r>
      <w:r>
        <w:rPr>
          <w:rFonts w:hint="eastAsia" w:ascii="宋体" w:hAnsi="宋体" w:eastAsia="宋体" w:cs="宋体"/>
          <w:b w:val="0"/>
          <w:bCs w:val="0"/>
          <w:color w:val="auto"/>
          <w:sz w:val="30"/>
          <w:szCs w:val="30"/>
          <w:highlight w:val="none"/>
        </w:rPr>
        <w:instrText xml:space="preserve"> HYPERLINK \l _Toc8133 </w:instrText>
      </w:r>
      <w:r>
        <w:rPr>
          <w:rFonts w:hint="eastAsia" w:ascii="宋体" w:hAnsi="宋体" w:eastAsia="宋体" w:cs="宋体"/>
          <w:b w:val="0"/>
          <w:bCs w:val="0"/>
          <w:color w:val="auto"/>
          <w:sz w:val="30"/>
          <w:szCs w:val="30"/>
          <w:highlight w:val="none"/>
        </w:rPr>
        <w:fldChar w:fldCharType="separate"/>
      </w:r>
      <w:r>
        <w:rPr>
          <w:rFonts w:hint="eastAsia" w:ascii="宋体" w:hAnsi="宋体" w:eastAsia="宋体" w:cs="宋体"/>
          <w:b w:val="0"/>
          <w:bCs w:val="0"/>
          <w:color w:val="auto"/>
          <w:sz w:val="30"/>
          <w:szCs w:val="30"/>
          <w:highlight w:val="none"/>
        </w:rPr>
        <w:t xml:space="preserve">第七章 </w:t>
      </w:r>
      <w:r>
        <w:rPr>
          <w:rFonts w:hint="eastAsia" w:ascii="宋体" w:hAnsi="宋体" w:cs="宋体"/>
          <w:b w:val="0"/>
          <w:bCs w:val="0"/>
          <w:color w:val="auto"/>
          <w:sz w:val="30"/>
          <w:szCs w:val="30"/>
          <w:highlight w:val="none"/>
          <w:lang w:val="en-US" w:eastAsia="zh-CN"/>
        </w:rPr>
        <w:t xml:space="preserve"> </w:t>
      </w:r>
      <w:r>
        <w:rPr>
          <w:rFonts w:hint="eastAsia" w:ascii="宋体" w:hAnsi="宋体" w:eastAsia="宋体" w:cs="宋体"/>
          <w:b w:val="0"/>
          <w:bCs w:val="0"/>
          <w:color w:val="auto"/>
          <w:sz w:val="30"/>
          <w:szCs w:val="30"/>
          <w:highlight w:val="none"/>
        </w:rPr>
        <w:t>质疑、投诉材料格式</w:t>
      </w:r>
      <w:r>
        <w:rPr>
          <w:rFonts w:hint="eastAsia" w:ascii="宋体" w:hAnsi="宋体" w:eastAsia="宋体" w:cs="宋体"/>
          <w:b w:val="0"/>
          <w:bCs w:val="0"/>
          <w:color w:val="auto"/>
          <w:sz w:val="30"/>
          <w:szCs w:val="30"/>
          <w:highlight w:val="none"/>
        </w:rPr>
        <w:tab/>
      </w:r>
      <w:r>
        <w:rPr>
          <w:rFonts w:hint="eastAsia" w:ascii="宋体" w:hAnsi="宋体" w:eastAsia="宋体" w:cs="宋体"/>
          <w:b w:val="0"/>
          <w:bCs w:val="0"/>
          <w:color w:val="auto"/>
          <w:sz w:val="30"/>
          <w:szCs w:val="30"/>
          <w:highlight w:val="none"/>
        </w:rPr>
        <w:fldChar w:fldCharType="begin"/>
      </w:r>
      <w:r>
        <w:rPr>
          <w:rFonts w:hint="eastAsia" w:ascii="宋体" w:hAnsi="宋体" w:eastAsia="宋体" w:cs="宋体"/>
          <w:b w:val="0"/>
          <w:bCs w:val="0"/>
          <w:color w:val="auto"/>
          <w:sz w:val="30"/>
          <w:szCs w:val="30"/>
          <w:highlight w:val="none"/>
        </w:rPr>
        <w:instrText xml:space="preserve"> PAGEREF _Toc8133 \h </w:instrText>
      </w:r>
      <w:r>
        <w:rPr>
          <w:rFonts w:hint="eastAsia" w:ascii="宋体" w:hAnsi="宋体" w:eastAsia="宋体" w:cs="宋体"/>
          <w:b w:val="0"/>
          <w:bCs w:val="0"/>
          <w:color w:val="auto"/>
          <w:sz w:val="30"/>
          <w:szCs w:val="30"/>
          <w:highlight w:val="none"/>
        </w:rPr>
        <w:fldChar w:fldCharType="separate"/>
      </w:r>
      <w:r>
        <w:rPr>
          <w:rFonts w:hint="eastAsia" w:ascii="宋体" w:hAnsi="宋体" w:eastAsia="宋体" w:cs="宋体"/>
          <w:b w:val="0"/>
          <w:bCs w:val="0"/>
          <w:color w:val="auto"/>
          <w:sz w:val="30"/>
          <w:szCs w:val="30"/>
          <w:highlight w:val="none"/>
        </w:rPr>
        <w:t>100</w:t>
      </w:r>
      <w:r>
        <w:rPr>
          <w:rFonts w:hint="eastAsia" w:ascii="宋体" w:hAnsi="宋体" w:eastAsia="宋体" w:cs="宋体"/>
          <w:b w:val="0"/>
          <w:bCs w:val="0"/>
          <w:color w:val="auto"/>
          <w:sz w:val="30"/>
          <w:szCs w:val="30"/>
          <w:highlight w:val="none"/>
        </w:rPr>
        <w:fldChar w:fldCharType="end"/>
      </w:r>
      <w:r>
        <w:rPr>
          <w:rFonts w:hint="eastAsia" w:ascii="宋体" w:hAnsi="宋体" w:eastAsia="宋体" w:cs="宋体"/>
          <w:b w:val="0"/>
          <w:bCs w:val="0"/>
          <w:color w:val="auto"/>
          <w:sz w:val="30"/>
          <w:szCs w:val="30"/>
          <w:highlight w:val="none"/>
        </w:rPr>
        <w:fldChar w:fldCharType="end"/>
      </w:r>
    </w:p>
    <w:p w14:paraId="7C312479">
      <w:pPr>
        <w:pStyle w:val="14"/>
        <w:jc w:val="center"/>
        <w:rPr>
          <w:rFonts w:cs="宋体"/>
          <w:color w:val="auto"/>
          <w:highlight w:val="none"/>
        </w:rPr>
      </w:pPr>
      <w:r>
        <w:rPr>
          <w:rFonts w:hint="eastAsia" w:ascii="宋体" w:hAnsi="宋体" w:eastAsia="宋体" w:cs="宋体"/>
          <w:b w:val="0"/>
          <w:bCs w:val="0"/>
          <w:color w:val="auto"/>
          <w:sz w:val="30"/>
          <w:szCs w:val="30"/>
          <w:highlight w:val="none"/>
        </w:rPr>
        <w:fldChar w:fldCharType="end"/>
      </w:r>
      <w:r>
        <w:rPr>
          <w:rFonts w:hint="eastAsia" w:cs="宋体"/>
          <w:color w:val="auto"/>
          <w:highlight w:val="none"/>
        </w:rPr>
        <w:tab/>
      </w:r>
      <w:bookmarkStart w:id="1" w:name="_Toc532545041"/>
    </w:p>
    <w:p w14:paraId="5924CAEF">
      <w:pPr>
        <w:pStyle w:val="14"/>
        <w:jc w:val="center"/>
        <w:outlineLvl w:val="0"/>
        <w:rPr>
          <w:rFonts w:cs="宋体"/>
          <w:b/>
          <w:color w:val="auto"/>
          <w:sz w:val="36"/>
          <w:highlight w:val="none"/>
        </w:rPr>
      </w:pPr>
      <w:bookmarkStart w:id="2" w:name="_Toc20152"/>
      <w:bookmarkStart w:id="3" w:name="_Toc539"/>
      <w:bookmarkStart w:id="4" w:name="_Toc23304"/>
      <w:bookmarkStart w:id="5" w:name="_Toc12135"/>
      <w:bookmarkStart w:id="6" w:name="_Toc22419"/>
      <w:bookmarkStart w:id="7" w:name="_Toc19710"/>
      <w:r>
        <w:rPr>
          <w:rFonts w:hint="eastAsia" w:cs="宋体"/>
          <w:b/>
          <w:color w:val="auto"/>
          <w:sz w:val="36"/>
          <w:highlight w:val="none"/>
        </w:rPr>
        <w:br w:type="page"/>
      </w:r>
      <w:bookmarkStart w:id="8" w:name="_Toc11023"/>
      <w:bookmarkStart w:id="9" w:name="_Toc14935"/>
      <w:bookmarkStart w:id="10" w:name="_Toc24794"/>
      <w:bookmarkStart w:id="11" w:name="_Toc2182"/>
      <w:r>
        <w:rPr>
          <w:rFonts w:hint="eastAsia" w:cs="宋体"/>
          <w:b/>
          <w:color w:val="auto"/>
          <w:sz w:val="36"/>
          <w:highlight w:val="none"/>
        </w:rPr>
        <w:t>第一章  招标公告</w:t>
      </w:r>
      <w:bookmarkEnd w:id="1"/>
      <w:bookmarkEnd w:id="2"/>
      <w:bookmarkEnd w:id="3"/>
      <w:bookmarkEnd w:id="4"/>
      <w:bookmarkEnd w:id="5"/>
      <w:bookmarkEnd w:id="6"/>
      <w:bookmarkEnd w:id="7"/>
      <w:bookmarkEnd w:id="8"/>
      <w:bookmarkEnd w:id="9"/>
      <w:bookmarkEnd w:id="10"/>
      <w:bookmarkEnd w:id="11"/>
    </w:p>
    <w:p w14:paraId="0D28FD7B">
      <w:pPr>
        <w:pStyle w:val="14"/>
        <w:jc w:val="center"/>
        <w:rPr>
          <w:rFonts w:cs="宋体"/>
          <w:b/>
          <w:color w:val="auto"/>
          <w:sz w:val="30"/>
          <w:szCs w:val="30"/>
          <w:highlight w:val="none"/>
        </w:rPr>
      </w:pPr>
      <w:r>
        <w:rPr>
          <w:rFonts w:hint="eastAsia" w:cs="宋体"/>
          <w:b/>
          <w:color w:val="auto"/>
          <w:sz w:val="30"/>
          <w:szCs w:val="30"/>
          <w:highlight w:val="none"/>
        </w:rPr>
        <w:t>招标公告</w:t>
      </w:r>
    </w:p>
    <w:p w14:paraId="7329C50C">
      <w:pPr>
        <w:pBdr>
          <w:top w:val="single" w:color="auto" w:sz="4" w:space="1"/>
          <w:left w:val="single" w:color="auto" w:sz="4" w:space="4"/>
          <w:bottom w:val="single" w:color="auto" w:sz="4" w:space="1"/>
          <w:right w:val="single" w:color="auto" w:sz="4" w:space="4"/>
        </w:pBdr>
        <w:spacing w:line="360" w:lineRule="auto"/>
        <w:rPr>
          <w:rFonts w:ascii="宋体" w:cs="宋体"/>
          <w:color w:val="auto"/>
          <w:szCs w:val="21"/>
          <w:highlight w:val="none"/>
        </w:rPr>
      </w:pPr>
      <w:r>
        <w:rPr>
          <w:rFonts w:hint="eastAsia" w:ascii="宋体" w:cs="宋体"/>
          <w:color w:val="auto"/>
          <w:szCs w:val="21"/>
          <w:highlight w:val="none"/>
        </w:rPr>
        <w:t>项目概况</w:t>
      </w:r>
    </w:p>
    <w:p w14:paraId="52EC4A1D">
      <w:pPr>
        <w:pBdr>
          <w:top w:val="single" w:color="auto" w:sz="4" w:space="1"/>
          <w:left w:val="single" w:color="auto" w:sz="4" w:space="4"/>
          <w:bottom w:val="single" w:color="auto" w:sz="4" w:space="1"/>
          <w:right w:val="single" w:color="auto" w:sz="4" w:space="4"/>
        </w:pBdr>
        <w:spacing w:line="360" w:lineRule="auto"/>
        <w:ind w:firstLine="525" w:firstLineChars="250"/>
        <w:rPr>
          <w:rFonts w:ascii="宋体" w:cs="宋体"/>
          <w:color w:val="auto"/>
          <w:szCs w:val="21"/>
          <w:highlight w:val="none"/>
          <w:u w:val="single"/>
        </w:rPr>
      </w:pPr>
      <w:r>
        <w:rPr>
          <w:rFonts w:hint="eastAsia" w:ascii="宋体" w:cs="宋体"/>
          <w:color w:val="auto"/>
          <w:szCs w:val="21"/>
          <w:highlight w:val="none"/>
          <w:u w:val="single"/>
          <w:lang w:eastAsia="zh-CN"/>
        </w:rPr>
        <w:t>教学头模等设备采购项目</w:t>
      </w:r>
      <w:r>
        <w:rPr>
          <w:rFonts w:hint="eastAsia" w:ascii="宋体" w:cs="宋体"/>
          <w:color w:val="auto"/>
          <w:szCs w:val="21"/>
          <w:highlight w:val="none"/>
        </w:rPr>
        <w:t>招标项目的潜在投标人应在广西政府采购云平台（https：//www.gcy.zfcg.gxzf.gov.cn/）获取招标文件，并于</w:t>
      </w:r>
      <w:bookmarkStart w:id="12" w:name="PO_3000001867_PM015"/>
      <w:r>
        <w:rPr>
          <w:rFonts w:hint="eastAsia" w:ascii="宋体" w:cs="宋体"/>
          <w:color w:val="auto"/>
          <w:szCs w:val="21"/>
          <w:highlight w:val="none"/>
        </w:rPr>
        <w:t>202</w:t>
      </w:r>
      <w:r>
        <w:rPr>
          <w:rFonts w:hint="eastAsia" w:ascii="宋体" w:cs="宋体"/>
          <w:color w:val="auto"/>
          <w:szCs w:val="21"/>
          <w:highlight w:val="none"/>
          <w:lang w:val="en-US" w:eastAsia="zh-CN"/>
        </w:rPr>
        <w:t>6</w:t>
      </w:r>
      <w:r>
        <w:rPr>
          <w:rFonts w:hint="eastAsia" w:ascii="宋体" w:cs="宋体"/>
          <w:color w:val="auto"/>
          <w:szCs w:val="21"/>
          <w:highlight w:val="none"/>
        </w:rPr>
        <w:t>年</w:t>
      </w:r>
      <w:r>
        <w:rPr>
          <w:rFonts w:hint="eastAsia" w:ascii="宋体" w:cs="宋体"/>
          <w:color w:val="auto"/>
          <w:szCs w:val="21"/>
          <w:highlight w:val="none"/>
          <w:lang w:val="en-US" w:eastAsia="zh-CN"/>
        </w:rPr>
        <w:t>4</w:t>
      </w:r>
      <w:r>
        <w:rPr>
          <w:rFonts w:hint="eastAsia" w:ascii="宋体" w:cs="宋体"/>
          <w:color w:val="auto"/>
          <w:szCs w:val="21"/>
          <w:highlight w:val="none"/>
        </w:rPr>
        <w:t>月</w:t>
      </w:r>
      <w:r>
        <w:rPr>
          <w:rFonts w:hint="eastAsia" w:ascii="宋体" w:cs="宋体"/>
          <w:color w:val="auto"/>
          <w:szCs w:val="21"/>
          <w:highlight w:val="none"/>
          <w:lang w:val="en-US" w:eastAsia="zh-CN"/>
        </w:rPr>
        <w:t>24</w:t>
      </w:r>
      <w:r>
        <w:rPr>
          <w:rFonts w:hint="eastAsia" w:ascii="宋体" w:cs="宋体"/>
          <w:color w:val="auto"/>
          <w:szCs w:val="21"/>
          <w:highlight w:val="none"/>
        </w:rPr>
        <w:t>日</w:t>
      </w:r>
      <w:r>
        <w:rPr>
          <w:rFonts w:hint="eastAsia" w:ascii="宋体" w:cs="宋体"/>
          <w:color w:val="auto"/>
          <w:szCs w:val="21"/>
          <w:highlight w:val="none"/>
          <w:lang w:val="en-US" w:eastAsia="zh-CN"/>
        </w:rPr>
        <w:t>11</w:t>
      </w:r>
      <w:r>
        <w:rPr>
          <w:rFonts w:hint="eastAsia" w:ascii="宋体" w:cs="宋体"/>
          <w:color w:val="auto"/>
          <w:szCs w:val="21"/>
          <w:highlight w:val="none"/>
        </w:rPr>
        <w:t>点</w:t>
      </w:r>
      <w:r>
        <w:rPr>
          <w:rFonts w:hint="eastAsia" w:ascii="宋体" w:cs="宋体"/>
          <w:color w:val="auto"/>
          <w:szCs w:val="21"/>
          <w:highlight w:val="none"/>
          <w:lang w:val="en-US" w:eastAsia="zh-CN"/>
        </w:rPr>
        <w:t>00</w:t>
      </w:r>
      <w:r>
        <w:rPr>
          <w:rFonts w:hint="eastAsia" w:ascii="宋体" w:cs="宋体"/>
          <w:color w:val="auto"/>
          <w:szCs w:val="21"/>
          <w:highlight w:val="none"/>
        </w:rPr>
        <w:t>分</w:t>
      </w:r>
      <w:bookmarkEnd w:id="12"/>
      <w:r>
        <w:rPr>
          <w:rFonts w:hint="eastAsia" w:ascii="宋体" w:cs="宋体"/>
          <w:bCs/>
          <w:color w:val="auto"/>
          <w:szCs w:val="21"/>
          <w:highlight w:val="none"/>
        </w:rPr>
        <w:t>（北京时间）前</w:t>
      </w:r>
      <w:r>
        <w:rPr>
          <w:rFonts w:hint="eastAsia" w:ascii="宋体" w:cs="宋体"/>
          <w:color w:val="auto"/>
          <w:szCs w:val="21"/>
          <w:highlight w:val="none"/>
        </w:rPr>
        <w:t>递交（上传）投标文件。</w:t>
      </w:r>
    </w:p>
    <w:p w14:paraId="4FF3C90C">
      <w:pPr>
        <w:spacing w:line="460" w:lineRule="exact"/>
        <w:rPr>
          <w:rFonts w:ascii="宋体" w:cs="宋体"/>
          <w:b/>
          <w:bCs/>
          <w:color w:val="auto"/>
          <w:sz w:val="24"/>
          <w:highlight w:val="none"/>
        </w:rPr>
      </w:pPr>
      <w:bookmarkStart w:id="13" w:name="_Toc35393790"/>
      <w:bookmarkStart w:id="14" w:name="_Toc28359079"/>
      <w:bookmarkStart w:id="15" w:name="_Toc35393621"/>
      <w:bookmarkStart w:id="16" w:name="_Toc28359002"/>
      <w:bookmarkStart w:id="17" w:name="_Hlk24379207"/>
      <w:r>
        <w:rPr>
          <w:rFonts w:hint="eastAsia" w:ascii="宋体" w:cs="宋体"/>
          <w:b/>
          <w:bCs/>
          <w:color w:val="auto"/>
          <w:sz w:val="24"/>
          <w:highlight w:val="none"/>
        </w:rPr>
        <w:t>一、项目基本情况</w:t>
      </w:r>
      <w:bookmarkEnd w:id="13"/>
      <w:bookmarkEnd w:id="14"/>
      <w:bookmarkEnd w:id="15"/>
      <w:bookmarkEnd w:id="16"/>
    </w:p>
    <w:p w14:paraId="6D6F45C3">
      <w:pPr>
        <w:spacing w:line="460" w:lineRule="exact"/>
        <w:ind w:firstLine="420" w:firstLineChars="200"/>
        <w:rPr>
          <w:rFonts w:ascii="宋体" w:cs="宋体"/>
          <w:color w:val="auto"/>
          <w:szCs w:val="21"/>
          <w:highlight w:val="none"/>
        </w:rPr>
      </w:pPr>
      <w:r>
        <w:rPr>
          <w:rFonts w:hint="eastAsia" w:ascii="宋体" w:cs="宋体"/>
          <w:color w:val="auto"/>
          <w:szCs w:val="21"/>
          <w:highlight w:val="none"/>
        </w:rPr>
        <w:t>项目编号</w:t>
      </w:r>
      <w:bookmarkStart w:id="18" w:name="PO_3000001867_PM001_1"/>
      <w:r>
        <w:rPr>
          <w:rFonts w:hint="eastAsia" w:ascii="宋体" w:cs="宋体"/>
          <w:color w:val="auto"/>
          <w:szCs w:val="21"/>
          <w:highlight w:val="none"/>
        </w:rPr>
        <w:t>：</w:t>
      </w:r>
      <w:r>
        <w:rPr>
          <w:rFonts w:hint="eastAsia" w:ascii="宋体" w:cs="宋体"/>
          <w:color w:val="auto"/>
          <w:szCs w:val="21"/>
          <w:highlight w:val="none"/>
          <w:lang w:eastAsia="zh-CN"/>
        </w:rPr>
        <w:t>GXZC2026-G1-000567-GXKL</w:t>
      </w:r>
      <w:r>
        <w:rPr>
          <w:rFonts w:hint="eastAsia" w:ascii="宋体" w:cs="宋体"/>
          <w:color w:val="auto"/>
          <w:szCs w:val="21"/>
          <w:highlight w:val="none"/>
        </w:rPr>
        <w:t>（采购计划编号：广西政采[2026]1229号-001～002）</w:t>
      </w:r>
    </w:p>
    <w:bookmarkEnd w:id="18"/>
    <w:p w14:paraId="25EE8A8C">
      <w:pPr>
        <w:spacing w:line="460" w:lineRule="exact"/>
        <w:ind w:firstLine="420" w:firstLineChars="200"/>
        <w:rPr>
          <w:rFonts w:hint="eastAsia" w:ascii="宋体" w:eastAsia="宋体" w:cs="宋体"/>
          <w:color w:val="auto"/>
          <w:szCs w:val="21"/>
          <w:highlight w:val="none"/>
          <w:lang w:eastAsia="zh-CN"/>
        </w:rPr>
      </w:pPr>
      <w:r>
        <w:rPr>
          <w:rFonts w:hint="eastAsia" w:ascii="宋体" w:cs="宋体"/>
          <w:color w:val="auto"/>
          <w:szCs w:val="21"/>
          <w:highlight w:val="none"/>
        </w:rPr>
        <w:t>项目名称：</w:t>
      </w:r>
      <w:r>
        <w:rPr>
          <w:rFonts w:hint="eastAsia" w:ascii="宋体" w:cs="宋体"/>
          <w:color w:val="auto"/>
          <w:szCs w:val="21"/>
          <w:highlight w:val="none"/>
          <w:lang w:eastAsia="zh-CN"/>
        </w:rPr>
        <w:t>教学头模等设备采购项目</w:t>
      </w:r>
    </w:p>
    <w:bookmarkEnd w:id="17"/>
    <w:p w14:paraId="1A167AAB">
      <w:pPr>
        <w:spacing w:line="460" w:lineRule="exact"/>
        <w:ind w:firstLine="420" w:firstLineChars="200"/>
        <w:rPr>
          <w:rFonts w:ascii="宋体" w:cs="宋体"/>
          <w:color w:val="auto"/>
          <w:szCs w:val="21"/>
          <w:highlight w:val="none"/>
        </w:rPr>
      </w:pPr>
      <w:bookmarkStart w:id="19" w:name="PO_3000001867_PM001392"/>
      <w:r>
        <w:rPr>
          <w:rFonts w:hint="eastAsia" w:ascii="宋体" w:cs="宋体"/>
          <w:color w:val="auto"/>
          <w:szCs w:val="21"/>
          <w:highlight w:val="none"/>
        </w:rPr>
        <w:t>预算总金额</w:t>
      </w:r>
      <w:r>
        <w:rPr>
          <w:rFonts w:hint="eastAsia" w:ascii="宋体" w:cs="宋体"/>
          <w:color w:val="auto"/>
          <w:szCs w:val="21"/>
          <w:highlight w:val="none"/>
          <w:lang w:eastAsia="zh-CN"/>
        </w:rPr>
        <w:t>（</w:t>
      </w:r>
      <w:r>
        <w:rPr>
          <w:rFonts w:hint="eastAsia" w:ascii="宋体" w:cs="宋体"/>
          <w:color w:val="auto"/>
          <w:szCs w:val="21"/>
          <w:highlight w:val="none"/>
          <w:lang w:val="en-US" w:eastAsia="zh-CN"/>
        </w:rPr>
        <w:t>元</w:t>
      </w:r>
      <w:r>
        <w:rPr>
          <w:rFonts w:hint="eastAsia" w:ascii="宋体" w:cs="宋体"/>
          <w:color w:val="auto"/>
          <w:szCs w:val="21"/>
          <w:highlight w:val="none"/>
          <w:lang w:eastAsia="zh-CN"/>
        </w:rPr>
        <w:t>）</w:t>
      </w:r>
      <w:r>
        <w:rPr>
          <w:rFonts w:hint="eastAsia" w:ascii="宋体" w:cs="宋体"/>
          <w:color w:val="auto"/>
          <w:szCs w:val="21"/>
          <w:highlight w:val="none"/>
        </w:rPr>
        <w:t>：</w:t>
      </w:r>
      <w:bookmarkEnd w:id="19"/>
      <w:r>
        <w:rPr>
          <w:rFonts w:hint="eastAsia" w:ascii="宋体" w:cs="宋体"/>
          <w:color w:val="auto"/>
          <w:szCs w:val="21"/>
          <w:highlight w:val="none"/>
        </w:rPr>
        <w:t>（大写）人民币</w:t>
      </w:r>
      <w:r>
        <w:rPr>
          <w:rFonts w:hint="eastAsia" w:ascii="宋体" w:cs="宋体"/>
          <w:color w:val="auto"/>
          <w:szCs w:val="21"/>
          <w:highlight w:val="none"/>
        </w:rPr>
        <w:fldChar w:fldCharType="begin"/>
      </w:r>
      <w:r>
        <w:rPr>
          <w:rFonts w:hint="eastAsia" w:ascii="宋体" w:cs="宋体"/>
          <w:color w:val="auto"/>
          <w:szCs w:val="21"/>
          <w:highlight w:val="none"/>
        </w:rPr>
        <w:instrText xml:space="preserve"> = 3267000 \* CHINESENUM2 \* MERGEFORMAT </w:instrText>
      </w:r>
      <w:r>
        <w:rPr>
          <w:rFonts w:hint="eastAsia" w:ascii="宋体" w:cs="宋体"/>
          <w:color w:val="auto"/>
          <w:szCs w:val="21"/>
          <w:highlight w:val="none"/>
        </w:rPr>
        <w:fldChar w:fldCharType="separate"/>
      </w:r>
      <w:r>
        <w:rPr>
          <w:color w:val="auto"/>
          <w:highlight w:val="none"/>
        </w:rPr>
        <w:t>叁佰贰拾陆万柒仟</w:t>
      </w:r>
      <w:r>
        <w:rPr>
          <w:rFonts w:hint="eastAsia" w:ascii="宋体" w:cs="宋体"/>
          <w:color w:val="auto"/>
          <w:szCs w:val="21"/>
          <w:highlight w:val="none"/>
        </w:rPr>
        <w:fldChar w:fldCharType="end"/>
      </w:r>
      <w:r>
        <w:rPr>
          <w:rFonts w:hint="eastAsia" w:ascii="宋体" w:cs="宋体"/>
          <w:color w:val="auto"/>
          <w:szCs w:val="21"/>
          <w:highlight w:val="none"/>
        </w:rPr>
        <w:t>元整（小写）¥3267000</w:t>
      </w:r>
      <w:r>
        <w:rPr>
          <w:rFonts w:ascii="宋体" w:cs="宋体"/>
          <w:color w:val="auto"/>
          <w:szCs w:val="21"/>
          <w:highlight w:val="none"/>
        </w:rPr>
        <w:t>.00</w:t>
      </w:r>
      <w:r>
        <w:rPr>
          <w:rFonts w:hint="eastAsia" w:ascii="宋体" w:cs="宋体"/>
          <w:color w:val="auto"/>
          <w:szCs w:val="21"/>
          <w:highlight w:val="none"/>
        </w:rPr>
        <w:t>；</w:t>
      </w:r>
    </w:p>
    <w:p w14:paraId="3519DC6E">
      <w:pPr>
        <w:spacing w:line="460" w:lineRule="exact"/>
        <w:ind w:firstLine="420" w:firstLineChars="200"/>
        <w:rPr>
          <w:rFonts w:hint="eastAsia" w:ascii="宋体" w:cs="宋体"/>
          <w:color w:val="auto"/>
          <w:szCs w:val="21"/>
          <w:highlight w:val="none"/>
        </w:rPr>
      </w:pPr>
      <w:r>
        <w:rPr>
          <w:rFonts w:hint="eastAsia" w:ascii="宋体" w:cs="宋体"/>
          <w:color w:val="auto"/>
          <w:szCs w:val="21"/>
          <w:highlight w:val="none"/>
        </w:rPr>
        <w:t>采购需求：</w:t>
      </w:r>
    </w:p>
    <w:p w14:paraId="08D31E0E">
      <w:pPr>
        <w:spacing w:line="460" w:lineRule="exact"/>
        <w:ind w:firstLine="420" w:firstLineChars="200"/>
        <w:rPr>
          <w:rFonts w:hint="default" w:ascii="宋体" w:eastAsia="宋体" w:cs="宋体"/>
          <w:color w:val="auto"/>
          <w:szCs w:val="21"/>
          <w:highlight w:val="none"/>
          <w:lang w:val="en-US" w:eastAsia="zh-CN"/>
        </w:rPr>
      </w:pPr>
      <w:r>
        <w:rPr>
          <w:rFonts w:hint="eastAsia" w:ascii="宋体" w:cs="宋体"/>
          <w:color w:val="auto"/>
          <w:szCs w:val="21"/>
          <w:highlight w:val="none"/>
        </w:rPr>
        <w:t>标项名称</w:t>
      </w:r>
      <w:r>
        <w:rPr>
          <w:rFonts w:hint="eastAsia" w:ascii="宋体" w:cs="宋体"/>
          <w:color w:val="auto"/>
          <w:szCs w:val="21"/>
          <w:highlight w:val="none"/>
          <w:lang w:eastAsia="zh-CN"/>
        </w:rPr>
        <w:t>：</w:t>
      </w:r>
      <w:r>
        <w:rPr>
          <w:rFonts w:hint="eastAsia" w:ascii="宋体" w:cs="宋体"/>
          <w:color w:val="auto"/>
          <w:szCs w:val="21"/>
          <w:highlight w:val="none"/>
          <w:lang w:val="en-US" w:eastAsia="zh-CN"/>
        </w:rPr>
        <w:t>无</w:t>
      </w:r>
    </w:p>
    <w:p w14:paraId="79FA127D">
      <w:pPr>
        <w:spacing w:line="460" w:lineRule="exact"/>
        <w:ind w:firstLine="420" w:firstLineChars="200"/>
        <w:rPr>
          <w:rFonts w:hint="default" w:ascii="宋体" w:eastAsia="宋体" w:cs="宋体"/>
          <w:color w:val="auto"/>
          <w:szCs w:val="21"/>
          <w:highlight w:val="none"/>
          <w:lang w:val="en-US" w:eastAsia="zh-CN"/>
        </w:rPr>
      </w:pPr>
      <w:r>
        <w:rPr>
          <w:rFonts w:hint="eastAsia" w:ascii="宋体" w:cs="宋体"/>
          <w:color w:val="auto"/>
          <w:szCs w:val="21"/>
          <w:highlight w:val="none"/>
        </w:rPr>
        <w:t>数量</w:t>
      </w:r>
      <w:r>
        <w:rPr>
          <w:rFonts w:hint="eastAsia" w:ascii="宋体" w:cs="宋体"/>
          <w:color w:val="auto"/>
          <w:szCs w:val="21"/>
          <w:highlight w:val="none"/>
          <w:lang w:eastAsia="zh-CN"/>
        </w:rPr>
        <w:t>：</w:t>
      </w:r>
      <w:r>
        <w:rPr>
          <w:rFonts w:hint="eastAsia" w:ascii="宋体" w:cs="宋体"/>
          <w:color w:val="auto"/>
          <w:szCs w:val="21"/>
          <w:highlight w:val="none"/>
          <w:lang w:val="en-US" w:eastAsia="zh-CN"/>
        </w:rPr>
        <w:t>53</w:t>
      </w:r>
    </w:p>
    <w:p w14:paraId="6B5DFEA7">
      <w:pPr>
        <w:spacing w:line="460" w:lineRule="exact"/>
        <w:ind w:firstLine="420" w:firstLineChars="200"/>
        <w:rPr>
          <w:rFonts w:hint="eastAsia" w:ascii="宋体" w:eastAsia="宋体" w:cs="宋体"/>
          <w:color w:val="auto"/>
          <w:szCs w:val="21"/>
          <w:highlight w:val="none"/>
          <w:lang w:eastAsia="zh-CN"/>
        </w:rPr>
      </w:pPr>
      <w:r>
        <w:rPr>
          <w:rFonts w:hint="eastAsia" w:ascii="宋体" w:cs="宋体"/>
          <w:color w:val="auto"/>
          <w:szCs w:val="21"/>
          <w:highlight w:val="none"/>
        </w:rPr>
        <w:t>预算金额（元）</w:t>
      </w:r>
      <w:r>
        <w:rPr>
          <w:rFonts w:hint="eastAsia" w:ascii="宋体" w:cs="宋体"/>
          <w:color w:val="auto"/>
          <w:szCs w:val="21"/>
          <w:highlight w:val="none"/>
          <w:lang w:eastAsia="zh-CN"/>
        </w:rPr>
        <w:t>：</w:t>
      </w:r>
      <w:r>
        <w:rPr>
          <w:rFonts w:hint="eastAsia" w:ascii="宋体" w:cs="宋体"/>
          <w:color w:val="auto"/>
          <w:szCs w:val="21"/>
          <w:highlight w:val="none"/>
        </w:rPr>
        <w:t>（大写）人民币</w:t>
      </w:r>
      <w:r>
        <w:rPr>
          <w:rFonts w:hint="eastAsia" w:ascii="宋体" w:cs="宋体"/>
          <w:color w:val="auto"/>
          <w:szCs w:val="21"/>
          <w:highlight w:val="none"/>
        </w:rPr>
        <w:fldChar w:fldCharType="begin"/>
      </w:r>
      <w:r>
        <w:rPr>
          <w:rFonts w:hint="eastAsia" w:ascii="宋体" w:cs="宋体"/>
          <w:color w:val="auto"/>
          <w:szCs w:val="21"/>
          <w:highlight w:val="none"/>
        </w:rPr>
        <w:instrText xml:space="preserve"> = 3267000 \* CHINESENUM2 \* MERGEFORMAT </w:instrText>
      </w:r>
      <w:r>
        <w:rPr>
          <w:rFonts w:hint="eastAsia" w:ascii="宋体" w:cs="宋体"/>
          <w:color w:val="auto"/>
          <w:szCs w:val="21"/>
          <w:highlight w:val="none"/>
        </w:rPr>
        <w:fldChar w:fldCharType="separate"/>
      </w:r>
      <w:r>
        <w:rPr>
          <w:color w:val="auto"/>
          <w:highlight w:val="none"/>
        </w:rPr>
        <w:t>叁佰贰拾陆万柒仟</w:t>
      </w:r>
      <w:r>
        <w:rPr>
          <w:rFonts w:hint="eastAsia" w:ascii="宋体" w:cs="宋体"/>
          <w:color w:val="auto"/>
          <w:szCs w:val="21"/>
          <w:highlight w:val="none"/>
        </w:rPr>
        <w:fldChar w:fldCharType="end"/>
      </w:r>
      <w:r>
        <w:rPr>
          <w:rFonts w:hint="eastAsia" w:ascii="宋体" w:cs="宋体"/>
          <w:color w:val="auto"/>
          <w:szCs w:val="21"/>
          <w:highlight w:val="none"/>
        </w:rPr>
        <w:t>元整（小写）¥3267000</w:t>
      </w:r>
      <w:r>
        <w:rPr>
          <w:rFonts w:ascii="宋体" w:cs="宋体"/>
          <w:color w:val="auto"/>
          <w:szCs w:val="21"/>
          <w:highlight w:val="none"/>
        </w:rPr>
        <w:t>.00</w:t>
      </w:r>
      <w:r>
        <w:rPr>
          <w:rFonts w:hint="eastAsia" w:ascii="宋体" w:cs="宋体"/>
          <w:color w:val="auto"/>
          <w:szCs w:val="21"/>
          <w:highlight w:val="none"/>
        </w:rPr>
        <w:t>；</w:t>
      </w:r>
    </w:p>
    <w:p w14:paraId="43D370CD">
      <w:pPr>
        <w:spacing w:line="460" w:lineRule="exact"/>
        <w:ind w:firstLine="420" w:firstLineChars="200"/>
        <w:rPr>
          <w:rFonts w:hint="default" w:ascii="宋体" w:eastAsia="宋体" w:cs="宋体"/>
          <w:color w:val="auto"/>
          <w:szCs w:val="21"/>
          <w:highlight w:val="none"/>
          <w:lang w:val="en-US" w:eastAsia="zh-CN"/>
        </w:rPr>
      </w:pPr>
      <w:r>
        <w:rPr>
          <w:rFonts w:hint="eastAsia" w:ascii="宋体" w:cs="宋体"/>
          <w:color w:val="auto"/>
          <w:szCs w:val="21"/>
          <w:highlight w:val="none"/>
        </w:rPr>
        <w:t>简要规格描述或项目基本概况介绍、用途：口腔临床模拟教学实习系统（教师机）</w:t>
      </w:r>
      <w:r>
        <w:rPr>
          <w:rFonts w:hint="eastAsia" w:ascii="宋体" w:cs="宋体"/>
          <w:color w:val="auto"/>
          <w:szCs w:val="21"/>
          <w:highlight w:val="none"/>
          <w:lang w:val="en-US" w:eastAsia="zh-CN"/>
        </w:rPr>
        <w:t>1套，</w:t>
      </w:r>
      <w:r>
        <w:rPr>
          <w:rFonts w:hint="eastAsia" w:ascii="宋体" w:cs="宋体"/>
          <w:color w:val="auto"/>
          <w:szCs w:val="21"/>
          <w:highlight w:val="none"/>
        </w:rPr>
        <w:t>口腔临床模拟教学实习系统（学生机）</w:t>
      </w:r>
      <w:r>
        <w:rPr>
          <w:rFonts w:hint="eastAsia" w:ascii="宋体" w:cs="宋体"/>
          <w:color w:val="auto"/>
          <w:szCs w:val="21"/>
          <w:highlight w:val="none"/>
          <w:lang w:val="en-US" w:eastAsia="zh-CN"/>
        </w:rPr>
        <w:t>52套，</w:t>
      </w:r>
      <w:r>
        <w:rPr>
          <w:rFonts w:hint="eastAsia" w:ascii="宋体" w:cs="宋体"/>
          <w:color w:val="auto"/>
          <w:szCs w:val="21"/>
          <w:highlight w:val="none"/>
        </w:rPr>
        <w:t>简要技术需求</w:t>
      </w:r>
      <w:r>
        <w:rPr>
          <w:rFonts w:hint="eastAsia" w:ascii="宋体" w:cs="宋体"/>
          <w:color w:val="auto"/>
          <w:szCs w:val="21"/>
          <w:highlight w:val="none"/>
          <w:lang w:val="en-US" w:eastAsia="zh-CN"/>
        </w:rPr>
        <w:t>详见附件</w:t>
      </w:r>
    </w:p>
    <w:p w14:paraId="1BB5A722">
      <w:pPr>
        <w:spacing w:line="460" w:lineRule="exact"/>
        <w:ind w:firstLine="420" w:firstLineChars="200"/>
        <w:rPr>
          <w:rFonts w:hint="default" w:ascii="宋体" w:eastAsia="宋体" w:cs="宋体"/>
          <w:color w:val="auto"/>
          <w:szCs w:val="21"/>
          <w:highlight w:val="none"/>
          <w:lang w:val="en-US" w:eastAsia="zh-CN"/>
        </w:rPr>
      </w:pPr>
      <w:r>
        <w:rPr>
          <w:rFonts w:hint="eastAsia" w:ascii="宋体" w:cs="宋体"/>
          <w:color w:val="auto"/>
          <w:szCs w:val="21"/>
          <w:highlight w:val="none"/>
        </w:rPr>
        <w:t>最高限价（如有）：</w:t>
      </w:r>
      <w:r>
        <w:rPr>
          <w:rFonts w:hint="eastAsia" w:ascii="宋体" w:cs="宋体"/>
          <w:color w:val="auto"/>
          <w:szCs w:val="21"/>
          <w:highlight w:val="none"/>
          <w:lang w:val="en-US" w:eastAsia="zh-CN"/>
        </w:rPr>
        <w:t>详见采购需求表。</w:t>
      </w:r>
    </w:p>
    <w:p w14:paraId="7541A50C">
      <w:pPr>
        <w:spacing w:line="460" w:lineRule="exact"/>
        <w:ind w:firstLine="420" w:firstLineChars="200"/>
        <w:rPr>
          <w:rFonts w:hint="eastAsia" w:ascii="宋体" w:cs="宋体"/>
          <w:color w:val="auto"/>
          <w:szCs w:val="21"/>
          <w:highlight w:val="none"/>
        </w:rPr>
      </w:pPr>
      <w:r>
        <w:rPr>
          <w:rFonts w:hint="eastAsia" w:ascii="宋体" w:cs="宋体"/>
          <w:color w:val="auto"/>
          <w:szCs w:val="21"/>
          <w:highlight w:val="none"/>
        </w:rPr>
        <w:t>合同履</w:t>
      </w:r>
      <w:r>
        <w:rPr>
          <w:rFonts w:hint="eastAsia" w:ascii="宋体" w:cs="宋体"/>
          <w:color w:val="auto"/>
          <w:szCs w:val="21"/>
          <w:highlight w:val="none"/>
          <w:lang w:val="en-US" w:eastAsia="zh-CN"/>
        </w:rPr>
        <w:t>行</w:t>
      </w:r>
      <w:r>
        <w:rPr>
          <w:rFonts w:hint="eastAsia" w:ascii="宋体" w:cs="宋体"/>
          <w:color w:val="auto"/>
          <w:szCs w:val="21"/>
          <w:highlight w:val="none"/>
        </w:rPr>
        <w:t>期限：</w:t>
      </w:r>
      <w:r>
        <w:rPr>
          <w:rFonts w:hint="eastAsia" w:ascii="宋体" w:hAnsi="宋体" w:eastAsia="宋体" w:cs="宋体"/>
          <w:color w:val="auto"/>
          <w:kern w:val="0"/>
          <w:sz w:val="21"/>
          <w:szCs w:val="21"/>
          <w:highlight w:val="none"/>
          <w:lang w:val="en-US" w:eastAsia="zh-CN" w:bidi="ar"/>
        </w:rPr>
        <w:t>合同签订后</w:t>
      </w:r>
      <w:r>
        <w:rPr>
          <w:rFonts w:hint="eastAsia" w:ascii="宋体" w:hAnsi="宋体" w:cs="宋体"/>
          <w:color w:val="auto"/>
          <w:kern w:val="0"/>
          <w:sz w:val="21"/>
          <w:szCs w:val="21"/>
          <w:highlight w:val="none"/>
          <w:lang w:val="en-US" w:eastAsia="zh-CN" w:bidi="ar"/>
        </w:rPr>
        <w:t>接到采购人通知之日起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single"/>
          <w:lang w:val="en-US" w:eastAsia="zh-CN" w:bidi="ar"/>
        </w:rPr>
        <w:t>30</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个日历日完成供货及安装调试服务</w:t>
      </w:r>
    </w:p>
    <w:p w14:paraId="1014F024">
      <w:pPr>
        <w:spacing w:line="460" w:lineRule="exact"/>
        <w:ind w:firstLine="420" w:firstLineChars="200"/>
        <w:rPr>
          <w:rFonts w:hint="eastAsia" w:ascii="宋体" w:cs="宋体"/>
          <w:color w:val="auto"/>
          <w:szCs w:val="21"/>
          <w:highlight w:val="none"/>
        </w:rPr>
      </w:pPr>
      <w:r>
        <w:rPr>
          <w:rFonts w:hint="eastAsia" w:ascii="宋体" w:cs="宋体"/>
          <w:color w:val="auto"/>
          <w:szCs w:val="21"/>
          <w:highlight w:val="none"/>
        </w:rPr>
        <w:t>本标项（否）接受联合体投标</w:t>
      </w:r>
    </w:p>
    <w:p w14:paraId="3BA235FD">
      <w:pPr>
        <w:spacing w:line="460" w:lineRule="exact"/>
        <w:ind w:firstLine="420" w:firstLineChars="200"/>
        <w:rPr>
          <w:rFonts w:hint="eastAsia" w:ascii="宋体" w:cs="宋体"/>
          <w:color w:val="auto"/>
          <w:szCs w:val="21"/>
          <w:highlight w:val="none"/>
        </w:rPr>
      </w:pPr>
      <w:r>
        <w:rPr>
          <w:rFonts w:hint="eastAsia" w:ascii="宋体" w:cs="宋体"/>
          <w:color w:val="auto"/>
          <w:szCs w:val="21"/>
          <w:highlight w:val="none"/>
        </w:rPr>
        <w:t>备注：</w:t>
      </w:r>
    </w:p>
    <w:p w14:paraId="1B561471">
      <w:pPr>
        <w:spacing w:line="460" w:lineRule="exact"/>
        <w:rPr>
          <w:rFonts w:ascii="宋体" w:cs="宋体"/>
          <w:b/>
          <w:bCs/>
          <w:color w:val="auto"/>
          <w:sz w:val="24"/>
          <w:highlight w:val="none"/>
        </w:rPr>
      </w:pPr>
      <w:bookmarkStart w:id="20" w:name="_Toc35393791"/>
      <w:bookmarkStart w:id="21" w:name="_Toc28359080"/>
      <w:bookmarkStart w:id="22" w:name="_Toc35393622"/>
      <w:bookmarkStart w:id="23" w:name="_Toc28359003"/>
      <w:r>
        <w:rPr>
          <w:rFonts w:hint="eastAsia" w:ascii="宋体" w:cs="宋体"/>
          <w:b/>
          <w:bCs/>
          <w:color w:val="auto"/>
          <w:sz w:val="24"/>
          <w:highlight w:val="none"/>
        </w:rPr>
        <w:t>二、申请人的资格要求：</w:t>
      </w:r>
      <w:bookmarkEnd w:id="20"/>
      <w:bookmarkEnd w:id="21"/>
      <w:bookmarkEnd w:id="22"/>
      <w:bookmarkEnd w:id="23"/>
    </w:p>
    <w:p w14:paraId="267916E4">
      <w:pPr>
        <w:spacing w:line="460" w:lineRule="exact"/>
        <w:ind w:firstLine="420" w:firstLineChars="200"/>
        <w:rPr>
          <w:rFonts w:ascii="宋体" w:cs="宋体"/>
          <w:color w:val="auto"/>
          <w:szCs w:val="21"/>
          <w:highlight w:val="none"/>
        </w:rPr>
      </w:pPr>
      <w:bookmarkStart w:id="24" w:name="_Hlk51746371"/>
      <w:bookmarkStart w:id="25" w:name="_Toc28359004"/>
      <w:bookmarkStart w:id="26" w:name="_Toc28359081"/>
      <w:r>
        <w:rPr>
          <w:rFonts w:hint="eastAsia" w:ascii="宋体" w:cs="宋体"/>
          <w:color w:val="auto"/>
          <w:szCs w:val="21"/>
          <w:highlight w:val="none"/>
        </w:rPr>
        <w:t>1.满足《中华人民共和国政府采购法》第二十二条规定；</w:t>
      </w:r>
    </w:p>
    <w:p w14:paraId="4D584AAE">
      <w:pPr>
        <w:spacing w:line="460" w:lineRule="exact"/>
        <w:ind w:firstLine="420" w:firstLineChars="200"/>
        <w:rPr>
          <w:rFonts w:ascii="宋体" w:cs="宋体"/>
          <w:color w:val="auto"/>
          <w:szCs w:val="21"/>
          <w:highlight w:val="none"/>
          <w:u w:val="single"/>
        </w:rPr>
      </w:pPr>
      <w:r>
        <w:rPr>
          <w:rFonts w:hint="eastAsia" w:ascii="宋体" w:cs="宋体"/>
          <w:color w:val="auto"/>
          <w:szCs w:val="21"/>
          <w:highlight w:val="none"/>
        </w:rPr>
        <w:t>2.落实政府采购政策需满足的资格要求：无；</w:t>
      </w:r>
    </w:p>
    <w:bookmarkEnd w:id="24"/>
    <w:p w14:paraId="384D4D78">
      <w:pPr>
        <w:spacing w:line="460" w:lineRule="exact"/>
        <w:ind w:firstLine="420" w:firstLineChars="200"/>
        <w:rPr>
          <w:rFonts w:ascii="宋体" w:cs="宋体"/>
          <w:color w:val="auto"/>
          <w:szCs w:val="21"/>
          <w:highlight w:val="none"/>
        </w:rPr>
      </w:pPr>
      <w:r>
        <w:rPr>
          <w:rFonts w:hint="eastAsia" w:ascii="宋体" w:cs="宋体"/>
          <w:color w:val="auto"/>
          <w:szCs w:val="21"/>
          <w:highlight w:val="none"/>
        </w:rPr>
        <w:t>3.本项目的特定资格要求：无。</w:t>
      </w:r>
    </w:p>
    <w:p w14:paraId="40EF1DC3">
      <w:pPr>
        <w:spacing w:line="460" w:lineRule="exact"/>
        <w:rPr>
          <w:rFonts w:ascii="宋体" w:cs="宋体"/>
          <w:b/>
          <w:bCs/>
          <w:color w:val="auto"/>
          <w:sz w:val="24"/>
          <w:highlight w:val="none"/>
        </w:rPr>
      </w:pPr>
      <w:bookmarkStart w:id="27" w:name="_Toc35393623"/>
      <w:bookmarkStart w:id="28" w:name="_Toc35393792"/>
      <w:r>
        <w:rPr>
          <w:rFonts w:hint="eastAsia" w:ascii="宋体" w:cs="宋体"/>
          <w:b/>
          <w:bCs/>
          <w:color w:val="auto"/>
          <w:sz w:val="24"/>
          <w:highlight w:val="none"/>
        </w:rPr>
        <w:t>三、获取招标文件</w:t>
      </w:r>
      <w:bookmarkEnd w:id="25"/>
      <w:bookmarkEnd w:id="26"/>
      <w:bookmarkEnd w:id="27"/>
      <w:bookmarkEnd w:id="28"/>
    </w:p>
    <w:p w14:paraId="73734C8E">
      <w:pPr>
        <w:spacing w:line="460" w:lineRule="exact"/>
        <w:ind w:firstLine="540"/>
        <w:rPr>
          <w:rFonts w:ascii="宋体" w:cs="宋体"/>
          <w:color w:val="auto"/>
          <w:szCs w:val="21"/>
          <w:highlight w:val="none"/>
        </w:rPr>
      </w:pPr>
      <w:bookmarkStart w:id="29" w:name="_Toc28359082"/>
      <w:bookmarkStart w:id="30" w:name="_Toc28359005"/>
      <w:bookmarkStart w:id="31" w:name="_Toc35393793"/>
      <w:bookmarkStart w:id="32" w:name="_Toc35393624"/>
      <w:r>
        <w:rPr>
          <w:rFonts w:hint="eastAsia" w:ascii="宋体" w:cs="宋体"/>
          <w:color w:val="auto"/>
          <w:szCs w:val="21"/>
          <w:highlight w:val="none"/>
        </w:rPr>
        <w:t>时间：</w:t>
      </w:r>
      <w:r>
        <w:rPr>
          <w:rFonts w:hint="eastAsia" w:ascii="宋体" w:cs="宋体"/>
          <w:bCs/>
          <w:color w:val="auto"/>
          <w:kern w:val="0"/>
          <w:szCs w:val="21"/>
          <w:highlight w:val="none"/>
        </w:rPr>
        <w:t>202</w:t>
      </w:r>
      <w:r>
        <w:rPr>
          <w:rFonts w:hint="eastAsia" w:ascii="宋体" w:cs="宋体"/>
          <w:bCs/>
          <w:color w:val="auto"/>
          <w:kern w:val="0"/>
          <w:szCs w:val="21"/>
          <w:highlight w:val="none"/>
          <w:lang w:val="en-US" w:eastAsia="zh-CN"/>
        </w:rPr>
        <w:t>6</w:t>
      </w:r>
      <w:r>
        <w:rPr>
          <w:rFonts w:hint="eastAsia" w:ascii="宋体" w:cs="宋体"/>
          <w:bCs/>
          <w:color w:val="auto"/>
          <w:kern w:val="0"/>
          <w:szCs w:val="21"/>
          <w:highlight w:val="none"/>
        </w:rPr>
        <w:t>年</w:t>
      </w:r>
      <w:r>
        <w:rPr>
          <w:rFonts w:hint="eastAsia" w:ascii="宋体" w:cs="宋体"/>
          <w:bCs/>
          <w:color w:val="auto"/>
          <w:kern w:val="0"/>
          <w:szCs w:val="21"/>
          <w:highlight w:val="none"/>
          <w:lang w:val="en-US" w:eastAsia="zh-CN"/>
        </w:rPr>
        <w:t>4</w:t>
      </w:r>
      <w:r>
        <w:rPr>
          <w:rFonts w:hint="eastAsia" w:ascii="宋体" w:cs="宋体"/>
          <w:bCs/>
          <w:color w:val="auto"/>
          <w:kern w:val="0"/>
          <w:szCs w:val="21"/>
          <w:highlight w:val="none"/>
        </w:rPr>
        <w:t>月</w:t>
      </w:r>
      <w:r>
        <w:rPr>
          <w:rFonts w:hint="eastAsia" w:ascii="宋体" w:cs="宋体"/>
          <w:bCs/>
          <w:color w:val="auto"/>
          <w:kern w:val="0"/>
          <w:szCs w:val="21"/>
          <w:highlight w:val="none"/>
          <w:lang w:val="en-US" w:eastAsia="zh-CN"/>
        </w:rPr>
        <w:t>3</w:t>
      </w:r>
      <w:r>
        <w:rPr>
          <w:rFonts w:hint="eastAsia" w:ascii="宋体" w:cs="宋体"/>
          <w:bCs/>
          <w:color w:val="auto"/>
          <w:kern w:val="0"/>
          <w:szCs w:val="21"/>
          <w:highlight w:val="none"/>
        </w:rPr>
        <w:t>日至202</w:t>
      </w:r>
      <w:r>
        <w:rPr>
          <w:rFonts w:hint="eastAsia" w:ascii="宋体" w:cs="宋体"/>
          <w:bCs/>
          <w:color w:val="auto"/>
          <w:kern w:val="0"/>
          <w:szCs w:val="21"/>
          <w:highlight w:val="none"/>
          <w:lang w:val="en-US" w:eastAsia="zh-CN"/>
        </w:rPr>
        <w:t>6</w:t>
      </w:r>
      <w:r>
        <w:rPr>
          <w:rFonts w:hint="eastAsia" w:ascii="宋体" w:cs="宋体"/>
          <w:bCs/>
          <w:color w:val="auto"/>
          <w:kern w:val="0"/>
          <w:szCs w:val="21"/>
          <w:highlight w:val="none"/>
        </w:rPr>
        <w:t>年</w:t>
      </w:r>
      <w:r>
        <w:rPr>
          <w:rFonts w:hint="eastAsia" w:ascii="宋体" w:cs="宋体"/>
          <w:bCs/>
          <w:color w:val="auto"/>
          <w:kern w:val="0"/>
          <w:szCs w:val="21"/>
          <w:highlight w:val="none"/>
          <w:lang w:val="en-US" w:eastAsia="zh-CN"/>
        </w:rPr>
        <w:t>4</w:t>
      </w:r>
      <w:r>
        <w:rPr>
          <w:rFonts w:hint="eastAsia" w:ascii="宋体" w:cs="宋体"/>
          <w:bCs/>
          <w:color w:val="auto"/>
          <w:kern w:val="0"/>
          <w:szCs w:val="21"/>
          <w:highlight w:val="none"/>
        </w:rPr>
        <w:t>月</w:t>
      </w:r>
      <w:r>
        <w:rPr>
          <w:rFonts w:hint="eastAsia" w:ascii="宋体" w:cs="宋体"/>
          <w:bCs/>
          <w:color w:val="auto"/>
          <w:kern w:val="0"/>
          <w:szCs w:val="21"/>
          <w:highlight w:val="none"/>
          <w:lang w:val="en-US" w:eastAsia="zh-CN"/>
        </w:rPr>
        <w:t>13</w:t>
      </w:r>
      <w:r>
        <w:rPr>
          <w:rFonts w:hint="eastAsia" w:ascii="宋体" w:cs="宋体"/>
          <w:bCs/>
          <w:color w:val="auto"/>
          <w:kern w:val="0"/>
          <w:szCs w:val="21"/>
          <w:highlight w:val="none"/>
        </w:rPr>
        <w:t>日，</w:t>
      </w:r>
      <w:r>
        <w:rPr>
          <w:rFonts w:hint="eastAsia" w:ascii="宋体"/>
          <w:color w:val="auto"/>
          <w:szCs w:val="21"/>
          <w:highlight w:val="none"/>
        </w:rPr>
        <w:t>每天上午00：00至11：59，下午12：00至23：59（北京时间，法定节假日除外）</w:t>
      </w:r>
      <w:r>
        <w:rPr>
          <w:rFonts w:hint="eastAsia" w:ascii="宋体" w:cs="宋体"/>
          <w:color w:val="auto"/>
          <w:szCs w:val="21"/>
          <w:highlight w:val="none"/>
        </w:rPr>
        <w:t>。</w:t>
      </w:r>
    </w:p>
    <w:p w14:paraId="56C2DBEC">
      <w:pPr>
        <w:spacing w:line="460" w:lineRule="exact"/>
        <w:ind w:firstLine="540"/>
        <w:rPr>
          <w:rFonts w:ascii="宋体" w:cs="宋体"/>
          <w:color w:val="auto"/>
          <w:szCs w:val="21"/>
          <w:highlight w:val="none"/>
        </w:rPr>
      </w:pPr>
      <w:r>
        <w:rPr>
          <w:rFonts w:hint="eastAsia" w:ascii="宋体" w:cs="宋体"/>
          <w:color w:val="auto"/>
          <w:szCs w:val="21"/>
          <w:highlight w:val="none"/>
        </w:rPr>
        <w:t>地点：广西政府采购云平台（https：//www.gcy.zfcg.gxzf.gov.cn/）</w:t>
      </w:r>
    </w:p>
    <w:p w14:paraId="1B9FD0C0">
      <w:pPr>
        <w:spacing w:line="460" w:lineRule="exact"/>
        <w:ind w:firstLine="540"/>
        <w:rPr>
          <w:rFonts w:ascii="宋体" w:cs="宋体"/>
          <w:color w:val="auto"/>
          <w:szCs w:val="21"/>
          <w:highlight w:val="none"/>
        </w:rPr>
      </w:pPr>
      <w:r>
        <w:rPr>
          <w:rFonts w:hint="eastAsia" w:ascii="宋体" w:cs="宋体"/>
          <w:color w:val="auto"/>
          <w:szCs w:val="21"/>
          <w:highlight w:val="none"/>
        </w:rPr>
        <w:t>方式：本项目不发放纸质文件，潜在投标人可自行在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45820ADA">
      <w:pPr>
        <w:spacing w:line="460" w:lineRule="exact"/>
        <w:ind w:firstLine="540"/>
        <w:rPr>
          <w:rFonts w:ascii="宋体" w:cs="宋体"/>
          <w:color w:val="auto"/>
          <w:szCs w:val="21"/>
          <w:highlight w:val="none"/>
        </w:rPr>
      </w:pPr>
      <w:r>
        <w:rPr>
          <w:rFonts w:hint="eastAsia" w:ascii="宋体" w:cs="宋体"/>
          <w:color w:val="auto"/>
          <w:szCs w:val="21"/>
          <w:highlight w:val="none"/>
        </w:rPr>
        <w:t>售价：人民币0元。</w:t>
      </w:r>
    </w:p>
    <w:p w14:paraId="0A9B2EDA">
      <w:pPr>
        <w:spacing w:line="460" w:lineRule="exact"/>
        <w:rPr>
          <w:rFonts w:ascii="宋体" w:cs="宋体"/>
          <w:b/>
          <w:bCs/>
          <w:color w:val="auto"/>
          <w:sz w:val="24"/>
          <w:highlight w:val="none"/>
        </w:rPr>
      </w:pPr>
      <w:r>
        <w:rPr>
          <w:rFonts w:hint="eastAsia" w:ascii="宋体" w:cs="宋体"/>
          <w:b/>
          <w:bCs/>
          <w:color w:val="auto"/>
          <w:sz w:val="24"/>
          <w:highlight w:val="none"/>
        </w:rPr>
        <w:t>四、提交投标文件</w:t>
      </w:r>
      <w:bookmarkEnd w:id="29"/>
      <w:bookmarkEnd w:id="30"/>
      <w:r>
        <w:rPr>
          <w:rFonts w:hint="eastAsia" w:ascii="宋体" w:cs="宋体"/>
          <w:b/>
          <w:bCs/>
          <w:color w:val="auto"/>
          <w:sz w:val="24"/>
          <w:highlight w:val="none"/>
        </w:rPr>
        <w:t>截止时间、开标时间和地点</w:t>
      </w:r>
      <w:bookmarkEnd w:id="31"/>
      <w:bookmarkEnd w:id="32"/>
    </w:p>
    <w:p w14:paraId="6202CCAB">
      <w:pPr>
        <w:spacing w:line="460" w:lineRule="exact"/>
        <w:ind w:firstLine="420" w:firstLineChars="200"/>
        <w:rPr>
          <w:rFonts w:ascii="宋体" w:cs="宋体"/>
          <w:bCs/>
          <w:color w:val="auto"/>
          <w:szCs w:val="21"/>
          <w:highlight w:val="none"/>
        </w:rPr>
      </w:pPr>
      <w:r>
        <w:rPr>
          <w:rFonts w:hint="eastAsia" w:ascii="宋体" w:cs="宋体"/>
          <w:bCs/>
          <w:color w:val="auto"/>
          <w:szCs w:val="21"/>
          <w:highlight w:val="none"/>
        </w:rPr>
        <w:t>提交投标文件截止时间：202</w:t>
      </w:r>
      <w:r>
        <w:rPr>
          <w:rFonts w:hint="eastAsia" w:ascii="宋体" w:cs="宋体"/>
          <w:bCs/>
          <w:color w:val="auto"/>
          <w:szCs w:val="21"/>
          <w:highlight w:val="none"/>
          <w:lang w:val="en-US" w:eastAsia="zh-CN"/>
        </w:rPr>
        <w:t>6</w:t>
      </w:r>
      <w:r>
        <w:rPr>
          <w:rFonts w:hint="eastAsia" w:ascii="宋体" w:cs="宋体"/>
          <w:bCs/>
          <w:color w:val="auto"/>
          <w:szCs w:val="21"/>
          <w:highlight w:val="none"/>
        </w:rPr>
        <w:t>年</w:t>
      </w:r>
      <w:r>
        <w:rPr>
          <w:rFonts w:hint="eastAsia" w:ascii="宋体" w:cs="宋体"/>
          <w:bCs/>
          <w:color w:val="auto"/>
          <w:szCs w:val="21"/>
          <w:highlight w:val="none"/>
          <w:lang w:val="en-US" w:eastAsia="zh-CN"/>
        </w:rPr>
        <w:t>4</w:t>
      </w:r>
      <w:r>
        <w:rPr>
          <w:rFonts w:hint="eastAsia" w:ascii="宋体" w:cs="宋体"/>
          <w:bCs/>
          <w:color w:val="auto"/>
          <w:szCs w:val="21"/>
          <w:highlight w:val="none"/>
        </w:rPr>
        <w:t>月</w:t>
      </w:r>
      <w:r>
        <w:rPr>
          <w:rFonts w:hint="eastAsia" w:ascii="宋体" w:cs="宋体"/>
          <w:bCs/>
          <w:color w:val="auto"/>
          <w:szCs w:val="21"/>
          <w:highlight w:val="none"/>
          <w:lang w:val="en-US" w:eastAsia="zh-CN"/>
        </w:rPr>
        <w:t>24</w:t>
      </w:r>
      <w:r>
        <w:rPr>
          <w:rFonts w:hint="eastAsia" w:ascii="宋体" w:cs="宋体"/>
          <w:bCs/>
          <w:color w:val="auto"/>
          <w:szCs w:val="21"/>
          <w:highlight w:val="none"/>
        </w:rPr>
        <w:t xml:space="preserve">日 </w:t>
      </w:r>
      <w:r>
        <w:rPr>
          <w:rFonts w:hint="eastAsia" w:ascii="宋体" w:cs="宋体"/>
          <w:bCs/>
          <w:color w:val="auto"/>
          <w:szCs w:val="21"/>
          <w:highlight w:val="none"/>
          <w:lang w:val="en-US" w:eastAsia="zh-CN"/>
        </w:rPr>
        <w:t>11</w:t>
      </w:r>
      <w:r>
        <w:rPr>
          <w:rFonts w:hint="eastAsia" w:ascii="宋体" w:cs="宋体"/>
          <w:bCs/>
          <w:color w:val="auto"/>
          <w:szCs w:val="21"/>
          <w:highlight w:val="none"/>
        </w:rPr>
        <w:t>：</w:t>
      </w:r>
      <w:r>
        <w:rPr>
          <w:rFonts w:hint="eastAsia" w:ascii="宋体" w:cs="宋体"/>
          <w:bCs/>
          <w:color w:val="auto"/>
          <w:szCs w:val="21"/>
          <w:highlight w:val="none"/>
          <w:lang w:val="en-US" w:eastAsia="zh-CN"/>
        </w:rPr>
        <w:t>00</w:t>
      </w:r>
      <w:r>
        <w:rPr>
          <w:rFonts w:hint="eastAsia" w:ascii="宋体" w:cs="宋体"/>
          <w:bCs/>
          <w:color w:val="auto"/>
          <w:szCs w:val="21"/>
          <w:highlight w:val="none"/>
        </w:rPr>
        <w:t>（北京时间）</w:t>
      </w:r>
    </w:p>
    <w:p w14:paraId="60B35E31">
      <w:pPr>
        <w:spacing w:line="460" w:lineRule="exact"/>
        <w:ind w:firstLine="420" w:firstLineChars="200"/>
        <w:rPr>
          <w:rFonts w:ascii="宋体" w:cs="宋体"/>
          <w:bCs/>
          <w:color w:val="auto"/>
          <w:szCs w:val="21"/>
          <w:highlight w:val="none"/>
        </w:rPr>
      </w:pPr>
      <w:r>
        <w:rPr>
          <w:rFonts w:hint="eastAsia" w:ascii="宋体" w:cs="宋体"/>
          <w:bCs/>
          <w:color w:val="auto"/>
          <w:szCs w:val="21"/>
          <w:highlight w:val="none"/>
        </w:rPr>
        <w:t>投标地点（网址）：广西政府采购云平台（https：//www.gcy.zfcg.gxzf.gov.cn/）</w:t>
      </w:r>
    </w:p>
    <w:p w14:paraId="66BAA938">
      <w:pPr>
        <w:spacing w:line="460" w:lineRule="exact"/>
        <w:ind w:firstLine="420" w:firstLineChars="200"/>
        <w:rPr>
          <w:rFonts w:hint="default" w:ascii="宋体" w:eastAsia="宋体" w:cs="宋体"/>
          <w:bCs/>
          <w:color w:val="auto"/>
          <w:szCs w:val="21"/>
          <w:highlight w:val="none"/>
          <w:lang w:val="en-US" w:eastAsia="zh-CN"/>
        </w:rPr>
      </w:pPr>
      <w:r>
        <w:rPr>
          <w:rFonts w:hint="eastAsia" w:ascii="宋体" w:cs="宋体"/>
          <w:bCs/>
          <w:color w:val="auto"/>
          <w:szCs w:val="21"/>
          <w:highlight w:val="none"/>
        </w:rPr>
        <w:t>开标时间：202</w:t>
      </w:r>
      <w:r>
        <w:rPr>
          <w:rFonts w:hint="eastAsia" w:ascii="宋体" w:cs="宋体"/>
          <w:bCs/>
          <w:color w:val="auto"/>
          <w:szCs w:val="21"/>
          <w:highlight w:val="none"/>
          <w:lang w:val="en-US" w:eastAsia="zh-CN"/>
        </w:rPr>
        <w:t>6</w:t>
      </w:r>
      <w:r>
        <w:rPr>
          <w:rFonts w:hint="eastAsia" w:ascii="宋体" w:cs="宋体"/>
          <w:bCs/>
          <w:color w:val="auto"/>
          <w:szCs w:val="21"/>
          <w:highlight w:val="none"/>
        </w:rPr>
        <w:t>年</w:t>
      </w:r>
      <w:r>
        <w:rPr>
          <w:rFonts w:hint="eastAsia" w:ascii="宋体" w:cs="宋体"/>
          <w:bCs/>
          <w:color w:val="auto"/>
          <w:szCs w:val="21"/>
          <w:highlight w:val="none"/>
          <w:lang w:val="en-US" w:eastAsia="zh-CN"/>
        </w:rPr>
        <w:t>4</w:t>
      </w:r>
      <w:r>
        <w:rPr>
          <w:rFonts w:hint="eastAsia" w:ascii="宋体" w:cs="宋体"/>
          <w:bCs/>
          <w:color w:val="auto"/>
          <w:szCs w:val="21"/>
          <w:highlight w:val="none"/>
        </w:rPr>
        <w:t>月</w:t>
      </w:r>
      <w:r>
        <w:rPr>
          <w:rFonts w:hint="eastAsia" w:ascii="宋体" w:cs="宋体"/>
          <w:bCs/>
          <w:color w:val="auto"/>
          <w:szCs w:val="21"/>
          <w:highlight w:val="none"/>
          <w:lang w:val="en-US" w:eastAsia="zh-CN"/>
        </w:rPr>
        <w:t>24</w:t>
      </w:r>
      <w:r>
        <w:rPr>
          <w:rFonts w:hint="eastAsia" w:ascii="宋体" w:cs="宋体"/>
          <w:bCs/>
          <w:color w:val="auto"/>
          <w:szCs w:val="21"/>
          <w:highlight w:val="none"/>
        </w:rPr>
        <w:t xml:space="preserve">日 </w:t>
      </w:r>
      <w:r>
        <w:rPr>
          <w:rFonts w:hint="eastAsia" w:ascii="宋体" w:cs="宋体"/>
          <w:bCs/>
          <w:color w:val="auto"/>
          <w:szCs w:val="21"/>
          <w:highlight w:val="none"/>
          <w:lang w:val="en-US" w:eastAsia="zh-CN"/>
        </w:rPr>
        <w:t>11</w:t>
      </w:r>
      <w:r>
        <w:rPr>
          <w:rFonts w:hint="eastAsia" w:ascii="宋体" w:cs="宋体"/>
          <w:bCs/>
          <w:color w:val="auto"/>
          <w:szCs w:val="21"/>
          <w:highlight w:val="none"/>
        </w:rPr>
        <w:t>：</w:t>
      </w:r>
      <w:r>
        <w:rPr>
          <w:rFonts w:hint="eastAsia" w:ascii="宋体" w:cs="宋体"/>
          <w:bCs/>
          <w:color w:val="auto"/>
          <w:szCs w:val="21"/>
          <w:highlight w:val="none"/>
          <w:lang w:val="en-US" w:eastAsia="zh-CN"/>
        </w:rPr>
        <w:t>00</w:t>
      </w:r>
    </w:p>
    <w:p w14:paraId="071CF0EE">
      <w:pPr>
        <w:spacing w:line="460" w:lineRule="exact"/>
        <w:ind w:firstLine="420" w:firstLineChars="200"/>
        <w:rPr>
          <w:rFonts w:ascii="宋体" w:cs="宋体"/>
          <w:color w:val="auto"/>
          <w:szCs w:val="21"/>
          <w:highlight w:val="none"/>
        </w:rPr>
      </w:pPr>
      <w:r>
        <w:rPr>
          <w:rFonts w:hint="eastAsia" w:ascii="宋体" w:cs="宋体"/>
          <w:bCs/>
          <w:color w:val="auto"/>
          <w:szCs w:val="21"/>
          <w:highlight w:val="none"/>
        </w:rPr>
        <w:t>开标地点：广西政府采购云平台电子开标大厅</w:t>
      </w:r>
    </w:p>
    <w:p w14:paraId="6DF3C87F">
      <w:pPr>
        <w:spacing w:line="460" w:lineRule="exact"/>
        <w:rPr>
          <w:rFonts w:ascii="宋体" w:cs="宋体"/>
          <w:b/>
          <w:bCs/>
          <w:color w:val="auto"/>
          <w:sz w:val="24"/>
          <w:highlight w:val="none"/>
        </w:rPr>
      </w:pPr>
      <w:bookmarkStart w:id="33" w:name="_Toc28359007"/>
      <w:bookmarkStart w:id="34" w:name="_Toc35393625"/>
      <w:bookmarkStart w:id="35" w:name="_Toc35393794"/>
      <w:bookmarkStart w:id="36" w:name="_Toc28359084"/>
      <w:r>
        <w:rPr>
          <w:rFonts w:hint="eastAsia" w:ascii="宋体" w:cs="宋体"/>
          <w:b/>
          <w:bCs/>
          <w:color w:val="auto"/>
          <w:sz w:val="24"/>
          <w:highlight w:val="none"/>
        </w:rPr>
        <w:t>五、公告期限</w:t>
      </w:r>
      <w:bookmarkEnd w:id="33"/>
      <w:bookmarkEnd w:id="34"/>
      <w:bookmarkEnd w:id="35"/>
      <w:bookmarkEnd w:id="36"/>
    </w:p>
    <w:p w14:paraId="7F09D1ED">
      <w:pPr>
        <w:spacing w:line="460" w:lineRule="exact"/>
        <w:ind w:firstLine="420" w:firstLineChars="200"/>
        <w:rPr>
          <w:rFonts w:ascii="宋体" w:cs="宋体"/>
          <w:color w:val="auto"/>
          <w:kern w:val="0"/>
          <w:szCs w:val="21"/>
          <w:highlight w:val="none"/>
        </w:rPr>
      </w:pPr>
      <w:r>
        <w:rPr>
          <w:rFonts w:hint="eastAsia" w:ascii="宋体" w:cs="宋体"/>
          <w:color w:val="auto"/>
          <w:kern w:val="0"/>
          <w:szCs w:val="21"/>
          <w:highlight w:val="none"/>
        </w:rPr>
        <w:t>自本公告发布之日起5个工作日。</w:t>
      </w:r>
    </w:p>
    <w:p w14:paraId="4E6F6EE5">
      <w:pPr>
        <w:spacing w:line="460" w:lineRule="exact"/>
        <w:rPr>
          <w:rFonts w:ascii="宋体" w:cs="宋体"/>
          <w:b/>
          <w:bCs/>
          <w:color w:val="auto"/>
          <w:sz w:val="24"/>
          <w:highlight w:val="none"/>
        </w:rPr>
      </w:pPr>
      <w:bookmarkStart w:id="37" w:name="_Toc35393795"/>
      <w:bookmarkStart w:id="38" w:name="_Toc35393626"/>
      <w:r>
        <w:rPr>
          <w:rFonts w:hint="eastAsia" w:ascii="宋体" w:cs="宋体"/>
          <w:b/>
          <w:bCs/>
          <w:color w:val="auto"/>
          <w:sz w:val="24"/>
          <w:highlight w:val="none"/>
        </w:rPr>
        <w:t>六、其他补充事宜</w:t>
      </w:r>
      <w:bookmarkEnd w:id="37"/>
      <w:bookmarkEnd w:id="38"/>
    </w:p>
    <w:p w14:paraId="62FB249A">
      <w:pPr>
        <w:spacing w:line="460" w:lineRule="exact"/>
        <w:ind w:firstLine="420" w:firstLineChars="200"/>
        <w:rPr>
          <w:rFonts w:ascii="宋体" w:cs="宋体"/>
          <w:color w:val="auto"/>
          <w:kern w:val="0"/>
          <w:szCs w:val="21"/>
          <w:highlight w:val="none"/>
        </w:rPr>
      </w:pPr>
      <w:r>
        <w:rPr>
          <w:rFonts w:hint="eastAsia" w:ascii="宋体" w:cs="宋体"/>
          <w:color w:val="auto"/>
          <w:kern w:val="0"/>
          <w:szCs w:val="21"/>
          <w:highlight w:val="none"/>
        </w:rPr>
        <w:t>1.投标保证金：</w:t>
      </w:r>
    </w:p>
    <w:p w14:paraId="4AB64398">
      <w:pPr>
        <w:spacing w:line="460" w:lineRule="exact"/>
        <w:ind w:firstLine="843" w:firstLineChars="400"/>
        <w:rPr>
          <w:rFonts w:ascii="宋体" w:cs="宋体"/>
          <w:b/>
          <w:bCs/>
          <w:color w:val="auto"/>
          <w:szCs w:val="21"/>
          <w:highlight w:val="none"/>
        </w:rPr>
      </w:pPr>
      <w:r>
        <w:rPr>
          <w:rFonts w:hint="eastAsia" w:ascii="宋体" w:cs="宋体"/>
          <w:b/>
          <w:bCs/>
          <w:color w:val="auto"/>
          <w:szCs w:val="21"/>
          <w:highlight w:val="none"/>
        </w:rPr>
        <w:t>本项目需要缴</w:t>
      </w:r>
      <w:r>
        <w:rPr>
          <w:rFonts w:hint="eastAsia" w:ascii="宋体" w:cs="宋体"/>
          <w:b/>
          <w:bCs/>
          <w:color w:val="auto"/>
          <w:kern w:val="0"/>
          <w:szCs w:val="21"/>
          <w:highlight w:val="none"/>
        </w:rPr>
        <w:t>纳</w:t>
      </w:r>
      <w:r>
        <w:rPr>
          <w:rFonts w:hint="eastAsia" w:ascii="宋体" w:cs="宋体"/>
          <w:b/>
          <w:bCs/>
          <w:color w:val="auto"/>
          <w:szCs w:val="21"/>
          <w:highlight w:val="none"/>
        </w:rPr>
        <w:t>投标保证金，相关要求：</w:t>
      </w:r>
    </w:p>
    <w:p w14:paraId="0BFF4A8D">
      <w:pPr>
        <w:spacing w:line="460" w:lineRule="exact"/>
        <w:ind w:firstLine="840" w:firstLineChars="400"/>
        <w:rPr>
          <w:rFonts w:ascii="宋体" w:cs="宋体"/>
          <w:b/>
          <w:bCs/>
          <w:i/>
          <w:iCs/>
          <w:color w:val="auto"/>
          <w:kern w:val="0"/>
          <w:szCs w:val="21"/>
          <w:highlight w:val="none"/>
        </w:rPr>
      </w:pPr>
      <w:r>
        <w:rPr>
          <w:rFonts w:hint="eastAsia" w:ascii="宋体" w:cs="宋体"/>
          <w:color w:val="auto"/>
          <w:kern w:val="0"/>
          <w:szCs w:val="21"/>
          <w:highlight w:val="none"/>
        </w:rPr>
        <w:t>投标保证金金额：</w:t>
      </w:r>
      <w:r>
        <w:rPr>
          <w:rFonts w:hint="eastAsia" w:ascii="宋体" w:cs="宋体"/>
          <w:color w:val="auto"/>
          <w:szCs w:val="21"/>
          <w:highlight w:val="none"/>
        </w:rPr>
        <w:t>（大写）人民币</w:t>
      </w:r>
      <w:r>
        <w:rPr>
          <w:rFonts w:hint="eastAsia" w:ascii="宋体" w:cs="宋体"/>
          <w:color w:val="auto"/>
          <w:szCs w:val="21"/>
          <w:highlight w:val="none"/>
          <w:lang w:val="en-US" w:eastAsia="zh-CN"/>
        </w:rPr>
        <w:t>叁</w:t>
      </w:r>
      <w:r>
        <w:rPr>
          <w:rFonts w:hint="eastAsia" w:ascii="宋体" w:cs="宋体"/>
          <w:color w:val="auto"/>
          <w:szCs w:val="21"/>
          <w:highlight w:val="none"/>
        </w:rPr>
        <w:t>万</w:t>
      </w:r>
      <w:r>
        <w:rPr>
          <w:rFonts w:hint="eastAsia" w:ascii="宋体" w:cs="宋体"/>
          <w:color w:val="auto"/>
          <w:szCs w:val="21"/>
          <w:highlight w:val="none"/>
          <w:lang w:val="en-US" w:eastAsia="zh-CN"/>
        </w:rPr>
        <w:t>贰仟</w:t>
      </w:r>
      <w:r>
        <w:rPr>
          <w:rFonts w:hint="eastAsia" w:ascii="宋体" w:cs="宋体"/>
          <w:color w:val="auto"/>
          <w:szCs w:val="21"/>
          <w:highlight w:val="none"/>
        </w:rPr>
        <w:t>元整（小写）¥</w:t>
      </w:r>
      <w:r>
        <w:rPr>
          <w:rFonts w:hint="eastAsia" w:ascii="宋体" w:cs="宋体"/>
          <w:color w:val="auto"/>
          <w:szCs w:val="21"/>
          <w:highlight w:val="none"/>
          <w:lang w:val="en-US" w:eastAsia="zh-CN"/>
        </w:rPr>
        <w:t>32</w:t>
      </w:r>
      <w:r>
        <w:rPr>
          <w:rFonts w:hint="eastAsia" w:ascii="宋体" w:cs="宋体"/>
          <w:color w:val="auto"/>
          <w:szCs w:val="21"/>
          <w:highlight w:val="none"/>
        </w:rPr>
        <w:t>000.00；</w:t>
      </w:r>
    </w:p>
    <w:p w14:paraId="489069B4">
      <w:pPr>
        <w:pStyle w:val="54"/>
        <w:spacing w:line="460" w:lineRule="exact"/>
        <w:ind w:firstLine="840" w:firstLineChars="400"/>
        <w:rPr>
          <w:rFonts w:ascii="宋体" w:cs="宋体"/>
          <w:color w:val="auto"/>
          <w:kern w:val="0"/>
          <w:szCs w:val="21"/>
          <w:highlight w:val="none"/>
        </w:rPr>
      </w:pPr>
      <w:r>
        <w:rPr>
          <w:rFonts w:hint="eastAsia" w:ascii="宋体" w:cs="宋体"/>
          <w:color w:val="auto"/>
          <w:kern w:val="0"/>
          <w:szCs w:val="21"/>
          <w:highlight w:val="none"/>
        </w:rPr>
        <w:t>投标保证金的缴纳方式：以银行转账、支票、汇票、本票或者金融机构、担保机构出具的保函等非现金形式提交。采用银行转账方式的，在投标截止时间前交至采购代理机构指定账户并且到账。缴纳投标保证金指定账户的信息：</w:t>
      </w:r>
    </w:p>
    <w:p w14:paraId="0A1EE906">
      <w:pPr>
        <w:pStyle w:val="54"/>
        <w:spacing w:line="460" w:lineRule="exact"/>
        <w:ind w:left="495" w:firstLine="420"/>
        <w:rPr>
          <w:rFonts w:ascii="宋体" w:cs="宋体"/>
          <w:color w:val="auto"/>
          <w:kern w:val="0"/>
          <w:szCs w:val="21"/>
          <w:highlight w:val="none"/>
        </w:rPr>
      </w:pPr>
      <w:r>
        <w:rPr>
          <w:rFonts w:hint="eastAsia" w:ascii="宋体" w:cs="宋体"/>
          <w:color w:val="auto"/>
          <w:kern w:val="0"/>
          <w:szCs w:val="21"/>
          <w:highlight w:val="none"/>
        </w:rPr>
        <w:t>开户银行：招商银行南宁市</w:t>
      </w:r>
      <w:r>
        <w:rPr>
          <w:rFonts w:hint="eastAsia" w:ascii="宋体" w:cs="宋体"/>
          <w:color w:val="auto"/>
          <w:kern w:val="0"/>
          <w:szCs w:val="21"/>
          <w:highlight w:val="none"/>
          <w:lang w:val="en-US" w:eastAsia="zh-CN"/>
        </w:rPr>
        <w:t>金浦</w:t>
      </w:r>
      <w:r>
        <w:rPr>
          <w:rFonts w:hint="eastAsia" w:ascii="宋体" w:cs="宋体"/>
          <w:color w:val="auto"/>
          <w:kern w:val="0"/>
          <w:szCs w:val="21"/>
          <w:highlight w:val="none"/>
        </w:rPr>
        <w:t>路支行</w:t>
      </w:r>
    </w:p>
    <w:p w14:paraId="375A75BA">
      <w:pPr>
        <w:pStyle w:val="54"/>
        <w:spacing w:line="460" w:lineRule="exact"/>
        <w:ind w:left="495" w:firstLine="420"/>
        <w:rPr>
          <w:rFonts w:ascii="宋体" w:cs="宋体"/>
          <w:color w:val="auto"/>
          <w:kern w:val="0"/>
          <w:szCs w:val="21"/>
          <w:highlight w:val="none"/>
        </w:rPr>
      </w:pPr>
      <w:r>
        <w:rPr>
          <w:rFonts w:hint="eastAsia" w:ascii="宋体" w:cs="宋体"/>
          <w:color w:val="auto"/>
          <w:kern w:val="0"/>
          <w:szCs w:val="21"/>
          <w:highlight w:val="none"/>
        </w:rPr>
        <w:t>开户名称：广西科联招标中心有限公司</w:t>
      </w:r>
    </w:p>
    <w:p w14:paraId="4AF343E8">
      <w:pPr>
        <w:pStyle w:val="54"/>
        <w:spacing w:line="460" w:lineRule="exact"/>
        <w:ind w:left="495" w:firstLine="420"/>
        <w:rPr>
          <w:rFonts w:ascii="宋体" w:cs="宋体"/>
          <w:color w:val="auto"/>
          <w:kern w:val="0"/>
          <w:szCs w:val="21"/>
          <w:highlight w:val="none"/>
        </w:rPr>
      </w:pPr>
      <w:r>
        <w:rPr>
          <w:rFonts w:hint="eastAsia" w:ascii="宋体" w:cs="宋体"/>
          <w:color w:val="auto"/>
          <w:kern w:val="0"/>
          <w:szCs w:val="21"/>
          <w:highlight w:val="none"/>
        </w:rPr>
        <w:t>银行账号：7719011969103330000000118</w:t>
      </w:r>
    </w:p>
    <w:p w14:paraId="2118254B">
      <w:pPr>
        <w:pStyle w:val="54"/>
        <w:spacing w:line="460" w:lineRule="exact"/>
        <w:ind w:firstLine="840" w:firstLineChars="400"/>
        <w:rPr>
          <w:rFonts w:ascii="宋体" w:cs="宋体"/>
          <w:color w:val="auto"/>
          <w:highlight w:val="none"/>
        </w:rPr>
      </w:pPr>
      <w:r>
        <w:rPr>
          <w:rFonts w:hint="eastAsia" w:ascii="宋体" w:cs="宋体"/>
          <w:color w:val="auto"/>
          <w:kern w:val="0"/>
          <w:szCs w:val="21"/>
          <w:highlight w:val="none"/>
        </w:rPr>
        <w:t>采用支票、汇票、本票或者保函等方式的，在投标截止时间前，</w:t>
      </w:r>
      <w:r>
        <w:rPr>
          <w:rFonts w:hint="eastAsia" w:ascii="宋体" w:hAnsi="宋体" w:cs="宋体"/>
          <w:color w:val="auto"/>
          <w:kern w:val="0"/>
          <w:szCs w:val="21"/>
          <w:highlight w:val="none"/>
        </w:rPr>
        <w:t>投标人必须将支票、汇票、本票或者保函（电子保函除外）等原件递交给采购代理机构。</w:t>
      </w:r>
      <w:r>
        <w:rPr>
          <w:rFonts w:hint="eastAsia" w:ascii="宋体" w:hAnsi="宋体" w:cs="宋体"/>
          <w:b/>
          <w:bCs/>
          <w:color w:val="auto"/>
          <w:kern w:val="0"/>
          <w:szCs w:val="21"/>
          <w:highlight w:val="none"/>
        </w:rPr>
        <w:t>否则视为无效投标保证金</w:t>
      </w:r>
      <w:r>
        <w:rPr>
          <w:rFonts w:hint="eastAsia" w:ascii="宋体" w:cs="宋体"/>
          <w:color w:val="auto"/>
          <w:kern w:val="0"/>
          <w:szCs w:val="21"/>
          <w:highlight w:val="none"/>
        </w:rPr>
        <w:t>。</w:t>
      </w:r>
    </w:p>
    <w:p w14:paraId="7978CCF0">
      <w:pPr>
        <w:spacing w:line="460" w:lineRule="exact"/>
        <w:ind w:firstLine="315" w:firstLineChars="150"/>
        <w:rPr>
          <w:rFonts w:ascii="宋体" w:cs="宋体"/>
          <w:color w:val="auto"/>
          <w:kern w:val="0"/>
          <w:szCs w:val="21"/>
          <w:highlight w:val="none"/>
        </w:rPr>
      </w:pPr>
      <w:bookmarkStart w:id="39" w:name="_Hlk37429585"/>
      <w:bookmarkStart w:id="40" w:name="_Hlk37429595"/>
      <w:r>
        <w:rPr>
          <w:rFonts w:hint="eastAsia" w:ascii="宋体" w:cs="宋体"/>
          <w:color w:val="auto"/>
          <w:kern w:val="0"/>
          <w:szCs w:val="21"/>
          <w:highlight w:val="none"/>
        </w:rPr>
        <w:t>2.网上查询地址</w:t>
      </w:r>
    </w:p>
    <w:bookmarkEnd w:id="39"/>
    <w:bookmarkEnd w:id="40"/>
    <w:p w14:paraId="7322433E">
      <w:pPr>
        <w:spacing w:line="460" w:lineRule="exact"/>
        <w:ind w:firstLine="420" w:firstLineChars="200"/>
        <w:rPr>
          <w:rFonts w:ascii="宋体" w:cs="宋体"/>
          <w:color w:val="auto"/>
          <w:kern w:val="0"/>
          <w:szCs w:val="21"/>
          <w:highlight w:val="none"/>
        </w:rPr>
      </w:pPr>
      <w:bookmarkStart w:id="41" w:name="_Hlk37429674"/>
      <w:r>
        <w:rPr>
          <w:rFonts w:hint="eastAsia" w:ascii="宋体" w:cs="宋体"/>
          <w:color w:val="auto"/>
          <w:kern w:val="0"/>
          <w:szCs w:val="21"/>
          <w:highlight w:val="none"/>
        </w:rPr>
        <w:t>http：//www.ccgp.gov.cn/（中国政府采购网）、</w:t>
      </w:r>
      <w:r>
        <w:rPr>
          <w:rFonts w:hint="eastAsia" w:ascii="宋体" w:hAnsi="宋体" w:cs="宋体"/>
          <w:color w:val="auto"/>
          <w:kern w:val="0"/>
          <w:szCs w:val="21"/>
          <w:highlight w:val="none"/>
        </w:rPr>
        <w:t>http：//www.ccgp-guangxi.gov.cn/ (中国政府采购网广西分网)</w:t>
      </w:r>
      <w:r>
        <w:rPr>
          <w:rFonts w:hint="eastAsia" w:ascii="宋体" w:cs="宋体"/>
          <w:color w:val="auto"/>
          <w:kern w:val="0"/>
          <w:szCs w:val="21"/>
          <w:highlight w:val="none"/>
        </w:rPr>
        <w:t>、http：//gxggzy.gxzf.gov.cn/（广西壮族自治区公共资源交易中心）。</w:t>
      </w:r>
    </w:p>
    <w:p w14:paraId="08F24659">
      <w:pPr>
        <w:spacing w:line="460" w:lineRule="exact"/>
        <w:ind w:firstLine="315" w:firstLineChars="150"/>
        <w:rPr>
          <w:rFonts w:ascii="宋体" w:cs="宋体"/>
          <w:color w:val="auto"/>
          <w:kern w:val="0"/>
          <w:szCs w:val="21"/>
          <w:highlight w:val="none"/>
        </w:rPr>
      </w:pPr>
      <w:r>
        <w:rPr>
          <w:rFonts w:hint="eastAsia" w:ascii="宋体" w:cs="宋体"/>
          <w:color w:val="auto"/>
          <w:szCs w:val="21"/>
          <w:highlight w:val="none"/>
        </w:rPr>
        <w:t>3.</w:t>
      </w:r>
      <w:r>
        <w:rPr>
          <w:rFonts w:hint="eastAsia" w:ascii="宋体" w:cs="宋体"/>
          <w:color w:val="auto"/>
          <w:kern w:val="0"/>
          <w:szCs w:val="21"/>
          <w:highlight w:val="none"/>
        </w:rPr>
        <w:t>本项目需要落实的政府采购政策：</w:t>
      </w:r>
      <w:bookmarkStart w:id="42" w:name="PO_3000001867_PM023"/>
    </w:p>
    <w:bookmarkEnd w:id="42"/>
    <w:p w14:paraId="28388313">
      <w:pPr>
        <w:spacing w:line="460" w:lineRule="exact"/>
        <w:ind w:firstLine="735" w:firstLineChars="350"/>
        <w:rPr>
          <w:rFonts w:ascii="宋体" w:cs="宋体"/>
          <w:color w:val="auto"/>
          <w:kern w:val="0"/>
          <w:szCs w:val="21"/>
          <w:highlight w:val="none"/>
        </w:rPr>
      </w:pPr>
      <w:r>
        <w:rPr>
          <w:rFonts w:hint="eastAsia" w:ascii="宋体" w:cs="宋体"/>
          <w:color w:val="auto"/>
          <w:kern w:val="0"/>
          <w:szCs w:val="21"/>
          <w:highlight w:val="none"/>
        </w:rPr>
        <w:t>（1）政府采购促进中小企业发展。</w:t>
      </w:r>
    </w:p>
    <w:p w14:paraId="44716335">
      <w:pPr>
        <w:spacing w:line="460" w:lineRule="exact"/>
        <w:ind w:firstLine="735" w:firstLineChars="350"/>
        <w:rPr>
          <w:rFonts w:ascii="宋体" w:cs="宋体"/>
          <w:color w:val="auto"/>
          <w:kern w:val="0"/>
          <w:szCs w:val="21"/>
          <w:highlight w:val="none"/>
        </w:rPr>
      </w:pPr>
      <w:r>
        <w:rPr>
          <w:rFonts w:hint="eastAsia" w:ascii="宋体" w:cs="宋体"/>
          <w:color w:val="auto"/>
          <w:kern w:val="0"/>
          <w:szCs w:val="21"/>
          <w:highlight w:val="none"/>
        </w:rPr>
        <w:t>（2）政府采购支持采用本国产品的政策。</w:t>
      </w:r>
    </w:p>
    <w:p w14:paraId="5FFA2603">
      <w:pPr>
        <w:spacing w:line="460" w:lineRule="exact"/>
        <w:ind w:firstLine="735" w:firstLineChars="350"/>
        <w:rPr>
          <w:rFonts w:ascii="宋体" w:cs="宋体"/>
          <w:color w:val="auto"/>
          <w:kern w:val="0"/>
          <w:szCs w:val="21"/>
          <w:highlight w:val="none"/>
        </w:rPr>
      </w:pPr>
      <w:r>
        <w:rPr>
          <w:rFonts w:hint="eastAsia" w:ascii="宋体" w:cs="宋体"/>
          <w:color w:val="auto"/>
          <w:kern w:val="0"/>
          <w:szCs w:val="21"/>
          <w:highlight w:val="none"/>
        </w:rPr>
        <w:t>（3）强制采购节能产品；优先采购节能产品、环境标志产品。</w:t>
      </w:r>
    </w:p>
    <w:p w14:paraId="44F1E96B">
      <w:pPr>
        <w:spacing w:line="460" w:lineRule="exact"/>
        <w:ind w:firstLine="735" w:firstLineChars="350"/>
        <w:rPr>
          <w:rFonts w:ascii="宋体" w:cs="宋体"/>
          <w:color w:val="auto"/>
          <w:kern w:val="0"/>
          <w:szCs w:val="21"/>
          <w:highlight w:val="none"/>
        </w:rPr>
      </w:pPr>
      <w:r>
        <w:rPr>
          <w:rFonts w:hint="eastAsia" w:ascii="宋体" w:cs="宋体"/>
          <w:color w:val="auto"/>
          <w:kern w:val="0"/>
          <w:szCs w:val="21"/>
          <w:highlight w:val="none"/>
        </w:rPr>
        <w:t>（4）政府采购促进残疾人就业政策。</w:t>
      </w:r>
    </w:p>
    <w:p w14:paraId="385F88B4">
      <w:pPr>
        <w:spacing w:line="460" w:lineRule="exact"/>
        <w:ind w:firstLine="735" w:firstLineChars="350"/>
        <w:rPr>
          <w:rFonts w:hint="eastAsia" w:ascii="宋体" w:cs="宋体"/>
          <w:color w:val="auto"/>
          <w:kern w:val="0"/>
          <w:szCs w:val="21"/>
          <w:highlight w:val="none"/>
        </w:rPr>
      </w:pPr>
      <w:r>
        <w:rPr>
          <w:rFonts w:hint="eastAsia" w:ascii="宋体" w:cs="宋体"/>
          <w:color w:val="auto"/>
          <w:kern w:val="0"/>
          <w:szCs w:val="21"/>
          <w:highlight w:val="none"/>
        </w:rPr>
        <w:t>（5）政府采购支持监狱企业发展。</w:t>
      </w:r>
    </w:p>
    <w:p w14:paraId="45D2B081">
      <w:pPr>
        <w:spacing w:line="460" w:lineRule="exact"/>
        <w:ind w:firstLine="735" w:firstLineChars="350"/>
        <w:rPr>
          <w:rFonts w:ascii="宋体" w:cs="宋体"/>
          <w:color w:val="auto"/>
          <w:kern w:val="0"/>
          <w:szCs w:val="21"/>
          <w:highlight w:val="none"/>
        </w:rPr>
      </w:pPr>
      <w:r>
        <w:rPr>
          <w:rFonts w:hint="eastAsia" w:ascii="宋体" w:cs="宋体"/>
          <w:color w:val="auto"/>
          <w:kern w:val="0"/>
          <w:szCs w:val="21"/>
          <w:highlight w:val="none"/>
        </w:rPr>
        <w:t>（6）在政府采购中实施本国产品标准及相关政策。</w:t>
      </w:r>
    </w:p>
    <w:p w14:paraId="021A4650">
      <w:pPr>
        <w:snapToGrid w:val="0"/>
        <w:spacing w:line="460" w:lineRule="exact"/>
        <w:ind w:firstLine="420" w:firstLineChars="200"/>
        <w:jc w:val="left"/>
        <w:rPr>
          <w:rFonts w:ascii="宋体" w:cs="宋体"/>
          <w:color w:val="auto"/>
          <w:szCs w:val="21"/>
          <w:highlight w:val="none"/>
        </w:rPr>
      </w:pPr>
      <w:r>
        <w:rPr>
          <w:rFonts w:hint="eastAsia" w:ascii="宋体" w:cs="宋体"/>
          <w:color w:val="auto"/>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9F7BC98">
      <w:pPr>
        <w:spacing w:line="460" w:lineRule="exact"/>
        <w:ind w:firstLine="420" w:firstLineChars="200"/>
        <w:rPr>
          <w:rFonts w:ascii="宋体" w:cs="宋体"/>
          <w:color w:val="auto"/>
          <w:kern w:val="0"/>
          <w:szCs w:val="21"/>
          <w:highlight w:val="none"/>
        </w:rPr>
      </w:pPr>
      <w:r>
        <w:rPr>
          <w:rFonts w:hint="eastAsia" w:ascii="宋体" w:cs="宋体"/>
          <w:color w:val="auto"/>
          <w:szCs w:val="21"/>
          <w:highlight w:val="none"/>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bookmarkEnd w:id="41"/>
    <w:p w14:paraId="66D5E3E3">
      <w:pPr>
        <w:spacing w:line="460" w:lineRule="exact"/>
        <w:ind w:firstLine="422" w:firstLineChars="200"/>
        <w:rPr>
          <w:rFonts w:ascii="宋体" w:cs="宋体"/>
          <w:b/>
          <w:bCs/>
          <w:color w:val="auto"/>
          <w:kern w:val="0"/>
          <w:szCs w:val="21"/>
          <w:highlight w:val="none"/>
        </w:rPr>
      </w:pPr>
      <w:r>
        <w:rPr>
          <w:rFonts w:hint="eastAsia" w:ascii="宋体" w:cs="宋体"/>
          <w:b/>
          <w:bCs/>
          <w:color w:val="auto"/>
          <w:szCs w:val="21"/>
          <w:highlight w:val="none"/>
        </w:rPr>
        <w:t>6.在线投标的有关说明</w:t>
      </w:r>
      <w:r>
        <w:rPr>
          <w:rFonts w:hint="eastAsia" w:ascii="宋体" w:cs="宋体"/>
          <w:b/>
          <w:bCs/>
          <w:color w:val="auto"/>
          <w:kern w:val="0"/>
          <w:szCs w:val="21"/>
          <w:highlight w:val="none"/>
        </w:rPr>
        <w:t>：</w:t>
      </w:r>
    </w:p>
    <w:p w14:paraId="4DA1F6BF">
      <w:pPr>
        <w:widowControl/>
        <w:spacing w:line="460" w:lineRule="exact"/>
        <w:ind w:firstLine="420" w:firstLineChars="200"/>
        <w:jc w:val="left"/>
        <w:rPr>
          <w:rFonts w:ascii="宋体" w:cs="宋体"/>
          <w:color w:val="auto"/>
          <w:szCs w:val="21"/>
          <w:highlight w:val="none"/>
        </w:rPr>
      </w:pPr>
      <w:r>
        <w:rPr>
          <w:rFonts w:hint="eastAsia" w:ascii="宋体" w:cs="宋体"/>
          <w:color w:val="auto"/>
          <w:szCs w:val="21"/>
          <w:highlight w:val="none"/>
        </w:rPr>
        <w:t>（1）投标文件提交方式：本项目为全流程电子化项目，通过广西政府采购云平台（https：//www.gcy.zfcg.gxzf.gov.cn/）实行在线电子投标，供应商应先安装广西政府采购云平台新版客户端［新版客户端下载路径：广西政府采购网（访问地址http：//zfcg.gxzf.gov.cn/）—办事服务—下载专区］，并按照本项目招标文件和广西政府采购云平台的要求编制、加密后在投标截止时间前通过网络上传至广西政府采购云平台，</w:t>
      </w:r>
      <w:r>
        <w:rPr>
          <w:rFonts w:hint="eastAsia" w:ascii="宋体" w:cs="宋体"/>
          <w:b/>
          <w:color w:val="auto"/>
          <w:szCs w:val="21"/>
          <w:highlight w:val="none"/>
        </w:rPr>
        <w:t>投标人在广西政府采购云平台提交电子版投标文件时，请填写参加远程开标活动经办人联系方式</w:t>
      </w:r>
      <w:r>
        <w:rPr>
          <w:rFonts w:hint="eastAsia" w:ascii="宋体" w:cs="宋体"/>
          <w:color w:val="auto"/>
          <w:szCs w:val="21"/>
          <w:highlight w:val="none"/>
        </w:rPr>
        <w:t>。</w:t>
      </w:r>
    </w:p>
    <w:p w14:paraId="205208E3">
      <w:pPr>
        <w:widowControl/>
        <w:spacing w:line="460" w:lineRule="exact"/>
        <w:ind w:firstLine="420" w:firstLineChars="200"/>
        <w:jc w:val="left"/>
        <w:rPr>
          <w:rFonts w:ascii="宋体" w:cs="宋体"/>
          <w:color w:val="auto"/>
          <w:szCs w:val="21"/>
          <w:highlight w:val="none"/>
        </w:rPr>
      </w:pPr>
      <w:r>
        <w:rPr>
          <w:rFonts w:hint="eastAsia" w:ascii="宋体" w:cs="宋体"/>
          <w:color w:val="auto"/>
          <w:szCs w:val="21"/>
          <w:highlight w:val="none"/>
        </w:rPr>
        <w:t>（2）未进行网上注册并办理数字证书（CA认证）的供应商将无法参与本项目政府采购活动，潜在投标人应当在投标截止时间前，完成电子交易平台上的CA数字证书办理及投标文件的提交。</w:t>
      </w:r>
    </w:p>
    <w:p w14:paraId="656A0988">
      <w:pPr>
        <w:widowControl/>
        <w:spacing w:line="460" w:lineRule="exact"/>
        <w:ind w:firstLine="420" w:firstLineChars="200"/>
        <w:jc w:val="left"/>
        <w:rPr>
          <w:rFonts w:ascii="宋体" w:cs="宋体"/>
          <w:color w:val="auto"/>
          <w:szCs w:val="21"/>
          <w:highlight w:val="none"/>
        </w:rPr>
      </w:pPr>
      <w:r>
        <w:rPr>
          <w:rFonts w:hint="eastAsia" w:ascii="宋体" w:cs="宋体"/>
          <w:color w:val="auto"/>
          <w:szCs w:val="21"/>
          <w:highlight w:val="none"/>
        </w:rPr>
        <w:t>（3）为确保网上操作合法、有效和安全，请投标人确保在电子投标过程中能够对相关数据电文进行加密和使用电子签章，妥善保管CA数字证书并使用有效的CA数字证书参与整个招标活动。</w:t>
      </w:r>
    </w:p>
    <w:p w14:paraId="5C31EC14">
      <w:pPr>
        <w:widowControl/>
        <w:spacing w:line="460" w:lineRule="exact"/>
        <w:ind w:firstLine="422" w:firstLineChars="200"/>
        <w:jc w:val="left"/>
        <w:rPr>
          <w:rFonts w:ascii="宋体" w:cs="宋体"/>
          <w:b/>
          <w:color w:val="auto"/>
          <w:szCs w:val="21"/>
          <w:highlight w:val="none"/>
          <w:u w:val="single"/>
        </w:rPr>
      </w:pPr>
      <w:r>
        <w:rPr>
          <w:rFonts w:hint="eastAsia" w:ascii="宋体" w:cs="宋体"/>
          <w:b/>
          <w:color w:val="auto"/>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59F3275F">
      <w:pPr>
        <w:widowControl/>
        <w:spacing w:line="46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（4）CA证书在线解密：投标人投标时，需携带制作投标文件时用来加密的有效数字证书（CA认证）登录广西政府采购云平台电子开标大厅现场按规定时间对加密的投标文件进行解密。</w:t>
      </w:r>
    </w:p>
    <w:p w14:paraId="051CED15">
      <w:pPr>
        <w:widowControl/>
        <w:spacing w:line="46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5）若对项目采购电子交易系统操作有疑问，可登录广西政府采购云平台（https：//www.gcy.zfcg.gxzf.gov.cn/），点击右侧咨询小采，获取采小蜜智能服务管家帮助，或拨打广西政府采购云平台服务热线95763获取热线服务帮助。</w:t>
      </w:r>
    </w:p>
    <w:p w14:paraId="1290EA47">
      <w:pPr>
        <w:widowControl/>
        <w:spacing w:line="460" w:lineRule="exact"/>
        <w:ind w:firstLine="420" w:firstLineChars="200"/>
        <w:jc w:val="left"/>
        <w:rPr>
          <w:rFonts w:ascii="宋体" w:cs="宋体"/>
          <w:color w:val="auto"/>
          <w:kern w:val="0"/>
          <w:szCs w:val="21"/>
          <w:highlight w:val="none"/>
        </w:rPr>
      </w:pPr>
      <w:r>
        <w:rPr>
          <w:rFonts w:hint="eastAsia" w:ascii="宋体" w:hAnsi="宋体" w:cs="宋体"/>
          <w:color w:val="auto"/>
          <w:kern w:val="0"/>
          <w:szCs w:val="21"/>
          <w:highlight w:val="none"/>
          <w:lang w:val="en-US" w:eastAsia="zh-CN"/>
        </w:rPr>
        <w:t>7.银行、保险、石油石化、电力、电信等有行业特殊情况的，法人的分支机构经法人授权后可以分支机构的身份参加政府采购。如投标人为分支机构的，必须在投标文件中同时提供经法人授权投标人以分支机构名义参加投标的</w:t>
      </w:r>
      <w:r>
        <w:rPr>
          <w:rFonts w:hint="eastAsia" w:ascii="宋体" w:hAnsi="宋体" w:cs="宋体"/>
          <w:color w:val="auto"/>
          <w:sz w:val="21"/>
          <w:szCs w:val="21"/>
          <w:highlight w:val="none"/>
          <w:lang w:val="en-US" w:eastAsia="zh-CN"/>
        </w:rPr>
        <w:t>授权委托书、法人营业执照及分支机构营业执照的复印件</w:t>
      </w:r>
      <w:r>
        <w:rPr>
          <w:rFonts w:hint="eastAsia" w:ascii="宋体" w:hAnsi="宋体" w:cs="宋体"/>
          <w:color w:val="auto"/>
          <w:kern w:val="0"/>
          <w:szCs w:val="21"/>
          <w:highlight w:val="none"/>
          <w:lang w:val="en-US" w:eastAsia="zh-CN"/>
        </w:rPr>
        <w:t>。</w:t>
      </w:r>
    </w:p>
    <w:p w14:paraId="6FA62307">
      <w:pPr>
        <w:spacing w:line="460" w:lineRule="exact"/>
        <w:rPr>
          <w:rFonts w:ascii="宋体" w:cs="宋体"/>
          <w:b/>
          <w:bCs/>
          <w:color w:val="auto"/>
          <w:sz w:val="24"/>
          <w:highlight w:val="none"/>
        </w:rPr>
      </w:pPr>
      <w:bookmarkStart w:id="43" w:name="_Toc28359008"/>
      <w:bookmarkStart w:id="44" w:name="_Toc28359085"/>
      <w:bookmarkStart w:id="45" w:name="_Toc35393627"/>
      <w:bookmarkStart w:id="46" w:name="_Toc35393796"/>
      <w:r>
        <w:rPr>
          <w:rFonts w:hint="eastAsia" w:ascii="宋体" w:cs="宋体"/>
          <w:b/>
          <w:bCs/>
          <w:color w:val="auto"/>
          <w:sz w:val="24"/>
          <w:highlight w:val="none"/>
        </w:rPr>
        <w:t>七、对本次招标提出询问，请按以下方式联系。</w:t>
      </w:r>
      <w:bookmarkEnd w:id="43"/>
      <w:bookmarkEnd w:id="44"/>
      <w:bookmarkEnd w:id="45"/>
      <w:bookmarkEnd w:id="46"/>
    </w:p>
    <w:p w14:paraId="783DCE24">
      <w:pPr>
        <w:spacing w:line="460" w:lineRule="exact"/>
        <w:jc w:val="left"/>
        <w:rPr>
          <w:rFonts w:ascii="宋体" w:cs="宋体"/>
          <w:color w:val="auto"/>
          <w:szCs w:val="21"/>
          <w:highlight w:val="none"/>
        </w:rPr>
      </w:pPr>
      <w:r>
        <w:rPr>
          <w:rFonts w:hint="eastAsia" w:ascii="宋体" w:cs="宋体"/>
          <w:color w:val="auto"/>
          <w:szCs w:val="21"/>
          <w:highlight w:val="none"/>
        </w:rPr>
        <w:t>　　　1.采购人信息</w:t>
      </w:r>
    </w:p>
    <w:p w14:paraId="2BA75149">
      <w:pPr>
        <w:spacing w:line="460" w:lineRule="exact"/>
        <w:ind w:left="1041" w:leftChars="371" w:hanging="262" w:hangingChars="125"/>
        <w:jc w:val="left"/>
        <w:rPr>
          <w:rFonts w:hint="eastAsia" w:ascii="宋体" w:eastAsia="宋体" w:cs="宋体"/>
          <w:color w:val="auto"/>
          <w:szCs w:val="21"/>
          <w:highlight w:val="none"/>
          <w:u w:val="single"/>
          <w:lang w:eastAsia="zh-CN"/>
        </w:rPr>
      </w:pPr>
      <w:r>
        <w:rPr>
          <w:rFonts w:hint="eastAsia" w:ascii="宋体" w:cs="宋体"/>
          <w:color w:val="auto"/>
          <w:szCs w:val="21"/>
          <w:highlight w:val="none"/>
        </w:rPr>
        <w:t>名 称：</w:t>
      </w:r>
      <w:r>
        <w:rPr>
          <w:rFonts w:hint="eastAsia" w:ascii="宋体"/>
          <w:color w:val="auto"/>
          <w:szCs w:val="21"/>
          <w:highlight w:val="none"/>
          <w:lang w:eastAsia="zh-CN"/>
        </w:rPr>
        <w:t>广西医科大学附属口腔医院</w:t>
      </w:r>
    </w:p>
    <w:p w14:paraId="07AEFDE6">
      <w:pPr>
        <w:spacing w:line="460" w:lineRule="exact"/>
        <w:ind w:left="1041" w:leftChars="371" w:hanging="262" w:hangingChars="125"/>
        <w:jc w:val="left"/>
        <w:rPr>
          <w:rFonts w:ascii="宋体" w:cs="宋体"/>
          <w:color w:val="auto"/>
          <w:szCs w:val="21"/>
          <w:highlight w:val="none"/>
        </w:rPr>
      </w:pPr>
      <w:r>
        <w:rPr>
          <w:rFonts w:hint="eastAsia" w:ascii="宋体" w:cs="宋体"/>
          <w:color w:val="auto"/>
          <w:szCs w:val="21"/>
          <w:highlight w:val="none"/>
        </w:rPr>
        <w:t>地</w:t>
      </w:r>
      <w:r>
        <w:rPr>
          <w:rFonts w:hint="eastAsia" w:ascii="宋体" w:cs="宋体"/>
          <w:color w:val="auto"/>
          <w:szCs w:val="21"/>
          <w:highlight w:val="none"/>
          <w:lang w:val="en-US" w:eastAsia="zh-CN"/>
        </w:rPr>
        <w:t xml:space="preserve"> </w:t>
      </w:r>
      <w:r>
        <w:rPr>
          <w:rFonts w:hint="eastAsia" w:ascii="宋体" w:cs="宋体"/>
          <w:color w:val="auto"/>
          <w:szCs w:val="21"/>
          <w:highlight w:val="none"/>
        </w:rPr>
        <w:t>址：南宁市双拥路10号</w:t>
      </w:r>
    </w:p>
    <w:p w14:paraId="2E72C60B">
      <w:pPr>
        <w:spacing w:line="460" w:lineRule="exact"/>
        <w:ind w:left="1041" w:leftChars="371" w:hanging="262" w:hangingChars="125"/>
        <w:jc w:val="left"/>
        <w:rPr>
          <w:rFonts w:hint="eastAsia" w:ascii="宋体" w:eastAsia="宋体"/>
          <w:color w:val="auto"/>
          <w:szCs w:val="21"/>
          <w:highlight w:val="none"/>
          <w:lang w:val="en-US" w:eastAsia="zh-CN"/>
        </w:rPr>
      </w:pPr>
      <w:r>
        <w:rPr>
          <w:rFonts w:hint="eastAsia" w:ascii="宋体" w:cs="宋体"/>
          <w:color w:val="auto"/>
          <w:highlight w:val="none"/>
        </w:rPr>
        <w:t>项目联系人：</w:t>
      </w:r>
      <w:r>
        <w:rPr>
          <w:rFonts w:hint="eastAsia" w:ascii="宋体" w:cs="宋体"/>
          <w:color w:val="auto"/>
          <w:highlight w:val="none"/>
          <w:lang w:val="en-US" w:eastAsia="zh-CN"/>
        </w:rPr>
        <w:t>覃老师</w:t>
      </w:r>
    </w:p>
    <w:p w14:paraId="4F7E2104">
      <w:pPr>
        <w:spacing w:line="460" w:lineRule="exact"/>
        <w:ind w:left="1041" w:leftChars="371" w:hanging="262" w:hangingChars="125"/>
        <w:jc w:val="left"/>
        <w:rPr>
          <w:rFonts w:hint="default" w:ascii="宋体" w:eastAsia="宋体" w:cs="宋体"/>
          <w:color w:val="auto"/>
          <w:szCs w:val="21"/>
          <w:highlight w:val="none"/>
          <w:u w:val="single"/>
          <w:lang w:val="en-US" w:eastAsia="zh-CN"/>
        </w:rPr>
      </w:pPr>
      <w:r>
        <w:rPr>
          <w:rFonts w:hint="eastAsia" w:ascii="宋体"/>
          <w:color w:val="auto"/>
          <w:szCs w:val="21"/>
          <w:highlight w:val="none"/>
        </w:rPr>
        <w:t>项目</w:t>
      </w:r>
      <w:r>
        <w:rPr>
          <w:rFonts w:hint="eastAsia" w:ascii="宋体" w:cs="@宋体"/>
          <w:color w:val="auto"/>
          <w:szCs w:val="21"/>
          <w:highlight w:val="none"/>
        </w:rPr>
        <w:t>联系方式：</w:t>
      </w:r>
      <w:r>
        <w:rPr>
          <w:rFonts w:hint="eastAsia" w:ascii="宋体" w:cs="@宋体"/>
          <w:color w:val="auto"/>
          <w:szCs w:val="21"/>
          <w:highlight w:val="none"/>
          <w:lang w:val="en-US" w:eastAsia="zh-CN"/>
        </w:rPr>
        <w:t>0771-3891393</w:t>
      </w:r>
    </w:p>
    <w:p w14:paraId="5E34C007">
      <w:pPr>
        <w:spacing w:line="460" w:lineRule="exact"/>
        <w:ind w:left="1041" w:leftChars="371" w:hanging="262" w:hangingChars="125"/>
        <w:jc w:val="left"/>
        <w:rPr>
          <w:rFonts w:ascii="宋体" w:cs="宋体"/>
          <w:color w:val="auto"/>
          <w:szCs w:val="21"/>
          <w:highlight w:val="none"/>
        </w:rPr>
      </w:pPr>
      <w:r>
        <w:rPr>
          <w:rFonts w:hint="eastAsia" w:ascii="宋体" w:cs="宋体"/>
          <w:color w:val="auto"/>
          <w:szCs w:val="21"/>
          <w:highlight w:val="none"/>
        </w:rPr>
        <w:t>2.采购代理机构信息</w:t>
      </w:r>
    </w:p>
    <w:p w14:paraId="7E72FDA7">
      <w:pPr>
        <w:spacing w:line="460" w:lineRule="exact"/>
        <w:ind w:firstLine="735" w:firstLineChars="350"/>
        <w:rPr>
          <w:rFonts w:ascii="宋体" w:cs="宋体"/>
          <w:color w:val="auto"/>
          <w:szCs w:val="21"/>
          <w:highlight w:val="none"/>
          <w:u w:val="single"/>
        </w:rPr>
      </w:pPr>
      <w:r>
        <w:rPr>
          <w:rFonts w:hint="eastAsia" w:ascii="宋体" w:cs="宋体"/>
          <w:color w:val="auto"/>
          <w:szCs w:val="21"/>
          <w:highlight w:val="none"/>
        </w:rPr>
        <w:t>名 称：</w:t>
      </w:r>
      <w:r>
        <w:rPr>
          <w:rFonts w:hint="eastAsia" w:ascii="宋体"/>
          <w:color w:val="auto"/>
          <w:szCs w:val="21"/>
          <w:highlight w:val="none"/>
        </w:rPr>
        <w:t>广西科联招标中心有限公司</w:t>
      </w:r>
    </w:p>
    <w:p w14:paraId="240608B4">
      <w:pPr>
        <w:spacing w:line="460" w:lineRule="exact"/>
        <w:ind w:firstLine="735" w:firstLineChars="350"/>
        <w:rPr>
          <w:rFonts w:ascii="宋体" w:cs="宋体"/>
          <w:color w:val="auto"/>
          <w:szCs w:val="21"/>
          <w:highlight w:val="none"/>
        </w:rPr>
      </w:pPr>
      <w:r>
        <w:rPr>
          <w:rFonts w:hint="eastAsia" w:ascii="宋体" w:cs="宋体"/>
          <w:color w:val="auto"/>
          <w:szCs w:val="21"/>
          <w:highlight w:val="none"/>
        </w:rPr>
        <w:t>地　址：</w:t>
      </w:r>
      <w:r>
        <w:rPr>
          <w:rFonts w:hint="eastAsia" w:ascii="宋体"/>
          <w:color w:val="auto"/>
          <w:szCs w:val="21"/>
          <w:highlight w:val="none"/>
        </w:rPr>
        <w:t>广西南宁市大学东路170号</w:t>
      </w:r>
    </w:p>
    <w:p w14:paraId="5E51AC15">
      <w:pPr>
        <w:spacing w:line="460" w:lineRule="exact"/>
        <w:ind w:firstLine="735" w:firstLineChars="350"/>
        <w:rPr>
          <w:rFonts w:hint="eastAsia" w:ascii="宋体" w:eastAsia="宋体"/>
          <w:color w:val="auto"/>
          <w:szCs w:val="21"/>
          <w:highlight w:val="none"/>
          <w:lang w:eastAsia="zh-CN"/>
        </w:rPr>
      </w:pPr>
      <w:r>
        <w:rPr>
          <w:rFonts w:hint="eastAsia" w:ascii="宋体" w:cs="宋体"/>
          <w:color w:val="auto"/>
          <w:szCs w:val="21"/>
          <w:highlight w:val="none"/>
        </w:rPr>
        <w:t>项目联系人：</w:t>
      </w:r>
      <w:r>
        <w:rPr>
          <w:rFonts w:hint="eastAsia" w:ascii="宋体"/>
          <w:color w:val="auto"/>
          <w:szCs w:val="21"/>
          <w:highlight w:val="none"/>
          <w:lang w:val="en-US" w:eastAsia="zh-CN"/>
        </w:rPr>
        <w:t>韦俊珉</w:t>
      </w:r>
    </w:p>
    <w:p w14:paraId="160C38FB">
      <w:pPr>
        <w:spacing w:line="460" w:lineRule="exact"/>
        <w:ind w:firstLine="735" w:firstLineChars="350"/>
        <w:rPr>
          <w:rFonts w:hint="default" w:ascii="宋体" w:eastAsia="宋体" w:cs="宋体"/>
          <w:color w:val="auto"/>
          <w:szCs w:val="21"/>
          <w:highlight w:val="none"/>
          <w:lang w:val="en-US" w:eastAsia="zh-CN"/>
        </w:rPr>
      </w:pPr>
      <w:r>
        <w:rPr>
          <w:rFonts w:hint="eastAsia" w:ascii="宋体"/>
          <w:color w:val="auto"/>
          <w:szCs w:val="21"/>
          <w:highlight w:val="none"/>
        </w:rPr>
        <w:t>项目联系方式：0771-</w:t>
      </w:r>
      <w:r>
        <w:rPr>
          <w:rFonts w:hint="eastAsia" w:ascii="宋体"/>
          <w:color w:val="auto"/>
          <w:szCs w:val="21"/>
          <w:highlight w:val="none"/>
          <w:lang w:val="en-US" w:eastAsia="zh-CN"/>
        </w:rPr>
        <w:t>2273829，13307869043</w:t>
      </w:r>
    </w:p>
    <w:p w14:paraId="52BC91EE">
      <w:pPr>
        <w:spacing w:line="360" w:lineRule="auto"/>
        <w:jc w:val="left"/>
        <w:rPr>
          <w:rFonts w:ascii="宋体" w:cs="宋体"/>
          <w:color w:val="auto"/>
          <w:szCs w:val="21"/>
          <w:highlight w:val="none"/>
        </w:rPr>
      </w:pPr>
    </w:p>
    <w:p w14:paraId="13C464FF">
      <w:pPr>
        <w:pStyle w:val="14"/>
        <w:jc w:val="center"/>
        <w:outlineLvl w:val="0"/>
        <w:rPr>
          <w:rFonts w:cs="宋体"/>
          <w:b/>
          <w:color w:val="auto"/>
          <w:sz w:val="36"/>
          <w:highlight w:val="none"/>
        </w:rPr>
      </w:pPr>
      <w:r>
        <w:rPr>
          <w:rFonts w:hint="eastAsia" w:cs="宋体"/>
          <w:color w:val="auto"/>
          <w:szCs w:val="21"/>
          <w:highlight w:val="none"/>
        </w:rPr>
        <w:br w:type="page"/>
      </w:r>
      <w:bookmarkStart w:id="47" w:name="_Toc532545042"/>
      <w:bookmarkStart w:id="48" w:name="_Toc4656"/>
      <w:bookmarkStart w:id="49" w:name="_Toc12160"/>
      <w:bookmarkStart w:id="50" w:name="_Toc10157"/>
      <w:bookmarkStart w:id="51" w:name="_Toc22518"/>
      <w:bookmarkStart w:id="52" w:name="_Toc23540"/>
      <w:bookmarkStart w:id="53" w:name="_Toc15472"/>
      <w:bookmarkStart w:id="54" w:name="_Toc28626"/>
      <w:bookmarkStart w:id="55" w:name="_Toc10599"/>
      <w:bookmarkStart w:id="56" w:name="_Toc5131"/>
      <w:bookmarkStart w:id="57" w:name="_Toc32271"/>
      <w:bookmarkStart w:id="58" w:name="_Toc15135"/>
      <w:r>
        <w:rPr>
          <w:rFonts w:hint="eastAsia" w:cs="宋体"/>
          <w:b/>
          <w:color w:val="auto"/>
          <w:sz w:val="36"/>
          <w:highlight w:val="none"/>
        </w:rPr>
        <w:t xml:space="preserve">第二章  </w:t>
      </w:r>
      <w:bookmarkEnd w:id="47"/>
      <w:r>
        <w:rPr>
          <w:rFonts w:hint="eastAsia" w:cs="宋体"/>
          <w:b/>
          <w:color w:val="auto"/>
          <w:sz w:val="36"/>
          <w:highlight w:val="none"/>
        </w:rPr>
        <w:t>采购需求</w:t>
      </w:r>
      <w:bookmarkEnd w:id="48"/>
      <w:bookmarkEnd w:id="49"/>
      <w:bookmarkEnd w:id="50"/>
      <w:bookmarkEnd w:id="51"/>
      <w:bookmarkEnd w:id="52"/>
      <w:bookmarkEnd w:id="53"/>
      <w:bookmarkEnd w:id="54"/>
      <w:bookmarkEnd w:id="55"/>
      <w:bookmarkEnd w:id="56"/>
      <w:bookmarkEnd w:id="57"/>
      <w:bookmarkEnd w:id="58"/>
    </w:p>
    <w:p w14:paraId="67E340FE">
      <w:pPr>
        <w:adjustRightInd w:val="0"/>
        <w:spacing w:line="400" w:lineRule="exact"/>
        <w:rPr>
          <w:rFonts w:ascii="宋体" w:cs="宋体"/>
          <w:b/>
          <w:color w:val="auto"/>
          <w:szCs w:val="21"/>
          <w:highlight w:val="none"/>
        </w:rPr>
      </w:pPr>
      <w:r>
        <w:rPr>
          <w:rFonts w:hint="eastAsia" w:ascii="宋体" w:cs="宋体"/>
          <w:b/>
          <w:color w:val="auto"/>
          <w:szCs w:val="21"/>
          <w:highlight w:val="none"/>
        </w:rPr>
        <w:t>说明：</w:t>
      </w:r>
    </w:p>
    <w:p w14:paraId="1F66DAA4">
      <w:pPr>
        <w:spacing w:line="400" w:lineRule="exact"/>
        <w:ind w:firstLine="420" w:firstLineChars="200"/>
        <w:jc w:val="left"/>
        <w:rPr>
          <w:rFonts w:ascii="宋体" w:cs="宋体"/>
          <w:i/>
          <w:iCs/>
          <w:color w:val="auto"/>
          <w:szCs w:val="21"/>
          <w:highlight w:val="none"/>
        </w:rPr>
      </w:pPr>
      <w:r>
        <w:rPr>
          <w:rFonts w:hint="eastAsia" w:ascii="宋体" w:cs="宋体"/>
          <w:color w:val="auto"/>
          <w:highlight w:val="none"/>
        </w:rPr>
        <w:t>1</w:t>
      </w:r>
      <w:r>
        <w:rPr>
          <w:rFonts w:hint="eastAsia" w:ascii="宋体" w:cs="宋体"/>
          <w:color w:val="auto"/>
          <w:highlight w:val="none"/>
          <w:lang w:val="en-US" w:eastAsia="zh-CN"/>
        </w:rPr>
        <w:t>.</w:t>
      </w:r>
      <w:r>
        <w:rPr>
          <w:rFonts w:hint="eastAsia" w:ascii="宋体" w:cs="宋体"/>
          <w:color w:val="auto"/>
          <w:highlight w:val="none"/>
        </w:rPr>
        <w:t>为落实政府采购政策需满足的要求</w:t>
      </w:r>
    </w:p>
    <w:p w14:paraId="5F566BD9">
      <w:pPr>
        <w:spacing w:line="400" w:lineRule="exact"/>
        <w:ind w:firstLine="420" w:firstLineChars="200"/>
        <w:jc w:val="left"/>
        <w:rPr>
          <w:rFonts w:ascii="宋体" w:cs="宋体"/>
          <w:color w:val="auto"/>
          <w:szCs w:val="21"/>
          <w:highlight w:val="none"/>
        </w:rPr>
      </w:pPr>
      <w:r>
        <w:rPr>
          <w:rFonts w:hint="eastAsia" w:ascii="宋体" w:cs="宋体"/>
          <w:color w:val="auto"/>
          <w:szCs w:val="21"/>
          <w:highlight w:val="none"/>
        </w:rPr>
        <w:t>（1）本招标文件所称中小企业必须符合《政府采购促进中小企业发展管理办法》（财库〔2020〕46号）的规定。</w:t>
      </w:r>
    </w:p>
    <w:p w14:paraId="57735C4F">
      <w:pPr>
        <w:spacing w:line="400" w:lineRule="exact"/>
        <w:ind w:firstLine="424" w:firstLineChars="202"/>
        <w:jc w:val="left"/>
        <w:rPr>
          <w:rFonts w:ascii="宋体" w:cs="宋体"/>
          <w:color w:val="auto"/>
          <w:szCs w:val="21"/>
          <w:highlight w:val="none"/>
        </w:rPr>
      </w:pPr>
      <w:r>
        <w:rPr>
          <w:rFonts w:hint="eastAsia" w:asci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有效期内的节能产品认证证书复印件（加盖投标人公章），否则投标文件作无效处理。如本项目包含的货物属于品目清单内非标注“★”的产品时，应优先采购，具体详见“第四章 评标方法和评标标准”。</w:t>
      </w:r>
    </w:p>
    <w:p w14:paraId="2334C7F3">
      <w:pPr>
        <w:spacing w:line="400" w:lineRule="exact"/>
        <w:ind w:firstLine="424" w:firstLineChars="202"/>
        <w:jc w:val="left"/>
        <w:rPr>
          <w:rFonts w:hint="eastAsia" w:ascii="宋体" w:cs="宋体"/>
          <w:color w:val="auto"/>
          <w:szCs w:val="21"/>
          <w:highlight w:val="none"/>
          <w:lang w:val="en-US" w:eastAsia="zh-CN"/>
        </w:rPr>
      </w:pPr>
      <w:r>
        <w:rPr>
          <w:rFonts w:hint="eastAsia" w:ascii="宋体" w:cs="宋体"/>
          <w:color w:val="auto"/>
          <w:szCs w:val="21"/>
          <w:highlight w:val="none"/>
        </w:rPr>
        <w:t>2</w:t>
      </w:r>
      <w:r>
        <w:rPr>
          <w:rFonts w:hint="eastAsia" w:ascii="宋体" w:cs="宋体"/>
          <w:color w:val="auto"/>
          <w:szCs w:val="21"/>
          <w:highlight w:val="none"/>
          <w:lang w:val="en-US" w:eastAsia="zh-CN"/>
        </w:rPr>
        <w:t>.</w:t>
      </w:r>
      <w:r>
        <w:rPr>
          <w:rFonts w:hint="eastAsia" w:ascii="宋体" w:cs="宋体"/>
          <w:b w:val="0"/>
          <w:bCs w:val="0"/>
          <w:color w:val="auto"/>
          <w:szCs w:val="21"/>
          <w:highlight w:val="none"/>
          <w:lang w:val="en-US" w:eastAsia="zh-CN"/>
        </w:rPr>
        <w:t>采购需求中带“▲”的条款为实质性条款，不满足作无效响应处理。</w:t>
      </w:r>
      <w:r>
        <w:rPr>
          <w:rFonts w:hint="eastAsia" w:ascii="宋体" w:cs="宋体"/>
          <w:b w:val="0"/>
          <w:bCs w:val="0"/>
          <w:color w:val="auto"/>
          <w:szCs w:val="21"/>
          <w:highlight w:val="none"/>
        </w:rPr>
        <w:t>采购需求参数中带“ ◆” 的条款为重要性参数</w:t>
      </w:r>
      <w:r>
        <w:rPr>
          <w:rFonts w:hint="eastAsia" w:ascii="宋体" w:hAnsi="宋体" w:cs="宋体"/>
          <w:b w:val="0"/>
          <w:bCs w:val="0"/>
          <w:color w:val="auto"/>
          <w:szCs w:val="21"/>
          <w:highlight w:val="none"/>
        </w:rPr>
        <w:t>。</w:t>
      </w:r>
    </w:p>
    <w:p w14:paraId="4160CA79">
      <w:pPr>
        <w:spacing w:line="400" w:lineRule="exact"/>
        <w:ind w:firstLine="424" w:firstLineChars="202"/>
        <w:jc w:val="left"/>
        <w:rPr>
          <w:rFonts w:ascii="宋体" w:cs="宋体"/>
          <w:color w:val="auto"/>
          <w:szCs w:val="21"/>
          <w:highlight w:val="none"/>
        </w:rPr>
      </w:pPr>
      <w:r>
        <w:rPr>
          <w:rFonts w:hint="eastAsia" w:ascii="宋体" w:cs="宋体"/>
          <w:color w:val="auto"/>
          <w:szCs w:val="21"/>
          <w:highlight w:val="none"/>
        </w:rPr>
        <w:t>3</w:t>
      </w:r>
      <w:r>
        <w:rPr>
          <w:rFonts w:hint="eastAsia" w:ascii="宋体" w:cs="宋体"/>
          <w:color w:val="auto"/>
          <w:szCs w:val="21"/>
          <w:highlight w:val="none"/>
          <w:lang w:val="en-US" w:eastAsia="zh-CN"/>
        </w:rPr>
        <w:t>.采购需求中出现的品牌、型号或者制造商仅起参考作用，不属于指定品牌、型号或者制造商的情形。投标人可参照或者选用其他相当的品牌、型号或者制造商替代，但选用的投标产品技术参数及配置必须满足采购要求。</w:t>
      </w:r>
      <w:r>
        <w:rPr>
          <w:rFonts w:hint="eastAsia" w:ascii="宋体" w:cs="宋体"/>
          <w:color w:val="auto"/>
          <w:szCs w:val="21"/>
          <w:highlight w:val="none"/>
        </w:rPr>
        <w:t>。</w:t>
      </w:r>
    </w:p>
    <w:p w14:paraId="77BDDC3A">
      <w:pPr>
        <w:spacing w:line="400" w:lineRule="exact"/>
        <w:ind w:firstLine="424" w:firstLineChars="202"/>
        <w:jc w:val="left"/>
        <w:rPr>
          <w:rFonts w:ascii="宋体" w:cs="宋体"/>
          <w:color w:val="auto"/>
          <w:highlight w:val="none"/>
        </w:rPr>
      </w:pPr>
      <w:r>
        <w:rPr>
          <w:rFonts w:hint="eastAsia" w:ascii="宋体" w:cs="宋体"/>
          <w:color w:val="auto"/>
          <w:szCs w:val="21"/>
          <w:highlight w:val="none"/>
        </w:rPr>
        <w:t>4</w:t>
      </w:r>
      <w:r>
        <w:rPr>
          <w:rFonts w:hint="eastAsia" w:ascii="宋体" w:cs="宋体"/>
          <w:color w:val="auto"/>
          <w:szCs w:val="21"/>
          <w:highlight w:val="none"/>
          <w:lang w:val="en-US" w:eastAsia="zh-CN"/>
        </w:rPr>
        <w:t>.</w:t>
      </w:r>
      <w:r>
        <w:rPr>
          <w:rFonts w:hint="eastAsia" w:ascii="宋体" w:cs="宋体"/>
          <w:color w:val="auto"/>
          <w:szCs w:val="21"/>
          <w:highlight w:val="none"/>
        </w:rPr>
        <w:t>投标人必须对投标文件中提供的证明材料和资质文件真实性负责，如出现虚假应标情况，投标人除了应接受有关部门的处罚外，还应依据《中华人民共和国民法典》的相关条款来进行赔偿。</w:t>
      </w:r>
    </w:p>
    <w:p w14:paraId="6125CBA1">
      <w:pPr>
        <w:spacing w:line="400" w:lineRule="exact"/>
        <w:ind w:firstLine="424" w:firstLineChars="202"/>
        <w:jc w:val="left"/>
        <w:rPr>
          <w:rFonts w:ascii="宋体" w:cs="宋体"/>
          <w:color w:val="auto"/>
          <w:highlight w:val="none"/>
        </w:rPr>
      </w:pPr>
      <w:r>
        <w:rPr>
          <w:rFonts w:hint="eastAsia" w:ascii="宋体" w:cs="宋体"/>
          <w:color w:val="auto"/>
          <w:highlight w:val="none"/>
        </w:rPr>
        <w:t>5</w:t>
      </w:r>
      <w:r>
        <w:rPr>
          <w:rFonts w:hint="eastAsia" w:ascii="宋体" w:cs="宋体"/>
          <w:color w:val="auto"/>
          <w:highlight w:val="none"/>
          <w:lang w:val="en-US" w:eastAsia="zh-CN"/>
        </w:rPr>
        <w:t>.</w:t>
      </w:r>
      <w:r>
        <w:rPr>
          <w:rFonts w:hint="eastAsia" w:ascii="宋体" w:cs="宋体"/>
          <w:color w:val="auto"/>
          <w:highlight w:val="none"/>
        </w:rPr>
        <w:t>投标人应对投标内容所涉及的专利承担法律责任，并负责保护采购人的利益不受任何损害。一切由于文字、商标、技术和软件专利授权引起的法律裁决、诉讼和赔偿费用均由中标人负责。</w:t>
      </w:r>
    </w:p>
    <w:p w14:paraId="61A08F44">
      <w:pPr>
        <w:tabs>
          <w:tab w:val="left" w:pos="180"/>
          <w:tab w:val="left" w:pos="1620"/>
        </w:tabs>
        <w:spacing w:line="400" w:lineRule="exact"/>
        <w:ind w:firstLine="420" w:firstLineChars="200"/>
        <w:jc w:val="left"/>
        <w:rPr>
          <w:rFonts w:ascii="宋体" w:cs="宋体"/>
          <w:color w:val="auto"/>
          <w:highlight w:val="none"/>
          <w:u w:val="single"/>
        </w:rPr>
      </w:pPr>
      <w:r>
        <w:rPr>
          <w:rFonts w:hint="eastAsia" w:ascii="宋体" w:cs="宋体"/>
          <w:color w:val="auto"/>
          <w:highlight w:val="none"/>
        </w:rPr>
        <w:t>6</w:t>
      </w:r>
      <w:r>
        <w:rPr>
          <w:rFonts w:hint="eastAsia" w:ascii="宋体" w:cs="宋体"/>
          <w:color w:val="auto"/>
          <w:highlight w:val="none"/>
          <w:lang w:val="en-US" w:eastAsia="zh-CN"/>
        </w:rPr>
        <w:t>.</w:t>
      </w:r>
      <w:r>
        <w:rPr>
          <w:rFonts w:hint="eastAsia" w:ascii="宋体" w:cs="宋体"/>
          <w:color w:val="auto"/>
          <w:highlight w:val="none"/>
        </w:rPr>
        <w:t>采购内容所属行业：</w:t>
      </w:r>
      <w:r>
        <w:rPr>
          <w:rFonts w:hint="eastAsia" w:ascii="宋体" w:cs="宋体"/>
          <w:color w:val="auto"/>
          <w:highlight w:val="none"/>
          <w:u w:val="single"/>
        </w:rPr>
        <w:t>工业；详见需求一览表中的《中小企业划分标准所属行业名称》。</w:t>
      </w:r>
    </w:p>
    <w:tbl>
      <w:tblPr>
        <w:tblStyle w:val="27"/>
        <w:tblW w:w="106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9"/>
        <w:gridCol w:w="500"/>
        <w:gridCol w:w="1175"/>
        <w:gridCol w:w="909"/>
        <w:gridCol w:w="5414"/>
        <w:gridCol w:w="981"/>
        <w:gridCol w:w="1236"/>
      </w:tblGrid>
      <w:tr w14:paraId="32C1F6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674" w:type="dxa"/>
            <w:gridSpan w:val="7"/>
            <w:tcBorders>
              <w:top w:val="single" w:color="auto" w:sz="4" w:space="0"/>
              <w:left w:val="single" w:color="auto" w:sz="4" w:space="0"/>
              <w:bottom w:val="nil"/>
              <w:right w:val="single" w:color="auto" w:sz="4" w:space="0"/>
            </w:tcBorders>
            <w:vAlign w:val="center"/>
          </w:tcPr>
          <w:p w14:paraId="1FBCDF75">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标项：无</w:t>
            </w:r>
          </w:p>
        </w:tc>
      </w:tr>
      <w:tr w14:paraId="54703B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59" w:type="dxa"/>
            <w:vMerge w:val="restart"/>
            <w:tcBorders>
              <w:top w:val="single" w:color="auto" w:sz="4" w:space="0"/>
              <w:left w:val="single" w:color="auto" w:sz="4" w:space="0"/>
              <w:right w:val="single" w:color="auto" w:sz="4" w:space="0"/>
            </w:tcBorders>
            <w:vAlign w:val="center"/>
          </w:tcPr>
          <w:p w14:paraId="5C13AEC8">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需求一览表</w:t>
            </w:r>
          </w:p>
        </w:tc>
        <w:tc>
          <w:tcPr>
            <w:tcW w:w="500"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864FBF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75" w:type="dxa"/>
            <w:tcBorders>
              <w:top w:val="single" w:color="auto" w:sz="4" w:space="0"/>
              <w:left w:val="single" w:color="auto" w:sz="4" w:space="0"/>
              <w:bottom w:val="single" w:color="auto" w:sz="4" w:space="0"/>
              <w:right w:val="single" w:color="auto" w:sz="4" w:space="0"/>
            </w:tcBorders>
            <w:vAlign w:val="center"/>
          </w:tcPr>
          <w:p w14:paraId="2C305C29">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909" w:type="dxa"/>
            <w:tcBorders>
              <w:top w:val="single" w:color="auto" w:sz="4" w:space="0"/>
              <w:left w:val="single" w:color="auto" w:sz="4" w:space="0"/>
              <w:bottom w:val="single" w:color="auto" w:sz="4" w:space="0"/>
              <w:right w:val="single" w:color="auto" w:sz="4" w:space="0"/>
            </w:tcBorders>
            <w:vAlign w:val="center"/>
          </w:tcPr>
          <w:p w14:paraId="44E493C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数量及单位</w:t>
            </w:r>
          </w:p>
        </w:tc>
        <w:tc>
          <w:tcPr>
            <w:tcW w:w="5414" w:type="dxa"/>
            <w:tcBorders>
              <w:top w:val="single" w:color="auto" w:sz="4" w:space="0"/>
              <w:left w:val="single" w:color="auto" w:sz="4" w:space="0"/>
              <w:bottom w:val="single" w:color="auto" w:sz="4" w:space="0"/>
              <w:right w:val="single" w:color="auto" w:sz="4" w:space="0"/>
            </w:tcBorders>
            <w:vAlign w:val="center"/>
          </w:tcPr>
          <w:p w14:paraId="50CC6F8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技术参数及配置</w:t>
            </w:r>
          </w:p>
        </w:tc>
        <w:tc>
          <w:tcPr>
            <w:tcW w:w="981" w:type="dxa"/>
            <w:tcBorders>
              <w:top w:val="single" w:color="auto" w:sz="4" w:space="0"/>
              <w:left w:val="single" w:color="auto" w:sz="4" w:space="0"/>
              <w:bottom w:val="single" w:color="auto" w:sz="4" w:space="0"/>
              <w:right w:val="single" w:color="auto" w:sz="4" w:space="0"/>
            </w:tcBorders>
            <w:vAlign w:val="center"/>
          </w:tcPr>
          <w:p w14:paraId="4FABB2A7">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最高上限单价（元）</w:t>
            </w:r>
          </w:p>
        </w:tc>
        <w:tc>
          <w:tcPr>
            <w:tcW w:w="1236" w:type="dxa"/>
            <w:tcBorders>
              <w:top w:val="single" w:color="auto" w:sz="4" w:space="0"/>
              <w:left w:val="single" w:color="auto" w:sz="4" w:space="0"/>
              <w:bottom w:val="single" w:color="auto" w:sz="4" w:space="0"/>
              <w:right w:val="single" w:color="auto" w:sz="4" w:space="0"/>
            </w:tcBorders>
            <w:vAlign w:val="center"/>
          </w:tcPr>
          <w:p w14:paraId="34461B4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中小企业划分标准所属行业名称（行业名称及划分见本章附件1）</w:t>
            </w:r>
          </w:p>
        </w:tc>
      </w:tr>
      <w:tr w14:paraId="5189E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59" w:type="dxa"/>
            <w:vMerge w:val="continue"/>
            <w:tcBorders>
              <w:left w:val="single" w:color="auto" w:sz="4" w:space="0"/>
              <w:right w:val="single" w:color="auto" w:sz="4" w:space="0"/>
            </w:tcBorders>
            <w:vAlign w:val="center"/>
          </w:tcPr>
          <w:p w14:paraId="45E23081">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p>
        </w:tc>
        <w:tc>
          <w:tcPr>
            <w:tcW w:w="500" w:type="dxa"/>
            <w:tcBorders>
              <w:top w:val="single" w:color="auto" w:sz="4" w:space="0"/>
              <w:left w:val="single" w:color="auto" w:sz="4" w:space="0"/>
              <w:bottom w:val="single" w:color="auto" w:sz="4" w:space="0"/>
              <w:right w:val="single" w:color="auto" w:sz="4" w:space="0"/>
            </w:tcBorders>
            <w:vAlign w:val="center"/>
          </w:tcPr>
          <w:p w14:paraId="7139983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75" w:type="dxa"/>
            <w:tcBorders>
              <w:top w:val="single" w:color="auto" w:sz="4" w:space="0"/>
              <w:left w:val="single" w:color="auto" w:sz="4" w:space="0"/>
              <w:bottom w:val="single" w:color="auto" w:sz="4" w:space="0"/>
              <w:right w:val="single" w:color="auto" w:sz="4" w:space="0"/>
            </w:tcBorders>
            <w:vAlign w:val="center"/>
          </w:tcPr>
          <w:p w14:paraId="505D3EE3">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口腔临床模拟教学实习系统（教师机）</w:t>
            </w:r>
          </w:p>
        </w:tc>
        <w:tc>
          <w:tcPr>
            <w:tcW w:w="909" w:type="dxa"/>
            <w:tcBorders>
              <w:top w:val="single" w:color="auto" w:sz="4" w:space="0"/>
              <w:left w:val="single" w:color="auto" w:sz="4" w:space="0"/>
              <w:bottom w:val="single" w:color="auto" w:sz="4" w:space="0"/>
              <w:right w:val="single" w:color="auto" w:sz="4" w:space="0"/>
            </w:tcBorders>
            <w:vAlign w:val="center"/>
          </w:tcPr>
          <w:p w14:paraId="115C44C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1套</w:t>
            </w:r>
          </w:p>
        </w:tc>
        <w:tc>
          <w:tcPr>
            <w:tcW w:w="5414" w:type="dxa"/>
            <w:tcBorders>
              <w:bottom w:val="single" w:color="000000" w:sz="8" w:space="0"/>
              <w:right w:val="single" w:color="000000" w:sz="8" w:space="0"/>
            </w:tcBorders>
            <w:vAlign w:val="center"/>
          </w:tcPr>
          <w:p w14:paraId="37273AF8">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一、技术参数：</w:t>
            </w:r>
          </w:p>
          <w:p w14:paraId="7E6A96CC">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仿真头模系统</w:t>
            </w:r>
          </w:p>
          <w:p w14:paraId="0E6394A5">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仿真头模系统为采用平均值咬合器的仿真头模系统，由头模头盖肩体、头模平均值咬颌架以及头模用面罩构成。</w:t>
            </w:r>
          </w:p>
          <w:p w14:paraId="6D6E2E18">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头模主体：头盖肩体配备模拟真实人体的肩体，并带有模拟的头颅骨构造。头颅与肩体采用机械万向节构造接头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头部颈部向前俯仰的最大角度不小于10°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向后的最大角度不小于90°；颈部左右转动的最大角度不小于 90°。肩体颈部设有刻度盘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±90°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可用于左右转动角度调整的确认。</w:t>
            </w:r>
          </w:p>
          <w:p w14:paraId="66E3B33E">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头模颌架：采用模拟人体平均值的咬合器，前伸髁道斜度约为30度，侧方髁道斜度约为15度，两侧髁头间距离</w:t>
            </w:r>
            <w:r>
              <w:rPr>
                <w:rFonts w:hint="eastAsia" w:ascii="宋体" w:hAnsi="宋体" w:cs="宋体"/>
                <w:color w:val="auto"/>
                <w:sz w:val="21"/>
                <w:szCs w:val="21"/>
                <w:highlight w:val="none"/>
                <w:lang w:val="en-US" w:eastAsia="zh-CN"/>
              </w:rPr>
              <w:t>约</w:t>
            </w:r>
            <w:r>
              <w:rPr>
                <w:rFonts w:hint="eastAsia" w:ascii="宋体" w:hAnsi="宋体" w:eastAsia="宋体" w:cs="宋体"/>
                <w:color w:val="auto"/>
                <w:sz w:val="21"/>
                <w:szCs w:val="21"/>
                <w:highlight w:val="none"/>
              </w:rPr>
              <w:t>为110mm。该颌架配备模拟人耳及耳洞，可安装面弓，能够真实地模拟下颌数据的转移。</w:t>
            </w:r>
          </w:p>
          <w:p w14:paraId="3319F3F6">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平均值咬合器：该咬合器能够完全模拟人体相关参数，其可开展下颌开闭口位、前伸位和侧向位的模拟运动，髁球能够实现平滑移动，从而反映出下颌运动的模拟效果。与之配套的颌间距调节器，能够进行全开口和半开口模拟效果的训练。全开口时，颌间距离（即上下切牙切端距离）≥  50mm；半开口时，颌间距离（上下切牙切端距离） ≥  22mm。</w:t>
            </w:r>
          </w:p>
          <w:p w14:paraId="0EA45D17">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头模面罩：面罩空间模拟人体，密闭防水，可模拟人体进行牵拉，牵拉力值≧ 150N。</w:t>
            </w:r>
            <w:r>
              <w:rPr>
                <w:rFonts w:hint="eastAsia" w:ascii="宋体" w:hAnsi="宋体" w:eastAsia="宋体" w:cs="宋体"/>
                <w:b/>
                <w:bCs/>
                <w:color w:val="auto"/>
                <w:sz w:val="21"/>
                <w:szCs w:val="21"/>
                <w:highlight w:val="none"/>
              </w:rPr>
              <w:t>（须提供具有CMA标志的牵拉力检测报告或国家认可的第三方检测机构出具的检测报告或向社会公开的产品彩页或产品说明书等）</w:t>
            </w:r>
          </w:p>
          <w:p w14:paraId="40D1958D">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适配实习训练模型系统</w:t>
            </w:r>
          </w:p>
          <w:p w14:paraId="0946B1E5">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适配模型范围及种类</w:t>
            </w:r>
          </w:p>
          <w:p w14:paraId="35D1CC40">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2.1.1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涵盖范围：仿头模系统可配套实习训练口腔模型及颌骨模型，模型范围应涵盖牙体、修复、牙槽外科、颌骨内固定、种植、牙周、儿牙、正畸、影像、老年医学等学科，能够满足口腔医学生多学科教学需求选择，种类≧100类。</w:t>
            </w:r>
            <w:r>
              <w:rPr>
                <w:rFonts w:hint="eastAsia" w:ascii="宋体" w:hAnsi="宋体" w:eastAsia="宋体" w:cs="宋体"/>
                <w:b/>
                <w:bCs/>
                <w:color w:val="auto"/>
                <w:sz w:val="21"/>
                <w:szCs w:val="21"/>
                <w:highlight w:val="none"/>
              </w:rPr>
              <w:t>（需提供产品彩页或其他证明文件，</w:t>
            </w:r>
            <w:r>
              <w:rPr>
                <w:rFonts w:hint="eastAsia" w:ascii="宋体" w:hAnsi="宋体" w:cs="宋体"/>
                <w:b/>
                <w:bCs/>
                <w:color w:val="auto"/>
                <w:sz w:val="21"/>
                <w:szCs w:val="21"/>
                <w:highlight w:val="none"/>
                <w:lang w:val="en-US" w:eastAsia="zh-CN"/>
              </w:rPr>
              <w:t>且证明材料能证明能提供</w:t>
            </w:r>
            <w:r>
              <w:rPr>
                <w:rFonts w:hint="eastAsia" w:ascii="宋体" w:hAnsi="宋体" w:eastAsia="宋体" w:cs="宋体"/>
                <w:b/>
                <w:bCs/>
                <w:color w:val="auto"/>
                <w:sz w:val="21"/>
                <w:szCs w:val="21"/>
                <w:highlight w:val="none"/>
              </w:rPr>
              <w:t>模型产品种类≧100类</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不提供</w:t>
            </w:r>
            <w:r>
              <w:rPr>
                <w:rFonts w:hint="eastAsia" w:ascii="宋体" w:hAnsi="宋体" w:cs="宋体"/>
                <w:b/>
                <w:bCs/>
                <w:color w:val="auto"/>
                <w:sz w:val="21"/>
                <w:szCs w:val="21"/>
                <w:highlight w:val="none"/>
                <w:lang w:val="en-US" w:eastAsia="zh-CN"/>
              </w:rPr>
              <w:t>或不满足</w:t>
            </w:r>
            <w:r>
              <w:rPr>
                <w:rFonts w:hint="eastAsia" w:ascii="宋体" w:hAnsi="宋体" w:eastAsia="宋体" w:cs="宋体"/>
                <w:b/>
                <w:bCs/>
                <w:color w:val="auto"/>
                <w:sz w:val="21"/>
                <w:szCs w:val="21"/>
                <w:highlight w:val="none"/>
              </w:rPr>
              <w:t>按1项负偏离计）</w:t>
            </w:r>
          </w:p>
          <w:p w14:paraId="64B39FD6">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模型安装和拆卸方式</w:t>
            </w:r>
          </w:p>
          <w:p w14:paraId="36A0AEA0">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▲2.2.1 安装方式：系统配套的模型与仿头模咬合器通过高磁性固位装置进行连接，模型与咬合器的对位方式为单点式对位。高磁性固位装置的吸磁力不低于15kg，适用于牙体预备、拔牙、取阴模等不同的口腔训练课程</w:t>
            </w:r>
            <w:r>
              <w:rPr>
                <w:rFonts w:hint="eastAsia" w:ascii="宋体" w:hAnsi="宋体" w:eastAsia="宋体" w:cs="宋体"/>
                <w:b/>
                <w:bCs/>
                <w:color w:val="auto"/>
                <w:sz w:val="21"/>
                <w:szCs w:val="21"/>
                <w:highlight w:val="none"/>
              </w:rPr>
              <w:t>（须提供具有CMA标志的吸磁力检测报告或国家认可的第三方检测机构出具的检测报告或向社会公开的产品彩页或产品说明书等）。</w:t>
            </w:r>
          </w:p>
          <w:p w14:paraId="145B402C">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拆卸方式：拆卸采用按扣一键式快速取出模型并设置隐藏可弹式顶出按键。</w:t>
            </w:r>
          </w:p>
          <w:p w14:paraId="6F224BEE">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模型及牙粒详情</w:t>
            </w:r>
          </w:p>
          <w:p w14:paraId="1C32F0F5">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配套</w:t>
            </w:r>
            <w:r>
              <w:rPr>
                <w:rFonts w:hint="eastAsia" w:ascii="宋体" w:hAnsi="宋体" w:eastAsia="宋体" w:cs="宋体"/>
                <w:color w:val="auto"/>
                <w:sz w:val="21"/>
                <w:szCs w:val="21"/>
                <w:highlight w:val="none"/>
              </w:rPr>
              <w:t>与所供货仿头模标准牙颌模型1套：装载于仿头模内使用，配套有上下颌标准牙列模型，采用牙齿形态和尺寸≤亚洲人种28齿牙形态设计，包含全口28颗牙位，带有软质牙龈和牙齿。具有解剖形态的硬质树脂制牙齿，通过隐藏式螺丝固位在牙模底座上；牙龈由优质的硅橡胶制成，可拆卸和更换，可选配至少3种不同颜色的牙龈。</w:t>
            </w:r>
          </w:p>
          <w:p w14:paraId="018BD36B">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配套</w:t>
            </w:r>
            <w:r>
              <w:rPr>
                <w:rFonts w:hint="eastAsia" w:ascii="宋体" w:hAnsi="宋体" w:eastAsia="宋体" w:cs="宋体"/>
                <w:color w:val="auto"/>
                <w:sz w:val="21"/>
                <w:szCs w:val="21"/>
                <w:highlight w:val="none"/>
              </w:rPr>
              <w:t>与所供货仿头模同单直根恒牙牙粒：装载于标准牙颌模型内使用，配套有全口28个牙位，采用牙齿形态和尺寸≤亚洲人种28齿牙形态设计，牙冠为解剖式牙尖形态（牙齿外形、高点、点隙窝沟符合国家医师资格考试标准），</w:t>
            </w:r>
            <w:r>
              <w:rPr>
                <w:rFonts w:hint="eastAsia" w:asciiTheme="minorEastAsia" w:hAnsiTheme="minorEastAsia" w:eastAsiaTheme="minorEastAsia" w:cstheme="minorEastAsia"/>
                <w:color w:val="auto"/>
                <w:kern w:val="0"/>
                <w:sz w:val="24"/>
                <w:szCs w:val="24"/>
                <w:highlight w:val="none"/>
                <w:lang w:val="en-US" w:eastAsia="zh-CN" w:bidi="ar"/>
              </w:rPr>
              <w:t>单颗牙齿重量不超过1.2g，与天然牙重量接近，</w:t>
            </w:r>
            <w:r>
              <w:rPr>
                <w:rFonts w:hint="eastAsia" w:ascii="宋体" w:hAnsi="宋体" w:eastAsia="宋体" w:cs="宋体"/>
                <w:color w:val="auto"/>
                <w:sz w:val="21"/>
                <w:szCs w:val="21"/>
                <w:highlight w:val="none"/>
              </w:rPr>
              <w:t>带单直根，采用螺丝机械固定。</w:t>
            </w:r>
          </w:p>
          <w:p w14:paraId="74E1A9EC">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2.3.3 </w:t>
            </w:r>
            <w:r>
              <w:rPr>
                <w:rFonts w:hint="eastAsia" w:ascii="宋体" w:hAnsi="宋体" w:cs="宋体"/>
                <w:color w:val="auto"/>
                <w:sz w:val="21"/>
                <w:szCs w:val="21"/>
                <w:highlight w:val="none"/>
                <w:lang w:val="en-US" w:eastAsia="zh-CN"/>
              </w:rPr>
              <w:t>配套</w:t>
            </w:r>
            <w:r>
              <w:rPr>
                <w:rFonts w:hint="eastAsia" w:ascii="宋体" w:hAnsi="宋体" w:eastAsia="宋体" w:cs="宋体"/>
                <w:color w:val="auto"/>
                <w:sz w:val="21"/>
                <w:szCs w:val="21"/>
                <w:highlight w:val="none"/>
              </w:rPr>
              <w:t>与所供货仿头模根管治疗用36牙位用牙10颗：装载于标准牙颌模型内使用，采用牙齿形态和尺寸≤亚洲人种28齿牙形态设计，牙冠和牙冠为解剖式牙尖形态（牙齿外形、高点、点隙窝沟符合国家医师资格考试标准），具有三根管形态，根管形态自然弯曲，有根尖孔，根管可进行根测仪进行根管长度测量，具备真实模拟的影像效果（牙槽骨、牙体硬组织和牙髓有不同的显影），牙齿采用螺丝机械固定于牙模内。</w:t>
            </w:r>
          </w:p>
          <w:p w14:paraId="00737A17">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配套国家口腔医学考试项目套装</w:t>
            </w:r>
          </w:p>
          <w:p w14:paraId="35DE88B2">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每套套装包含开髓项目26牙位用牙10颗：具备带有髓腔形态，有髓室顶、髓室 底、髓角、根管口、根管等结构；髓室根管内壁具备红色染料；模拟真实临床牙结构，可以装载于与所供货仿头模标准牙颌模型内进行开髓训练和考试，牙齿设计（牙齿外形、高点、点隙窝沟）符合国家口腔医师资格考试标准。</w:t>
            </w:r>
          </w:p>
          <w:p w14:paraId="70953512">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每套系统内包含专用窝沟封闭术牙齿10颗：牙冠为解剖式形态，带单直根，整体牙齿颜色偏黄。使用窝沟封闭酸蚀剂进行酸蚀处理时会跟真实的临床处理方式及处理结果一致，酸蚀部分呈现白垩色状态，可以装载于所供货仿头模标准牙颌模型内进行窝沟封闭实训，牙齿设计符合国家口腔医师资格考试标准。</w:t>
            </w:r>
          </w:p>
          <w:p w14:paraId="2AC788D7">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 配备口腔医学专用工具套装1套：采用航空铝箱材质，内部设计根据常规器械包装采用海绵卡槽，整体外径尺寸≤345</w:t>
            </w:r>
            <w:r>
              <w:rPr>
                <w:rFonts w:hint="eastAsia" w:ascii="宋体" w:hAnsi="宋体" w:eastAsia="宋体" w:cs="宋体"/>
                <w:color w:val="auto"/>
                <w:sz w:val="21"/>
                <w:szCs w:val="21"/>
                <w:highlight w:val="none"/>
                <w:lang w:val="en-US" w:eastAsia="zh-CN"/>
              </w:rPr>
              <w:t>mm</w:t>
            </w:r>
            <w:r>
              <w:rPr>
                <w:rFonts w:hint="eastAsia" w:ascii="宋体" w:hAnsi="宋体" w:eastAsia="宋体" w:cs="宋体"/>
                <w:color w:val="auto"/>
                <w:sz w:val="21"/>
                <w:szCs w:val="21"/>
                <w:highlight w:val="none"/>
              </w:rPr>
              <w:t>*248</w:t>
            </w:r>
            <w:r>
              <w:rPr>
                <w:rFonts w:hint="eastAsia" w:ascii="宋体" w:hAnsi="宋体" w:eastAsia="宋体" w:cs="宋体"/>
                <w:color w:val="auto"/>
                <w:sz w:val="21"/>
                <w:szCs w:val="21"/>
                <w:highlight w:val="none"/>
                <w:lang w:val="en-US" w:eastAsia="zh-CN"/>
              </w:rPr>
              <w:t>mm</w:t>
            </w:r>
            <w:r>
              <w:rPr>
                <w:rFonts w:hint="eastAsia" w:ascii="宋体" w:hAnsi="宋体" w:eastAsia="宋体" w:cs="宋体"/>
                <w:color w:val="auto"/>
                <w:sz w:val="21"/>
                <w:szCs w:val="21"/>
                <w:highlight w:val="none"/>
              </w:rPr>
              <w:t>*174</w:t>
            </w:r>
            <w:r>
              <w:rPr>
                <w:rFonts w:hint="eastAsia" w:ascii="宋体" w:hAnsi="宋体" w:eastAsia="宋体" w:cs="宋体"/>
                <w:color w:val="auto"/>
                <w:sz w:val="21"/>
                <w:szCs w:val="21"/>
                <w:highlight w:val="none"/>
                <w:lang w:val="en-US" w:eastAsia="zh-CN"/>
              </w:rPr>
              <w:t>mm</w:t>
            </w:r>
            <w:r>
              <w:rPr>
                <w:rFonts w:hint="eastAsia" w:ascii="宋体" w:hAnsi="宋体" w:eastAsia="宋体" w:cs="宋体"/>
                <w:color w:val="auto"/>
                <w:sz w:val="21"/>
                <w:szCs w:val="21"/>
                <w:highlight w:val="none"/>
              </w:rPr>
              <w:t>；重量≤5KG。（可同时容纳以下常规器械：标准牙颌模型*1、消毒盒*2、工具盒*2（尺寸≤20cm*7.5cm*2.6cm）、牙齿存放瓶*4、其中，工具盒内可容纳如下常规口腔医学器械：牙周探针*1、牙科树脂充填器*1、雕刻刀/带蜡勺*1、石膏棒雕刻切刀*1、15cm不锈钢直尺*1、游标卡尺*1、车针盒*1）。</w:t>
            </w:r>
          </w:p>
          <w:p w14:paraId="129E097C">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适配教学模型功能范围</w:t>
            </w:r>
          </w:p>
          <w:p w14:paraId="5E23FFDD">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 适配教学模型可涵盖口腔全科培训“第一阶段”“第二阶段”相关学科实训科目要求。所有产品牙齿、牙模、仿头模设计标准符合本科教科书标准，符合国家医学考试标准，符合住院医师规范化标准，具有标准一致性。</w:t>
            </w:r>
            <w:r>
              <w:rPr>
                <w:rFonts w:hint="eastAsia" w:ascii="宋体" w:hAnsi="宋体" w:eastAsia="宋体" w:cs="宋体"/>
                <w:b/>
                <w:bCs/>
                <w:color w:val="auto"/>
                <w:sz w:val="21"/>
                <w:szCs w:val="21"/>
                <w:highlight w:val="none"/>
              </w:rPr>
              <w:t>（提供具有CMA标志的检测报告或国家认可的第三方检测机构出具的检测报告或向社会公开的产品彩页或产品说明书等）</w:t>
            </w:r>
          </w:p>
          <w:p w14:paraId="5C0887FA">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1）第一阶段</w:t>
            </w:r>
          </w:p>
          <w:p w14:paraId="4386C2CD">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（1）口腔颌面外科包含实训科目模型：口内伤口缝合、拆线、上牙槽后神经阻滞麻醉、下牙槽神经阻滞麻醉、脓肿切开引流术、各类牙拔除术、颞下颌关节复位等、阻生牙拔除术。</w:t>
            </w:r>
          </w:p>
          <w:p w14:paraId="0334E488">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（2）牙体牙髓病包含实训科目模型：前牙充填（活髓）、后牙充填（活髓）、根管治疗、前牙美学树脂修复。</w:t>
            </w:r>
          </w:p>
          <w:p w14:paraId="655F7B47">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（3）牙周病包含实训科目模型：牙周检查、诊断及综合治疗设计、菌斑控制的指导 （包含对正畸、修复患者）、全口龈上洁治（手工洁治）、全口龈下刮治和根面平整。</w:t>
            </w:r>
          </w:p>
          <w:p w14:paraId="5DD32220">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（4）口腔修复包含实训科目模型：可摘局部义齿修复、各类桩核的修复、冠桥的修复（单位）</w:t>
            </w:r>
          </w:p>
          <w:p w14:paraId="3734F4D9">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（5）口腔颌面影像包含实训科目模型：牙片投照、其他口腔X线片、CT片判读。</w:t>
            </w:r>
          </w:p>
          <w:p w14:paraId="328CFFEC">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（6）口腔预防包涵实训科目模型：预防性充填、局部用氟化物防龋、窝沟封闭、口腔健康教育、龋病牙周病流行病学调查设计、社区口腔调研或宣教。</w:t>
            </w:r>
          </w:p>
          <w:p w14:paraId="338489D9">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2）第二阶段</w:t>
            </w:r>
          </w:p>
          <w:p w14:paraId="35CDE4BA">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（1）牙体牙髓病包含实训科目模型：前牙充填（活髓）、后牙充填（活髓）、根管治疗（包含根管再治疗）、前牙美学树脂修复、根尖外科手术、根尖倒充手术。</w:t>
            </w:r>
          </w:p>
          <w:p w14:paraId="294AE910">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（2）牙周病包含实训科目模型：牙周检查、诊断及综合治疗设计、菌斑控制的指导 （包含对正畸、修复患者）、全口龈上洁治、全口龈下刮治和根面平整、牙龈切除术、牙龈翻瓣术/牙冠延长术。</w:t>
            </w:r>
          </w:p>
          <w:p w14:paraId="6BED2178">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（3）儿童口腔病包含实训科目模型：乳牙拔除、乳恒牙龋齿充填术、间接牙髓治疗术、乳牙牙髓摘除术、儿童橡皮障隔湿术、年轻恒牙牙髓治疗、乳牙牙髓切断术、间隙保持器、儿童牙外伤处理。</w:t>
            </w:r>
          </w:p>
          <w:p w14:paraId="52812F83">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（4）口腔颌面外科包含实训科目模型：普通牙拔除、困难牙拔除（死髓牙、残根或残冠）、阻生牙、埋伏牙拔除、软组织肿物切除术、间隙感染切开引流术、清创缝合术。</w:t>
            </w:r>
          </w:p>
          <w:p w14:paraId="3FFC605C">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（5）口腔修复包含实训科目模型：可摘局部义齿修复、贴面、嵌体、冠、桥修复 (单位）、各类桩核的修复、总义齿（含单颌）的修复。</w:t>
            </w:r>
          </w:p>
          <w:p w14:paraId="3B645DD1">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口腔正畸包含实训科目模型：选修正畸住院医师培训的部分相关课程：了解错畸形的病因、分类、诊断和矫治原则；熟悉与本学科相关错畸形的正畸治疗方法。临床见习：观摩活动矫正器的制作、固定矫治器临床简单操作（包括粘带环、结扎、粘托槽等），学会托槽、颊管脱落后的临时处理方法。</w:t>
            </w:r>
          </w:p>
          <w:p w14:paraId="07D50655">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（7）口腔正颌外科包含实训科目模型：Le Fort Ⅰ型骨切开术、下颌支矢状骨劈开术、颏成形术三种手术的实习训练。</w:t>
            </w:r>
          </w:p>
          <w:p w14:paraId="63BB4CF3">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电动仿真治疗操作系统</w:t>
            </w:r>
          </w:p>
          <w:p w14:paraId="172DFCE3">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动力系统：配套动力系统采用全自动电控系统，采用动力系统整机、仿头模肩体、操作者作业台面整体上升和下降；仿头模肩体可实现仰俯功能：仰俯范围：-5度~</w:t>
            </w:r>
          </w:p>
          <w:p w14:paraId="77E8FA44">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+90度，可满足使用者不同体位的调节要求。</w:t>
            </w:r>
          </w:p>
          <w:p w14:paraId="7DC5D010">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 控制面板系统：系统控制系统具备4个方向键位，可控制仿头模升/降/仰/俯动作。具备3组记忆键，其中1组为收纳记忆键；1组为上颌模型操作推荐体位键；1组为下颌模型操作推荐体位键。</w:t>
            </w:r>
          </w:p>
          <w:p w14:paraId="5DE69C35">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.3 挂架系统：具备一体式医生侧挂架系统和助手侧挂架系统，挂架系统分别具有4个挂架位；挂架系统可跟随系统柜一起升降。挂架上配有拉手，便于使用者快速方便调整挂架系统。 挂架系统（助手侧）：具备一体式助手侧挂架系统，挂架系统具有4个挂架位；</w:t>
            </w:r>
            <w:r>
              <w:rPr>
                <w:rFonts w:hint="eastAsia" w:ascii="宋体" w:hAnsi="宋体" w:eastAsia="宋体" w:cs="宋体"/>
                <w:b/>
                <w:bCs/>
                <w:color w:val="auto"/>
                <w:sz w:val="21"/>
                <w:szCs w:val="21"/>
                <w:highlight w:val="none"/>
              </w:rPr>
              <w:t>（提供具有CMA标志的检测报告或国家认可的第三方检测机构出具的检测报告或向社会公开的产品彩页或产品说明书等）</w:t>
            </w:r>
          </w:p>
          <w:p w14:paraId="0B6997CA">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挂架设计系统：医生侧挂架系统，可进行9点钟-18点钟的顺时针/逆时针转动。</w:t>
            </w:r>
          </w:p>
          <w:p w14:paraId="40E2A2FF">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手机操作系统：2 组手机自动开关挂架。手机管线采用4孔快接式手机管。手机操作主阀为气控操作，可独立调节手机供气气压及喷水量，根据脚踏的轻重来控制手机、气动马达转速。</w:t>
            </w:r>
          </w:p>
          <w:p w14:paraId="3B52E0EE">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左右手互换系统：挂架系统与仿头模的位置设计，可实现左右手互换的操作，可满足左手习惯者和右手习惯者以及特殊体位使用者的需求。</w:t>
            </w:r>
            <w:r>
              <w:rPr>
                <w:rFonts w:hint="eastAsia" w:ascii="宋体" w:hAnsi="宋体" w:eastAsia="宋体" w:cs="宋体"/>
                <w:b/>
                <w:bCs/>
                <w:color w:val="auto"/>
                <w:sz w:val="21"/>
                <w:szCs w:val="21"/>
                <w:highlight w:val="none"/>
              </w:rPr>
              <w:t>（提供具有CMA标志的检测报告或国家认可的第三方检测机构出具的检测报告或向社会公开的产品彩页或产品说明书等）</w:t>
            </w:r>
          </w:p>
          <w:p w14:paraId="62BEF764">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按键锁定系统：系统在通气运行（手机旋转状态下），所有控制面板按键均处于锁定状态，设备不能升降和俯仰；每个挂架位上均配有安全控制阀，手机插入挂架后，脚踩脚踏开关，手机无法转动。</w:t>
            </w:r>
            <w:r>
              <w:rPr>
                <w:rFonts w:hint="eastAsia" w:ascii="宋体" w:hAnsi="宋体" w:eastAsia="宋体" w:cs="宋体"/>
                <w:b/>
                <w:bCs/>
                <w:color w:val="auto"/>
                <w:sz w:val="21"/>
                <w:szCs w:val="21"/>
                <w:highlight w:val="none"/>
              </w:rPr>
              <w:t>（提供具有CMA标志的检测报告或国家认可的第三方检测机构出具的检测报告或向社会公开的产品彩页或产品说明书等）</w:t>
            </w:r>
          </w:p>
          <w:p w14:paraId="0555C437">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独立控制系统：系统设计有独立的总电防水开关，总气开关、供水开关、高低速手机水调节开关，每个控制系统均有独立激光标识（非贴纸），防水防撕，确保每个环节可安全独立使用。</w:t>
            </w:r>
          </w:p>
          <w:p w14:paraId="7BF17F6A">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脚踏系统：可驱动手机系统工作（手机驱动及喷雾，供水切换，单出气）；</w:t>
            </w:r>
          </w:p>
          <w:p w14:paraId="12CDA749">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器械托盘：配置于医生侧挂架系统，根据挂架系统可旋转移动使用。尺寸≥ 200</w:t>
            </w:r>
            <w:r>
              <w:rPr>
                <w:rFonts w:hint="eastAsia" w:ascii="宋体" w:hAnsi="宋体" w:eastAsia="宋体" w:cs="宋体"/>
                <w:color w:val="auto"/>
                <w:sz w:val="21"/>
                <w:szCs w:val="21"/>
                <w:highlight w:val="none"/>
                <w:lang w:val="en-US" w:eastAsia="zh-CN"/>
              </w:rPr>
              <w:t>cm</w:t>
            </w:r>
            <w:r>
              <w:rPr>
                <w:rFonts w:hint="eastAsia" w:ascii="宋体" w:hAnsi="宋体" w:eastAsia="宋体" w:cs="宋体"/>
                <w:color w:val="auto"/>
                <w:sz w:val="21"/>
                <w:szCs w:val="21"/>
                <w:highlight w:val="none"/>
              </w:rPr>
              <w:t>*150</w:t>
            </w:r>
            <w:r>
              <w:rPr>
                <w:rFonts w:hint="eastAsia" w:ascii="宋体" w:hAnsi="宋体" w:eastAsia="宋体" w:cs="宋体"/>
                <w:color w:val="auto"/>
                <w:sz w:val="21"/>
                <w:szCs w:val="21"/>
                <w:highlight w:val="none"/>
                <w:lang w:val="en-US" w:eastAsia="zh-CN"/>
              </w:rPr>
              <w:t>cm</w:t>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cm</w:t>
            </w:r>
            <w:r>
              <w:rPr>
                <w:rFonts w:hint="eastAsia" w:ascii="宋体" w:hAnsi="宋体" w:eastAsia="宋体" w:cs="宋体"/>
                <w:color w:val="auto"/>
                <w:sz w:val="21"/>
                <w:szCs w:val="21"/>
                <w:highlight w:val="none"/>
              </w:rPr>
              <w:t>，不锈钢材质，可自由拆卸清洗。</w:t>
            </w:r>
          </w:p>
          <w:p w14:paraId="581B280F">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.11 双向供水系统：系统根据用户基建需求，可分为内循环水瓶供水和外循环水管供水的双向选择。采用内循环供水，可将容量至少为750ml的水瓶的压力控制在0.22MPa以内，同时在废水瓶内专门设有浮标进行警示水位线；采用外循环供水，为水管进水和排水，设备输入端水压控制在0.22MPa以内。</w:t>
            </w:r>
          </w:p>
          <w:p w14:paraId="221FA616">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.12 一气化锁定系统：系统具有一气锁定功能。设备在通气使用状态时，整机可牢固吸附于地面，无法移动；</w:t>
            </w:r>
            <w:r>
              <w:rPr>
                <w:rFonts w:hint="eastAsia" w:ascii="宋体" w:hAnsi="宋体" w:eastAsia="宋体" w:cs="宋体"/>
                <w:b/>
                <w:bCs/>
                <w:color w:val="auto"/>
                <w:sz w:val="21"/>
                <w:szCs w:val="21"/>
                <w:highlight w:val="none"/>
              </w:rPr>
              <w:t>（提供具有CMA标志的检测报告或国家认可的第三方检测机构出具的检测报告或向社会公开的产品彩页或产品说明书等）</w:t>
            </w:r>
          </w:p>
          <w:p w14:paraId="51806A5A">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口腔多媒体示教系统</w:t>
            </w:r>
          </w:p>
          <w:p w14:paraId="730A977A">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口腔多媒体示教系统通过多媒体示教主机，配套专用电脑和配套内置软件，与高级仿头模模拟实习系统配套使用，该平台可以让学生通过显示器能实时的看到教师的示范性操作，教师可通过音视频等多媒体手段给予学生实时讲解；同时系统可以将教师机上的所有教师操作进行实时录制和传输，并进行保存，以供日后编辑，查阅和播放。</w:t>
            </w:r>
          </w:p>
          <w:p w14:paraId="76DBE2A0">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教师端示教仪系统：</w:t>
            </w:r>
          </w:p>
          <w:p w14:paraId="2EDBA65E">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镜头放大倍数：≥40倍；</w:t>
            </w:r>
          </w:p>
          <w:p w14:paraId="3ED07D38">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光圈：自动或手动F1.6～F3.5；</w:t>
            </w:r>
          </w:p>
          <w:p w14:paraId="4F63F077">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对焦模式：自动，一次，手动对焦；</w:t>
            </w:r>
          </w:p>
          <w:p w14:paraId="769833E0">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最佳工作距离：至少包含范围450～750mm；</w:t>
            </w:r>
          </w:p>
          <w:p w14:paraId="53C22E34">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数字变焦：≥ 12倍；</w:t>
            </w:r>
          </w:p>
          <w:p w14:paraId="168CF1AB">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白平衡： 自动或手动；</w:t>
            </w:r>
          </w:p>
          <w:p w14:paraId="58A402D5">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4.2.7</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分辨率：≥ </w:t>
            </w:r>
            <w:r>
              <w:rPr>
                <w:rFonts w:hint="eastAsia" w:asciiTheme="minorEastAsia" w:hAnsiTheme="minorEastAsia" w:eastAsiaTheme="minorEastAsia" w:cstheme="minorEastAsia"/>
                <w:color w:val="auto"/>
                <w:kern w:val="0"/>
                <w:sz w:val="24"/>
                <w:szCs w:val="24"/>
                <w:highlight w:val="none"/>
                <w:lang w:val="en-US" w:eastAsia="zh-CN" w:bidi="ar"/>
              </w:rPr>
              <w:t>全</w:t>
            </w:r>
            <w:r>
              <w:rPr>
                <w:rFonts w:hint="eastAsia" w:asciiTheme="minorEastAsia" w:hAnsiTheme="minorEastAsia" w:cstheme="minorEastAsia"/>
                <w:color w:val="auto"/>
                <w:kern w:val="0"/>
                <w:sz w:val="24"/>
                <w:szCs w:val="24"/>
                <w:highlight w:val="none"/>
                <w:lang w:val="en-US" w:eastAsia="zh-CN" w:bidi="ar"/>
              </w:rPr>
              <w:t>4K</w:t>
            </w:r>
            <w:r>
              <w:rPr>
                <w:rFonts w:hint="eastAsia" w:asciiTheme="minorEastAsia" w:hAnsiTheme="minorEastAsia" w:eastAsiaTheme="minorEastAsia" w:cstheme="minorEastAsia"/>
                <w:color w:val="auto"/>
                <w:kern w:val="0"/>
                <w:sz w:val="24"/>
                <w:szCs w:val="24"/>
                <w:highlight w:val="none"/>
                <w:lang w:val="en-US" w:eastAsia="zh-CN" w:bidi="ar"/>
              </w:rPr>
              <w:t>高清</w:t>
            </w:r>
            <w:r>
              <w:rPr>
                <w:rFonts w:hint="eastAsia" w:asciiTheme="minorEastAsia" w:hAnsiTheme="minorEastAsia" w:cstheme="minorEastAsia"/>
                <w:color w:val="auto"/>
                <w:kern w:val="0"/>
                <w:sz w:val="24"/>
                <w:szCs w:val="24"/>
                <w:highlight w:val="none"/>
                <w:lang w:val="en-US" w:eastAsia="zh-CN" w:bidi="ar"/>
              </w:rPr>
              <w:t>4096</w:t>
            </w:r>
            <w:r>
              <w:rPr>
                <w:rFonts w:hint="eastAsia" w:asciiTheme="minorEastAsia" w:hAnsiTheme="minorEastAsia" w:eastAsiaTheme="minorEastAsia" w:cstheme="minorEastAsia"/>
                <w:color w:val="auto"/>
                <w:kern w:val="0"/>
                <w:sz w:val="24"/>
                <w:szCs w:val="24"/>
                <w:highlight w:val="none"/>
                <w:lang w:val="en-US" w:eastAsia="zh-CN" w:bidi="ar"/>
              </w:rPr>
              <w:t>×</w:t>
            </w:r>
            <w:r>
              <w:rPr>
                <w:rFonts w:hint="eastAsia" w:asciiTheme="minorEastAsia" w:hAnsiTheme="minorEastAsia" w:cstheme="minorEastAsia"/>
                <w:color w:val="auto"/>
                <w:kern w:val="0"/>
                <w:sz w:val="24"/>
                <w:szCs w:val="24"/>
                <w:highlight w:val="none"/>
                <w:lang w:val="en-US" w:eastAsia="zh-CN" w:bidi="ar"/>
              </w:rPr>
              <w:t>2160</w:t>
            </w:r>
            <w:r>
              <w:rPr>
                <w:rFonts w:hint="eastAsia" w:asciiTheme="minorEastAsia" w:hAnsiTheme="minorEastAsia" w:eastAsiaTheme="minorEastAsia" w:cstheme="minorEastAsia"/>
                <w:color w:val="auto"/>
                <w:kern w:val="0"/>
                <w:sz w:val="24"/>
                <w:szCs w:val="24"/>
                <w:highlight w:val="none"/>
                <w:lang w:val="en-US" w:eastAsia="zh-CN" w:bidi="ar"/>
              </w:rPr>
              <w:t>；</w:t>
            </w:r>
            <w:r>
              <w:rPr>
                <w:rFonts w:hint="eastAsia" w:ascii="宋体" w:hAnsi="宋体" w:eastAsia="宋体" w:cs="宋体"/>
                <w:color w:val="auto"/>
                <w:sz w:val="21"/>
                <w:szCs w:val="21"/>
                <w:highlight w:val="none"/>
              </w:rPr>
              <w:t>；</w:t>
            </w:r>
          </w:p>
          <w:p w14:paraId="252EE800">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4.2.8</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灯光：≥4颗白光LED；</w:t>
            </w:r>
          </w:p>
          <w:p w14:paraId="0C87E298">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4.2.9</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主照度：至少包含范围3200～32000lx ，≥6档可调节；</w:t>
            </w:r>
          </w:p>
          <w:p w14:paraId="6200503B">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色温：4000-5500k之间可调；</w:t>
            </w:r>
          </w:p>
          <w:p w14:paraId="79A2AF5F">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显色指数（Ra）： ≥85%；</w:t>
            </w:r>
          </w:p>
          <w:p w14:paraId="2D1A637F">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软件和控制系统：控制系统包括示教仪硬件按钮控制和软件控制，由电脑主机来采集和记录教学操作的视频内容，还可以通过内置的软件和学生进行音视频互动。软件可实现实时录像，图像水平垂直镜像功能，图像抓拍截图，全屏截图功能和视频回放功能。软件显示系统：可通过软件实现灯光调节，示教仪镜头放大缩小和对焦和镜头的开和关。软件定位系统：可通过软件开启十字对焦模式，对所要拍摄的物体进行精准自动对焦。</w:t>
            </w:r>
          </w:p>
          <w:p w14:paraId="590FD073">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软件用户权限事宜：软件中含有系统管理员和普通用户两种功能，系统管理员能够管理普通用户的账户，同时能够参阅所有普通用户录制的视频；普通用户能够使用软件录制视频，同时只能查看自己账户录制的视频，不能查看其他普通用户录制的视频，保证了各个用户之间的独立性和保密性。</w:t>
            </w:r>
          </w:p>
          <w:p w14:paraId="4574A7F1">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语音互动系统：本系统由音响系统、功放系统、无线手持麦克风、机柜等组成，可根据客户使用客户情况进行增容。</w:t>
            </w:r>
          </w:p>
          <w:p w14:paraId="4870F07D">
            <w:pPr>
              <w:keepNext w:val="0"/>
              <w:keepLines w:val="0"/>
              <w:widowControl/>
              <w:suppressLineNumbers w:val="0"/>
              <w:spacing w:line="360" w:lineRule="exact"/>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4.6牙体外形认知评估</w:t>
            </w:r>
            <w:r>
              <w:rPr>
                <w:rFonts w:hint="eastAsia" w:ascii="宋体" w:hAnsi="宋体" w:cs="宋体"/>
                <w:color w:val="auto"/>
                <w:kern w:val="2"/>
                <w:sz w:val="21"/>
                <w:szCs w:val="21"/>
                <w:highlight w:val="none"/>
                <w:lang w:val="en-US" w:eastAsia="zh-CN" w:bidi="ar"/>
              </w:rPr>
              <w:t>系统</w:t>
            </w:r>
            <w:r>
              <w:rPr>
                <w:rFonts w:hint="eastAsia" w:ascii="宋体" w:hAnsi="宋体" w:eastAsia="宋体" w:cs="宋体"/>
                <w:color w:val="auto"/>
                <w:kern w:val="2"/>
                <w:sz w:val="21"/>
                <w:szCs w:val="21"/>
                <w:highlight w:val="none"/>
                <w:lang w:val="en-US" w:eastAsia="zh-CN" w:bidi="ar"/>
              </w:rPr>
              <w:t>：</w:t>
            </w:r>
          </w:p>
          <w:p w14:paraId="39B04276">
            <w:pPr>
              <w:keepNext w:val="0"/>
              <w:keepLines w:val="0"/>
              <w:widowControl/>
              <w:suppressLineNumbers w:val="0"/>
              <w:spacing w:line="360" w:lineRule="exact"/>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4.6.1</w:t>
            </w:r>
            <w:r>
              <w:rPr>
                <w:rFonts w:hint="eastAsia" w:ascii="宋体" w:hAnsi="宋体" w:cs="宋体"/>
                <w:color w:val="auto"/>
                <w:kern w:val="2"/>
                <w:sz w:val="21"/>
                <w:szCs w:val="21"/>
                <w:highlight w:val="none"/>
                <w:lang w:val="en-US" w:eastAsia="zh-CN" w:bidi="ar"/>
              </w:rPr>
              <w:t>具备</w:t>
            </w:r>
            <w:r>
              <w:rPr>
                <w:rFonts w:hint="eastAsia" w:ascii="宋体" w:hAnsi="宋体" w:eastAsia="宋体" w:cs="宋体"/>
                <w:color w:val="auto"/>
                <w:kern w:val="2"/>
                <w:sz w:val="21"/>
                <w:szCs w:val="21"/>
                <w:highlight w:val="none"/>
                <w:lang w:val="en-US" w:eastAsia="zh-CN" w:bidi="ar"/>
              </w:rPr>
              <w:t>外形识别练习和构图方法指导</w:t>
            </w:r>
            <w:r>
              <w:rPr>
                <w:rFonts w:hint="eastAsia" w:ascii="宋体" w:hAnsi="宋体" w:cs="宋体"/>
                <w:color w:val="auto"/>
                <w:kern w:val="2"/>
                <w:sz w:val="21"/>
                <w:szCs w:val="21"/>
                <w:highlight w:val="none"/>
                <w:lang w:val="en-US" w:eastAsia="zh-CN" w:bidi="ar"/>
              </w:rPr>
              <w:t>功能</w:t>
            </w:r>
            <w:r>
              <w:rPr>
                <w:rFonts w:hint="eastAsia"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支持</w:t>
            </w:r>
            <w:r>
              <w:rPr>
                <w:rFonts w:hint="eastAsia" w:ascii="宋体" w:hAnsi="宋体" w:eastAsia="宋体" w:cs="宋体"/>
                <w:color w:val="auto"/>
                <w:kern w:val="2"/>
                <w:sz w:val="21"/>
                <w:szCs w:val="21"/>
                <w:highlight w:val="none"/>
                <w:lang w:val="en-US" w:eastAsia="zh-CN" w:bidi="ar"/>
              </w:rPr>
              <w:t>图像标注和实战练习。</w:t>
            </w:r>
          </w:p>
          <w:p w14:paraId="5662364C">
            <w:pPr>
              <w:keepNext w:val="0"/>
              <w:keepLines w:val="0"/>
              <w:widowControl/>
              <w:suppressLineNumbers w:val="0"/>
              <w:spacing w:line="360" w:lineRule="exact"/>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4.6.2教学</w:t>
            </w:r>
            <w:r>
              <w:rPr>
                <w:rFonts w:hint="eastAsia" w:ascii="宋体" w:hAnsi="宋体" w:cs="宋体"/>
                <w:color w:val="auto"/>
                <w:kern w:val="2"/>
                <w:sz w:val="21"/>
                <w:szCs w:val="21"/>
                <w:highlight w:val="none"/>
                <w:lang w:val="en-US" w:eastAsia="zh-CN" w:bidi="ar"/>
              </w:rPr>
              <w:t>内容</w:t>
            </w:r>
            <w:r>
              <w:rPr>
                <w:rFonts w:hint="eastAsia" w:ascii="宋体" w:hAnsi="宋体" w:eastAsia="宋体" w:cs="宋体"/>
                <w:color w:val="auto"/>
                <w:kern w:val="2"/>
                <w:sz w:val="21"/>
                <w:szCs w:val="21"/>
                <w:highlight w:val="none"/>
                <w:lang w:val="en-US" w:eastAsia="zh-CN" w:bidi="ar"/>
              </w:rPr>
              <w:t>覆盖牙列认知、牙体外在与内在结构、牙冠典型性形态特征等多个方面，</w:t>
            </w:r>
            <w:r>
              <w:rPr>
                <w:rFonts w:hint="eastAsia" w:ascii="宋体" w:hAnsi="宋体" w:cs="宋体"/>
                <w:color w:val="auto"/>
                <w:kern w:val="2"/>
                <w:sz w:val="21"/>
                <w:szCs w:val="21"/>
                <w:highlight w:val="none"/>
                <w:lang w:val="en-US" w:eastAsia="zh-CN" w:bidi="ar"/>
              </w:rPr>
              <w:t>包含从</w:t>
            </w:r>
            <w:r>
              <w:rPr>
                <w:rFonts w:hint="eastAsia" w:ascii="宋体" w:hAnsi="宋体" w:eastAsia="宋体" w:cs="宋体"/>
                <w:color w:val="auto"/>
                <w:kern w:val="2"/>
                <w:sz w:val="21"/>
                <w:szCs w:val="21"/>
                <w:highlight w:val="none"/>
                <w:lang w:val="en-US" w:eastAsia="zh-CN" w:bidi="ar"/>
              </w:rPr>
              <w:t>基础知识到临床应用</w:t>
            </w:r>
            <w:r>
              <w:rPr>
                <w:rFonts w:hint="eastAsia" w:ascii="宋体" w:hAnsi="宋体" w:cs="宋体"/>
                <w:color w:val="auto"/>
                <w:kern w:val="2"/>
                <w:sz w:val="21"/>
                <w:szCs w:val="21"/>
                <w:highlight w:val="none"/>
                <w:lang w:val="en-US" w:eastAsia="zh-CN" w:bidi="ar"/>
              </w:rPr>
              <w:t>的完整知识体系</w:t>
            </w:r>
            <w:r>
              <w:rPr>
                <w:rFonts w:hint="eastAsia" w:ascii="宋体" w:hAnsi="宋体" w:eastAsia="宋体" w:cs="宋体"/>
                <w:color w:val="auto"/>
                <w:kern w:val="2"/>
                <w:sz w:val="21"/>
                <w:szCs w:val="21"/>
                <w:highlight w:val="none"/>
                <w:lang w:val="en-US" w:eastAsia="zh-CN" w:bidi="ar"/>
              </w:rPr>
              <w:t>。</w:t>
            </w:r>
          </w:p>
          <w:p w14:paraId="0C27041C">
            <w:pPr>
              <w:keepNext w:val="0"/>
              <w:keepLines w:val="0"/>
              <w:widowControl/>
              <w:suppressLineNumbers w:val="0"/>
              <w:spacing w:line="360" w:lineRule="exact"/>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4.6.3</w:t>
            </w:r>
            <w:r>
              <w:rPr>
                <w:rFonts w:hint="eastAsia" w:ascii="宋体" w:hAnsi="宋体" w:cs="宋体"/>
                <w:color w:val="auto"/>
                <w:kern w:val="2"/>
                <w:sz w:val="21"/>
                <w:szCs w:val="21"/>
                <w:highlight w:val="none"/>
                <w:lang w:val="en-US" w:eastAsia="zh-CN" w:bidi="ar"/>
              </w:rPr>
              <w:t>内置分阶段</w:t>
            </w:r>
            <w:r>
              <w:rPr>
                <w:rFonts w:hint="eastAsia" w:ascii="宋体" w:hAnsi="宋体" w:eastAsia="宋体" w:cs="宋体"/>
                <w:color w:val="auto"/>
                <w:kern w:val="2"/>
                <w:sz w:val="21"/>
                <w:szCs w:val="21"/>
                <w:highlight w:val="none"/>
                <w:lang w:val="en-US" w:eastAsia="zh-CN" w:bidi="ar"/>
              </w:rPr>
              <w:t>学习</w:t>
            </w:r>
            <w:r>
              <w:rPr>
                <w:rFonts w:hint="eastAsia" w:ascii="宋体" w:hAnsi="宋体" w:cs="宋体"/>
                <w:color w:val="auto"/>
                <w:kern w:val="2"/>
                <w:sz w:val="21"/>
                <w:szCs w:val="21"/>
                <w:highlight w:val="none"/>
                <w:lang w:val="en-US" w:eastAsia="zh-CN" w:bidi="ar"/>
              </w:rPr>
              <w:t>模块</w:t>
            </w:r>
            <w:r>
              <w:rPr>
                <w:rFonts w:hint="eastAsia"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包含</w:t>
            </w:r>
            <w:r>
              <w:rPr>
                <w:rFonts w:hint="eastAsia" w:ascii="宋体" w:hAnsi="宋体" w:eastAsia="宋体" w:cs="宋体"/>
                <w:color w:val="auto"/>
                <w:kern w:val="2"/>
                <w:sz w:val="21"/>
                <w:szCs w:val="21"/>
                <w:highlight w:val="none"/>
                <w:lang w:val="en-US" w:eastAsia="zh-CN" w:bidi="ar"/>
              </w:rPr>
              <w:t>基础的正方形框架比例法学习</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线段与定点的应用</w:t>
            </w:r>
            <w:r>
              <w:rPr>
                <w:rFonts w:hint="eastAsia" w:ascii="宋体" w:hAnsi="宋体" w:cs="宋体"/>
                <w:color w:val="auto"/>
                <w:kern w:val="2"/>
                <w:sz w:val="21"/>
                <w:szCs w:val="21"/>
                <w:highlight w:val="none"/>
                <w:lang w:val="en-US" w:eastAsia="zh-CN" w:bidi="ar"/>
              </w:rPr>
              <w:t>、以及</w:t>
            </w:r>
            <w:r>
              <w:rPr>
                <w:rFonts w:hint="eastAsia" w:ascii="宋体" w:hAnsi="宋体" w:eastAsia="宋体" w:cs="宋体"/>
                <w:color w:val="auto"/>
                <w:kern w:val="2"/>
                <w:sz w:val="21"/>
                <w:szCs w:val="21"/>
                <w:highlight w:val="none"/>
                <w:lang w:val="en-US" w:eastAsia="zh-CN" w:bidi="ar"/>
              </w:rPr>
              <w:t>进阶的课堂案例实训和课外作业。</w:t>
            </w:r>
          </w:p>
          <w:p w14:paraId="152EBDF6">
            <w:pPr>
              <w:keepNext w:val="0"/>
              <w:keepLines w:val="0"/>
              <w:widowControl/>
              <w:suppressLineNumbers w:val="0"/>
              <w:spacing w:line="360" w:lineRule="exact"/>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4.6.4</w:t>
            </w:r>
            <w:r>
              <w:rPr>
                <w:rFonts w:hint="eastAsia" w:ascii="宋体" w:hAnsi="宋体" w:cs="宋体"/>
                <w:color w:val="auto"/>
                <w:kern w:val="2"/>
                <w:sz w:val="21"/>
                <w:szCs w:val="21"/>
                <w:highlight w:val="none"/>
                <w:lang w:val="en-US" w:eastAsia="zh-CN" w:bidi="ar"/>
              </w:rPr>
              <w:t>提供包括</w:t>
            </w:r>
            <w:r>
              <w:rPr>
                <w:rFonts w:hint="eastAsia" w:ascii="宋体" w:hAnsi="宋体" w:eastAsia="宋体" w:cs="宋体"/>
                <w:color w:val="auto"/>
                <w:kern w:val="2"/>
                <w:sz w:val="21"/>
                <w:szCs w:val="21"/>
                <w:highlight w:val="none"/>
                <w:lang w:val="en-US" w:eastAsia="zh-CN" w:bidi="ar"/>
              </w:rPr>
              <w:t>正方形框架、中线参照定性法以及牙体标准数据</w:t>
            </w:r>
            <w:r>
              <w:rPr>
                <w:rFonts w:hint="eastAsia" w:ascii="宋体" w:hAnsi="宋体" w:cs="宋体"/>
                <w:color w:val="auto"/>
                <w:kern w:val="2"/>
                <w:sz w:val="21"/>
                <w:szCs w:val="21"/>
                <w:highlight w:val="none"/>
                <w:lang w:val="en-US" w:eastAsia="zh-CN" w:bidi="ar"/>
              </w:rPr>
              <w:t>导入</w:t>
            </w:r>
            <w:r>
              <w:rPr>
                <w:rFonts w:hint="eastAsia" w:ascii="宋体" w:hAnsi="宋体" w:eastAsia="宋体" w:cs="宋体"/>
                <w:color w:val="auto"/>
                <w:kern w:val="2"/>
                <w:sz w:val="21"/>
                <w:szCs w:val="21"/>
                <w:highlight w:val="none"/>
                <w:lang w:val="en-US" w:eastAsia="zh-CN" w:bidi="ar"/>
              </w:rPr>
              <w:t>等</w:t>
            </w:r>
            <w:r>
              <w:rPr>
                <w:rFonts w:hint="eastAsia" w:ascii="宋体" w:hAnsi="宋体" w:cs="宋体"/>
                <w:color w:val="auto"/>
                <w:kern w:val="2"/>
                <w:sz w:val="21"/>
                <w:szCs w:val="21"/>
                <w:highlight w:val="none"/>
                <w:lang w:val="en-US" w:eastAsia="zh-CN" w:bidi="ar"/>
              </w:rPr>
              <w:t>功能</w:t>
            </w:r>
            <w:r>
              <w:rPr>
                <w:rFonts w:hint="eastAsia"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用于辅助</w:t>
            </w:r>
            <w:r>
              <w:rPr>
                <w:rFonts w:hint="eastAsia" w:ascii="宋体" w:hAnsi="宋体" w:eastAsia="宋体" w:cs="宋体"/>
                <w:color w:val="auto"/>
                <w:kern w:val="2"/>
                <w:sz w:val="21"/>
                <w:szCs w:val="21"/>
                <w:highlight w:val="none"/>
                <w:lang w:val="en-US" w:eastAsia="zh-CN" w:bidi="ar"/>
              </w:rPr>
              <w:t>牙体比例关系和结构特征</w:t>
            </w:r>
            <w:r>
              <w:rPr>
                <w:rFonts w:hint="eastAsia" w:ascii="宋体" w:hAnsi="宋体" w:cs="宋体"/>
                <w:color w:val="auto"/>
                <w:kern w:val="2"/>
                <w:sz w:val="21"/>
                <w:szCs w:val="21"/>
                <w:highlight w:val="none"/>
                <w:lang w:val="en-US" w:eastAsia="zh-CN" w:bidi="ar"/>
              </w:rPr>
              <w:t>的教学</w:t>
            </w:r>
            <w:r>
              <w:rPr>
                <w:rFonts w:hint="eastAsia" w:ascii="宋体" w:hAnsi="宋体" w:eastAsia="宋体" w:cs="宋体"/>
                <w:color w:val="auto"/>
                <w:kern w:val="2"/>
                <w:sz w:val="21"/>
                <w:szCs w:val="21"/>
                <w:highlight w:val="none"/>
                <w:lang w:val="en-US" w:eastAsia="zh-CN" w:bidi="ar"/>
              </w:rPr>
              <w:t>。</w:t>
            </w:r>
          </w:p>
          <w:p w14:paraId="60DCA244">
            <w:pPr>
              <w:keepNext w:val="0"/>
              <w:keepLines w:val="0"/>
              <w:widowControl/>
              <w:suppressLineNumbers w:val="0"/>
              <w:spacing w:line="360" w:lineRule="exact"/>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4.6.5统一牙体比例计算方式，并提供“十字”参照线等辅助工具，帮助学生识别牙体的典型性特征。</w:t>
            </w:r>
          </w:p>
          <w:p w14:paraId="3CB8766E">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4.6</w:t>
            </w:r>
            <w:r>
              <w:rPr>
                <w:rFonts w:hint="eastAsia" w:ascii="宋体" w:hAnsi="宋体" w:cs="宋体"/>
                <w:color w:val="auto"/>
                <w:kern w:val="2"/>
                <w:sz w:val="21"/>
                <w:szCs w:val="21"/>
                <w:highlight w:val="none"/>
                <w:lang w:val="en-US" w:eastAsia="zh-CN" w:bidi="ar"/>
              </w:rPr>
              <w:t>.6</w:t>
            </w:r>
            <w:r>
              <w:rPr>
                <w:rFonts w:hint="eastAsia" w:ascii="宋体" w:hAnsi="宋体" w:eastAsia="宋体" w:cs="宋体"/>
                <w:color w:val="auto"/>
                <w:kern w:val="2"/>
                <w:sz w:val="21"/>
                <w:szCs w:val="21"/>
                <w:highlight w:val="none"/>
                <w:lang w:val="en-US" w:eastAsia="zh-CN" w:bidi="ar"/>
              </w:rPr>
              <w:t xml:space="preserve"> 语音互动系统：由音响系统、功放系统、无线手持麦克风、机柜等组成，可根据客户使用情况进行增容。</w:t>
            </w:r>
          </w:p>
          <w:p w14:paraId="186594B6">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工作台操作系统</w:t>
            </w:r>
          </w:p>
          <w:p w14:paraId="747A7FA1">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系统操作工作台桌体尺寸为≥2400mm*650mm*800mm的工作台，可根据用户现场情况及个别需求进行定制。系统主体表面平板结合处应无明显间隙，无螺钉外露，带有隐藏式多媒体走线装置。</w:t>
            </w:r>
          </w:p>
          <w:p w14:paraId="0E2B22D7">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可将立柱式显微镜安装在工作站内一体化使用。</w:t>
            </w:r>
          </w:p>
          <w:p w14:paraId="0BAEA093">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工作站系统至少为三影像通道（1个影像机通道，1个显微影像通道，1个教师机通道），同步显示在同一个24寸以上的4K显示器上，可在同一画面看到不同的影像信息（包括但不限于操作术区、操作体位、显微镜影像），可根据需求进行不同切换。</w:t>
            </w:r>
          </w:p>
          <w:p w14:paraId="71332118">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医师椅</w:t>
            </w:r>
          </w:p>
          <w:p w14:paraId="52EB11B2">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医师椅载重&gt;135KG，升降至少包含范围420－530mm，脚轮可随意滑动，可随意调节高度。</w:t>
            </w:r>
          </w:p>
          <w:p w14:paraId="6B48EE8F">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靠背俯仰角度可调节。</w:t>
            </w:r>
          </w:p>
          <w:p w14:paraId="287F187C">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手机系统</w:t>
            </w:r>
          </w:p>
          <w:p w14:paraId="5A33A4F7">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高速手机</w:t>
            </w:r>
          </w:p>
          <w:p w14:paraId="0DD74F76">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 行业通用高速按压式手机1把。通用按压式四孔接口，采用不锈钢机身，陶瓷球形轴承，可单点喷雾，快插接口。手机转速≥350000</w:t>
            </w:r>
            <w:r>
              <w:rPr>
                <w:rFonts w:ascii="宋体" w:hAnsi="宋体" w:eastAsia="宋体" w:cs="宋体"/>
                <w:color w:val="auto"/>
                <w:sz w:val="24"/>
                <w:szCs w:val="24"/>
                <w:highlight w:val="none"/>
              </w:rPr>
              <w:t>rpm</w:t>
            </w:r>
            <w:r>
              <w:rPr>
                <w:rFonts w:hint="eastAsia" w:ascii="宋体" w:hAnsi="宋体" w:eastAsia="宋体" w:cs="宋体"/>
                <w:color w:val="auto"/>
                <w:sz w:val="21"/>
                <w:szCs w:val="21"/>
                <w:highlight w:val="none"/>
              </w:rPr>
              <w:t>，可进行135度高温压真空灭菌消毒。</w:t>
            </w:r>
          </w:p>
          <w:p w14:paraId="7B6A3336">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低速手机系统</w:t>
            </w:r>
          </w:p>
          <w:p w14:paraId="1949E458">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行业通用低速按压式直机、弯机、马达1套。  通用四孔接口，采用不锈钢机身，陶瓷球形轴承，包括气动马达、直手机、弯手机，转速≥20000</w:t>
            </w:r>
            <w:r>
              <w:rPr>
                <w:rFonts w:ascii="宋体" w:hAnsi="宋体" w:eastAsia="宋体" w:cs="宋体"/>
                <w:color w:val="auto"/>
                <w:sz w:val="24"/>
                <w:szCs w:val="24"/>
                <w:highlight w:val="none"/>
              </w:rPr>
              <w:t>rpm</w:t>
            </w:r>
            <w:r>
              <w:rPr>
                <w:rFonts w:hint="eastAsia" w:ascii="宋体" w:hAnsi="宋体" w:eastAsia="宋体" w:cs="宋体"/>
                <w:color w:val="auto"/>
                <w:sz w:val="21"/>
                <w:szCs w:val="21"/>
                <w:highlight w:val="none"/>
              </w:rPr>
              <w:t>，可进行135度高温高压灭菌消毒。</w:t>
            </w:r>
          </w:p>
          <w:p w14:paraId="4BE088EA">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 xml:space="preserve"> 与其他模型、耗材配套性</w:t>
            </w:r>
          </w:p>
          <w:p w14:paraId="3B88E8F1">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1 系统配套的仿头模系统、模型及消耗性材料同等或优于国家医师资格考试用模型</w:t>
            </w:r>
          </w:p>
          <w:p w14:paraId="799C6903">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二、单套配置清单至少包括以下：</w:t>
            </w:r>
          </w:p>
          <w:p w14:paraId="3E503DCA">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仿真头模系统1套</w:t>
            </w:r>
          </w:p>
          <w:p w14:paraId="72944FBB">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电动仿真治疗操作系统1套</w:t>
            </w:r>
          </w:p>
          <w:p w14:paraId="0A1DF59A">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标准牙颌模型1套</w:t>
            </w:r>
          </w:p>
          <w:p w14:paraId="78D52969">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单直根恒牙28颗</w:t>
            </w:r>
          </w:p>
          <w:p w14:paraId="6D6585BE">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根管治疗用牙10颗</w:t>
            </w:r>
          </w:p>
          <w:p w14:paraId="411616AD">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国家医学考试-开髓项目用牙10颗</w:t>
            </w:r>
          </w:p>
          <w:p w14:paraId="56BC41BB">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国家医学考试－专用窝沟封闭术牙齿10颗</w:t>
            </w:r>
          </w:p>
          <w:p w14:paraId="4649D049">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口腔医学工具套装1套</w:t>
            </w:r>
          </w:p>
          <w:p w14:paraId="2237BC7C">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口腔多媒体示教系统 1套</w:t>
            </w:r>
          </w:p>
          <w:p w14:paraId="075221B4">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工作台操作系统1套</w:t>
            </w:r>
          </w:p>
          <w:p w14:paraId="6F0506CB">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医师椅1套</w:t>
            </w:r>
          </w:p>
          <w:p w14:paraId="4B1A63F8">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手机系统（高、低速手机套装）1 套</w:t>
            </w:r>
          </w:p>
        </w:tc>
        <w:tc>
          <w:tcPr>
            <w:tcW w:w="981" w:type="dxa"/>
            <w:tcBorders>
              <w:top w:val="single" w:color="auto" w:sz="4" w:space="0"/>
              <w:left w:val="single" w:color="auto" w:sz="4" w:space="0"/>
              <w:bottom w:val="single" w:color="auto" w:sz="4" w:space="0"/>
              <w:right w:val="single" w:color="auto" w:sz="4" w:space="0"/>
            </w:tcBorders>
            <w:vAlign w:val="center"/>
          </w:tcPr>
          <w:p w14:paraId="1FF77FFD">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147000</w:t>
            </w:r>
          </w:p>
        </w:tc>
        <w:tc>
          <w:tcPr>
            <w:tcW w:w="1236" w:type="dxa"/>
            <w:tcBorders>
              <w:top w:val="single" w:color="auto" w:sz="4" w:space="0"/>
              <w:left w:val="single" w:color="auto" w:sz="4" w:space="0"/>
              <w:bottom w:val="single" w:color="auto" w:sz="4" w:space="0"/>
              <w:right w:val="single" w:color="auto" w:sz="4" w:space="0"/>
            </w:tcBorders>
            <w:vAlign w:val="center"/>
          </w:tcPr>
          <w:p w14:paraId="338F901B">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bookmarkStart w:id="59" w:name="OLE_LINK1"/>
            <w:r>
              <w:rPr>
                <w:rFonts w:hint="eastAsia" w:ascii="宋体" w:hAnsi="宋体" w:eastAsia="宋体" w:cs="宋体"/>
                <w:color w:val="auto"/>
                <w:sz w:val="21"/>
                <w:szCs w:val="21"/>
                <w:highlight w:val="none"/>
              </w:rPr>
              <w:t>工业</w:t>
            </w:r>
            <w:bookmarkEnd w:id="59"/>
          </w:p>
        </w:tc>
      </w:tr>
      <w:tr w14:paraId="5D09C2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59" w:type="dxa"/>
            <w:vMerge w:val="continue"/>
            <w:tcBorders>
              <w:left w:val="single" w:color="auto" w:sz="4" w:space="0"/>
              <w:right w:val="single" w:color="auto" w:sz="4" w:space="0"/>
            </w:tcBorders>
            <w:vAlign w:val="center"/>
          </w:tcPr>
          <w:p w14:paraId="3EFAA7C6">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p>
        </w:tc>
        <w:tc>
          <w:tcPr>
            <w:tcW w:w="500" w:type="dxa"/>
            <w:tcBorders>
              <w:top w:val="single" w:color="auto" w:sz="4" w:space="0"/>
              <w:left w:val="single" w:color="auto" w:sz="4" w:space="0"/>
              <w:bottom w:val="single" w:color="auto" w:sz="4" w:space="0"/>
              <w:right w:val="single" w:color="auto" w:sz="4" w:space="0"/>
            </w:tcBorders>
            <w:vAlign w:val="center"/>
          </w:tcPr>
          <w:p w14:paraId="13ADCC9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175" w:type="dxa"/>
            <w:tcBorders>
              <w:top w:val="single" w:color="auto" w:sz="4" w:space="0"/>
              <w:left w:val="single" w:color="auto" w:sz="4" w:space="0"/>
              <w:bottom w:val="single" w:color="auto" w:sz="4" w:space="0"/>
              <w:right w:val="single" w:color="auto" w:sz="4" w:space="0"/>
            </w:tcBorders>
            <w:vAlign w:val="center"/>
          </w:tcPr>
          <w:p w14:paraId="4AB4FE6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口腔临床模拟教学实习系统（学生机）</w:t>
            </w:r>
          </w:p>
        </w:tc>
        <w:tc>
          <w:tcPr>
            <w:tcW w:w="909" w:type="dxa"/>
            <w:tcBorders>
              <w:top w:val="single" w:color="auto" w:sz="4" w:space="0"/>
              <w:left w:val="single" w:color="auto" w:sz="4" w:space="0"/>
              <w:bottom w:val="single" w:color="auto" w:sz="4" w:space="0"/>
              <w:right w:val="single" w:color="auto" w:sz="4" w:space="0"/>
            </w:tcBorders>
            <w:vAlign w:val="center"/>
          </w:tcPr>
          <w:p w14:paraId="1D0C398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52套</w:t>
            </w:r>
          </w:p>
        </w:tc>
        <w:tc>
          <w:tcPr>
            <w:tcW w:w="5414" w:type="dxa"/>
            <w:tcBorders>
              <w:bottom w:val="single" w:color="000000" w:sz="8" w:space="0"/>
              <w:right w:val="single" w:color="000000" w:sz="8" w:space="0"/>
            </w:tcBorders>
            <w:vAlign w:val="center"/>
          </w:tcPr>
          <w:p w14:paraId="1CE733D5">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仿真头模系统</w:t>
            </w:r>
          </w:p>
          <w:p w14:paraId="447B443C">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仿真头模系统为采用平均值咬合器的仿真头模系统，由头模头盖肩体、头模平均值咬颌架以及头模用面罩构成。</w:t>
            </w:r>
          </w:p>
          <w:p w14:paraId="0B0CB689">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头模主体：头盖肩体配备模拟真实人体的肩体，并带有模拟的头颅骨构造。头颅与肩体采用机械万向节构造接头，头模颈部向前俯仰的最大角度不小于10°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向后的最大角度不小于90°；颈部左右转动的最大角度不小于 90°。肩体颈部设有刻度盘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±90°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可用于左右转动角度调整的确认。</w:t>
            </w:r>
          </w:p>
          <w:p w14:paraId="0841E45C">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头模颌架：其设计采用模拟人体平均值的咬合器，前伸髁道斜度约为30度，侧方髁道斜度约为15度，两侧髁头间距离为110mm。该颌架配备模拟人耳及耳洞，可安装面弓，能够真实地模拟下颌数据的转移。</w:t>
            </w:r>
          </w:p>
          <w:p w14:paraId="21A5490D">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平均值咬合器：该咬合器能够完全模拟人体相关参数，其可开展下颌开闭口位、</w:t>
            </w:r>
          </w:p>
          <w:p w14:paraId="47AAABA3">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前伸位和侧向位的模拟运动，髁球能够实现平滑移动，从而反映出下颌运动的模拟效果。与之配套的颌间距调节器，能够进行全开口和半开口模拟效果的训练。全开口时，颌间距离（即上下切牙切端距离）≥  50mm；半开口时，颌间距离（上下切牙切端距离） ≥  22mm。</w:t>
            </w:r>
          </w:p>
          <w:p w14:paraId="1EAA7707">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头模面罩：面罩空间模拟人体，密闭防水，可模拟人体进行牵拉，牵拉力值≧ 150N。</w:t>
            </w:r>
            <w:r>
              <w:rPr>
                <w:rFonts w:hint="eastAsia" w:ascii="宋体" w:hAnsi="宋体" w:eastAsia="宋体" w:cs="宋体"/>
                <w:b/>
                <w:bCs/>
                <w:color w:val="auto"/>
                <w:sz w:val="21"/>
                <w:szCs w:val="21"/>
                <w:highlight w:val="none"/>
              </w:rPr>
              <w:t>（须提供具有CMA标志的牵拉力检测报告或国家认可的第三方检测机构出具的检测报告或向社会公开的产品彩页或产品说明书等）</w:t>
            </w:r>
          </w:p>
          <w:p w14:paraId="319B8BED">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配套实习训练模型系统</w:t>
            </w:r>
          </w:p>
          <w:p w14:paraId="5D01EB57">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配套模型范围及种类</w:t>
            </w:r>
          </w:p>
          <w:p w14:paraId="2A1D5C11">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涵盖范围：仿头模系统可配套实习训练口腔模型及颌骨模型，模型范围应涵盖牙体、修复、牙槽外科、颌骨内固定、种植、牙周、儿牙、正畸、影像、老年医学等学科，能够满足口腔医学生多学科教学需求选择，种类≧100类。</w:t>
            </w:r>
            <w:r>
              <w:rPr>
                <w:rFonts w:hint="eastAsia" w:ascii="宋体" w:hAnsi="宋体" w:eastAsia="宋体" w:cs="宋体"/>
                <w:b/>
                <w:bCs/>
                <w:color w:val="auto"/>
                <w:sz w:val="21"/>
                <w:szCs w:val="21"/>
                <w:highlight w:val="none"/>
              </w:rPr>
              <w:t>（需提供产品彩页或其他证明文件，</w:t>
            </w:r>
            <w:r>
              <w:rPr>
                <w:rFonts w:hint="eastAsia" w:ascii="宋体" w:hAnsi="宋体" w:cs="宋体"/>
                <w:b/>
                <w:bCs/>
                <w:color w:val="auto"/>
                <w:sz w:val="21"/>
                <w:szCs w:val="21"/>
                <w:highlight w:val="none"/>
                <w:lang w:val="en-US" w:eastAsia="zh-CN"/>
              </w:rPr>
              <w:t>且证明材料能证明能提供</w:t>
            </w:r>
            <w:r>
              <w:rPr>
                <w:rFonts w:hint="eastAsia" w:ascii="宋体" w:hAnsi="宋体" w:eastAsia="宋体" w:cs="宋体"/>
                <w:b/>
                <w:bCs/>
                <w:color w:val="auto"/>
                <w:sz w:val="21"/>
                <w:szCs w:val="21"/>
                <w:highlight w:val="none"/>
              </w:rPr>
              <w:t>模型产品种类≧100类</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不提供按1项负偏离计）</w:t>
            </w:r>
          </w:p>
          <w:p w14:paraId="1CCBD1F4">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模型安装和拆卸方式</w:t>
            </w:r>
          </w:p>
          <w:p w14:paraId="3949043C">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▲2.2.1 安装方式：系统配套的模型与仿头模咬合器通过高磁性固位装置进行连接，模型与咬合器的对位方式为单点式对位。高磁性固位装置的吸磁力不低于 15kg，适用于牙体预备、拔牙、取阴模等不同的口腔训练课程</w:t>
            </w:r>
            <w:r>
              <w:rPr>
                <w:rFonts w:hint="eastAsia" w:ascii="宋体" w:hAnsi="宋体" w:eastAsia="宋体" w:cs="宋体"/>
                <w:b/>
                <w:bCs/>
                <w:color w:val="auto"/>
                <w:sz w:val="21"/>
                <w:szCs w:val="21"/>
                <w:highlight w:val="none"/>
              </w:rPr>
              <w:t>（须提供带有 CMA 标志的吸磁力检测报告或国家认可的第三方检测机构出具的检测报告或向社会公开的产品彩页或产品说明书等）。</w:t>
            </w:r>
          </w:p>
          <w:p w14:paraId="53713A4E">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拆卸方式：拆卸采用按扣一键式快速取出模型并设置隐藏可弹式顶出按键。</w:t>
            </w:r>
          </w:p>
          <w:p w14:paraId="2066DCCD">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模型及牙粒详情</w:t>
            </w:r>
          </w:p>
          <w:p w14:paraId="36C536E6">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配套</w:t>
            </w:r>
            <w:r>
              <w:rPr>
                <w:rFonts w:hint="eastAsia" w:ascii="宋体" w:hAnsi="宋体" w:eastAsia="宋体" w:cs="宋体"/>
                <w:color w:val="auto"/>
                <w:sz w:val="21"/>
                <w:szCs w:val="21"/>
                <w:highlight w:val="none"/>
              </w:rPr>
              <w:t>与所供货仿头模标准牙颌模型1套：装载于仿头模内使用，配套有上下颌标准牙列模型，采用牙齿形态和尺寸≤亚洲人种28齿牙形态设计，包含全口28颗牙位，带有软质牙龈和牙齿。具有解剖形态的硬质树脂制牙齿，通过隐藏式螺丝固位在牙模底座上；牙龈由优质的硅橡胶制成，可拆卸和更换，可选配至少3种不同颜色的牙龈。</w:t>
            </w:r>
          </w:p>
          <w:p w14:paraId="0CCF5697">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配套</w:t>
            </w:r>
            <w:r>
              <w:rPr>
                <w:rFonts w:hint="eastAsia" w:ascii="宋体" w:hAnsi="宋体" w:eastAsia="宋体" w:cs="宋体"/>
                <w:color w:val="auto"/>
                <w:sz w:val="21"/>
                <w:szCs w:val="21"/>
                <w:highlight w:val="none"/>
              </w:rPr>
              <w:t>与所供货仿头模同单直根恒牙牙粒：装载于标准牙颌模型内使用，配套有全口28个牙位，采用牙齿形态和尺寸≤亚洲人种28齿牙形态设计，牙冠为解剖式牙尖形态（牙齿外形、高点、点隙窝沟符合国家医师资格考试标准），</w:t>
            </w:r>
            <w:r>
              <w:rPr>
                <w:rFonts w:hint="eastAsia" w:asciiTheme="minorEastAsia" w:hAnsiTheme="minorEastAsia" w:eastAsiaTheme="minorEastAsia" w:cstheme="minorEastAsia"/>
                <w:color w:val="auto"/>
                <w:kern w:val="0"/>
                <w:sz w:val="24"/>
                <w:szCs w:val="24"/>
                <w:highlight w:val="none"/>
                <w:lang w:val="en-US" w:eastAsia="zh-CN" w:bidi="ar"/>
              </w:rPr>
              <w:t>单颗牙齿重量不超过1.2g，与天然牙重量接近，</w:t>
            </w:r>
            <w:r>
              <w:rPr>
                <w:rFonts w:hint="eastAsia" w:ascii="宋体" w:hAnsi="宋体" w:eastAsia="宋体" w:cs="宋体"/>
                <w:color w:val="auto"/>
                <w:sz w:val="21"/>
                <w:szCs w:val="21"/>
                <w:highlight w:val="none"/>
              </w:rPr>
              <w:t>带单直根，采用螺丝机械固定。</w:t>
            </w:r>
          </w:p>
          <w:p w14:paraId="70C1002B">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2.3.3 </w:t>
            </w:r>
            <w:r>
              <w:rPr>
                <w:rFonts w:hint="eastAsia" w:ascii="宋体" w:hAnsi="宋体" w:cs="宋体"/>
                <w:color w:val="auto"/>
                <w:sz w:val="21"/>
                <w:szCs w:val="21"/>
                <w:highlight w:val="none"/>
                <w:lang w:val="en-US" w:eastAsia="zh-CN"/>
              </w:rPr>
              <w:t>配套</w:t>
            </w:r>
            <w:r>
              <w:rPr>
                <w:rFonts w:hint="eastAsia" w:ascii="宋体" w:hAnsi="宋体" w:eastAsia="宋体" w:cs="宋体"/>
                <w:color w:val="auto"/>
                <w:sz w:val="21"/>
                <w:szCs w:val="21"/>
                <w:highlight w:val="none"/>
              </w:rPr>
              <w:t>与所供货仿头模根管治疗用36牙位用牙10颗：装载于标准牙颌模型内使用，采用牙齿形态和尺寸≤亚洲人种28齿牙形态设计，牙冠和牙冠为解剖式牙尖形态（牙齿外形、高点、点隙窝沟符合国家医师资格考试标准），具有三根管形态，根管形态自然弯曲，有根尖孔，根管可进行根测仪进行根管长度测量，具备真实模拟的影像效果（牙槽骨、牙体硬组织和牙髓有不同的显影），牙齿采用螺丝机械固定于牙模内。</w:t>
            </w:r>
          </w:p>
          <w:p w14:paraId="3622E370">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配套国家口腔医学考试项目套装</w:t>
            </w:r>
          </w:p>
          <w:p w14:paraId="7EDD6DC0">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每套套装包含开髓项目26牙位用牙10颗：具备带有髓腔形态，有髓室顶、髓室 底、髓角、根管口、根管等结构；髓室根管内壁具备红色染料；模拟真实临床牙结构，可以装载于与所供货仿头模标准牙颌模型内进行开髓训练和考试，牙齿设计（牙齿外形、高点、点隙窝沟）符合国家口腔医师资格考试标准。</w:t>
            </w:r>
          </w:p>
          <w:p w14:paraId="44308383">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每套系统内包含专用窝沟封闭术牙齿10颗：牙冠为解剖式形态，带单直根，整体牙齿颜色偏黄。使用窝沟封闭酸蚀剂进行酸蚀处理时会跟真实的临床处理方式及处理结果一致，酸蚀部分呈现白垩色状态，可以装载于所供货仿头模标准牙颌模型内进行窝沟封闭实训，牙齿设计符合国家口腔医师资格考试标准。</w:t>
            </w:r>
          </w:p>
          <w:p w14:paraId="633476C6">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配备口腔医学专用工具套装1套：采用航空铝箱材质，内部设计根据常规器械包装采用海绵卡槽，整体外径尺寸≤345</w:t>
            </w:r>
            <w:r>
              <w:rPr>
                <w:rFonts w:hint="eastAsia" w:ascii="宋体" w:hAnsi="宋体" w:eastAsia="宋体" w:cs="宋体"/>
                <w:color w:val="auto"/>
                <w:sz w:val="21"/>
                <w:szCs w:val="21"/>
                <w:highlight w:val="none"/>
                <w:lang w:val="en-US" w:eastAsia="zh-CN"/>
              </w:rPr>
              <w:t>mm</w:t>
            </w:r>
            <w:r>
              <w:rPr>
                <w:rFonts w:hint="eastAsia" w:ascii="宋体" w:hAnsi="宋体" w:eastAsia="宋体" w:cs="宋体"/>
                <w:color w:val="auto"/>
                <w:sz w:val="21"/>
                <w:szCs w:val="21"/>
                <w:highlight w:val="none"/>
              </w:rPr>
              <w:t>*248</w:t>
            </w:r>
            <w:r>
              <w:rPr>
                <w:rFonts w:hint="eastAsia" w:ascii="宋体" w:hAnsi="宋体" w:eastAsia="宋体" w:cs="宋体"/>
                <w:color w:val="auto"/>
                <w:sz w:val="21"/>
                <w:szCs w:val="21"/>
                <w:highlight w:val="none"/>
                <w:lang w:val="en-US" w:eastAsia="zh-CN"/>
              </w:rPr>
              <w:t>mm</w:t>
            </w:r>
            <w:r>
              <w:rPr>
                <w:rFonts w:hint="eastAsia" w:ascii="宋体" w:hAnsi="宋体" w:eastAsia="宋体" w:cs="宋体"/>
                <w:color w:val="auto"/>
                <w:sz w:val="21"/>
                <w:szCs w:val="21"/>
                <w:highlight w:val="none"/>
              </w:rPr>
              <w:t>*174</w:t>
            </w:r>
            <w:r>
              <w:rPr>
                <w:rFonts w:hint="eastAsia" w:ascii="宋体" w:hAnsi="宋体" w:eastAsia="宋体" w:cs="宋体"/>
                <w:color w:val="auto"/>
                <w:sz w:val="21"/>
                <w:szCs w:val="21"/>
                <w:highlight w:val="none"/>
                <w:lang w:val="en-US" w:eastAsia="zh-CN"/>
              </w:rPr>
              <w:t>mm</w:t>
            </w:r>
            <w:r>
              <w:rPr>
                <w:rFonts w:hint="eastAsia" w:ascii="宋体" w:hAnsi="宋体" w:eastAsia="宋体" w:cs="宋体"/>
                <w:color w:val="auto"/>
                <w:sz w:val="21"/>
                <w:szCs w:val="21"/>
                <w:highlight w:val="none"/>
              </w:rPr>
              <w:t>；重量≤5KG。（可同时容纳以下常规器械：标准牙颌模型*1、消毒盒*2、工具盒*2（尺寸≤20cm*7.5cm*2.6cm）、牙齿存放瓶*4、其中，工具盒内可容纳如下常规口腔医学器械：牙周探针*1、牙科树脂充填器*1、雕刻刀/带蜡勺*1、石膏棒雕刻切刀*1、15cm不锈钢直尺*1、游标卡尺*1、车针盒*1）。</w:t>
            </w:r>
          </w:p>
          <w:p w14:paraId="42787EE1">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 配套教学模型功能范围</w:t>
            </w:r>
          </w:p>
          <w:p w14:paraId="77A3C94B">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◆2.6.1 配套教学模型可涵盖口腔全科培训“第一阶段”“第二阶段 ”相关学科实训科目要求。所有产品牙齿、牙模、仿头模设计标准符合本科教科书标准，符合国家医学考试标准，符合住院医师规范化标准，具有标准一致性。</w:t>
            </w:r>
            <w:r>
              <w:rPr>
                <w:rFonts w:hint="eastAsia" w:ascii="宋体" w:hAnsi="宋体" w:eastAsia="宋体" w:cs="宋体"/>
                <w:b/>
                <w:bCs/>
                <w:color w:val="auto"/>
                <w:sz w:val="21"/>
                <w:szCs w:val="21"/>
                <w:highlight w:val="none"/>
              </w:rPr>
              <w:t>（提供国家认可的第三方检测机构出具的检测报告或向社会公开的产品彩页或产品说明书等）</w:t>
            </w:r>
          </w:p>
          <w:p w14:paraId="7EA5F045">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1）第一阶段</w:t>
            </w:r>
          </w:p>
          <w:p w14:paraId="1071139E">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（1）口腔颌面外科包含实训科目模型：口内伤口缝合、拆线、上牙槽后神经阻滞麻醉、下牙槽神经阻滞麻醉、脓肿切开引流术、各类牙拔除术、颞下颌关节复位等、阻生牙拔除术。</w:t>
            </w:r>
          </w:p>
          <w:p w14:paraId="3AB41CDE">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（2）牙体牙髓病包含实训科目模型：前牙充填（活髓）、后牙充填（活髓）、根管治疗、前牙美学树脂修复。</w:t>
            </w:r>
          </w:p>
          <w:p w14:paraId="2AE876AC">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（3）牙周病包含实训科目模型：牙周检查、诊断及综合治疗设计、菌斑控制的指导 （包含对正畸、修复患者）、全口龈上洁治（手工洁治）、全口龈下刮治和根面平整。</w:t>
            </w:r>
          </w:p>
          <w:p w14:paraId="14D03D1C">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（4）口腔修复包含实训科目模型：可摘局部义齿修复、各类桩核的修复、冠桥的修复（单位）</w:t>
            </w:r>
          </w:p>
          <w:p w14:paraId="31178974">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（5）口腔颌面影像包含实训科目模型：牙片投照、其他口腔X线片、CT片判读。</w:t>
            </w:r>
          </w:p>
          <w:p w14:paraId="3B126A68">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（6）口腔预防包含实训科目模型：预防性充填、局部用氟化物防龋、窝沟封闭、口腔健康教育、龋病牙周病流行病学调查设计、社区口腔调研或宣教。</w:t>
            </w:r>
          </w:p>
          <w:p w14:paraId="266D13F4">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2）第二阶段</w:t>
            </w:r>
          </w:p>
          <w:p w14:paraId="26C001F1">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（1）牙体牙髓病包含实训科目模型：前牙充填（活髓）、后牙充填（活髓）、根管治疗（包含根管再治疗）、前牙美学树脂修复、根尖外科手术、根尖倒充手术。</w:t>
            </w:r>
          </w:p>
          <w:p w14:paraId="0F55CBA5">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（2）牙周病包含实训科目模型：牙周检查、诊断及综合治疗设计、菌斑控制的指导 （包含对正畸、修复患者）、全口龈上洁治、全口龈下刮治和根面平整、牙龈切除术、牙龈翻瓣术/牙冠延长术。</w:t>
            </w:r>
          </w:p>
          <w:p w14:paraId="4D7D8D57">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（3）儿童口腔病包含实训科目模型：乳牙拔除、乳恒牙龋齿充填术、间接牙髓治疗术、乳牙牙髓摘除术、儿童橡皮障隔湿术、年轻恒牙牙髓治疗、乳牙牙髓切断术、间隙保持器、儿童牙外伤处理。</w:t>
            </w:r>
          </w:p>
          <w:p w14:paraId="7A2DFC3F">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（4）口腔颌面外科包含实训科目模型：普通牙拔除、困难牙拔除（死髓牙、残根或残冠）、阻生牙、埋伏牙拔除、软组织肿物切除术、间隙感染切开引流术、清创缝合术。</w:t>
            </w:r>
          </w:p>
          <w:p w14:paraId="7E73E677">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（5）口腔修复包含实训科目模型：可摘局部义齿修复、贴面、嵌体、冠、桥修复 (单位）、各类桩核的修复、总义齿（含单颌）的修复。</w:t>
            </w:r>
          </w:p>
          <w:p w14:paraId="3CF1DB9B">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口腔正畸包含实训科目模型：选修正畸住院医师培训的部分相关课程：了解错畸形的病因、分类、诊断和矫治原则；熟悉与本学科相关错畸形的正畸治疗方法。临床见习：观摩活动矫正器的制作、固定矫治器临床简单操作（包括粘带环、结扎、粘托槽等），学会托槽、颊管脱落后的临时处理方法。</w:t>
            </w:r>
          </w:p>
          <w:p w14:paraId="76230928">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（7）口腔正颌外科包含实训科目模型：Le Fort Ⅰ型骨切开术、下颌支矢状骨劈开术、颏成形术三种手术的实习训练。</w:t>
            </w:r>
          </w:p>
          <w:p w14:paraId="3825AE6C">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电动仿真治疗操作系统</w:t>
            </w:r>
          </w:p>
          <w:p w14:paraId="0CC6922C">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动力系统：配套动力系统采用全自动电控系统，采用动力系统整机、仿头模肩体、操作者作业台面整体上升和下降；仿头模肩体可实现仰俯功能：仰俯范围：-5度~</w:t>
            </w:r>
          </w:p>
          <w:p w14:paraId="07F90DF5">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+90度，可满足使用者不同体位的调节要求。</w:t>
            </w:r>
          </w:p>
          <w:p w14:paraId="1FA1D7E8">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 控制面板系统：系统控制系统具备4个方向键位，可控制仿头模升/降/仰/俯动作。具备3组记忆键，其中1组为收纳记忆键；1组为上颌模型操作推荐体位键；1组为下颌模型操作推荐体位键。</w:t>
            </w:r>
          </w:p>
          <w:p w14:paraId="1AC10727">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.3 挂架系统：具备一体式医生侧挂架系统和助手侧挂架系统，挂架系统分别具有4个挂架位；挂架系统可跟随系统柜一起升降。挂架上配有拉手，便于使用者快速方便调整挂架系统。 挂架系统（助手侧）：具备一体式助手侧挂架系统，挂架系统具有4个挂架位；</w:t>
            </w:r>
            <w:r>
              <w:rPr>
                <w:rFonts w:hint="eastAsia" w:ascii="宋体" w:hAnsi="宋体" w:eastAsia="宋体" w:cs="宋体"/>
                <w:b/>
                <w:bCs/>
                <w:color w:val="auto"/>
                <w:sz w:val="21"/>
                <w:szCs w:val="21"/>
                <w:highlight w:val="none"/>
              </w:rPr>
              <w:t>（提供具有CMA标志的检测报告或国家认可的第三方检测机构出具的检测报告或向社会公开的产品彩页或产品说明书等）</w:t>
            </w:r>
          </w:p>
          <w:p w14:paraId="508AF52C">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挂架设计系统：医生侧挂架系统，可进行9点钟-18点钟的顺时针/逆时针转动。</w:t>
            </w:r>
          </w:p>
          <w:p w14:paraId="282D0507">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手机操作系统：2 组手机自动开关挂架。手机管线采用4孔快接式手机管。手机操作主阀为气控操作，可独立调节手机供气气压及喷水量，根据脚踏的轻重来控制手机、气动马达转速。</w:t>
            </w:r>
          </w:p>
          <w:p w14:paraId="01613C5E">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左右手互换系统：挂架系统与仿头模的位置设计，可实现左右手互换的操作，可满足左手习惯者和右手习惯者以及特殊体位使用者的需求。</w:t>
            </w:r>
            <w:r>
              <w:rPr>
                <w:rFonts w:hint="eastAsia" w:ascii="宋体" w:hAnsi="宋体" w:eastAsia="宋体" w:cs="宋体"/>
                <w:b/>
                <w:bCs/>
                <w:color w:val="auto"/>
                <w:sz w:val="21"/>
                <w:szCs w:val="21"/>
                <w:highlight w:val="none"/>
              </w:rPr>
              <w:t>（提供具有CMA标志的检测报告或国家认可的第三方检测机构出具的检测报告或向社会公开的产品彩页或产品说明书等）</w:t>
            </w:r>
          </w:p>
          <w:p w14:paraId="2F92EE73">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按键锁定系统：系统在通气运行（手机旋转状态下），所有控制面板按键均处于锁定状态，设备不能升降和俯仰；每个挂架位上均配有安全控制阀，手机插入挂架后，脚踩脚踏开关，手机无法转动。</w:t>
            </w:r>
            <w:r>
              <w:rPr>
                <w:rFonts w:hint="eastAsia" w:ascii="宋体" w:hAnsi="宋体" w:eastAsia="宋体" w:cs="宋体"/>
                <w:b/>
                <w:bCs/>
                <w:color w:val="auto"/>
                <w:sz w:val="21"/>
                <w:szCs w:val="21"/>
                <w:highlight w:val="none"/>
              </w:rPr>
              <w:t>（提供具有CMA标志的检测报告或国家认可的第三方检测机构出具的检测报告或向社会公开的产品彩页或产品说明书等）</w:t>
            </w:r>
          </w:p>
          <w:p w14:paraId="217EC395">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独立控制系统：系统设计有独立的总电防水开关，总气开关、供水开关、高低速手机水调节开关，每个控制系统均有独立激光标识（非贴纸），防水防撕，确保每个环节可安全独立使用。</w:t>
            </w:r>
          </w:p>
          <w:p w14:paraId="459D7C34">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脚踏系统：可驱动手机系统工作（手机驱动及喷雾，供水切换，单出气）；</w:t>
            </w:r>
          </w:p>
          <w:p w14:paraId="5015926C">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器械托盘：配置于医生侧挂架系统，根据挂架系统可旋转移动使用。尺寸≥ 200</w:t>
            </w:r>
            <w:r>
              <w:rPr>
                <w:rFonts w:hint="eastAsia" w:ascii="宋体" w:hAnsi="宋体" w:eastAsia="宋体" w:cs="宋体"/>
                <w:color w:val="auto"/>
                <w:sz w:val="21"/>
                <w:szCs w:val="21"/>
                <w:highlight w:val="none"/>
                <w:lang w:val="en-US" w:eastAsia="zh-CN"/>
              </w:rPr>
              <w:t>cm</w:t>
            </w:r>
            <w:r>
              <w:rPr>
                <w:rFonts w:hint="eastAsia" w:ascii="宋体" w:hAnsi="宋体" w:eastAsia="宋体" w:cs="宋体"/>
                <w:color w:val="auto"/>
                <w:sz w:val="21"/>
                <w:szCs w:val="21"/>
                <w:highlight w:val="none"/>
              </w:rPr>
              <w:t>*150</w:t>
            </w:r>
            <w:r>
              <w:rPr>
                <w:rFonts w:hint="eastAsia" w:ascii="宋体" w:hAnsi="宋体" w:eastAsia="宋体" w:cs="宋体"/>
                <w:color w:val="auto"/>
                <w:sz w:val="21"/>
                <w:szCs w:val="21"/>
                <w:highlight w:val="none"/>
                <w:lang w:val="en-US" w:eastAsia="zh-CN"/>
              </w:rPr>
              <w:t>cm</w:t>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cm</w:t>
            </w:r>
            <w:r>
              <w:rPr>
                <w:rFonts w:hint="eastAsia" w:ascii="宋体" w:hAnsi="宋体" w:eastAsia="宋体" w:cs="宋体"/>
                <w:color w:val="auto"/>
                <w:sz w:val="21"/>
                <w:szCs w:val="21"/>
                <w:highlight w:val="none"/>
              </w:rPr>
              <w:t>，不锈钢材质，可自由拆卸清洗。</w:t>
            </w:r>
          </w:p>
          <w:p w14:paraId="13E60B36">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.11 双向供水系统：系统根据用户基建需求，可分为内循环水瓶供水和外循环水管供水的双向选择。采用内循环供水，可将容量至少为750ml的水瓶的压力控制在0.22MPa以内，同时在废水瓶内专门设有浮标进行警示水位线；采用外循环供水，为水管进水和排水，设备输入端水压控制在0.22MPa以内。</w:t>
            </w:r>
          </w:p>
          <w:p w14:paraId="455D7788">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.12 一气化锁定系统：系统具有一气锁定功能。设备在通气使用状态时，整机可牢固吸附于地面，无法移动；</w:t>
            </w:r>
            <w:r>
              <w:rPr>
                <w:rFonts w:hint="eastAsia" w:ascii="宋体" w:hAnsi="宋体" w:eastAsia="宋体" w:cs="宋体"/>
                <w:b/>
                <w:bCs/>
                <w:color w:val="auto"/>
                <w:sz w:val="21"/>
                <w:szCs w:val="21"/>
                <w:highlight w:val="none"/>
              </w:rPr>
              <w:t>（提供具有CMA标志的检测报告或国家认可的第三方检测机构出具的检测报告或向社会公开的产品彩页或产品说明书等）</w:t>
            </w:r>
          </w:p>
          <w:p w14:paraId="373DFEA6">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口腔多媒体示教系统学生端</w:t>
            </w:r>
          </w:p>
          <w:p w14:paraId="56B8B507">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学生端显示系统由≥21.5 寸液晶显示器组成，放置于桌面上，可以实时看到教师的口腔操作过程，也可以看到由老师播放的录像或幻灯片等内容。</w:t>
            </w:r>
          </w:p>
          <w:p w14:paraId="7CFB65A4">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工作台操作系统</w:t>
            </w:r>
          </w:p>
          <w:p w14:paraId="42437BDD">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 系统操作工作台桌体尺寸为 1200mm*600mm*800mm，全钢结构，可根据用户现场情况及个别需求进行定制。系统主体表面平板结合处应无明显间隙，无螺钉外露，带有隐藏式多媒体走线装置。</w:t>
            </w:r>
          </w:p>
          <w:p w14:paraId="308DFAE8">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配有隐藏式电源 6 位 5 孔供电插座，便于用户使用各种外部设备。</w:t>
            </w:r>
          </w:p>
          <w:p w14:paraId="010F807A">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配有 2 套带阻尼的抽屉系统，抽屉采用全钢结构。</w:t>
            </w:r>
          </w:p>
          <w:p w14:paraId="20225D13">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 配有系统仿真治疗操作系统的防拉机构，防止操作系统因为过度移位导致水气电线断开，导致教室安全隐患。</w:t>
            </w:r>
          </w:p>
          <w:p w14:paraId="50B7CF5C">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医师椅及照明系统</w:t>
            </w:r>
          </w:p>
          <w:p w14:paraId="1380074A">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 医师椅载重&gt;135KG，升降至少包含范围 420－530mm，脚轮可随意滑动，可随意调节高度。</w:t>
            </w:r>
          </w:p>
          <w:p w14:paraId="639ECD1C">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 照明系统为LED无影灯，采用非接触式传感方式调节亮度，无级调节灯光亮度，灯光亮度记忆，手柄可通过按压式拆卸下来清洁消毒处理。</w:t>
            </w:r>
          </w:p>
          <w:p w14:paraId="4CC2A3B3">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手机系统</w:t>
            </w:r>
          </w:p>
          <w:p w14:paraId="089623FB">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高速手机</w:t>
            </w:r>
          </w:p>
          <w:p w14:paraId="2D16FA63">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 行业通用高速按压式手机1把。通用按压式四孔接口，采用不锈钢机身，陶瓷球形轴承，可单点喷雾，快插接口。手机转速≥350000</w:t>
            </w:r>
            <w:r>
              <w:rPr>
                <w:rFonts w:ascii="宋体" w:hAnsi="宋体" w:eastAsia="宋体" w:cs="宋体"/>
                <w:color w:val="auto"/>
                <w:sz w:val="24"/>
                <w:szCs w:val="24"/>
                <w:highlight w:val="none"/>
              </w:rPr>
              <w:t>rpm</w:t>
            </w:r>
            <w:r>
              <w:rPr>
                <w:rFonts w:hint="eastAsia" w:ascii="宋体" w:hAnsi="宋体" w:eastAsia="宋体" w:cs="宋体"/>
                <w:color w:val="auto"/>
                <w:sz w:val="21"/>
                <w:szCs w:val="21"/>
                <w:highlight w:val="none"/>
              </w:rPr>
              <w:t>，可进行135度高温压真空灭菌消毒。</w:t>
            </w:r>
          </w:p>
          <w:p w14:paraId="66A3B320">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低速手机系统</w:t>
            </w:r>
          </w:p>
          <w:p w14:paraId="74D040FE">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行业通用低速按压式直机、弯机、马达1套。  通用四孔接口，采用不锈钢机身，陶瓷球形轴承，包括气动马达、直手机、弯手机，转速≥20000</w:t>
            </w:r>
            <w:r>
              <w:rPr>
                <w:rFonts w:ascii="宋体" w:hAnsi="宋体" w:eastAsia="宋体" w:cs="宋体"/>
                <w:color w:val="auto"/>
                <w:sz w:val="24"/>
                <w:szCs w:val="24"/>
                <w:highlight w:val="none"/>
              </w:rPr>
              <w:t>rpm</w:t>
            </w:r>
            <w:r>
              <w:rPr>
                <w:rFonts w:hint="eastAsia" w:ascii="宋体" w:hAnsi="宋体" w:eastAsia="宋体" w:cs="宋体"/>
                <w:color w:val="auto"/>
                <w:sz w:val="21"/>
                <w:szCs w:val="21"/>
                <w:highlight w:val="none"/>
              </w:rPr>
              <w:t>，可进行135度 高温高压灭菌消毒。</w:t>
            </w:r>
          </w:p>
          <w:p w14:paraId="1916E998">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与其他模型、耗材配套性</w:t>
            </w:r>
          </w:p>
          <w:p w14:paraId="4B83817E">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1 系统配套的仿头模系统、模型及消耗性材料同等或优于国家医师资格考试用模型，</w:t>
            </w:r>
          </w:p>
          <w:p w14:paraId="2646565A">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二、单套配置清单至少包括以下：</w:t>
            </w:r>
          </w:p>
          <w:p w14:paraId="00EAA150">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仿真头模系统 1 套</w:t>
            </w:r>
          </w:p>
          <w:p w14:paraId="4709FE80">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电动仿真治疗操作系统 1 套</w:t>
            </w:r>
          </w:p>
          <w:p w14:paraId="425EDDAF">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标准牙颌模型 1 套</w:t>
            </w:r>
          </w:p>
          <w:p w14:paraId="06E6A51A">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单直根恒牙 28 颗</w:t>
            </w:r>
          </w:p>
          <w:p w14:paraId="7F43CFD3">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根管治疗用牙 10 颗</w:t>
            </w:r>
          </w:p>
          <w:p w14:paraId="564300CC">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国家医学考试-开髓项目用牙 10 颗</w:t>
            </w:r>
          </w:p>
          <w:p w14:paraId="4F8649DD">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国家医学考试-专用窝沟封闭术牙齿 10 颗</w:t>
            </w:r>
          </w:p>
          <w:p w14:paraId="71FBC90A">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口腔医学工具套装 1 套</w:t>
            </w:r>
          </w:p>
          <w:p w14:paraId="045F2895">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口腔多媒体示教系统-学生端 1 套</w:t>
            </w:r>
          </w:p>
          <w:p w14:paraId="7CB37EFA">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工作台操作系统 1 套</w:t>
            </w:r>
          </w:p>
          <w:p w14:paraId="36BF5111">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医师椅及照明系统 1 套</w:t>
            </w:r>
          </w:p>
          <w:p w14:paraId="30136847">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手机系统(高、低速手机套装)1 套</w:t>
            </w:r>
          </w:p>
        </w:tc>
        <w:tc>
          <w:tcPr>
            <w:tcW w:w="981" w:type="dxa"/>
            <w:tcBorders>
              <w:top w:val="single" w:color="auto" w:sz="4" w:space="0"/>
              <w:left w:val="single" w:color="auto" w:sz="4" w:space="0"/>
              <w:bottom w:val="single" w:color="auto" w:sz="4" w:space="0"/>
              <w:right w:val="single" w:color="auto" w:sz="4" w:space="0"/>
            </w:tcBorders>
            <w:vAlign w:val="center"/>
          </w:tcPr>
          <w:p w14:paraId="7FEE182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60000</w:t>
            </w:r>
          </w:p>
        </w:tc>
        <w:tc>
          <w:tcPr>
            <w:tcW w:w="1236" w:type="dxa"/>
            <w:tcBorders>
              <w:top w:val="single" w:color="auto" w:sz="4" w:space="0"/>
              <w:left w:val="single" w:color="auto" w:sz="4" w:space="0"/>
              <w:bottom w:val="single" w:color="auto" w:sz="4" w:space="0"/>
              <w:right w:val="single" w:color="auto" w:sz="4" w:space="0"/>
            </w:tcBorders>
            <w:vAlign w:val="center"/>
          </w:tcPr>
          <w:p w14:paraId="0945BB2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w:t>
            </w:r>
          </w:p>
        </w:tc>
      </w:tr>
      <w:tr w14:paraId="57157A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2DF6441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▲商务条款</w:t>
            </w:r>
          </w:p>
        </w:tc>
        <w:tc>
          <w:tcPr>
            <w:tcW w:w="10215" w:type="dxa"/>
            <w:gridSpan w:val="6"/>
            <w:tcBorders>
              <w:top w:val="single" w:color="auto" w:sz="4" w:space="0"/>
              <w:left w:val="single" w:color="auto" w:sz="4" w:space="0"/>
              <w:bottom w:val="single" w:color="auto" w:sz="4" w:space="0"/>
              <w:right w:val="single" w:color="auto" w:sz="4" w:space="0"/>
            </w:tcBorders>
          </w:tcPr>
          <w:p w14:paraId="013B406B">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1.合同签订要求</w:t>
            </w:r>
          </w:p>
          <w:p w14:paraId="23795933">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（1）中标人自中标通知书发出之日起</w:t>
            </w:r>
            <w:r>
              <w:rPr>
                <w:rFonts w:hint="eastAsia" w:ascii="宋体" w:hAnsi="宋体" w:eastAsia="宋体" w:cs="宋体"/>
                <w:color w:val="auto"/>
                <w:kern w:val="0"/>
                <w:sz w:val="21"/>
                <w:szCs w:val="21"/>
                <w:highlight w:val="none"/>
                <w:lang w:val="en-US" w:eastAsia="zh" w:bidi="ar"/>
                <w:woUserID w:val="1"/>
              </w:rPr>
              <w:t>2</w:t>
            </w:r>
            <w:r>
              <w:rPr>
                <w:rFonts w:hint="eastAsia" w:ascii="宋体" w:hAnsi="宋体" w:eastAsia="宋体" w:cs="宋体"/>
                <w:color w:val="auto"/>
                <w:kern w:val="0"/>
                <w:sz w:val="21"/>
                <w:szCs w:val="21"/>
                <w:highlight w:val="none"/>
                <w:lang w:val="en-US" w:eastAsia="zh-CN" w:bidi="ar"/>
              </w:rPr>
              <w:t>5个日历日内与采购人签订合同。</w:t>
            </w:r>
          </w:p>
          <w:p w14:paraId="55F146AA">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（2）中标人不得将项目转包，如发现有转包行为，采购人有权按中标候选人推荐顺序确定中标人，也可以重新组织采购。</w:t>
            </w:r>
          </w:p>
          <w:p w14:paraId="78DB66BD">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（3）采购合同应按照采购文件内容确定的合同主要文本，包括采购标的的技术需求、服务要求、采购数量、商务要求等事项签订采购合同。</w:t>
            </w:r>
          </w:p>
          <w:p w14:paraId="59DD5338">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（4）中标人拒绝签订采购合同的，不得参加本项目的重招或其他相关采购活动。</w:t>
            </w:r>
          </w:p>
          <w:p w14:paraId="02E4A2CA">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bidi="ar"/>
              </w:rPr>
              <w:t>交付要求</w:t>
            </w:r>
          </w:p>
          <w:p w14:paraId="2F112B5A">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（1）交付时间：合同签订后</w:t>
            </w:r>
            <w:r>
              <w:rPr>
                <w:rFonts w:hint="eastAsia" w:ascii="宋体" w:hAnsi="宋体" w:cs="宋体"/>
                <w:color w:val="auto"/>
                <w:kern w:val="0"/>
                <w:sz w:val="21"/>
                <w:szCs w:val="21"/>
                <w:highlight w:val="none"/>
                <w:lang w:val="en-US" w:eastAsia="zh-CN" w:bidi="ar"/>
              </w:rPr>
              <w:t>接到采购人通知之日起</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single"/>
                <w:lang w:val="en-US" w:eastAsia="zh-CN" w:bidi="ar"/>
              </w:rPr>
              <w:t>30</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个日历日完成供货及安装调试服务。</w:t>
            </w:r>
          </w:p>
          <w:p w14:paraId="64D06DF9">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（2）交付地点：广西医科大学附属口腔医院指定地点。</w:t>
            </w:r>
          </w:p>
          <w:p w14:paraId="685416B2">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中标人提供不合符合同规定的货物/服务，采购人有权拒绝接受。中标人应根据货物不同的特性和要求采取防潮、防雨、防锈、防震、防腐等保护措施，以保证货物安全无损地到达采购人指定地点，中标人应承担因包装不当导致交付的合同标的物受损的责任。</w:t>
            </w:r>
          </w:p>
          <w:p w14:paraId="79202D94">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（4）安装调试：中标人负责在采购人指定的时间内，按照要求完成货物的安装调试。中标人应严格遵守安全法律法规，采取安全保障措施，保证人员安全。因</w:t>
            </w:r>
            <w:r>
              <w:rPr>
                <w:rFonts w:hint="eastAsia" w:ascii="宋体" w:hAnsi="宋体" w:cs="宋体"/>
                <w:color w:val="auto"/>
                <w:kern w:val="0"/>
                <w:sz w:val="21"/>
                <w:szCs w:val="21"/>
                <w:highlight w:val="none"/>
                <w:lang w:val="en-US" w:eastAsia="zh-CN" w:bidi="ar"/>
              </w:rPr>
              <w:t>中标人</w:t>
            </w:r>
            <w:r>
              <w:rPr>
                <w:rFonts w:hint="eastAsia" w:ascii="宋体" w:hAnsi="宋体" w:eastAsia="宋体" w:cs="宋体"/>
                <w:color w:val="auto"/>
                <w:kern w:val="0"/>
                <w:sz w:val="21"/>
                <w:szCs w:val="21"/>
                <w:highlight w:val="none"/>
                <w:lang w:val="en-US" w:eastAsia="zh-CN" w:bidi="ar"/>
              </w:rPr>
              <w:t>原因造成的人员伤亡和财产损失，均由中标人承担。</w:t>
            </w:r>
          </w:p>
          <w:p w14:paraId="6541FC66">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（5）中标人应将所提供货物的装箱清单、用户手册、原厂保修卡、随机资料、工具和备品、备件等一并进行交付，如有缺失应及时补齐，否则视为逾期交货。</w:t>
            </w:r>
          </w:p>
          <w:p w14:paraId="4659EB7B">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3.</w:t>
            </w:r>
            <w:r>
              <w:rPr>
                <w:rFonts w:hint="eastAsia" w:ascii="宋体" w:hAnsi="宋体" w:eastAsia="宋体" w:cs="宋体"/>
                <w:b/>
                <w:bCs/>
                <w:color w:val="auto"/>
                <w:kern w:val="0"/>
                <w:sz w:val="21"/>
                <w:szCs w:val="21"/>
                <w:highlight w:val="none"/>
                <w:lang w:bidi="ar"/>
              </w:rPr>
              <w:t>验收方法及要求</w:t>
            </w:r>
          </w:p>
          <w:p w14:paraId="0A90D748">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（1）中标人按要求完成交付后，应以书面形式正式向采购人递交验收申请书，采购人收到验收申请书后，按照采购人单位规定流程组织项目验收。</w:t>
            </w:r>
          </w:p>
          <w:p w14:paraId="5B13CB7E">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验收内容应按照合同内容逐项进行验收，包括但不限于全部设备、产品、型号、规格、数量、外型、外观、包装及资料、文件（如装箱单、保修单、随箱介质等）/各项服务等里程碑的交付物，所提供的货物/服务是否符合本合同要求，如符合，则认为验收合格，采购人应在验收单上签字确认；如不符合，双方均有权向相关部门申请鉴定，鉴定费由中标人承担，验收结果以采购人签署的验收证明为准。</w:t>
            </w:r>
          </w:p>
          <w:p w14:paraId="352AE4AC">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（3）在验收过程中发现中标人有违约问题，暂缓资金结算，待违约问题解决后，方可办理资金结算事宜，在此期间，采购人不承担逾期付款责任。</w:t>
            </w:r>
          </w:p>
          <w:p w14:paraId="5FF1B1F2">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（4）其他要求：</w:t>
            </w:r>
          </w:p>
          <w:p w14:paraId="710CC868">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中标人确保所交付的所有货物（服务）及其所属配套设备、设施、资料、资源等，均不会侵犯任何第三方的知识产权和其他权益，一经交付，所有权即归采购人所有，采购人可完全自主、永久、免费、全球范围内使用，而不构成对中标人及其相关利益第三方的侵权。否则，由此产生的一切后果，均由中标人自行承担。</w:t>
            </w:r>
          </w:p>
          <w:p w14:paraId="076287B2">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中标人确保所交付的所有货物（服务）及其所属配套设备、设施、资料、资源等，均无违反国家法律、法规、政策和意识形态安全方面的问题，否则，由此造成的一切后果，均由中标人承担，且采购人保留向中标人追究责任的权利。</w:t>
            </w:r>
          </w:p>
          <w:p w14:paraId="16C0E09C">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3）中标人需为本项目提供配套电源布线、网络布线等配套服务，所需人员、器材、工具等费用均由中标人承担。</w:t>
            </w:r>
          </w:p>
          <w:p w14:paraId="24520230">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4.</w:t>
            </w:r>
            <w:r>
              <w:rPr>
                <w:rFonts w:hint="eastAsia" w:ascii="宋体" w:hAnsi="宋体" w:eastAsia="宋体" w:cs="宋体"/>
                <w:b/>
                <w:bCs/>
                <w:color w:val="auto"/>
                <w:kern w:val="0"/>
                <w:sz w:val="21"/>
                <w:szCs w:val="21"/>
                <w:highlight w:val="none"/>
                <w:lang w:bidi="ar"/>
              </w:rPr>
              <w:t>支付要求</w:t>
            </w:r>
          </w:p>
          <w:p w14:paraId="1BDB4904">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u w:val="none"/>
                <w:lang w:val="en-US" w:eastAsia="zh-CN" w:bidi="ar"/>
              </w:rPr>
              <w:t>（1）</w:t>
            </w:r>
            <w:r>
              <w:rPr>
                <w:rFonts w:hint="eastAsia" w:ascii="宋体" w:hAnsi="宋体" w:cs="宋体"/>
                <w:color w:val="auto"/>
                <w:kern w:val="0"/>
                <w:szCs w:val="21"/>
                <w:highlight w:val="none"/>
                <w:lang w:bidi="ar"/>
              </w:rPr>
              <w:t xml:space="preserve"> 全部货物运抵采购人指定地点，经采购人到货验收合格后，中标人向采购人提交付款所需材料，采购人对付款材料审核无误后的10个工作日内，支付合同总金额的50%。</w:t>
            </w:r>
          </w:p>
          <w:p w14:paraId="7ABCCC05">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u w:val="none"/>
                <w:lang w:val="en-US" w:eastAsia="zh-CN" w:bidi="ar"/>
              </w:rPr>
              <w:t>（2）</w:t>
            </w:r>
            <w:r>
              <w:rPr>
                <w:rFonts w:hint="eastAsia" w:ascii="宋体" w:hAnsi="宋体" w:cs="宋体"/>
                <w:color w:val="auto"/>
                <w:kern w:val="0"/>
                <w:szCs w:val="21"/>
                <w:highlight w:val="none"/>
                <w:lang w:bidi="ar"/>
              </w:rPr>
              <w:t xml:space="preserve"> 全部货物安装、调试完毕，经采购人最终验收合格后，中标人向采购人提交付款所需材料，采购人对付款材料审核无误后的10个工作日内，支付合同总金额的50%。</w:t>
            </w:r>
          </w:p>
          <w:p w14:paraId="726ADDA7">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u w:val="none"/>
                <w:lang w:val="en-US" w:eastAsia="zh-CN" w:bidi="ar"/>
              </w:rPr>
            </w:pPr>
            <w:r>
              <w:rPr>
                <w:rFonts w:hint="eastAsia" w:ascii="宋体" w:hAnsi="宋体" w:cs="宋体"/>
                <w:color w:val="auto"/>
                <w:kern w:val="0"/>
                <w:sz w:val="21"/>
                <w:szCs w:val="21"/>
                <w:highlight w:val="none"/>
                <w:u w:val="none"/>
                <w:lang w:val="en-US" w:eastAsia="zh-CN" w:bidi="ar"/>
              </w:rPr>
              <w:t>（3）</w:t>
            </w:r>
            <w:r>
              <w:rPr>
                <w:rFonts w:hint="eastAsia" w:ascii="宋体" w:hAnsi="宋体" w:eastAsia="宋体" w:cs="宋体"/>
                <w:b w:val="0"/>
                <w:bCs w:val="0"/>
                <w:i w:val="0"/>
                <w:iCs w:val="0"/>
                <w:caps w:val="0"/>
                <w:color w:val="auto"/>
                <w:spacing w:val="0"/>
                <w:kern w:val="0"/>
                <w:sz w:val="21"/>
                <w:szCs w:val="21"/>
                <w:highlight w:val="none"/>
                <w:shd w:val="clear"/>
                <w:lang w:bidi="ar"/>
              </w:rPr>
              <w:t>中标人应在每次付款前向采购人开具相应金额的合法、有效、完整的增值税发票。中标人未按时提供发票的，采购人有权顺延支付相应款项，且不承担逾期付款违约责任。</w:t>
            </w:r>
          </w:p>
          <w:p w14:paraId="6E1D645A">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val="en-US" w:eastAsia="zh-CN" w:bidi="ar"/>
              </w:rPr>
              <w:t>5.</w:t>
            </w:r>
            <w:r>
              <w:rPr>
                <w:rFonts w:hint="eastAsia" w:ascii="宋体" w:hAnsi="宋体" w:eastAsia="宋体" w:cs="宋体"/>
                <w:b/>
                <w:bCs/>
                <w:color w:val="auto"/>
                <w:kern w:val="0"/>
                <w:sz w:val="21"/>
                <w:szCs w:val="21"/>
                <w:highlight w:val="none"/>
                <w:lang w:bidi="ar"/>
              </w:rPr>
              <w:t>售后服务要求</w:t>
            </w:r>
          </w:p>
          <w:p w14:paraId="3CFA4EE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负责</w:t>
            </w:r>
            <w:r>
              <w:rPr>
                <w:rFonts w:hint="eastAsia" w:ascii="宋体" w:hAnsi="宋体"/>
                <w:color w:val="auto"/>
                <w:szCs w:val="21"/>
                <w:highlight w:val="none"/>
                <w:lang w:val="en-US" w:eastAsia="zh-CN"/>
              </w:rPr>
              <w:t>免费</w:t>
            </w:r>
            <w:r>
              <w:rPr>
                <w:rFonts w:hint="eastAsia" w:ascii="宋体" w:hAnsi="宋体"/>
                <w:color w:val="auto"/>
                <w:szCs w:val="21"/>
                <w:highlight w:val="none"/>
              </w:rPr>
              <w:t>送货上门，提供的产品必须是未使用过的全新产品。中标人须在采购人指定场地完成设备的安装、检验及调试，直至产品技术指标完全符合要求，并负责现场培训采购人相关人员直至独立掌握设备操作及日常维护。以上过程中发生的运输、安装、调试、培训等一切费用均由中标人承担。</w:t>
            </w:r>
          </w:p>
          <w:p w14:paraId="5EFB3FDD">
            <w:pPr>
              <w:spacing w:line="360" w:lineRule="exact"/>
              <w:ind w:firstLine="0" w:firstLineChars="0"/>
              <w:rPr>
                <w:rFonts w:hint="eastAsia" w:ascii="宋体" w:hAnsi="宋体"/>
                <w:color w:val="auto"/>
                <w:szCs w:val="21"/>
                <w:highlight w:val="none"/>
              </w:rPr>
            </w:pPr>
            <w:r>
              <w:rPr>
                <w:rFonts w:hint="eastAsia" w:ascii="宋体" w:hAnsi="宋体"/>
                <w:b/>
                <w:color w:val="auto"/>
                <w:szCs w:val="21"/>
                <w:highlight w:val="none"/>
                <w:u w:val="single"/>
                <w:lang w:eastAsia="zh-CN"/>
              </w:rPr>
              <w:t>（</w:t>
            </w:r>
            <w:r>
              <w:rPr>
                <w:rFonts w:hint="eastAsia" w:ascii="宋体" w:hAnsi="宋体"/>
                <w:b/>
                <w:color w:val="auto"/>
                <w:szCs w:val="21"/>
                <w:highlight w:val="none"/>
                <w:u w:val="single"/>
                <w:lang w:val="en-US" w:eastAsia="zh-CN"/>
              </w:rPr>
              <w:t>2</w:t>
            </w:r>
            <w:r>
              <w:rPr>
                <w:rFonts w:hint="eastAsia" w:ascii="宋体" w:hAnsi="宋体"/>
                <w:b/>
                <w:color w:val="auto"/>
                <w:szCs w:val="21"/>
                <w:highlight w:val="none"/>
                <w:u w:val="single"/>
                <w:lang w:eastAsia="zh-CN"/>
              </w:rPr>
              <w:t>）</w:t>
            </w:r>
            <w:r>
              <w:rPr>
                <w:rFonts w:hint="eastAsia" w:ascii="宋体" w:hAnsi="宋体"/>
                <w:b/>
                <w:color w:val="auto"/>
                <w:szCs w:val="21"/>
                <w:highlight w:val="none"/>
                <w:u w:val="single"/>
              </w:rPr>
              <w:t>提供免费保修年限、上门保修服务及货物保养服务说明；超过免费保修期之后，紧急情况下如何处理问题的说明</w:t>
            </w:r>
            <w:r>
              <w:rPr>
                <w:rFonts w:hint="eastAsia" w:ascii="宋体" w:hAnsi="宋体"/>
                <w:color w:val="auto"/>
                <w:szCs w:val="21"/>
                <w:highlight w:val="none"/>
              </w:rPr>
              <w:t>。</w:t>
            </w:r>
          </w:p>
          <w:p w14:paraId="5CBF2582">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质保期</w:t>
            </w:r>
            <w:r>
              <w:rPr>
                <w:rFonts w:hint="eastAsia" w:ascii="宋体" w:hAnsi="宋体" w:cs="宋体"/>
                <w:color w:val="auto"/>
                <w:kern w:val="0"/>
                <w:sz w:val="21"/>
                <w:szCs w:val="21"/>
                <w:highlight w:val="none"/>
                <w:lang w:val="en-US" w:eastAsia="zh-CN" w:bidi="ar"/>
              </w:rPr>
              <w:t>（保修期）</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Cs w:val="21"/>
                <w:highlight w:val="none"/>
                <w:lang w:bidi="ar"/>
              </w:rPr>
              <w:t>在满足国家有关产品“三包”规定的基础上，自货物验收合格之日起计算，产品质保期最短不少于3年。产品</w:t>
            </w:r>
            <w:r>
              <w:rPr>
                <w:rFonts w:hint="eastAsia" w:ascii="宋体" w:hAnsi="宋体" w:cs="宋体"/>
                <w:color w:val="auto"/>
                <w:kern w:val="0"/>
                <w:szCs w:val="21"/>
                <w:highlight w:val="none"/>
                <w:lang w:val="en-US" w:eastAsia="zh-CN" w:bidi="ar"/>
              </w:rPr>
              <w:t>自验收合格之日起</w:t>
            </w:r>
            <w:r>
              <w:rPr>
                <w:rFonts w:hint="eastAsia" w:ascii="宋体" w:hAnsi="宋体" w:cs="宋体"/>
                <w:color w:val="auto"/>
                <w:kern w:val="0"/>
                <w:szCs w:val="21"/>
                <w:highlight w:val="none"/>
                <w:lang w:bidi="ar"/>
              </w:rPr>
              <w:t>三个月内如有严重质量问题整机包换，质保期从设备重新安装验收之日起计算。</w:t>
            </w:r>
          </w:p>
          <w:p w14:paraId="6E601BC2">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若产品出厂的质保期或产品生产厂家承诺的质保期超过本项目规定质保期限的，合同执行过程中按产品出厂质保期限或厂家承诺期限执行；若中标供应商承诺的质保期限优于产品出厂的质保期或产品生产厂家承诺的，以中标供应商承诺执行。</w:t>
            </w:r>
          </w:p>
          <w:p w14:paraId="0A3A6A8E">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w:t>
            </w:r>
            <w:r>
              <w:rPr>
                <w:rFonts w:hint="eastAsia" w:ascii="宋体" w:hAnsi="宋体"/>
                <w:color w:val="auto"/>
                <w:szCs w:val="21"/>
                <w:highlight w:val="none"/>
              </w:rPr>
              <w:t>在保修期内：</w:t>
            </w:r>
          </w:p>
          <w:p w14:paraId="65EB1736">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①</w:t>
            </w:r>
            <w:r>
              <w:rPr>
                <w:rFonts w:hint="eastAsia" w:ascii="宋体" w:hAnsi="宋体" w:eastAsia="宋体" w:cs="宋体"/>
                <w:color w:val="auto"/>
                <w:kern w:val="0"/>
                <w:sz w:val="21"/>
                <w:szCs w:val="21"/>
                <w:highlight w:val="none"/>
                <w:lang w:val="en-US" w:eastAsia="zh-CN" w:bidi="ar"/>
              </w:rPr>
              <w:t>所有设备维修服务均为上门服务，由此产生的费用由中标人承担，均不再另外收取</w:t>
            </w:r>
            <w:r>
              <w:rPr>
                <w:rFonts w:hint="eastAsia" w:ascii="宋体" w:hAnsi="宋体" w:cs="宋体"/>
                <w:color w:val="auto"/>
                <w:kern w:val="0"/>
                <w:sz w:val="21"/>
                <w:szCs w:val="21"/>
                <w:highlight w:val="none"/>
                <w:lang w:val="en-US" w:eastAsia="zh-CN" w:bidi="ar"/>
              </w:rPr>
              <w:t>；</w:t>
            </w:r>
            <w:r>
              <w:rPr>
                <w:rFonts w:hint="eastAsia" w:ascii="宋体" w:hAnsi="宋体"/>
                <w:color w:val="auto"/>
                <w:szCs w:val="21"/>
                <w:highlight w:val="none"/>
              </w:rPr>
              <w:t>并负责免费提供设备的系统软件及硬件的安全性改版升级和技术支持，确保设备正常运行。</w:t>
            </w:r>
          </w:p>
          <w:p w14:paraId="2F0261D6">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②</w:t>
            </w:r>
            <w:r>
              <w:rPr>
                <w:rFonts w:hint="eastAsia" w:ascii="宋体" w:hAnsi="宋体"/>
                <w:color w:val="auto"/>
                <w:szCs w:val="21"/>
                <w:highlight w:val="none"/>
              </w:rPr>
              <w:t>本批采购的货物发生质量问题时，应在</w:t>
            </w:r>
            <w:r>
              <w:rPr>
                <w:rFonts w:hint="eastAsia" w:ascii="宋体" w:hAnsi="宋体"/>
                <w:color w:val="auto"/>
                <w:szCs w:val="21"/>
                <w:highlight w:val="none"/>
                <w:lang w:val="en-US" w:eastAsia="zh-CN"/>
              </w:rPr>
              <w:t>1</w:t>
            </w:r>
            <w:r>
              <w:rPr>
                <w:rFonts w:hint="eastAsia" w:ascii="宋体" w:hAnsi="宋体"/>
                <w:color w:val="auto"/>
                <w:szCs w:val="21"/>
                <w:highlight w:val="none"/>
              </w:rPr>
              <w:t>小时内电话服务应答，12个小时内提供现场维修服务，24小时内排除故障或提供应急措施（保修期内为免费服务）。特殊情况无法修复的，质保期内中标人应</w:t>
            </w:r>
            <w:r>
              <w:rPr>
                <w:rFonts w:hint="eastAsia" w:ascii="宋体" w:hAnsi="宋体"/>
                <w:color w:val="auto"/>
                <w:szCs w:val="21"/>
                <w:highlight w:val="none"/>
                <w:lang w:val="en-US" w:eastAsia="zh-CN"/>
              </w:rPr>
              <w:t>在48个小时内</w:t>
            </w:r>
            <w:r>
              <w:rPr>
                <w:rFonts w:hint="eastAsia" w:ascii="宋体" w:hAnsi="宋体"/>
                <w:color w:val="auto"/>
                <w:szCs w:val="21"/>
                <w:highlight w:val="none"/>
              </w:rPr>
              <w:t>无条件更换新货物或提供代用货物，或采取使货物可正常运转的措施。</w:t>
            </w:r>
          </w:p>
          <w:p w14:paraId="0363112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③</w:t>
            </w:r>
            <w:r>
              <w:rPr>
                <w:rFonts w:hint="eastAsia" w:ascii="宋体" w:hAnsi="宋体"/>
                <w:color w:val="auto"/>
                <w:szCs w:val="21"/>
                <w:highlight w:val="none"/>
              </w:rPr>
              <w:t>中标人所供货物半年内修理两次后，仍不能正常使用的，采购人有权要求中标人免费调换同型号、同规格或优于的全新产品或者退货，因此产生的一切费用中标人承担。</w:t>
            </w:r>
          </w:p>
          <w:p w14:paraId="180E313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④</w:t>
            </w:r>
            <w:r>
              <w:rPr>
                <w:rFonts w:hint="eastAsia" w:ascii="宋体" w:hAnsi="宋体"/>
                <w:color w:val="auto"/>
                <w:szCs w:val="21"/>
                <w:highlight w:val="none"/>
              </w:rPr>
              <w:t>中标人所供货物在保修期起算之日起15天内出现货物质量问题，采购</w:t>
            </w:r>
            <w:r>
              <w:rPr>
                <w:rFonts w:ascii="宋体" w:hAnsi="宋体"/>
                <w:color w:val="auto"/>
                <w:szCs w:val="21"/>
                <w:highlight w:val="none"/>
              </w:rPr>
              <w:t>人</w:t>
            </w:r>
            <w:r>
              <w:rPr>
                <w:rFonts w:hint="eastAsia" w:ascii="宋体" w:hAnsi="宋体"/>
                <w:color w:val="auto"/>
                <w:szCs w:val="21"/>
                <w:highlight w:val="none"/>
              </w:rPr>
              <w:t>有权要求中标人无条件免费更换有</w:t>
            </w:r>
            <w:r>
              <w:rPr>
                <w:rFonts w:ascii="宋体" w:hAnsi="宋体"/>
                <w:color w:val="auto"/>
                <w:szCs w:val="21"/>
                <w:highlight w:val="none"/>
              </w:rPr>
              <w:t>质量问题的货物</w:t>
            </w:r>
            <w:r>
              <w:rPr>
                <w:rFonts w:hint="eastAsia" w:ascii="宋体" w:hAnsi="宋体"/>
                <w:color w:val="auto"/>
                <w:szCs w:val="21"/>
                <w:highlight w:val="none"/>
              </w:rPr>
              <w:t>。</w:t>
            </w:r>
          </w:p>
          <w:p w14:paraId="0B60C86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⑤</w:t>
            </w:r>
            <w:r>
              <w:rPr>
                <w:rFonts w:hint="eastAsia" w:ascii="宋体" w:hAnsi="宋体"/>
                <w:color w:val="auto"/>
                <w:szCs w:val="21"/>
                <w:highlight w:val="none"/>
              </w:rPr>
              <w:t>采购人依据合同规定提出换货的，中标人应在收到采购</w:t>
            </w:r>
            <w:r>
              <w:rPr>
                <w:rFonts w:ascii="宋体" w:hAnsi="宋体"/>
                <w:color w:val="auto"/>
                <w:szCs w:val="21"/>
                <w:highlight w:val="none"/>
              </w:rPr>
              <w:t>人</w:t>
            </w:r>
            <w:r>
              <w:rPr>
                <w:rFonts w:hint="eastAsia" w:ascii="宋体" w:hAnsi="宋体"/>
                <w:color w:val="auto"/>
                <w:szCs w:val="21"/>
                <w:highlight w:val="none"/>
              </w:rPr>
              <w:t>通知后15日内无条件更换货物直至合格，换货所产生的费用由中标人自行承担；若更换后的产品仍存在质量问题，采购人有权解除合同并要求中标人全额退还已支付的对应货物的货款，且中标人应向采购人支付对应货物货款的30%的违约金，违约金不足以赔偿采购人损失的，采购人有权要求中标人继续对不足部分予以赔偿。</w:t>
            </w:r>
          </w:p>
          <w:p w14:paraId="2EF67C08">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⑥</w:t>
            </w:r>
            <w:r>
              <w:rPr>
                <w:rFonts w:hint="eastAsia" w:ascii="宋体" w:hAnsi="宋体"/>
                <w:color w:val="auto"/>
                <w:szCs w:val="21"/>
                <w:highlight w:val="none"/>
              </w:rPr>
              <w:t>货物如因故障维修超过2 天（含2天）的，</w:t>
            </w:r>
            <w:r>
              <w:rPr>
                <w:rFonts w:hint="eastAsia" w:ascii="宋体" w:hAnsi="宋体"/>
                <w:color w:val="auto"/>
                <w:szCs w:val="21"/>
                <w:highlight w:val="none"/>
                <w:lang w:val="en-US" w:eastAsia="zh-CN"/>
              </w:rPr>
              <w:t>质保期</w:t>
            </w:r>
            <w:r>
              <w:rPr>
                <w:rFonts w:hint="eastAsia" w:ascii="宋体" w:hAnsi="宋体"/>
                <w:color w:val="auto"/>
                <w:szCs w:val="21"/>
                <w:highlight w:val="none"/>
              </w:rPr>
              <w:t>相应顺延，顺延期为实际停机时间的3倍。</w:t>
            </w:r>
          </w:p>
          <w:p w14:paraId="34582866">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⑦</w:t>
            </w:r>
            <w:r>
              <w:rPr>
                <w:rFonts w:hint="eastAsia" w:ascii="宋体" w:hAnsi="宋体"/>
                <w:color w:val="auto"/>
                <w:szCs w:val="21"/>
                <w:highlight w:val="none"/>
              </w:rPr>
              <w:t>保修期内每年巡检保养≥2次，如中标人不按约定履行，采购人有权按5000元/次/台收取违约金。</w:t>
            </w:r>
          </w:p>
          <w:p w14:paraId="71E8283C">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420" w:firstLineChars="200"/>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⑧</w:t>
            </w:r>
            <w:r>
              <w:rPr>
                <w:rFonts w:hint="eastAsia" w:ascii="宋体" w:hAnsi="宋体" w:eastAsia="宋体" w:cs="宋体"/>
                <w:color w:val="auto"/>
                <w:kern w:val="0"/>
                <w:sz w:val="21"/>
                <w:szCs w:val="21"/>
                <w:highlight w:val="none"/>
                <w:lang w:val="en-US" w:eastAsia="zh-CN" w:bidi="ar"/>
              </w:rPr>
              <w:t>质保期内，所有硬件设备的维修</w:t>
            </w:r>
            <w:r>
              <w:rPr>
                <w:rFonts w:hint="eastAsia" w:ascii="宋体" w:hAnsi="宋体" w:cs="宋体"/>
                <w:color w:val="auto"/>
                <w:kern w:val="0"/>
                <w:sz w:val="21"/>
                <w:szCs w:val="21"/>
                <w:highlight w:val="none"/>
                <w:lang w:val="en-US" w:eastAsia="zh-CN" w:bidi="ar"/>
              </w:rPr>
              <w:t>（含配件更换）</w:t>
            </w:r>
            <w:r>
              <w:rPr>
                <w:rFonts w:hint="eastAsia" w:ascii="宋体" w:hAnsi="宋体" w:eastAsia="宋体" w:cs="宋体"/>
                <w:color w:val="auto"/>
                <w:kern w:val="0"/>
                <w:sz w:val="21"/>
                <w:szCs w:val="21"/>
                <w:highlight w:val="none"/>
                <w:lang w:val="en-US" w:eastAsia="zh-CN" w:bidi="ar"/>
              </w:rPr>
              <w:t>均为免费。</w:t>
            </w:r>
          </w:p>
          <w:p w14:paraId="48910D77">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）质保期届满后，中标人对本合同的货物提供终身维修服务，</w:t>
            </w:r>
            <w:r>
              <w:rPr>
                <w:rFonts w:hint="eastAsia" w:ascii="宋体" w:hAnsi="宋体"/>
                <w:color w:val="auto"/>
                <w:szCs w:val="21"/>
                <w:highlight w:val="none"/>
              </w:rPr>
              <w:t>并确保至少6年内提供产品零配件的供应。</w:t>
            </w:r>
            <w:r>
              <w:rPr>
                <w:rFonts w:hint="eastAsia" w:ascii="宋体" w:hAnsi="宋体" w:eastAsia="宋体" w:cs="宋体"/>
                <w:color w:val="auto"/>
                <w:kern w:val="0"/>
                <w:sz w:val="21"/>
                <w:szCs w:val="21"/>
                <w:highlight w:val="none"/>
                <w:lang w:val="en-US" w:eastAsia="zh-CN" w:bidi="ar"/>
              </w:rPr>
              <w:t>且维修时只收取所需维修部件的成本费，</w:t>
            </w:r>
            <w:r>
              <w:rPr>
                <w:rFonts w:ascii="Segoe UI" w:hAnsi="Segoe UI" w:eastAsia="Segoe UI" w:cs="Segoe UI"/>
                <w:i w:val="0"/>
                <w:iCs w:val="0"/>
                <w:caps w:val="0"/>
                <w:color w:val="auto"/>
                <w:spacing w:val="0"/>
                <w:sz w:val="24"/>
                <w:szCs w:val="24"/>
                <w:highlight w:val="none"/>
                <w:shd w:val="clear" w:fill="FFFFFF"/>
              </w:rPr>
              <w:t>人工费、上门服务费等其他费用全免，</w:t>
            </w:r>
            <w:r>
              <w:rPr>
                <w:rFonts w:hint="eastAsia" w:ascii="宋体" w:hAnsi="宋体" w:eastAsia="宋体" w:cs="宋体"/>
                <w:color w:val="auto"/>
                <w:kern w:val="0"/>
                <w:sz w:val="21"/>
                <w:szCs w:val="21"/>
                <w:highlight w:val="none"/>
                <w:lang w:val="en-US" w:eastAsia="zh-CN" w:bidi="ar"/>
              </w:rPr>
              <w:t xml:space="preserve">服务内容应与质保期内的要求相一致。 </w:t>
            </w:r>
          </w:p>
          <w:p w14:paraId="7007FC38">
            <w:pPr>
              <w:spacing w:line="360" w:lineRule="exact"/>
              <w:ind w:firstLine="0" w:firstLineChars="0"/>
              <w:rPr>
                <w:rFonts w:hint="eastAsia" w:ascii="宋体" w:hAnsi="宋体"/>
                <w:color w:val="auto"/>
                <w:szCs w:val="21"/>
                <w:highlight w:val="none"/>
              </w:rPr>
            </w:pPr>
            <w:r>
              <w:rPr>
                <w:rFonts w:hint="eastAsia" w:ascii="宋体" w:hAnsi="宋体" w:cs="宋体"/>
                <w:color w:val="auto"/>
                <w:kern w:val="0"/>
                <w:sz w:val="21"/>
                <w:szCs w:val="21"/>
                <w:highlight w:val="none"/>
                <w:lang w:val="en-US" w:eastAsia="zh-CN" w:bidi="ar"/>
              </w:rPr>
              <w:t>（7）</w:t>
            </w:r>
            <w:r>
              <w:rPr>
                <w:rFonts w:hint="eastAsia" w:ascii="宋体" w:hAnsi="宋体"/>
                <w:color w:val="auto"/>
                <w:szCs w:val="21"/>
                <w:highlight w:val="none"/>
              </w:rPr>
              <w:t>货物配套软件，如软件免费使用，软件版本如有更新，中标人须保证终身免费升级；如软件需收取年费，货物价格须包含≥5年的年费，在该承诺的年限内如软件有更新，不再额外收取更新费用。</w:t>
            </w:r>
          </w:p>
          <w:p w14:paraId="2870A8C9">
            <w:pPr>
              <w:spacing w:line="360" w:lineRule="exact"/>
              <w:ind w:firstLine="0" w:firstLineChars="0"/>
              <w:rPr>
                <w:rFonts w:hint="eastAsia" w:ascii="宋体" w:hAnsi="宋体" w:cs="宋体"/>
                <w:b w:val="0"/>
                <w:color w:val="auto"/>
                <w:kern w:val="0"/>
                <w:szCs w:val="21"/>
                <w:highlight w:val="none"/>
                <w:u w:val="none"/>
                <w:lang w:bidi="ar"/>
              </w:rPr>
            </w:pPr>
            <w:r>
              <w:rPr>
                <w:rFonts w:hint="eastAsia" w:ascii="宋体" w:hAnsi="宋体" w:cs="宋体"/>
                <w:b w:val="0"/>
                <w:color w:val="auto"/>
                <w:kern w:val="0"/>
                <w:szCs w:val="21"/>
                <w:highlight w:val="none"/>
                <w:u w:val="none"/>
                <w:lang w:val="en-US" w:eastAsia="zh-CN" w:bidi="ar"/>
              </w:rPr>
              <w:t>（8）</w:t>
            </w:r>
            <w:r>
              <w:rPr>
                <w:rFonts w:hint="eastAsia" w:ascii="宋体" w:hAnsi="宋体" w:cs="宋体"/>
                <w:b w:val="0"/>
                <w:color w:val="auto"/>
                <w:kern w:val="0"/>
                <w:szCs w:val="21"/>
                <w:highlight w:val="none"/>
                <w:u w:val="none"/>
                <w:lang w:bidi="ar"/>
              </w:rPr>
              <w:t>中标人须在投标文件中提供货物常用配件及耗材的清单及费用（格式自拟）</w:t>
            </w:r>
            <w:r>
              <w:rPr>
                <w:rFonts w:hint="eastAsia" w:ascii="宋体" w:hAnsi="宋体" w:cs="宋体"/>
                <w:b w:val="0"/>
                <w:color w:val="auto"/>
                <w:kern w:val="0"/>
                <w:szCs w:val="21"/>
                <w:highlight w:val="none"/>
                <w:u w:val="none"/>
                <w:lang w:eastAsia="zh-CN" w:bidi="ar"/>
              </w:rPr>
              <w:t>，</w:t>
            </w:r>
            <w:r>
              <w:rPr>
                <w:rFonts w:hint="eastAsia" w:ascii="宋体" w:hAnsi="宋体" w:eastAsia="宋体" w:cs="宋体"/>
                <w:i w:val="0"/>
                <w:iCs w:val="0"/>
                <w:caps w:val="0"/>
                <w:color w:val="auto"/>
                <w:spacing w:val="0"/>
                <w:kern w:val="0"/>
                <w:sz w:val="21"/>
                <w:szCs w:val="21"/>
                <w:highlight w:val="none"/>
                <w:shd w:val="clear"/>
                <w:lang w:bidi="ar"/>
              </w:rPr>
              <w:t>清单中应明确配件名称、规格型号、单价</w:t>
            </w:r>
            <w:r>
              <w:rPr>
                <w:rFonts w:hint="eastAsia" w:ascii="宋体" w:hAnsi="宋体" w:cs="宋体"/>
                <w:i w:val="0"/>
                <w:iCs w:val="0"/>
                <w:caps w:val="0"/>
                <w:color w:val="auto"/>
                <w:spacing w:val="0"/>
                <w:kern w:val="0"/>
                <w:sz w:val="21"/>
                <w:szCs w:val="21"/>
                <w:highlight w:val="none"/>
                <w:shd w:val="clear"/>
                <w:lang w:val="en-US" w:eastAsia="zh-CN" w:bidi="ar"/>
              </w:rPr>
              <w:t>等</w:t>
            </w:r>
            <w:r>
              <w:rPr>
                <w:rFonts w:hint="eastAsia" w:ascii="宋体" w:hAnsi="宋体" w:cs="宋体"/>
                <w:b w:val="0"/>
                <w:color w:val="auto"/>
                <w:kern w:val="0"/>
                <w:szCs w:val="21"/>
                <w:highlight w:val="none"/>
                <w:u w:val="none"/>
                <w:lang w:bidi="ar"/>
              </w:rPr>
              <w:t>。</w:t>
            </w:r>
          </w:p>
          <w:p w14:paraId="2E7B484A">
            <w:pPr>
              <w:spacing w:line="360" w:lineRule="exact"/>
              <w:ind w:firstLine="0" w:firstLineChars="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9</w:t>
            </w:r>
            <w:r>
              <w:rPr>
                <w:rFonts w:hint="eastAsia" w:ascii="宋体" w:hAnsi="宋体"/>
                <w:color w:val="auto"/>
                <w:szCs w:val="21"/>
                <w:highlight w:val="none"/>
              </w:rPr>
              <w:t>）中标人负责对采购人的使用操作人员进行培训，所提供的设备培训方案包括但不限于以下内容：设备基本知识、操作规程，正确操作步骤和注意事项，包括设备的开关机、参数设置、工作流程等；安全防护：包括防止交叉感染的措施、设备维护保养的方法、事故应急处理等；故障排除：培训应使操作人员能够掌握设备的常见故障类型和解决方法，以快速排除设备故障，确保设备正常运行。</w:t>
            </w:r>
          </w:p>
          <w:p w14:paraId="4D6E65F0">
            <w:pPr>
              <w:widowControl/>
              <w:numPr>
                <w:ilvl w:val="0"/>
                <w:numId w:val="0"/>
              </w:numPr>
              <w:spacing w:line="360" w:lineRule="exact"/>
              <w:ind w:firstLine="0" w:firstLineChars="0"/>
              <w:jc w:val="left"/>
              <w:textAlignment w:val="center"/>
              <w:rPr>
                <w:rFonts w:hint="eastAsia" w:ascii="宋体" w:hAnsi="宋体"/>
                <w:color w:val="auto"/>
                <w:szCs w:val="21"/>
                <w:highlight w:val="none"/>
              </w:rPr>
            </w:pPr>
            <w:r>
              <w:rPr>
                <w:rFonts w:hint="eastAsia" w:ascii="宋体" w:hAnsi="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至少</w:t>
            </w:r>
            <w:r>
              <w:rPr>
                <w:rFonts w:hint="eastAsia" w:ascii="宋体" w:hAnsi="宋体" w:eastAsia="宋体" w:cs="宋体"/>
                <w:color w:val="auto"/>
                <w:kern w:val="0"/>
                <w:sz w:val="21"/>
                <w:szCs w:val="21"/>
                <w:highlight w:val="none"/>
                <w:lang w:val="en-US" w:eastAsia="zh-CN" w:bidi="ar"/>
              </w:rPr>
              <w:t>提供</w:t>
            </w: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次货物现场调试教学及相关技术的培训</w:t>
            </w:r>
            <w:r>
              <w:rPr>
                <w:rFonts w:hint="eastAsia" w:ascii="宋体" w:hAnsi="宋体" w:cs="宋体"/>
                <w:color w:val="auto"/>
                <w:kern w:val="0"/>
                <w:sz w:val="21"/>
                <w:szCs w:val="21"/>
                <w:highlight w:val="none"/>
                <w:lang w:val="en-US" w:eastAsia="zh-CN" w:bidi="ar"/>
              </w:rPr>
              <w:t>，如采购人要求增加培训次数，中标人应无条件配合，培训次数不超过5次</w:t>
            </w:r>
            <w:r>
              <w:rPr>
                <w:rFonts w:hint="eastAsia" w:ascii="宋体" w:hAnsi="宋体" w:eastAsia="宋体" w:cs="宋体"/>
                <w:color w:val="auto"/>
                <w:kern w:val="0"/>
                <w:sz w:val="21"/>
                <w:szCs w:val="21"/>
                <w:highlight w:val="none"/>
                <w:lang w:val="en-US" w:eastAsia="zh-CN" w:bidi="ar"/>
              </w:rPr>
              <w:t>。</w:t>
            </w:r>
          </w:p>
          <w:p w14:paraId="1B730737">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）投标人本项目所投产品所涉及的各项软硬件均</w:t>
            </w:r>
            <w:r>
              <w:rPr>
                <w:rFonts w:hint="eastAsia" w:ascii="宋体" w:hAnsi="宋体" w:eastAsia="宋体" w:cs="宋体"/>
                <w:color w:val="auto"/>
                <w:kern w:val="0"/>
                <w:sz w:val="21"/>
                <w:szCs w:val="21"/>
                <w:highlight w:val="none"/>
                <w:lang w:val="en-US" w:eastAsia="zh-CN" w:bidi="ar"/>
              </w:rPr>
              <w:t>必须为正版产品，如因版权问题引发的纠纷或损失由中标人承担全部责任并负责赔偿，采购人保留进一步追偿的权利。</w:t>
            </w:r>
          </w:p>
          <w:p w14:paraId="6E93900B">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6.报价要求</w:t>
            </w:r>
          </w:p>
          <w:p w14:paraId="63029DFE">
            <w:pPr>
              <w:spacing w:line="360" w:lineRule="exact"/>
              <w:ind w:firstLine="0" w:firstLineChars="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投标报价为采购人指定地点的现场交货价。</w:t>
            </w:r>
          </w:p>
          <w:p w14:paraId="7B755A98">
            <w:pPr>
              <w:spacing w:line="360" w:lineRule="exact"/>
              <w:ind w:firstLine="0" w:firstLineChars="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本项目投标以人民币报价，且为含税价。</w:t>
            </w:r>
          </w:p>
          <w:p w14:paraId="7137D772">
            <w:pPr>
              <w:spacing w:line="360" w:lineRule="exact"/>
              <w:ind w:firstLine="0" w:firstLineChars="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w:t>
            </w:r>
            <w:r>
              <w:rPr>
                <w:rFonts w:hint="eastAsia" w:ascii="宋体" w:hAnsi="宋体"/>
                <w:color w:val="auto"/>
                <w:szCs w:val="21"/>
                <w:highlight w:val="none"/>
              </w:rPr>
              <w:t>不论投标结果如何，投标人均应自行承担所有与投标有关的全部费用。</w:t>
            </w:r>
          </w:p>
          <w:p w14:paraId="11916DD8">
            <w:pPr>
              <w:spacing w:line="360" w:lineRule="exact"/>
              <w:ind w:firstLine="0" w:firstLineChars="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本项目报价为产品送达采购人指定地点进行安装，采购人（或采购人委托的第三方）检测、验收所发生的一切费用，其包括但不限于：产品（含主要设备、配件、辅材）供应、运输装卸费、保险费、安装费、调试费、劳务、税费、产品检验检测、操作人员培训费、管理费、验收费、质保期技术支持、招标代理服务费，以及所有的不定因素的风险等。</w:t>
            </w:r>
          </w:p>
          <w:p w14:paraId="0BA4FF4D">
            <w:pPr>
              <w:spacing w:line="360" w:lineRule="exact"/>
              <w:ind w:firstLine="0" w:firstLineChars="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w:t>
            </w:r>
            <w:r>
              <w:rPr>
                <w:rFonts w:hint="eastAsia" w:ascii="宋体" w:hAnsi="宋体"/>
                <w:color w:val="auto"/>
                <w:szCs w:val="21"/>
                <w:highlight w:val="none"/>
              </w:rPr>
              <w:t>中标人在投标时如有漏报单价或每单价报价中漏报、少报费用的，视为该等单价及/或费用已隐含在投标报价中，合同履行过程中不得再向采购人主张支付该等单价及/或费用。</w:t>
            </w:r>
          </w:p>
          <w:p w14:paraId="37CD68A8">
            <w:pPr>
              <w:spacing w:line="360" w:lineRule="exact"/>
              <w:ind w:firstLine="0" w:firstLineChars="0"/>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w:t>
            </w:r>
            <w:r>
              <w:rPr>
                <w:rFonts w:hint="eastAsia" w:ascii="宋体" w:hAnsi="宋体"/>
                <w:color w:val="auto"/>
                <w:szCs w:val="21"/>
                <w:highlight w:val="none"/>
              </w:rPr>
              <w:t>本项目涉及的线材、管材、耗材、辅材等实行包干制，不足部份由中标供应商自行承担。</w:t>
            </w:r>
          </w:p>
          <w:p w14:paraId="1627F1CC">
            <w:pPr>
              <w:spacing w:line="360" w:lineRule="exact"/>
              <w:ind w:firstLine="0" w:firstLineChars="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7</w:t>
            </w:r>
            <w:r>
              <w:rPr>
                <w:rFonts w:hint="eastAsia" w:ascii="宋体" w:hAnsi="宋体"/>
                <w:color w:val="auto"/>
                <w:szCs w:val="21"/>
                <w:highlight w:val="none"/>
                <w:lang w:eastAsia="zh-CN"/>
              </w:rPr>
              <w:t>）</w:t>
            </w:r>
            <w:r>
              <w:rPr>
                <w:rFonts w:hint="eastAsia" w:ascii="宋体" w:hAnsi="宋体"/>
                <w:color w:val="auto"/>
                <w:szCs w:val="21"/>
                <w:highlight w:val="none"/>
              </w:rPr>
              <w:t>包装和运输</w:t>
            </w:r>
          </w:p>
          <w:p w14:paraId="1A43C80E">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①</w:t>
            </w:r>
            <w:r>
              <w:rPr>
                <w:rFonts w:hint="eastAsia" w:ascii="宋体" w:hAnsi="宋体"/>
                <w:color w:val="auto"/>
                <w:szCs w:val="21"/>
                <w:highlight w:val="none"/>
              </w:rPr>
              <w:t>原厂原包装，包装完好、完整无破损、未开封。</w:t>
            </w:r>
          </w:p>
          <w:p w14:paraId="592BD78C">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②</w:t>
            </w:r>
            <w:r>
              <w:rPr>
                <w:rFonts w:hint="eastAsia" w:ascii="宋体" w:hAnsi="宋体"/>
                <w:color w:val="auto"/>
                <w:szCs w:val="21"/>
                <w:highlight w:val="none"/>
              </w:rPr>
              <w:t>包装及运输方式应综合考虑运输距离、防潮、防震、防锈和防破损装卸等要求。</w:t>
            </w:r>
          </w:p>
          <w:p w14:paraId="019C9C41">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③</w:t>
            </w:r>
            <w:r>
              <w:rPr>
                <w:rFonts w:hint="eastAsia" w:ascii="宋体" w:hAnsi="宋体"/>
                <w:color w:val="auto"/>
                <w:szCs w:val="21"/>
                <w:highlight w:val="none"/>
              </w:rPr>
              <w:t>国家对包装及运输有相关强制性标准或要求的，供应商应当执行。</w:t>
            </w:r>
          </w:p>
          <w:p w14:paraId="2556CBA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④</w:t>
            </w:r>
            <w:r>
              <w:rPr>
                <w:rFonts w:hint="eastAsia" w:ascii="宋体" w:hAnsi="宋体"/>
                <w:color w:val="auto"/>
                <w:szCs w:val="21"/>
                <w:highlight w:val="none"/>
              </w:rPr>
              <w:t>产品（含包装）运抵采购人指定交付地点前发生损坏的，相关损失由供应商自行承担。</w:t>
            </w:r>
          </w:p>
          <w:p w14:paraId="55EBF80E">
            <w:pPr>
              <w:spacing w:line="360" w:lineRule="exact"/>
              <w:ind w:firstLine="0" w:firstLineChars="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8</w:t>
            </w:r>
            <w:r>
              <w:rPr>
                <w:rFonts w:hint="eastAsia" w:ascii="宋体" w:hAnsi="宋体"/>
                <w:color w:val="auto"/>
                <w:szCs w:val="21"/>
                <w:highlight w:val="none"/>
                <w:lang w:eastAsia="zh-CN"/>
              </w:rPr>
              <w:t>）</w:t>
            </w:r>
            <w:r>
              <w:rPr>
                <w:rFonts w:hint="eastAsia" w:ascii="宋体" w:hAnsi="宋体"/>
                <w:color w:val="auto"/>
                <w:szCs w:val="21"/>
                <w:highlight w:val="none"/>
              </w:rPr>
              <w:t>保险</w:t>
            </w:r>
            <w:r>
              <w:rPr>
                <w:rFonts w:hint="eastAsia" w:ascii="宋体" w:hAnsi="宋体"/>
                <w:color w:val="auto"/>
                <w:szCs w:val="21"/>
                <w:highlight w:val="none"/>
                <w:lang w:eastAsia="zh-CN"/>
              </w:rPr>
              <w:t>：</w:t>
            </w:r>
            <w:r>
              <w:rPr>
                <w:rFonts w:hint="eastAsia" w:ascii="宋体" w:hAnsi="宋体"/>
                <w:color w:val="auto"/>
                <w:szCs w:val="21"/>
                <w:highlight w:val="none"/>
              </w:rPr>
              <w:t>若供应商为本项目标的及标的涉及的相关材料、设备、人员、运输等购买保险的，相关费用由供应商自行承担。</w:t>
            </w:r>
          </w:p>
          <w:p w14:paraId="426D322D">
            <w:pPr>
              <w:spacing w:line="360" w:lineRule="exact"/>
              <w:ind w:firstLine="0" w:firstLineChars="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9</w:t>
            </w:r>
            <w:r>
              <w:rPr>
                <w:rFonts w:hint="eastAsia" w:ascii="宋体" w:hAnsi="宋体"/>
                <w:color w:val="auto"/>
                <w:szCs w:val="21"/>
                <w:highlight w:val="none"/>
                <w:lang w:eastAsia="zh-CN"/>
              </w:rPr>
              <w:t>）</w:t>
            </w:r>
            <w:r>
              <w:rPr>
                <w:rFonts w:ascii="Segoe UI" w:hAnsi="Segoe UI" w:eastAsia="Segoe UI" w:cs="Segoe UI"/>
                <w:i w:val="0"/>
                <w:iCs w:val="0"/>
                <w:caps w:val="0"/>
                <w:color w:val="auto"/>
                <w:spacing w:val="0"/>
                <w:sz w:val="21"/>
                <w:szCs w:val="21"/>
                <w:highlight w:val="none"/>
                <w:shd w:val="clear" w:fill="FFFFFF"/>
              </w:rPr>
              <w:t>本项目设有采购预算价（最高限价）326.7万元，</w:t>
            </w:r>
            <w:r>
              <w:rPr>
                <w:rFonts w:hint="eastAsia" w:ascii="Segoe UI" w:hAnsi="Segoe UI" w:eastAsia="Segoe UI" w:cs="Segoe UI"/>
                <w:color w:val="auto"/>
                <w:szCs w:val="21"/>
                <w:highlight w:val="none"/>
                <w:shd w:val="clear" w:fill="FFFFFF"/>
              </w:rPr>
              <w:t>同时对</w:t>
            </w:r>
            <w:r>
              <w:rPr>
                <w:rFonts w:hint="eastAsia" w:ascii="Segoe UI" w:hAnsi="Segoe UI" w:eastAsia="宋体" w:cs="Segoe UI"/>
                <w:color w:val="auto"/>
                <w:szCs w:val="21"/>
                <w:highlight w:val="none"/>
                <w:shd w:val="clear" w:fill="FFFFFF"/>
                <w:lang w:val="en-US" w:eastAsia="zh-CN"/>
              </w:rPr>
              <w:t>各项标的</w:t>
            </w:r>
            <w:r>
              <w:rPr>
                <w:rFonts w:hint="eastAsia" w:ascii="Segoe UI" w:hAnsi="Segoe UI" w:eastAsia="Segoe UI" w:cs="Segoe UI"/>
                <w:color w:val="auto"/>
                <w:szCs w:val="21"/>
                <w:highlight w:val="none"/>
                <w:shd w:val="clear" w:fill="FFFFFF"/>
              </w:rPr>
              <w:t>设有最高上限单价（详见</w:t>
            </w:r>
            <w:r>
              <w:rPr>
                <w:rFonts w:hint="eastAsia" w:ascii="Segoe UI" w:hAnsi="Segoe UI" w:eastAsia="宋体" w:cs="Segoe UI"/>
                <w:color w:val="auto"/>
                <w:szCs w:val="21"/>
                <w:highlight w:val="none"/>
                <w:shd w:val="clear" w:fill="FFFFFF"/>
                <w:lang w:eastAsia="zh-CN"/>
              </w:rPr>
              <w:t>《</w:t>
            </w:r>
            <w:r>
              <w:rPr>
                <w:rFonts w:hint="eastAsia" w:ascii="Segoe UI" w:hAnsi="Segoe UI" w:eastAsia="宋体" w:cs="Segoe UI"/>
                <w:color w:val="auto"/>
                <w:szCs w:val="21"/>
                <w:highlight w:val="none"/>
                <w:shd w:val="clear" w:fill="FFFFFF"/>
                <w:lang w:val="en-US" w:eastAsia="zh-CN"/>
              </w:rPr>
              <w:t>采购需求</w:t>
            </w:r>
            <w:r>
              <w:rPr>
                <w:rFonts w:hint="eastAsia" w:ascii="Segoe UI" w:hAnsi="Segoe UI" w:eastAsia="Segoe UI" w:cs="Segoe UI"/>
                <w:color w:val="auto"/>
                <w:szCs w:val="21"/>
                <w:highlight w:val="none"/>
                <w:shd w:val="clear" w:fill="FFFFFF"/>
              </w:rPr>
              <w:t>》）</w:t>
            </w:r>
            <w:r>
              <w:rPr>
                <w:rFonts w:ascii="Segoe UI" w:hAnsi="Segoe UI" w:eastAsia="Segoe UI" w:cs="Segoe UI"/>
                <w:i w:val="0"/>
                <w:iCs w:val="0"/>
                <w:caps w:val="0"/>
                <w:color w:val="auto"/>
                <w:spacing w:val="0"/>
                <w:sz w:val="21"/>
                <w:szCs w:val="21"/>
                <w:highlight w:val="none"/>
                <w:shd w:val="clear" w:fill="FFFFFF"/>
              </w:rPr>
              <w:t>投标人投标总价不得超过采购预算价，且各分项报价均不得超过对应的</w:t>
            </w:r>
            <w:r>
              <w:rPr>
                <w:rFonts w:hint="eastAsia" w:ascii="Segoe UI" w:hAnsi="Segoe UI" w:eastAsia="Segoe UI" w:cs="Segoe UI"/>
                <w:color w:val="auto"/>
                <w:szCs w:val="21"/>
                <w:highlight w:val="none"/>
                <w:shd w:val="clear" w:fill="FFFFFF"/>
              </w:rPr>
              <w:t>最高上限单价</w:t>
            </w:r>
            <w:r>
              <w:rPr>
                <w:rFonts w:ascii="Segoe UI" w:hAnsi="Segoe UI" w:eastAsia="Segoe UI" w:cs="Segoe UI"/>
                <w:i w:val="0"/>
                <w:iCs w:val="0"/>
                <w:caps w:val="0"/>
                <w:color w:val="auto"/>
                <w:spacing w:val="0"/>
                <w:sz w:val="21"/>
                <w:szCs w:val="21"/>
                <w:highlight w:val="none"/>
                <w:shd w:val="clear" w:fill="FFFFFF"/>
              </w:rPr>
              <w:t>，否则按无效投标处理。</w:t>
            </w:r>
          </w:p>
          <w:p w14:paraId="3E810C33">
            <w:pPr>
              <w:keepNext w:val="0"/>
              <w:keepLines w:val="0"/>
              <w:pageBreakBefore w:val="0"/>
              <w:widowControl/>
              <w:numPr>
                <w:ilvl w:val="0"/>
                <w:numId w:val="0"/>
              </w:numPr>
              <w:kinsoku/>
              <w:wordWrap/>
              <w:overflowPunct/>
              <w:topLinePunct w:val="0"/>
              <w:autoSpaceDE/>
              <w:autoSpaceDN/>
              <w:bidi w:val="0"/>
              <w:adjustRightInd/>
              <w:snapToGrid/>
              <w:spacing w:line="360" w:lineRule="exact"/>
              <w:jc w:val="left"/>
              <w:textAlignment w:val="center"/>
              <w:rPr>
                <w:rFonts w:hint="default" w:ascii="宋体" w:hAnsi="宋体"/>
                <w:b/>
                <w:bCs/>
                <w:color w:val="auto"/>
                <w:szCs w:val="21"/>
                <w:highlight w:val="none"/>
                <w:lang w:val="en-US" w:eastAsia="zh-CN"/>
              </w:rPr>
            </w:pPr>
            <w:r>
              <w:rPr>
                <w:rFonts w:hint="eastAsia" w:ascii="宋体" w:hAnsi="宋体"/>
                <w:color w:val="auto"/>
                <w:szCs w:val="21"/>
                <w:highlight w:val="none"/>
                <w:lang w:val="en-US" w:eastAsia="zh-CN"/>
              </w:rPr>
              <w:t>7</w:t>
            </w:r>
            <w:r>
              <w:rPr>
                <w:rFonts w:hint="eastAsia" w:ascii="宋体" w:hAnsi="宋体"/>
                <w:color w:val="auto"/>
                <w:szCs w:val="21"/>
                <w:highlight w:val="none"/>
              </w:rPr>
              <w:t>.在产品验收时，如发现存在虚假响应，采购人将终止合同，并上报监督管理部门进行处罚。</w:t>
            </w:r>
          </w:p>
        </w:tc>
      </w:tr>
      <w:tr w14:paraId="79963A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459" w:type="dxa"/>
            <w:tcBorders>
              <w:top w:val="single" w:color="auto" w:sz="4" w:space="0"/>
              <w:left w:val="single" w:color="auto" w:sz="4" w:space="0"/>
              <w:bottom w:val="single" w:color="auto" w:sz="4" w:space="0"/>
              <w:right w:val="single" w:color="auto" w:sz="4" w:space="0"/>
            </w:tcBorders>
            <w:vAlign w:val="center"/>
          </w:tcPr>
          <w:p w14:paraId="325CF28C">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其他说明</w:t>
            </w:r>
          </w:p>
        </w:tc>
        <w:tc>
          <w:tcPr>
            <w:tcW w:w="10215" w:type="dxa"/>
            <w:gridSpan w:val="6"/>
            <w:tcBorders>
              <w:top w:val="single" w:color="auto" w:sz="4" w:space="0"/>
              <w:left w:val="single" w:color="auto" w:sz="4" w:space="0"/>
              <w:bottom w:val="single" w:color="auto" w:sz="4" w:space="0"/>
              <w:right w:val="single" w:color="auto" w:sz="4" w:space="0"/>
            </w:tcBorders>
          </w:tcPr>
          <w:p w14:paraId="5BDD34A6">
            <w:pPr>
              <w:keepNext w:val="0"/>
              <w:keepLines w:val="0"/>
              <w:pageBreakBefore w:val="0"/>
              <w:widowControl/>
              <w:tabs>
                <w:tab w:val="left" w:pos="180"/>
                <w:tab w:val="left" w:pos="1620"/>
              </w:tabs>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1.进口产品说明：本项目所涉及的货物不接受进口产品（即通过中国海关报关验放进入中国境内且产自关境外的产品）参与投标，如有进口产品参与投标的作无效标处理。</w:t>
            </w:r>
          </w:p>
          <w:p w14:paraId="02A3BC91">
            <w:pPr>
              <w:keepNext w:val="0"/>
              <w:keepLines w:val="0"/>
              <w:pageBreakBefore w:val="0"/>
              <w:widowControl/>
              <w:tabs>
                <w:tab w:val="left" w:pos="180"/>
                <w:tab w:val="left" w:pos="1620"/>
              </w:tabs>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Cs w:val="21"/>
                <w:highlight w:val="none"/>
                <w:lang w:val="en-US" w:eastAsia="zh-CN"/>
              </w:rPr>
              <w:t>根据</w:t>
            </w:r>
            <w:bookmarkStart w:id="60" w:name="OLE_LINK11"/>
            <w:r>
              <w:rPr>
                <w:rFonts w:hint="eastAsia" w:ascii="宋体" w:hAnsi="宋体" w:eastAsia="宋体" w:cs="宋体"/>
                <w:color w:val="auto"/>
                <w:szCs w:val="21"/>
                <w:highlight w:val="none"/>
                <w:lang w:val="en-US" w:eastAsia="zh-CN"/>
              </w:rPr>
              <w:t>《国务院办公厅关于在政府采购中实施本国产品标准及相关政策的通知》（国办发</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号）</w:t>
            </w:r>
            <w:bookmarkEnd w:id="60"/>
            <w:r>
              <w:rPr>
                <w:rFonts w:hint="eastAsia" w:ascii="宋体" w:hAnsi="宋体" w:eastAsia="宋体" w:cs="宋体"/>
                <w:color w:val="auto"/>
                <w:szCs w:val="21"/>
                <w:highlight w:val="none"/>
              </w:rPr>
              <w:t>的规定</w:t>
            </w:r>
            <w:r>
              <w:rPr>
                <w:rFonts w:hint="eastAsia" w:ascii="宋体" w:hAnsi="宋体" w:eastAsia="宋体" w:cs="宋体"/>
                <w:color w:val="auto"/>
                <w:szCs w:val="21"/>
                <w:highlight w:val="none"/>
                <w:lang w:eastAsia="zh-CN"/>
              </w:rPr>
              <w:t>，</w:t>
            </w:r>
            <w:r>
              <w:rPr>
                <w:rFonts w:hint="eastAsia" w:ascii="宋体" w:hAnsi="宋体" w:eastAsia="宋体" w:cs="宋体"/>
                <w:i w:val="0"/>
                <w:iCs w:val="0"/>
                <w:caps w:val="0"/>
                <w:color w:val="auto"/>
                <w:spacing w:val="0"/>
                <w:sz w:val="21"/>
                <w:szCs w:val="21"/>
                <w:highlight w:val="none"/>
                <w:shd w:val="clear" w:color="auto" w:fill="FFFFFF"/>
              </w:rPr>
              <w:t>政府采购活动中既有本国产品又有非本国产品参与竞争的，依法对</w:t>
            </w:r>
            <w:r>
              <w:rPr>
                <w:rFonts w:hint="eastAsia" w:ascii="宋体" w:hAnsi="宋体" w:eastAsia="宋体" w:cs="宋体"/>
                <w:i w:val="0"/>
                <w:iCs w:val="0"/>
                <w:caps w:val="0"/>
                <w:color w:val="auto"/>
                <w:spacing w:val="0"/>
                <w:sz w:val="21"/>
                <w:szCs w:val="21"/>
                <w:highlight w:val="none"/>
                <w:shd w:val="clear" w:color="auto" w:fill="FFFFFF"/>
                <w:lang w:val="en-US" w:eastAsia="zh-CN"/>
              </w:rPr>
              <w:t>符合政策要求的</w:t>
            </w:r>
            <w:r>
              <w:rPr>
                <w:rFonts w:hint="eastAsia" w:ascii="宋体" w:hAnsi="宋体" w:eastAsia="宋体" w:cs="宋体"/>
                <w:i w:val="0"/>
                <w:iCs w:val="0"/>
                <w:caps w:val="0"/>
                <w:color w:val="auto"/>
                <w:spacing w:val="0"/>
                <w:sz w:val="21"/>
                <w:szCs w:val="21"/>
                <w:highlight w:val="none"/>
                <w:shd w:val="clear" w:color="auto" w:fill="FFFFFF"/>
              </w:rPr>
              <w:t>本国产品给予价格评审优惠</w:t>
            </w:r>
            <w:r>
              <w:rPr>
                <w:rFonts w:hint="eastAsia" w:ascii="宋体" w:hAnsi="宋体" w:eastAsia="宋体" w:cs="宋体"/>
                <w:i w:val="0"/>
                <w:iCs w:val="0"/>
                <w:caps w:val="0"/>
                <w:color w:val="auto"/>
                <w:spacing w:val="0"/>
                <w:sz w:val="21"/>
                <w:szCs w:val="21"/>
                <w:highlight w:val="none"/>
                <w:shd w:val="clear" w:color="auto" w:fill="FFFFFF"/>
                <w:lang w:eastAsia="zh-CN"/>
              </w:rPr>
              <w:t>，</w:t>
            </w:r>
            <w:r>
              <w:rPr>
                <w:rFonts w:hint="eastAsia" w:ascii="宋体" w:hAnsi="宋体" w:eastAsia="宋体" w:cs="宋体"/>
                <w:b/>
                <w:bCs/>
                <w:color w:val="auto"/>
                <w:szCs w:val="21"/>
                <w:highlight w:val="none"/>
              </w:rPr>
              <w:t xml:space="preserve">具体详见“第四章 </w:t>
            </w:r>
            <w:r>
              <w:rPr>
                <w:rFonts w:hint="eastAsia" w:ascii="宋体" w:hAnsi="宋体" w:eastAsia="宋体" w:cs="宋体"/>
                <w:b/>
                <w:bCs/>
                <w:color w:val="auto"/>
                <w:szCs w:val="21"/>
                <w:highlight w:val="none"/>
                <w:lang w:eastAsia="zh-CN"/>
              </w:rPr>
              <w:t>评标方法和评标标准</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i w:val="0"/>
                <w:iCs w:val="0"/>
                <w:caps w:val="0"/>
                <w:color w:val="auto"/>
                <w:spacing w:val="0"/>
                <w:sz w:val="21"/>
                <w:szCs w:val="21"/>
                <w:highlight w:val="none"/>
                <w:shd w:val="clear" w:color="auto" w:fill="auto"/>
              </w:rPr>
              <w:t>产品在中国境内生产的组件成本，按照《中国境内生产的组件成本核算基本规则》</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见附件</w:t>
            </w:r>
            <w:r>
              <w:rPr>
                <w:rFonts w:hint="eastAsia" w:ascii="宋体" w:hAnsi="宋体" w:eastAsia="宋体" w:cs="宋体"/>
                <w:i w:val="0"/>
                <w:iCs w:val="0"/>
                <w:caps w:val="0"/>
                <w:color w:val="auto"/>
                <w:spacing w:val="0"/>
                <w:sz w:val="21"/>
                <w:szCs w:val="21"/>
                <w:highlight w:val="none"/>
                <w:shd w:val="clear" w:color="auto" w:fill="auto"/>
                <w:lang w:val="en-US" w:eastAsia="zh-CN"/>
              </w:rPr>
              <w:t>3</w:t>
            </w:r>
            <w:r>
              <w:rPr>
                <w:rFonts w:hint="eastAsia" w:ascii="宋体" w:hAnsi="宋体" w:eastAsia="宋体" w:cs="宋体"/>
                <w:i w:val="0"/>
                <w:iCs w:val="0"/>
                <w:caps w:val="0"/>
                <w:color w:val="auto"/>
                <w:spacing w:val="0"/>
                <w:sz w:val="21"/>
                <w:szCs w:val="21"/>
                <w:highlight w:val="none"/>
                <w:shd w:val="clear" w:color="auto" w:fill="auto"/>
                <w:lang w:eastAsia="zh-CN"/>
              </w:rPr>
              <w:t>）</w:t>
            </w:r>
            <w:r>
              <w:rPr>
                <w:rFonts w:hint="eastAsia" w:ascii="宋体" w:hAnsi="宋体" w:eastAsia="宋体" w:cs="宋体"/>
                <w:i w:val="0"/>
                <w:iCs w:val="0"/>
                <w:caps w:val="0"/>
                <w:color w:val="auto"/>
                <w:spacing w:val="0"/>
                <w:sz w:val="21"/>
                <w:szCs w:val="21"/>
                <w:highlight w:val="none"/>
                <w:shd w:val="clear" w:color="auto" w:fill="auto"/>
              </w:rPr>
              <w:t>计算。</w:t>
            </w:r>
          </w:p>
          <w:p w14:paraId="47A91B65">
            <w:pPr>
              <w:keepNext w:val="0"/>
              <w:keepLines w:val="0"/>
              <w:pageBreakBefore w:val="0"/>
              <w:widowControl/>
              <w:tabs>
                <w:tab w:val="left" w:pos="180"/>
                <w:tab w:val="left" w:pos="1620"/>
              </w:tabs>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与本项目有关的设计图纸、技术规范、文件等附件资料及其获取方式：无。</w:t>
            </w:r>
          </w:p>
          <w:p w14:paraId="6860C4DF">
            <w:pPr>
              <w:keepNext w:val="0"/>
              <w:keepLines w:val="0"/>
              <w:pageBreakBefore w:val="0"/>
              <w:widowControl/>
              <w:tabs>
                <w:tab w:val="left" w:pos="180"/>
                <w:tab w:val="left" w:pos="1620"/>
              </w:tabs>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.核心产品：本项目的核心产品为“需求一览表”中第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项产品：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Cs w:val="21"/>
                <w:highlight w:val="none"/>
                <w:u w:val="single"/>
              </w:rPr>
              <w:t>口腔临床模拟教学实习系统（学生机）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B1C1981">
            <w:pPr>
              <w:keepNext w:val="0"/>
              <w:keepLines w:val="0"/>
              <w:pageBreakBefore w:val="0"/>
              <w:widowControl/>
              <w:tabs>
                <w:tab w:val="left" w:pos="180"/>
                <w:tab w:val="left" w:pos="1620"/>
              </w:tabs>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.投标的投标报价不能超过项目的预算，且各分项的报价也不能超过该分项的预算，否则投标无效。</w:t>
            </w:r>
          </w:p>
          <w:p w14:paraId="1C492EC2">
            <w:pPr>
              <w:keepNext w:val="0"/>
              <w:keepLines w:val="0"/>
              <w:pageBreakBefore w:val="0"/>
              <w:widowControl/>
              <w:tabs>
                <w:tab w:val="left" w:pos="180"/>
                <w:tab w:val="left" w:pos="1620"/>
              </w:tabs>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6.中标</w:t>
            </w:r>
            <w:r>
              <w:rPr>
                <w:rFonts w:hint="eastAsia" w:ascii="宋体" w:hAnsi="宋体" w:eastAsia="宋体" w:cs="宋体"/>
                <w:color w:val="auto"/>
                <w:sz w:val="21"/>
                <w:szCs w:val="21"/>
                <w:highlight w:val="none"/>
              </w:rPr>
              <w:t>人未按规定的时间完成合同履约，导致采购人损失的，采购人有权单方面终止合同，所造成的损失由</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人承担。</w:t>
            </w:r>
          </w:p>
          <w:p w14:paraId="352AF18D">
            <w:pPr>
              <w:keepNext w:val="0"/>
              <w:keepLines w:val="0"/>
              <w:pageBreakBefore w:val="0"/>
              <w:widowControl/>
              <w:tabs>
                <w:tab w:val="left" w:pos="180"/>
                <w:tab w:val="left" w:pos="1620"/>
              </w:tabs>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7.中标</w:t>
            </w:r>
            <w:r>
              <w:rPr>
                <w:rFonts w:hint="eastAsia" w:ascii="宋体" w:hAnsi="宋体" w:eastAsia="宋体" w:cs="宋体"/>
                <w:color w:val="auto"/>
                <w:sz w:val="21"/>
                <w:szCs w:val="21"/>
                <w:highlight w:val="none"/>
              </w:rPr>
              <w:t>人提供的货物或服务如侵犯了第三方合法权益而引发的任何纠纷或诉讼，均由</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人负责交涉且承担全部赔偿责任，包括因知识产权造成采购人的经济损失。</w:t>
            </w:r>
          </w:p>
          <w:p w14:paraId="79BDA844">
            <w:pPr>
              <w:keepNext w:val="0"/>
              <w:keepLines w:val="0"/>
              <w:pageBreakBefore w:val="0"/>
              <w:widowControl/>
              <w:tabs>
                <w:tab w:val="left" w:pos="180"/>
                <w:tab w:val="left" w:pos="1620"/>
              </w:tabs>
              <w:kinsoku/>
              <w:wordWrap/>
              <w:overflowPunct/>
              <w:topLinePunct w:val="0"/>
              <w:autoSpaceDE/>
              <w:autoSpaceDN/>
              <w:bidi w:val="0"/>
              <w:adjustRightInd/>
              <w:snapToGrid/>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发生不可抗力情况（指合同双方不能预见、不能避免且不能克服的客观情况。）处理：任何一方对由于不可抗力造成的部分或全部不能履行约定（合同）不承担违约责任。但迟延履行后发生不可抗力的，不能免除责任。遇有不可抗力的一方，应及时将事件情况正式告知另一方，并在事件发生后及时向另一方提交合同不能履行或部分不能履行或需要延期履行的说明报告，以及证明不可抗力发生及其持续时间的证据。</w:t>
            </w:r>
          </w:p>
          <w:p w14:paraId="5BAC3BCE">
            <w:pPr>
              <w:keepNext w:val="0"/>
              <w:keepLines w:val="0"/>
              <w:pageBreakBefore w:val="0"/>
              <w:widowControl/>
              <w:tabs>
                <w:tab w:val="left" w:pos="180"/>
                <w:tab w:val="left" w:pos="1620"/>
              </w:tabs>
              <w:kinsoku/>
              <w:wordWrap/>
              <w:overflowPunct/>
              <w:topLinePunct w:val="0"/>
              <w:autoSpaceDE/>
              <w:autoSpaceDN/>
              <w:bidi w:val="0"/>
              <w:adjustRightInd/>
              <w:snapToGrid/>
              <w:spacing w:line="360" w:lineRule="exact"/>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highlight w:val="none"/>
              </w:rPr>
              <w:t>投标人根据自身情况提供项目实施方案，内容包括但不限于：</w:t>
            </w:r>
          </w:p>
          <w:p w14:paraId="29941361">
            <w:pPr>
              <w:keepNext w:val="0"/>
              <w:keepLines w:val="0"/>
              <w:pageBreakBefore w:val="0"/>
              <w:widowControl/>
              <w:tabs>
                <w:tab w:val="left" w:pos="180"/>
                <w:tab w:val="left" w:pos="1620"/>
              </w:tabs>
              <w:kinsoku/>
              <w:wordWrap/>
              <w:overflowPunct/>
              <w:topLinePunct w:val="0"/>
              <w:autoSpaceDE/>
              <w:autoSpaceDN/>
              <w:bidi w:val="0"/>
              <w:adjustRightInd/>
              <w:snapToGrid/>
              <w:spacing w:line="360" w:lineRule="exac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技术及项目实施方案（包含但不限于管理措施、具体实施流程、进度安排、质量保证措施、有利于采购项目实施的内容或合理性建议的等）；</w:t>
            </w:r>
          </w:p>
          <w:p w14:paraId="344A3BC7">
            <w:pPr>
              <w:keepNext w:val="0"/>
              <w:keepLines w:val="0"/>
              <w:pageBreakBefore w:val="0"/>
              <w:widowControl/>
              <w:tabs>
                <w:tab w:val="left" w:pos="180"/>
                <w:tab w:val="left" w:pos="1620"/>
              </w:tabs>
              <w:kinsoku/>
              <w:wordWrap/>
              <w:overflowPunct/>
              <w:topLinePunct w:val="0"/>
              <w:autoSpaceDE/>
              <w:autoSpaceDN/>
              <w:bidi w:val="0"/>
              <w:adjustRightInd/>
              <w:snapToGrid/>
              <w:spacing w:line="360" w:lineRule="exac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技术人员方案（包含但不限于技术人员投入计划，有技术人员在安装调试过程提供技术支持和协助计划，拟派有资质技术人员完成实施方案，有利于采购项目实施的内容或合理性建议的）；</w:t>
            </w:r>
          </w:p>
          <w:p w14:paraId="0E136F27">
            <w:pPr>
              <w:keepNext w:val="0"/>
              <w:keepLines w:val="0"/>
              <w:pageBreakBefore w:val="0"/>
              <w:widowControl/>
              <w:tabs>
                <w:tab w:val="left" w:pos="180"/>
                <w:tab w:val="left" w:pos="1620"/>
              </w:tabs>
              <w:kinsoku/>
              <w:wordWrap/>
              <w:overflowPunct/>
              <w:topLinePunct w:val="0"/>
              <w:autoSpaceDE/>
              <w:autoSpaceDN/>
              <w:bidi w:val="0"/>
              <w:adjustRightInd/>
              <w:snapToGrid/>
              <w:spacing w:line="360" w:lineRule="exac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培训计划（包括但不限于：培训方式、培训次数、人数、课程内容及师资等）；</w:t>
            </w:r>
          </w:p>
          <w:p w14:paraId="0457BD26">
            <w:pPr>
              <w:keepNext w:val="0"/>
              <w:keepLines w:val="0"/>
              <w:pageBreakBefore w:val="0"/>
              <w:widowControl/>
              <w:tabs>
                <w:tab w:val="left" w:pos="180"/>
                <w:tab w:val="left" w:pos="1620"/>
              </w:tabs>
              <w:kinsoku/>
              <w:wordWrap/>
              <w:overflowPunct/>
              <w:topLinePunct w:val="0"/>
              <w:autoSpaceDE/>
              <w:autoSpaceDN/>
              <w:bidi w:val="0"/>
              <w:adjustRightInd/>
              <w:snapToGrid/>
              <w:spacing w:line="360" w:lineRule="exac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生产厂家售后服务承诺书等。</w:t>
            </w:r>
          </w:p>
        </w:tc>
      </w:tr>
    </w:tbl>
    <w:p w14:paraId="61E2EED1">
      <w:pPr>
        <w:rPr>
          <w:rFonts w:hint="eastAsia" w:ascii="宋体" w:cs="宋体"/>
          <w:color w:val="auto"/>
          <w:sz w:val="32"/>
          <w:szCs w:val="32"/>
          <w:highlight w:val="none"/>
        </w:rPr>
      </w:pPr>
      <w:r>
        <w:rPr>
          <w:rFonts w:hint="eastAsia" w:ascii="宋体" w:cs="宋体"/>
          <w:color w:val="auto"/>
          <w:sz w:val="32"/>
          <w:szCs w:val="32"/>
          <w:highlight w:val="none"/>
        </w:rPr>
        <w:br w:type="page"/>
      </w:r>
    </w:p>
    <w:p w14:paraId="737A7DE9">
      <w:pPr>
        <w:spacing w:line="428" w:lineRule="exact"/>
        <w:rPr>
          <w:rFonts w:hint="eastAsia" w:ascii="宋体" w:cs="宋体"/>
          <w:color w:val="auto"/>
          <w:sz w:val="32"/>
          <w:szCs w:val="32"/>
          <w:highlight w:val="none"/>
        </w:rPr>
      </w:pPr>
      <w:r>
        <w:rPr>
          <w:rFonts w:hint="eastAsia" w:ascii="宋体" w:cs="宋体"/>
          <w:color w:val="auto"/>
          <w:sz w:val="32"/>
          <w:szCs w:val="32"/>
          <w:highlight w:val="none"/>
        </w:rPr>
        <w:t>附件1</w:t>
      </w:r>
    </w:p>
    <w:p w14:paraId="30F0FE27">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916"/>
        <w:gridCol w:w="1516"/>
        <w:gridCol w:w="1612"/>
        <w:gridCol w:w="4335"/>
      </w:tblGrid>
      <w:tr w14:paraId="191BA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41" w:type="dxa"/>
            <w:noWrap w:val="0"/>
            <w:vAlign w:val="top"/>
          </w:tcPr>
          <w:p w14:paraId="334CA022">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品目序号</w:t>
            </w:r>
          </w:p>
        </w:tc>
        <w:tc>
          <w:tcPr>
            <w:tcW w:w="4044" w:type="dxa"/>
            <w:gridSpan w:val="3"/>
            <w:noWrap w:val="0"/>
            <w:vAlign w:val="center"/>
          </w:tcPr>
          <w:p w14:paraId="2BCFE743">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名称</w:t>
            </w:r>
          </w:p>
        </w:tc>
        <w:tc>
          <w:tcPr>
            <w:tcW w:w="4335" w:type="dxa"/>
            <w:noWrap w:val="0"/>
            <w:vAlign w:val="center"/>
          </w:tcPr>
          <w:p w14:paraId="1662EAD1">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依据的标准</w:t>
            </w:r>
          </w:p>
        </w:tc>
      </w:tr>
      <w:tr w14:paraId="71A8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noWrap w:val="0"/>
            <w:vAlign w:val="center"/>
          </w:tcPr>
          <w:p w14:paraId="235BD28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916" w:type="dxa"/>
            <w:vMerge w:val="restart"/>
            <w:noWrap w:val="0"/>
            <w:vAlign w:val="center"/>
          </w:tcPr>
          <w:p w14:paraId="4B46B56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A020101计算机设备</w:t>
            </w:r>
          </w:p>
        </w:tc>
        <w:tc>
          <w:tcPr>
            <w:tcW w:w="1516" w:type="dxa"/>
            <w:noWrap w:val="0"/>
            <w:vAlign w:val="center"/>
          </w:tcPr>
          <w:p w14:paraId="648B2DC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★A02010104台式计算机</w:t>
            </w:r>
          </w:p>
        </w:tc>
        <w:tc>
          <w:tcPr>
            <w:tcW w:w="1612" w:type="dxa"/>
            <w:noWrap w:val="0"/>
            <w:vAlign w:val="center"/>
          </w:tcPr>
          <w:p w14:paraId="2EC8E2A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7B65F38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2E5D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14420E6B">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08B2451C">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2FF72E3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★A02010105便携式计算机</w:t>
            </w:r>
          </w:p>
        </w:tc>
        <w:tc>
          <w:tcPr>
            <w:tcW w:w="1612" w:type="dxa"/>
            <w:noWrap w:val="0"/>
            <w:vAlign w:val="center"/>
          </w:tcPr>
          <w:p w14:paraId="49DE001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29D4A9C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2340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006757D2">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4CBFDB3D">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55F84A9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★A02010107平板式微型计算机</w:t>
            </w:r>
          </w:p>
        </w:tc>
        <w:tc>
          <w:tcPr>
            <w:tcW w:w="1612" w:type="dxa"/>
            <w:noWrap w:val="0"/>
            <w:vAlign w:val="center"/>
          </w:tcPr>
          <w:p w14:paraId="6581A9A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1B698F5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28068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noWrap w:val="0"/>
            <w:vAlign w:val="center"/>
          </w:tcPr>
          <w:p w14:paraId="44341E5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916" w:type="dxa"/>
            <w:vMerge w:val="restart"/>
            <w:noWrap w:val="0"/>
            <w:vAlign w:val="center"/>
          </w:tcPr>
          <w:p w14:paraId="4B0E70F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A020106输入输出设备</w:t>
            </w:r>
          </w:p>
        </w:tc>
        <w:tc>
          <w:tcPr>
            <w:tcW w:w="1516" w:type="dxa"/>
            <w:vMerge w:val="restart"/>
            <w:noWrap w:val="0"/>
            <w:vAlign w:val="center"/>
          </w:tcPr>
          <w:p w14:paraId="3E078A5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A02010601打印设备</w:t>
            </w:r>
          </w:p>
        </w:tc>
        <w:tc>
          <w:tcPr>
            <w:tcW w:w="1612" w:type="dxa"/>
            <w:noWrap w:val="0"/>
            <w:vAlign w:val="center"/>
          </w:tcPr>
          <w:p w14:paraId="16417F9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A0201060101喷墨打印机</w:t>
            </w:r>
          </w:p>
        </w:tc>
        <w:tc>
          <w:tcPr>
            <w:tcW w:w="4335" w:type="dxa"/>
            <w:noWrap w:val="0"/>
            <w:vAlign w:val="center"/>
          </w:tcPr>
          <w:p w14:paraId="4848F05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492B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700B27D8">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384D8F8B">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4E0D85E5">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3AF85D1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★A0201060102激光打印机</w:t>
            </w:r>
          </w:p>
        </w:tc>
        <w:tc>
          <w:tcPr>
            <w:tcW w:w="4335" w:type="dxa"/>
            <w:noWrap w:val="0"/>
            <w:vAlign w:val="center"/>
          </w:tcPr>
          <w:p w14:paraId="6430E3A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4AEED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584B6136">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03E6D8F1">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1511E880">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64AA479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★A0201060104针式打印机</w:t>
            </w:r>
          </w:p>
        </w:tc>
        <w:tc>
          <w:tcPr>
            <w:tcW w:w="4335" w:type="dxa"/>
            <w:noWrap w:val="0"/>
            <w:vAlign w:val="center"/>
          </w:tcPr>
          <w:p w14:paraId="5781FC8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14757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01AAA120">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022DE53C">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41DEA5C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A02010604显示设备</w:t>
            </w:r>
          </w:p>
        </w:tc>
        <w:tc>
          <w:tcPr>
            <w:tcW w:w="1612" w:type="dxa"/>
            <w:noWrap w:val="0"/>
            <w:vAlign w:val="center"/>
          </w:tcPr>
          <w:p w14:paraId="6016812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★A0201060401液晶显示器</w:t>
            </w:r>
          </w:p>
        </w:tc>
        <w:tc>
          <w:tcPr>
            <w:tcW w:w="4335" w:type="dxa"/>
            <w:noWrap w:val="0"/>
            <w:vAlign w:val="center"/>
          </w:tcPr>
          <w:p w14:paraId="3D63A37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《计算机显示器能效限定值及能效等级》（GB21520）</w:t>
            </w:r>
          </w:p>
        </w:tc>
      </w:tr>
      <w:tr w14:paraId="4CA8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41" w:type="dxa"/>
            <w:vMerge w:val="continue"/>
            <w:noWrap w:val="0"/>
            <w:vAlign w:val="center"/>
          </w:tcPr>
          <w:p w14:paraId="041F24EA">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38C49C69">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68687A4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A02010609图形图像输入设备</w:t>
            </w:r>
          </w:p>
        </w:tc>
        <w:tc>
          <w:tcPr>
            <w:tcW w:w="1612" w:type="dxa"/>
            <w:noWrap w:val="0"/>
            <w:vAlign w:val="center"/>
          </w:tcPr>
          <w:p w14:paraId="6718E43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A0201060901扫描仪</w:t>
            </w:r>
          </w:p>
        </w:tc>
        <w:tc>
          <w:tcPr>
            <w:tcW w:w="4335" w:type="dxa"/>
            <w:noWrap w:val="0"/>
            <w:vAlign w:val="center"/>
          </w:tcPr>
          <w:p w14:paraId="5DB97A6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参照《复印机、打印机和传真机能效限定值及能效等级》（GB21521</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中打印速度为15页/分的针式打印机相关要求</w:t>
            </w:r>
          </w:p>
        </w:tc>
      </w:tr>
      <w:tr w14:paraId="73754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0A871FB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916" w:type="dxa"/>
            <w:noWrap w:val="0"/>
            <w:vAlign w:val="center"/>
          </w:tcPr>
          <w:p w14:paraId="514EB8A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A020202投影仪</w:t>
            </w:r>
          </w:p>
        </w:tc>
        <w:tc>
          <w:tcPr>
            <w:tcW w:w="1516" w:type="dxa"/>
            <w:noWrap w:val="0"/>
            <w:vAlign w:val="center"/>
          </w:tcPr>
          <w:p w14:paraId="268C340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7B54296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67F3727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《投影机能效限定值及能效等级》（GB32028）</w:t>
            </w:r>
          </w:p>
        </w:tc>
      </w:tr>
      <w:tr w14:paraId="616D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54E92E8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916" w:type="dxa"/>
            <w:noWrap w:val="0"/>
            <w:vAlign w:val="center"/>
          </w:tcPr>
          <w:p w14:paraId="2481F83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A020204多功能一体机</w:t>
            </w:r>
          </w:p>
        </w:tc>
        <w:tc>
          <w:tcPr>
            <w:tcW w:w="1516" w:type="dxa"/>
            <w:noWrap w:val="0"/>
            <w:vAlign w:val="center"/>
          </w:tcPr>
          <w:p w14:paraId="585BE55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2D0E180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60C8830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63BB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0A50B4A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916" w:type="dxa"/>
            <w:noWrap w:val="0"/>
            <w:vAlign w:val="center"/>
          </w:tcPr>
          <w:p w14:paraId="44EEA96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A020519泵</w:t>
            </w:r>
          </w:p>
        </w:tc>
        <w:tc>
          <w:tcPr>
            <w:tcW w:w="1516" w:type="dxa"/>
            <w:noWrap w:val="0"/>
            <w:vAlign w:val="center"/>
          </w:tcPr>
          <w:p w14:paraId="32887E2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A02051901离心泵</w:t>
            </w:r>
          </w:p>
        </w:tc>
        <w:tc>
          <w:tcPr>
            <w:tcW w:w="1612" w:type="dxa"/>
            <w:noWrap w:val="0"/>
            <w:vAlign w:val="center"/>
          </w:tcPr>
          <w:p w14:paraId="2CE9CAD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4898582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《清水离心泵能效限定值及节能评价值》（GB19762）</w:t>
            </w:r>
          </w:p>
        </w:tc>
      </w:tr>
      <w:tr w14:paraId="29FE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restart"/>
            <w:noWrap w:val="0"/>
            <w:vAlign w:val="center"/>
          </w:tcPr>
          <w:p w14:paraId="60EECF4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916" w:type="dxa"/>
            <w:vMerge w:val="restart"/>
            <w:noWrap w:val="0"/>
            <w:vAlign w:val="center"/>
          </w:tcPr>
          <w:p w14:paraId="5DB7C1B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A020523制冷空调设备</w:t>
            </w:r>
          </w:p>
        </w:tc>
        <w:tc>
          <w:tcPr>
            <w:tcW w:w="1516" w:type="dxa"/>
            <w:vMerge w:val="restart"/>
            <w:noWrap w:val="0"/>
            <w:vAlign w:val="center"/>
          </w:tcPr>
          <w:p w14:paraId="5F6F8B8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★A02052301制冷压缩机</w:t>
            </w:r>
          </w:p>
        </w:tc>
        <w:tc>
          <w:tcPr>
            <w:tcW w:w="1612" w:type="dxa"/>
            <w:noWrap w:val="0"/>
            <w:vAlign w:val="center"/>
          </w:tcPr>
          <w:p w14:paraId="32A381A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w:t>
            </w:r>
          </w:p>
        </w:tc>
        <w:tc>
          <w:tcPr>
            <w:tcW w:w="4335" w:type="dxa"/>
            <w:noWrap w:val="0"/>
            <w:vAlign w:val="center"/>
          </w:tcPr>
          <w:p w14:paraId="13BE85F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《冷水机组能效限定值及能效等级》（GB19577），《低环境温度空气源热泵（冷水）机组能效限定值及能效等级》（GB37480）</w:t>
            </w:r>
          </w:p>
        </w:tc>
      </w:tr>
      <w:tr w14:paraId="2FA9D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27F0E0BB">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1AE0567C">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238ECF65">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0AA3359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水源热泵机组</w:t>
            </w:r>
          </w:p>
        </w:tc>
        <w:tc>
          <w:tcPr>
            <w:tcW w:w="4335" w:type="dxa"/>
            <w:noWrap w:val="0"/>
            <w:vAlign w:val="center"/>
          </w:tcPr>
          <w:p w14:paraId="44221BD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《水（地）源热泵机组能效限定值及能效等级》（GB30721）</w:t>
            </w:r>
          </w:p>
        </w:tc>
      </w:tr>
      <w:tr w14:paraId="4A4D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1705A538">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07651371">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2FF3DD9E">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385605C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w:t>
            </w:r>
          </w:p>
        </w:tc>
        <w:tc>
          <w:tcPr>
            <w:tcW w:w="4335" w:type="dxa"/>
            <w:noWrap w:val="0"/>
            <w:vAlign w:val="center"/>
          </w:tcPr>
          <w:p w14:paraId="2015A83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《溴化锂吸收式冷水机组能效限定值及能效等级》（GB29540）</w:t>
            </w:r>
          </w:p>
        </w:tc>
      </w:tr>
      <w:tr w14:paraId="0FF82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3E322E74">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0B92531E">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14:paraId="157AC3D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★A02052305空调机组</w:t>
            </w:r>
          </w:p>
        </w:tc>
        <w:tc>
          <w:tcPr>
            <w:tcW w:w="1612" w:type="dxa"/>
            <w:noWrap w:val="0"/>
            <w:vAlign w:val="center"/>
          </w:tcPr>
          <w:p w14:paraId="6A62D17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多联式空调（热泵）机组(制冷量&gt;14000W)</w:t>
            </w:r>
          </w:p>
        </w:tc>
        <w:tc>
          <w:tcPr>
            <w:tcW w:w="4335" w:type="dxa"/>
            <w:noWrap w:val="0"/>
            <w:vAlign w:val="center"/>
          </w:tcPr>
          <w:p w14:paraId="5A11DEA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497B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0B2C58F8">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521D58FD">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592A57E5">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3C8C70B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单元式空气调节机(制冷量&gt;14000W</w:t>
            </w:r>
          </w:p>
        </w:tc>
        <w:tc>
          <w:tcPr>
            <w:tcW w:w="4335" w:type="dxa"/>
            <w:noWrap w:val="0"/>
            <w:vAlign w:val="center"/>
          </w:tcPr>
          <w:p w14:paraId="50093CB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《单元式空气调节机能效限定值及能效等级》（GB19576）《风管送风式空调机组能效限定值及能效等级》（GB37479）</w:t>
            </w:r>
          </w:p>
        </w:tc>
      </w:tr>
      <w:tr w14:paraId="16DA0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2C5CB3BC">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1ACD7138">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1FC77D2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★A02052309专用制冷、空调设备</w:t>
            </w:r>
          </w:p>
        </w:tc>
        <w:tc>
          <w:tcPr>
            <w:tcW w:w="1612" w:type="dxa"/>
            <w:noWrap w:val="0"/>
            <w:vAlign w:val="center"/>
          </w:tcPr>
          <w:p w14:paraId="35A03DB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机房空调</w:t>
            </w:r>
          </w:p>
        </w:tc>
        <w:tc>
          <w:tcPr>
            <w:tcW w:w="4335" w:type="dxa"/>
            <w:noWrap w:val="0"/>
            <w:vAlign w:val="center"/>
          </w:tcPr>
          <w:p w14:paraId="1AB3619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w:t>
            </w:r>
          </w:p>
        </w:tc>
      </w:tr>
      <w:tr w14:paraId="7A37A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63F574DB">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7EADBDE5">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7C5151D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A02052399其他制冷空调设备</w:t>
            </w:r>
          </w:p>
        </w:tc>
        <w:tc>
          <w:tcPr>
            <w:tcW w:w="1612" w:type="dxa"/>
            <w:noWrap w:val="0"/>
            <w:vAlign w:val="center"/>
          </w:tcPr>
          <w:p w14:paraId="6909846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冷却塔</w:t>
            </w:r>
          </w:p>
        </w:tc>
        <w:tc>
          <w:tcPr>
            <w:tcW w:w="4335" w:type="dxa"/>
            <w:noWrap w:val="0"/>
            <w:vAlign w:val="center"/>
          </w:tcPr>
          <w:p w14:paraId="422FE63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《机械通风冷却塔第1部分：中小型开式冷却塔》（GB/T7190.1）；《机械通风冷却塔第2部分：大型开式冷却塔》（GB/T7190.2）</w:t>
            </w:r>
          </w:p>
        </w:tc>
      </w:tr>
      <w:tr w14:paraId="0040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3C1D42D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916" w:type="dxa"/>
            <w:noWrap w:val="0"/>
            <w:vAlign w:val="center"/>
          </w:tcPr>
          <w:p w14:paraId="69C6DEB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A020601电机</w:t>
            </w:r>
          </w:p>
        </w:tc>
        <w:tc>
          <w:tcPr>
            <w:tcW w:w="1516" w:type="dxa"/>
            <w:noWrap w:val="0"/>
            <w:vAlign w:val="center"/>
          </w:tcPr>
          <w:p w14:paraId="7DB186A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08F6EB3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2174A8C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《中小型三相异步电动机能效限定值及能效等级》（GB18613）</w:t>
            </w:r>
          </w:p>
        </w:tc>
      </w:tr>
      <w:tr w14:paraId="72AD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1395599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916" w:type="dxa"/>
            <w:noWrap w:val="0"/>
            <w:vAlign w:val="center"/>
          </w:tcPr>
          <w:p w14:paraId="0046AC3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A020602变压器</w:t>
            </w:r>
          </w:p>
        </w:tc>
        <w:tc>
          <w:tcPr>
            <w:tcW w:w="1516" w:type="dxa"/>
            <w:noWrap w:val="0"/>
            <w:vAlign w:val="center"/>
          </w:tcPr>
          <w:p w14:paraId="236CB40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配电变压器</w:t>
            </w:r>
          </w:p>
        </w:tc>
        <w:tc>
          <w:tcPr>
            <w:tcW w:w="1612" w:type="dxa"/>
            <w:noWrap w:val="0"/>
            <w:vAlign w:val="center"/>
          </w:tcPr>
          <w:p w14:paraId="797D6B1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7E7C32B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《三相配电变压器能效限定值及能效等级》（GB20052）</w:t>
            </w:r>
          </w:p>
        </w:tc>
      </w:tr>
      <w:tr w14:paraId="7717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1DB8196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916" w:type="dxa"/>
            <w:noWrap w:val="0"/>
            <w:vAlign w:val="center"/>
          </w:tcPr>
          <w:p w14:paraId="5FDB0EE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★A020609镇流器</w:t>
            </w:r>
          </w:p>
        </w:tc>
        <w:tc>
          <w:tcPr>
            <w:tcW w:w="1516" w:type="dxa"/>
            <w:noWrap w:val="0"/>
            <w:vAlign w:val="center"/>
          </w:tcPr>
          <w:p w14:paraId="41DAA13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管型荧光灯镇流器</w:t>
            </w:r>
          </w:p>
        </w:tc>
        <w:tc>
          <w:tcPr>
            <w:tcW w:w="1612" w:type="dxa"/>
            <w:noWrap w:val="0"/>
            <w:vAlign w:val="center"/>
          </w:tcPr>
          <w:p w14:paraId="51AB42C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387F554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《管形荧光灯镇流器能效限定值及能效等级》（GB17896）</w:t>
            </w:r>
          </w:p>
        </w:tc>
      </w:tr>
      <w:tr w14:paraId="6BFF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noWrap w:val="0"/>
            <w:vAlign w:val="center"/>
          </w:tcPr>
          <w:p w14:paraId="147D643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916" w:type="dxa"/>
            <w:vMerge w:val="restart"/>
            <w:noWrap w:val="0"/>
            <w:vAlign w:val="center"/>
          </w:tcPr>
          <w:p w14:paraId="79FAD4A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A020618生活用电器</w:t>
            </w:r>
          </w:p>
        </w:tc>
        <w:tc>
          <w:tcPr>
            <w:tcW w:w="1516" w:type="dxa"/>
            <w:noWrap w:val="0"/>
            <w:vAlign w:val="center"/>
          </w:tcPr>
          <w:p w14:paraId="7ABA093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A0206180101电冰箱</w:t>
            </w:r>
          </w:p>
        </w:tc>
        <w:tc>
          <w:tcPr>
            <w:tcW w:w="1612" w:type="dxa"/>
            <w:noWrap w:val="0"/>
            <w:vAlign w:val="center"/>
          </w:tcPr>
          <w:p w14:paraId="71BD381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6AC583D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《家用电冰箱耗电量限定值及能效等级》（GB 12021.2）</w:t>
            </w:r>
          </w:p>
        </w:tc>
      </w:tr>
      <w:tr w14:paraId="08BC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41" w:type="dxa"/>
            <w:vMerge w:val="continue"/>
            <w:noWrap w:val="0"/>
            <w:vAlign w:val="center"/>
          </w:tcPr>
          <w:p w14:paraId="2456593D">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504BA27E">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14:paraId="23E1863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★A0206180203空调机</w:t>
            </w:r>
          </w:p>
        </w:tc>
        <w:tc>
          <w:tcPr>
            <w:tcW w:w="1612" w:type="dxa"/>
            <w:noWrap w:val="0"/>
            <w:vAlign w:val="center"/>
          </w:tcPr>
          <w:p w14:paraId="0015721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房间空气调节器</w:t>
            </w:r>
          </w:p>
        </w:tc>
        <w:tc>
          <w:tcPr>
            <w:tcW w:w="4335" w:type="dxa"/>
            <w:noWrap w:val="0"/>
            <w:vAlign w:val="center"/>
          </w:tcPr>
          <w:p w14:paraId="1937FD0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1C7E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0FE0231B">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03881C07">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591E98D6">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3E94CE9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 14000W）</w:t>
            </w:r>
          </w:p>
        </w:tc>
        <w:tc>
          <w:tcPr>
            <w:tcW w:w="4335" w:type="dxa"/>
            <w:noWrap w:val="0"/>
            <w:vAlign w:val="center"/>
          </w:tcPr>
          <w:p w14:paraId="20AB248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4AE79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1296A69B">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04F7EC1D">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1AD38270">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60FCBC2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单元式空气调节机(制冷量≤14000W)</w:t>
            </w:r>
          </w:p>
        </w:tc>
        <w:tc>
          <w:tcPr>
            <w:tcW w:w="4335" w:type="dxa"/>
            <w:noWrap w:val="0"/>
            <w:vAlign w:val="center"/>
          </w:tcPr>
          <w:p w14:paraId="2EF8FED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《单元式空气调节机能效限定值及能源效率等级》（GB19576）《风管送风式空调机组能效限定值及能效等级》（GB37479）</w:t>
            </w:r>
          </w:p>
        </w:tc>
      </w:tr>
      <w:tr w14:paraId="2D2E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59AFFE3E">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07ECB773">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2B46A23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A0206180301洗衣机</w:t>
            </w:r>
          </w:p>
        </w:tc>
        <w:tc>
          <w:tcPr>
            <w:tcW w:w="1612" w:type="dxa"/>
            <w:noWrap w:val="0"/>
            <w:vAlign w:val="center"/>
          </w:tcPr>
          <w:p w14:paraId="4F92E20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4E6B2B5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《电动洗衣机能效水效限定值及等级》（GB12021.4）</w:t>
            </w:r>
          </w:p>
        </w:tc>
      </w:tr>
      <w:tr w14:paraId="6CCC7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244B6D15">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13423BEE">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14:paraId="5F809DE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A02061808热水器</w:t>
            </w:r>
          </w:p>
        </w:tc>
        <w:tc>
          <w:tcPr>
            <w:tcW w:w="1612" w:type="dxa"/>
            <w:noWrap w:val="0"/>
            <w:vAlign w:val="center"/>
          </w:tcPr>
          <w:p w14:paraId="5F73A26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★电热水器</w:t>
            </w:r>
          </w:p>
        </w:tc>
        <w:tc>
          <w:tcPr>
            <w:tcW w:w="4335" w:type="dxa"/>
            <w:noWrap w:val="0"/>
            <w:vAlign w:val="center"/>
          </w:tcPr>
          <w:p w14:paraId="7758660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《储水式电热水器能效限定值及能效等级》（GB21519）</w:t>
            </w:r>
          </w:p>
        </w:tc>
      </w:tr>
      <w:tr w14:paraId="7EFF0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0560D9B8">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11E3F12A">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6DFF1293">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70D6E8A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燃气热水器</w:t>
            </w:r>
          </w:p>
        </w:tc>
        <w:tc>
          <w:tcPr>
            <w:tcW w:w="4335" w:type="dxa"/>
            <w:noWrap w:val="0"/>
            <w:vAlign w:val="center"/>
          </w:tcPr>
          <w:p w14:paraId="7E691AE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《家用燃气快速热水器和燃气采暖热水炉能效限定值及能效等级》（GB20665）</w:t>
            </w:r>
          </w:p>
        </w:tc>
      </w:tr>
      <w:tr w14:paraId="10B1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7001E3F0">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60B8B8BE">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44484AA9">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0BAC70A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热泵热水器</w:t>
            </w:r>
          </w:p>
        </w:tc>
        <w:tc>
          <w:tcPr>
            <w:tcW w:w="4335" w:type="dxa"/>
            <w:noWrap w:val="0"/>
            <w:vAlign w:val="center"/>
          </w:tcPr>
          <w:p w14:paraId="028845F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《热泵热水机（器）能效限定值及能效等级》（GB29541）</w:t>
            </w:r>
          </w:p>
        </w:tc>
      </w:tr>
      <w:tr w14:paraId="294D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71138D5B">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0AE82D5C">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025E87CA">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70C4E81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太阳能热水系统</w:t>
            </w:r>
          </w:p>
        </w:tc>
        <w:tc>
          <w:tcPr>
            <w:tcW w:w="4335" w:type="dxa"/>
            <w:noWrap w:val="0"/>
            <w:vAlign w:val="center"/>
          </w:tcPr>
          <w:p w14:paraId="4716A2D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《家用太阳能热水系统能效限定值及能效等级》（GB26969）</w:t>
            </w:r>
          </w:p>
        </w:tc>
      </w:tr>
      <w:tr w14:paraId="51CE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restart"/>
            <w:noWrap w:val="0"/>
            <w:vAlign w:val="center"/>
          </w:tcPr>
          <w:p w14:paraId="7F00D02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916" w:type="dxa"/>
            <w:vMerge w:val="restart"/>
            <w:noWrap w:val="0"/>
            <w:vAlign w:val="center"/>
          </w:tcPr>
          <w:p w14:paraId="7DE4FCE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A020619照明设备</w:t>
            </w:r>
          </w:p>
        </w:tc>
        <w:tc>
          <w:tcPr>
            <w:tcW w:w="1516" w:type="dxa"/>
            <w:noWrap w:val="0"/>
            <w:vAlign w:val="center"/>
          </w:tcPr>
          <w:p w14:paraId="596C31B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w:t>
            </w:r>
          </w:p>
        </w:tc>
        <w:tc>
          <w:tcPr>
            <w:tcW w:w="1612" w:type="dxa"/>
            <w:noWrap w:val="0"/>
            <w:vAlign w:val="center"/>
          </w:tcPr>
          <w:p w14:paraId="7902094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2F2476C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《普通照明用双端荧光灯能效限定值及能效等级》（GB19043）</w:t>
            </w:r>
          </w:p>
        </w:tc>
      </w:tr>
      <w:tr w14:paraId="6F9F5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5EA423D3">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14802BB6">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498FF4F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LED道路/隧道照明产品</w:t>
            </w:r>
          </w:p>
        </w:tc>
        <w:tc>
          <w:tcPr>
            <w:tcW w:w="1612" w:type="dxa"/>
            <w:noWrap w:val="0"/>
            <w:vAlign w:val="center"/>
          </w:tcPr>
          <w:p w14:paraId="11FBEE2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7870550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《道路和隧道照明用LED灯具能效限定值及能效等级》（GB37478）</w:t>
            </w:r>
          </w:p>
        </w:tc>
      </w:tr>
      <w:tr w14:paraId="7047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191635FE">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366E2F96">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536E261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LED筒灯</w:t>
            </w:r>
          </w:p>
        </w:tc>
        <w:tc>
          <w:tcPr>
            <w:tcW w:w="1612" w:type="dxa"/>
            <w:noWrap w:val="0"/>
            <w:vAlign w:val="center"/>
          </w:tcPr>
          <w:p w14:paraId="421ACBF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141D1A5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34E5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vMerge w:val="continue"/>
            <w:noWrap w:val="0"/>
            <w:vAlign w:val="center"/>
          </w:tcPr>
          <w:p w14:paraId="1EA58486">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383C9A16">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1BAC393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普通照明用非定向自镇流LED灯</w:t>
            </w:r>
          </w:p>
        </w:tc>
        <w:tc>
          <w:tcPr>
            <w:tcW w:w="1612" w:type="dxa"/>
            <w:noWrap w:val="0"/>
            <w:vAlign w:val="center"/>
          </w:tcPr>
          <w:p w14:paraId="49C1742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749B4DE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297F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1" w:type="dxa"/>
            <w:noWrap w:val="0"/>
            <w:vAlign w:val="center"/>
          </w:tcPr>
          <w:p w14:paraId="37DE04F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916" w:type="dxa"/>
            <w:noWrap w:val="0"/>
            <w:vAlign w:val="center"/>
          </w:tcPr>
          <w:p w14:paraId="63FBDD7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★A020910电视设备</w:t>
            </w:r>
          </w:p>
        </w:tc>
        <w:tc>
          <w:tcPr>
            <w:tcW w:w="1516" w:type="dxa"/>
            <w:noWrap w:val="0"/>
            <w:vAlign w:val="center"/>
          </w:tcPr>
          <w:p w14:paraId="5003313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A02091001普通电视设备（电视机）</w:t>
            </w:r>
          </w:p>
        </w:tc>
        <w:tc>
          <w:tcPr>
            <w:tcW w:w="1612" w:type="dxa"/>
            <w:noWrap w:val="0"/>
            <w:vAlign w:val="center"/>
          </w:tcPr>
          <w:p w14:paraId="4E4A102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27BB9B5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《平板电视能效限定值及能效等级》（GB24850）</w:t>
            </w:r>
          </w:p>
        </w:tc>
      </w:tr>
      <w:tr w14:paraId="1554C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41" w:type="dxa"/>
            <w:noWrap w:val="0"/>
            <w:vAlign w:val="center"/>
          </w:tcPr>
          <w:p w14:paraId="2A0F9E4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916" w:type="dxa"/>
            <w:noWrap w:val="0"/>
            <w:vAlign w:val="center"/>
          </w:tcPr>
          <w:p w14:paraId="5588723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★A020911视频设备</w:t>
            </w:r>
          </w:p>
        </w:tc>
        <w:tc>
          <w:tcPr>
            <w:tcW w:w="1516" w:type="dxa"/>
            <w:noWrap w:val="0"/>
            <w:vAlign w:val="center"/>
          </w:tcPr>
          <w:p w14:paraId="3F54DB6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A02091107视频监控设备</w:t>
            </w:r>
          </w:p>
        </w:tc>
        <w:tc>
          <w:tcPr>
            <w:tcW w:w="1612" w:type="dxa"/>
            <w:noWrap w:val="0"/>
            <w:vAlign w:val="center"/>
          </w:tcPr>
          <w:p w14:paraId="2C794A9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监视器</w:t>
            </w:r>
          </w:p>
        </w:tc>
        <w:tc>
          <w:tcPr>
            <w:tcW w:w="4335" w:type="dxa"/>
            <w:noWrap w:val="0"/>
            <w:vAlign w:val="center"/>
          </w:tcPr>
          <w:p w14:paraId="0502B17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322E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132005D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p>
        </w:tc>
        <w:tc>
          <w:tcPr>
            <w:tcW w:w="916" w:type="dxa"/>
            <w:noWrap w:val="0"/>
            <w:vAlign w:val="center"/>
          </w:tcPr>
          <w:p w14:paraId="4707BF2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A031210饮食炊事机械</w:t>
            </w:r>
          </w:p>
        </w:tc>
        <w:tc>
          <w:tcPr>
            <w:tcW w:w="1516" w:type="dxa"/>
            <w:noWrap w:val="0"/>
            <w:vAlign w:val="center"/>
          </w:tcPr>
          <w:p w14:paraId="67910E1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w:t>
            </w:r>
          </w:p>
        </w:tc>
        <w:tc>
          <w:tcPr>
            <w:tcW w:w="1612" w:type="dxa"/>
            <w:noWrap w:val="0"/>
            <w:vAlign w:val="center"/>
          </w:tcPr>
          <w:p w14:paraId="02F37B6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36BCE7E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《商用燃气灶具能效限定值及能效等级》（GB30531）</w:t>
            </w:r>
          </w:p>
        </w:tc>
      </w:tr>
      <w:tr w14:paraId="3B5B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1" w:type="dxa"/>
            <w:vMerge w:val="restart"/>
            <w:noWrap w:val="0"/>
            <w:vAlign w:val="center"/>
          </w:tcPr>
          <w:p w14:paraId="6608509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916" w:type="dxa"/>
            <w:vMerge w:val="restart"/>
            <w:noWrap w:val="0"/>
            <w:vAlign w:val="center"/>
          </w:tcPr>
          <w:p w14:paraId="40FCBCC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★A060805便器</w:t>
            </w:r>
          </w:p>
        </w:tc>
        <w:tc>
          <w:tcPr>
            <w:tcW w:w="1516" w:type="dxa"/>
            <w:noWrap w:val="0"/>
            <w:vAlign w:val="center"/>
          </w:tcPr>
          <w:p w14:paraId="51FB213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w:t>
            </w:r>
          </w:p>
        </w:tc>
        <w:tc>
          <w:tcPr>
            <w:tcW w:w="1612" w:type="dxa"/>
            <w:noWrap w:val="0"/>
            <w:vAlign w:val="center"/>
          </w:tcPr>
          <w:p w14:paraId="37B1CA6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453DB4C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《坐便器水效限定值及水效等级》（GB25502）</w:t>
            </w:r>
          </w:p>
        </w:tc>
      </w:tr>
      <w:tr w14:paraId="1148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6C497A33">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27B7C277">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5645059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w:t>
            </w:r>
          </w:p>
        </w:tc>
        <w:tc>
          <w:tcPr>
            <w:tcW w:w="1612" w:type="dxa"/>
            <w:noWrap w:val="0"/>
            <w:vAlign w:val="center"/>
          </w:tcPr>
          <w:p w14:paraId="7D408F7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42E789B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《蹲便器用水效率限定值及用水效率等级》（GB30717）</w:t>
            </w:r>
          </w:p>
        </w:tc>
      </w:tr>
      <w:tr w14:paraId="3FC5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vMerge w:val="continue"/>
            <w:noWrap w:val="0"/>
            <w:vAlign w:val="center"/>
          </w:tcPr>
          <w:p w14:paraId="57CD6B31">
            <w:pPr>
              <w:widowControl/>
              <w:jc w:val="left"/>
              <w:rPr>
                <w:rFonts w:hint="eastAsia" w:ascii="宋体" w:hAnsi="宋体" w:eastAsia="宋体" w:cs="宋体"/>
                <w:color w:val="auto"/>
                <w:kern w:val="0"/>
                <w:sz w:val="20"/>
                <w:szCs w:val="20"/>
                <w:highlight w:val="none"/>
              </w:rPr>
            </w:pPr>
          </w:p>
        </w:tc>
        <w:tc>
          <w:tcPr>
            <w:tcW w:w="916" w:type="dxa"/>
            <w:vMerge w:val="continue"/>
            <w:noWrap w:val="0"/>
            <w:vAlign w:val="center"/>
          </w:tcPr>
          <w:p w14:paraId="4494BE7D">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7A8192B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w:t>
            </w:r>
          </w:p>
        </w:tc>
        <w:tc>
          <w:tcPr>
            <w:tcW w:w="1612" w:type="dxa"/>
            <w:noWrap w:val="0"/>
            <w:vAlign w:val="center"/>
          </w:tcPr>
          <w:p w14:paraId="1614BE2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43526EB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《小便器用水效率限定值及用水效率等级》（GB28377）</w:t>
            </w:r>
          </w:p>
        </w:tc>
      </w:tr>
      <w:tr w14:paraId="76C8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386027B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916" w:type="dxa"/>
            <w:noWrap w:val="0"/>
            <w:vAlign w:val="center"/>
          </w:tcPr>
          <w:p w14:paraId="0413938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★A060806水嘴</w:t>
            </w:r>
          </w:p>
        </w:tc>
        <w:tc>
          <w:tcPr>
            <w:tcW w:w="1516" w:type="dxa"/>
            <w:noWrap w:val="0"/>
            <w:vAlign w:val="center"/>
          </w:tcPr>
          <w:p w14:paraId="71618C4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046A087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681C799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《水嘴用水效率限定值及用水效率等级》（GB 25501）</w:t>
            </w:r>
          </w:p>
        </w:tc>
      </w:tr>
      <w:tr w14:paraId="7DA9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117F2D1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p>
        </w:tc>
        <w:tc>
          <w:tcPr>
            <w:tcW w:w="916" w:type="dxa"/>
            <w:noWrap w:val="0"/>
            <w:vAlign w:val="center"/>
          </w:tcPr>
          <w:p w14:paraId="57B6516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A060807便器冲洗阀</w:t>
            </w:r>
          </w:p>
        </w:tc>
        <w:tc>
          <w:tcPr>
            <w:tcW w:w="1516" w:type="dxa"/>
            <w:noWrap w:val="0"/>
            <w:vAlign w:val="center"/>
          </w:tcPr>
          <w:p w14:paraId="508D9C6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25C5888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0F36099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《便器冲洗阀用水效率限定值及用水效率等级》（GB28379）</w:t>
            </w:r>
          </w:p>
        </w:tc>
      </w:tr>
      <w:tr w14:paraId="706D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41" w:type="dxa"/>
            <w:noWrap w:val="0"/>
            <w:vAlign w:val="center"/>
          </w:tcPr>
          <w:p w14:paraId="47FA198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w:t>
            </w:r>
          </w:p>
        </w:tc>
        <w:tc>
          <w:tcPr>
            <w:tcW w:w="916" w:type="dxa"/>
            <w:noWrap w:val="0"/>
            <w:vAlign w:val="center"/>
          </w:tcPr>
          <w:p w14:paraId="49F0D93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A060810淋浴器</w:t>
            </w:r>
          </w:p>
        </w:tc>
        <w:tc>
          <w:tcPr>
            <w:tcW w:w="1516" w:type="dxa"/>
            <w:noWrap w:val="0"/>
            <w:vAlign w:val="center"/>
          </w:tcPr>
          <w:p w14:paraId="074889C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5D59420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6187362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《淋浴器用水效率限定值及用水效率等级》（GB28378）</w:t>
            </w:r>
          </w:p>
        </w:tc>
      </w:tr>
    </w:tbl>
    <w:p w14:paraId="799AFCD1">
      <w:pPr>
        <w:spacing w:after="120" w:line="360" w:lineRule="auto"/>
        <w:rPr>
          <w:rFonts w:hint="eastAsia" w:ascii="宋体" w:hAnsi="宋体" w:eastAsia="宋体" w:cs="宋体"/>
          <w:color w:val="auto"/>
          <w:spacing w:val="-3"/>
          <w:szCs w:val="21"/>
          <w:highlight w:val="none"/>
        </w:rPr>
      </w:pPr>
    </w:p>
    <w:p w14:paraId="1B6E2FB4">
      <w:pPr>
        <w:spacing w:after="120" w:line="360" w:lineRule="auto"/>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注：1.节能产品认证应依据相关国家标准的最新版本，依据国家标准中二级能效（水效）</w:t>
      </w:r>
      <w:r>
        <w:rPr>
          <w:rFonts w:hint="eastAsia" w:ascii="宋体" w:hAnsi="宋体" w:eastAsia="宋体" w:cs="宋体"/>
          <w:color w:val="auto"/>
          <w:szCs w:val="21"/>
          <w:highlight w:val="none"/>
        </w:rPr>
        <w:t>指标。</w:t>
      </w:r>
    </w:p>
    <w:p w14:paraId="0E88EEE9">
      <w:pPr>
        <w:spacing w:line="428" w:lineRule="exact"/>
        <w:rPr>
          <w:rFonts w:hint="eastAsia" w:ascii="宋体" w:cs="宋体"/>
          <w:color w:val="auto"/>
          <w:sz w:val="32"/>
          <w:szCs w:val="32"/>
          <w:highlight w:val="none"/>
        </w:rPr>
      </w:pPr>
      <w:r>
        <w:rPr>
          <w:rFonts w:hint="eastAsia" w:ascii="宋体" w:hAnsi="宋体" w:eastAsia="宋体" w:cs="宋体"/>
          <w:color w:val="auto"/>
          <w:szCs w:val="21"/>
          <w:highlight w:val="none"/>
        </w:rPr>
        <w:t xml:space="preserve">    2</w:t>
      </w:r>
      <w:r>
        <w:rPr>
          <w:rFonts w:hint="eastAsia" w:ascii="宋体" w:hAnsi="宋体" w:eastAsia="宋体" w:cs="宋体"/>
          <w:b/>
          <w:bCs/>
          <w:color w:val="auto"/>
          <w:szCs w:val="21"/>
          <w:highlight w:val="none"/>
        </w:rPr>
        <w:t>.以“★”标注的为政府强制采购产品。</w:t>
      </w:r>
    </w:p>
    <w:p w14:paraId="58A00117">
      <w:pPr>
        <w:spacing w:line="428" w:lineRule="exact"/>
        <w:rPr>
          <w:rFonts w:hint="eastAsia" w:ascii="宋体" w:cs="宋体"/>
          <w:color w:val="auto"/>
          <w:sz w:val="32"/>
          <w:szCs w:val="32"/>
          <w:highlight w:val="none"/>
        </w:rPr>
      </w:pPr>
    </w:p>
    <w:p w14:paraId="2C34BCDE">
      <w:pPr>
        <w:spacing w:line="428" w:lineRule="exact"/>
        <w:rPr>
          <w:rFonts w:hint="eastAsia" w:ascii="宋体" w:cs="宋体"/>
          <w:color w:val="auto"/>
          <w:sz w:val="32"/>
          <w:szCs w:val="32"/>
          <w:highlight w:val="none"/>
        </w:rPr>
      </w:pPr>
    </w:p>
    <w:p w14:paraId="23AE2C97">
      <w:pPr>
        <w:spacing w:line="428" w:lineRule="exact"/>
        <w:rPr>
          <w:rFonts w:hint="eastAsia" w:ascii="宋体" w:cs="宋体"/>
          <w:color w:val="auto"/>
          <w:sz w:val="32"/>
          <w:szCs w:val="32"/>
          <w:highlight w:val="none"/>
        </w:rPr>
      </w:pPr>
    </w:p>
    <w:p w14:paraId="7D139874">
      <w:pPr>
        <w:spacing w:line="428" w:lineRule="exact"/>
        <w:rPr>
          <w:rFonts w:hint="eastAsia" w:ascii="宋体" w:cs="宋体"/>
          <w:color w:val="auto"/>
          <w:sz w:val="32"/>
          <w:szCs w:val="32"/>
          <w:highlight w:val="none"/>
        </w:rPr>
      </w:pPr>
    </w:p>
    <w:p w14:paraId="37B58AD9">
      <w:pPr>
        <w:spacing w:line="428" w:lineRule="exact"/>
        <w:rPr>
          <w:rFonts w:hint="eastAsia" w:ascii="宋体" w:cs="宋体"/>
          <w:color w:val="auto"/>
          <w:sz w:val="32"/>
          <w:szCs w:val="32"/>
          <w:highlight w:val="none"/>
        </w:rPr>
      </w:pPr>
    </w:p>
    <w:p w14:paraId="36D370D5">
      <w:pPr>
        <w:spacing w:before="7"/>
        <w:rPr>
          <w:rFonts w:ascii="宋体" w:cs="宋体"/>
          <w:color w:val="auto"/>
          <w:sz w:val="17"/>
          <w:szCs w:val="17"/>
          <w:highlight w:val="none"/>
        </w:rPr>
      </w:pPr>
    </w:p>
    <w:p w14:paraId="63BE227F">
      <w:pPr>
        <w:widowControl/>
        <w:spacing w:before="165" w:beforeLines="50" w:after="165" w:afterLines="50" w:line="280" w:lineRule="exact"/>
        <w:jc w:val="center"/>
        <w:rPr>
          <w:rFonts w:hint="eastAsia" w:ascii="宋体" w:cs="宋体"/>
          <w:b/>
          <w:bCs/>
          <w:color w:val="auto"/>
          <w:kern w:val="0"/>
          <w:sz w:val="30"/>
          <w:szCs w:val="30"/>
          <w:highlight w:val="none"/>
        </w:rPr>
      </w:pPr>
      <w:bookmarkStart w:id="61" w:name="_Toc28361_WPSOffice_Level2"/>
    </w:p>
    <w:p w14:paraId="0DD9542D">
      <w:pPr>
        <w:widowControl/>
        <w:spacing w:before="165" w:beforeLines="50" w:after="165" w:afterLines="50" w:line="280" w:lineRule="exact"/>
        <w:jc w:val="center"/>
        <w:rPr>
          <w:rFonts w:hint="eastAsia" w:ascii="宋体" w:cs="宋体"/>
          <w:b/>
          <w:bCs/>
          <w:color w:val="auto"/>
          <w:kern w:val="0"/>
          <w:sz w:val="30"/>
          <w:szCs w:val="30"/>
          <w:highlight w:val="none"/>
        </w:rPr>
      </w:pPr>
    </w:p>
    <w:p w14:paraId="62B96518">
      <w:pPr>
        <w:widowControl/>
        <w:spacing w:before="165" w:beforeLines="50" w:after="165" w:afterLines="50" w:line="280" w:lineRule="exact"/>
        <w:jc w:val="center"/>
        <w:rPr>
          <w:rFonts w:hint="eastAsia" w:ascii="宋体" w:cs="宋体"/>
          <w:b/>
          <w:bCs/>
          <w:color w:val="auto"/>
          <w:kern w:val="0"/>
          <w:sz w:val="30"/>
          <w:szCs w:val="30"/>
          <w:highlight w:val="none"/>
        </w:rPr>
      </w:pPr>
    </w:p>
    <w:p w14:paraId="6E301673">
      <w:pPr>
        <w:spacing w:line="428" w:lineRule="exact"/>
        <w:rPr>
          <w:rFonts w:hint="default" w:ascii="宋体" w:hAnsi="Times New Roman" w:eastAsia="宋体" w:cs="宋体"/>
          <w:color w:val="auto"/>
          <w:sz w:val="32"/>
          <w:szCs w:val="32"/>
          <w:highlight w:val="none"/>
          <w:lang w:val="en-US" w:eastAsia="zh-CN"/>
        </w:rPr>
      </w:pPr>
      <w:r>
        <w:rPr>
          <w:rFonts w:hint="eastAsia" w:ascii="宋体" w:hAnsi="Times New Roman" w:eastAsia="宋体" w:cs="宋体"/>
          <w:color w:val="auto"/>
          <w:sz w:val="32"/>
          <w:szCs w:val="32"/>
          <w:highlight w:val="none"/>
          <w:lang w:val="en-US" w:eastAsia="zh-CN"/>
        </w:rPr>
        <w:t>附件2</w:t>
      </w:r>
    </w:p>
    <w:p w14:paraId="7C866355">
      <w:pPr>
        <w:widowControl/>
        <w:spacing w:before="165" w:beforeLines="50" w:after="165" w:afterLines="50" w:line="280" w:lineRule="exact"/>
        <w:jc w:val="center"/>
        <w:rPr>
          <w:rFonts w:hint="eastAsia" w:ascii="宋体" w:cs="宋体"/>
          <w:b/>
          <w:bCs/>
          <w:color w:val="auto"/>
          <w:kern w:val="0"/>
          <w:sz w:val="30"/>
          <w:szCs w:val="30"/>
          <w:highlight w:val="none"/>
        </w:rPr>
      </w:pPr>
    </w:p>
    <w:p w14:paraId="6727B20E">
      <w:pPr>
        <w:widowControl/>
        <w:spacing w:before="165" w:beforeLines="50" w:after="165" w:afterLines="50" w:line="280" w:lineRule="exact"/>
        <w:jc w:val="center"/>
        <w:rPr>
          <w:rFonts w:ascii="宋体" w:cs="宋体"/>
          <w:b/>
          <w:bCs/>
          <w:color w:val="auto"/>
          <w:kern w:val="0"/>
          <w:sz w:val="30"/>
          <w:szCs w:val="30"/>
          <w:highlight w:val="none"/>
        </w:rPr>
      </w:pPr>
      <w:r>
        <w:rPr>
          <w:rFonts w:hint="eastAsia" w:ascii="宋体" w:cs="宋体"/>
          <w:b/>
          <w:bCs/>
          <w:color w:val="auto"/>
          <w:kern w:val="0"/>
          <w:sz w:val="30"/>
          <w:szCs w:val="30"/>
          <w:highlight w:val="none"/>
        </w:rPr>
        <w:t>统计上大中小微型企业划分标准</w:t>
      </w:r>
      <w:bookmarkEnd w:id="61"/>
    </w:p>
    <w:tbl>
      <w:tblPr>
        <w:tblStyle w:val="27"/>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60CD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vAlign w:val="center"/>
          </w:tcPr>
          <w:p w14:paraId="76A3A65E">
            <w:pPr>
              <w:widowControl/>
              <w:spacing w:line="280" w:lineRule="exact"/>
              <w:jc w:val="center"/>
              <w:rPr>
                <w:rFonts w:ascii="宋体" w:cs="宋体"/>
                <w:b/>
                <w:bCs/>
                <w:color w:val="auto"/>
                <w:kern w:val="0"/>
                <w:sz w:val="18"/>
                <w:szCs w:val="21"/>
                <w:highlight w:val="none"/>
              </w:rPr>
            </w:pPr>
            <w:r>
              <w:rPr>
                <w:rFonts w:hint="eastAsia" w:ascii="宋体" w:cs="宋体"/>
                <w:b/>
                <w:bCs/>
                <w:color w:val="auto"/>
                <w:kern w:val="0"/>
                <w:sz w:val="18"/>
                <w:szCs w:val="21"/>
                <w:highlight w:val="none"/>
              </w:rPr>
              <w:t>行业名称</w:t>
            </w:r>
          </w:p>
        </w:tc>
        <w:tc>
          <w:tcPr>
            <w:tcW w:w="1369" w:type="dxa"/>
            <w:shd w:val="clear" w:color="auto" w:fill="8DB3E2"/>
            <w:vAlign w:val="center"/>
          </w:tcPr>
          <w:p w14:paraId="5493228F">
            <w:pPr>
              <w:widowControl/>
              <w:spacing w:line="280" w:lineRule="exact"/>
              <w:jc w:val="center"/>
              <w:rPr>
                <w:rFonts w:ascii="宋体" w:cs="宋体"/>
                <w:b/>
                <w:bCs/>
                <w:color w:val="auto"/>
                <w:kern w:val="0"/>
                <w:sz w:val="18"/>
                <w:szCs w:val="18"/>
                <w:highlight w:val="none"/>
              </w:rPr>
            </w:pPr>
            <w:r>
              <w:rPr>
                <w:rFonts w:hint="eastAsia" w:ascii="宋体" w:cs="宋体"/>
                <w:b/>
                <w:bCs/>
                <w:color w:val="auto"/>
                <w:kern w:val="0"/>
                <w:sz w:val="18"/>
                <w:szCs w:val="18"/>
                <w:highlight w:val="none"/>
              </w:rPr>
              <w:t>指标名称</w:t>
            </w:r>
          </w:p>
        </w:tc>
        <w:tc>
          <w:tcPr>
            <w:tcW w:w="709" w:type="dxa"/>
            <w:shd w:val="clear" w:color="auto" w:fill="8DB3E2"/>
            <w:vAlign w:val="center"/>
          </w:tcPr>
          <w:p w14:paraId="0ADF8842">
            <w:pPr>
              <w:widowControl/>
              <w:spacing w:line="280" w:lineRule="exact"/>
              <w:jc w:val="center"/>
              <w:rPr>
                <w:rFonts w:ascii="宋体" w:cs="宋体"/>
                <w:b/>
                <w:bCs/>
                <w:color w:val="auto"/>
                <w:kern w:val="0"/>
                <w:sz w:val="18"/>
                <w:szCs w:val="18"/>
                <w:highlight w:val="none"/>
              </w:rPr>
            </w:pPr>
            <w:r>
              <w:rPr>
                <w:rFonts w:hint="eastAsia" w:ascii="宋体" w:cs="宋体"/>
                <w:b/>
                <w:bCs/>
                <w:color w:val="auto"/>
                <w:kern w:val="0"/>
                <w:sz w:val="18"/>
                <w:szCs w:val="18"/>
                <w:highlight w:val="none"/>
              </w:rPr>
              <w:t>计量</w:t>
            </w:r>
          </w:p>
          <w:p w14:paraId="7F343E62">
            <w:pPr>
              <w:widowControl/>
              <w:spacing w:line="280" w:lineRule="exact"/>
              <w:jc w:val="center"/>
              <w:rPr>
                <w:rFonts w:ascii="宋体" w:cs="宋体"/>
                <w:b/>
                <w:bCs/>
                <w:color w:val="auto"/>
                <w:kern w:val="0"/>
                <w:sz w:val="18"/>
                <w:szCs w:val="18"/>
                <w:highlight w:val="none"/>
              </w:rPr>
            </w:pPr>
            <w:r>
              <w:rPr>
                <w:rFonts w:hint="eastAsia" w:ascii="宋体" w:cs="宋体"/>
                <w:b/>
                <w:bCs/>
                <w:color w:val="auto"/>
                <w:kern w:val="0"/>
                <w:sz w:val="18"/>
                <w:szCs w:val="18"/>
                <w:highlight w:val="none"/>
              </w:rPr>
              <w:t>单位</w:t>
            </w:r>
          </w:p>
        </w:tc>
        <w:tc>
          <w:tcPr>
            <w:tcW w:w="1125" w:type="dxa"/>
            <w:shd w:val="clear" w:color="auto" w:fill="8DB3E2"/>
            <w:vAlign w:val="center"/>
          </w:tcPr>
          <w:p w14:paraId="5C7B8402">
            <w:pPr>
              <w:widowControl/>
              <w:spacing w:line="280" w:lineRule="exact"/>
              <w:jc w:val="center"/>
              <w:rPr>
                <w:rFonts w:ascii="宋体" w:cs="宋体"/>
                <w:b/>
                <w:bCs/>
                <w:color w:val="auto"/>
                <w:kern w:val="0"/>
                <w:sz w:val="18"/>
                <w:szCs w:val="18"/>
                <w:highlight w:val="none"/>
              </w:rPr>
            </w:pPr>
            <w:r>
              <w:rPr>
                <w:rFonts w:hint="eastAsia" w:ascii="宋体" w:cs="宋体"/>
                <w:b/>
                <w:bCs/>
                <w:color w:val="auto"/>
                <w:kern w:val="0"/>
                <w:sz w:val="18"/>
                <w:szCs w:val="18"/>
                <w:highlight w:val="none"/>
              </w:rPr>
              <w:t>大型</w:t>
            </w:r>
          </w:p>
        </w:tc>
        <w:tc>
          <w:tcPr>
            <w:tcW w:w="1701" w:type="dxa"/>
            <w:shd w:val="clear" w:color="auto" w:fill="8DB3E2"/>
            <w:vAlign w:val="center"/>
          </w:tcPr>
          <w:p w14:paraId="5EE4995D">
            <w:pPr>
              <w:widowControl/>
              <w:spacing w:line="280" w:lineRule="exact"/>
              <w:jc w:val="center"/>
              <w:rPr>
                <w:rFonts w:ascii="宋体" w:cs="宋体"/>
                <w:b/>
                <w:bCs/>
                <w:color w:val="auto"/>
                <w:kern w:val="0"/>
                <w:sz w:val="18"/>
                <w:szCs w:val="18"/>
                <w:highlight w:val="none"/>
              </w:rPr>
            </w:pPr>
            <w:r>
              <w:rPr>
                <w:rFonts w:hint="eastAsia" w:ascii="宋体" w:cs="宋体"/>
                <w:b/>
                <w:bCs/>
                <w:color w:val="auto"/>
                <w:kern w:val="0"/>
                <w:sz w:val="18"/>
                <w:szCs w:val="18"/>
                <w:highlight w:val="none"/>
              </w:rPr>
              <w:t>中型</w:t>
            </w:r>
          </w:p>
        </w:tc>
        <w:tc>
          <w:tcPr>
            <w:tcW w:w="1426" w:type="dxa"/>
            <w:shd w:val="clear" w:color="auto" w:fill="8DB3E2"/>
            <w:vAlign w:val="center"/>
          </w:tcPr>
          <w:p w14:paraId="23AB2374">
            <w:pPr>
              <w:widowControl/>
              <w:spacing w:line="280" w:lineRule="exact"/>
              <w:jc w:val="center"/>
              <w:rPr>
                <w:rFonts w:ascii="宋体" w:cs="宋体"/>
                <w:b/>
                <w:bCs/>
                <w:color w:val="auto"/>
                <w:kern w:val="0"/>
                <w:sz w:val="18"/>
                <w:szCs w:val="18"/>
                <w:highlight w:val="none"/>
              </w:rPr>
            </w:pPr>
            <w:r>
              <w:rPr>
                <w:rFonts w:hint="eastAsia" w:ascii="宋体" w:cs="宋体"/>
                <w:b/>
                <w:bCs/>
                <w:color w:val="auto"/>
                <w:kern w:val="0"/>
                <w:sz w:val="18"/>
                <w:szCs w:val="18"/>
                <w:highlight w:val="none"/>
              </w:rPr>
              <w:t>小型</w:t>
            </w:r>
          </w:p>
        </w:tc>
        <w:tc>
          <w:tcPr>
            <w:tcW w:w="992" w:type="dxa"/>
            <w:shd w:val="clear" w:color="auto" w:fill="8DB3E2"/>
            <w:vAlign w:val="center"/>
          </w:tcPr>
          <w:p w14:paraId="6E22585F">
            <w:pPr>
              <w:widowControl/>
              <w:spacing w:line="280" w:lineRule="exact"/>
              <w:jc w:val="center"/>
              <w:rPr>
                <w:rFonts w:ascii="宋体" w:cs="宋体"/>
                <w:b/>
                <w:bCs/>
                <w:color w:val="auto"/>
                <w:kern w:val="0"/>
                <w:sz w:val="18"/>
                <w:szCs w:val="18"/>
                <w:highlight w:val="none"/>
              </w:rPr>
            </w:pPr>
            <w:r>
              <w:rPr>
                <w:rFonts w:hint="eastAsia" w:ascii="宋体" w:cs="宋体"/>
                <w:b/>
                <w:bCs/>
                <w:color w:val="auto"/>
                <w:kern w:val="0"/>
                <w:sz w:val="18"/>
                <w:szCs w:val="18"/>
                <w:highlight w:val="none"/>
              </w:rPr>
              <w:t>微型</w:t>
            </w:r>
          </w:p>
        </w:tc>
      </w:tr>
      <w:tr w14:paraId="7588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467905E3">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农、林、牧、渔业</w:t>
            </w:r>
          </w:p>
        </w:tc>
        <w:tc>
          <w:tcPr>
            <w:tcW w:w="1369" w:type="dxa"/>
            <w:vAlign w:val="center"/>
          </w:tcPr>
          <w:p w14:paraId="452A4734">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14:paraId="0100A346">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14:paraId="2A6CCBF4">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Y≥20000</w:t>
            </w:r>
          </w:p>
        </w:tc>
        <w:tc>
          <w:tcPr>
            <w:tcW w:w="1701" w:type="dxa"/>
            <w:vAlign w:val="center"/>
          </w:tcPr>
          <w:p w14:paraId="6FFB65FE">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500≤Y＜20000</w:t>
            </w:r>
          </w:p>
        </w:tc>
        <w:tc>
          <w:tcPr>
            <w:tcW w:w="1426" w:type="dxa"/>
            <w:vAlign w:val="center"/>
          </w:tcPr>
          <w:p w14:paraId="05F35944">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50≤Y＜500</w:t>
            </w:r>
          </w:p>
        </w:tc>
        <w:tc>
          <w:tcPr>
            <w:tcW w:w="992" w:type="dxa"/>
            <w:vAlign w:val="center"/>
          </w:tcPr>
          <w:p w14:paraId="5CDF5654">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Y＜50</w:t>
            </w:r>
          </w:p>
        </w:tc>
      </w:tr>
      <w:tr w14:paraId="46F0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DB3DE0A">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工业 *</w:t>
            </w:r>
          </w:p>
        </w:tc>
        <w:tc>
          <w:tcPr>
            <w:tcW w:w="1369" w:type="dxa"/>
            <w:vAlign w:val="center"/>
          </w:tcPr>
          <w:p w14:paraId="354F6CC4">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从业人员(X)</w:t>
            </w:r>
          </w:p>
        </w:tc>
        <w:tc>
          <w:tcPr>
            <w:tcW w:w="709" w:type="dxa"/>
            <w:vAlign w:val="center"/>
          </w:tcPr>
          <w:p w14:paraId="6C607AF8">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人</w:t>
            </w:r>
          </w:p>
        </w:tc>
        <w:tc>
          <w:tcPr>
            <w:tcW w:w="1125" w:type="dxa"/>
            <w:vAlign w:val="center"/>
          </w:tcPr>
          <w:p w14:paraId="63F333BB">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X≥1000</w:t>
            </w:r>
          </w:p>
        </w:tc>
        <w:tc>
          <w:tcPr>
            <w:tcW w:w="1701" w:type="dxa"/>
            <w:vAlign w:val="center"/>
          </w:tcPr>
          <w:p w14:paraId="0E953687">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300≤X＜1000</w:t>
            </w:r>
          </w:p>
        </w:tc>
        <w:tc>
          <w:tcPr>
            <w:tcW w:w="1426" w:type="dxa"/>
            <w:vAlign w:val="center"/>
          </w:tcPr>
          <w:p w14:paraId="50FCEA11">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20≤X＜300</w:t>
            </w:r>
          </w:p>
        </w:tc>
        <w:tc>
          <w:tcPr>
            <w:tcW w:w="992" w:type="dxa"/>
            <w:vAlign w:val="center"/>
          </w:tcPr>
          <w:p w14:paraId="511EA3B3">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X＜20</w:t>
            </w:r>
          </w:p>
        </w:tc>
      </w:tr>
      <w:tr w14:paraId="73D2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FA5159F">
            <w:pPr>
              <w:rPr>
                <w:color w:val="auto"/>
                <w:highlight w:val="none"/>
              </w:rPr>
            </w:pPr>
          </w:p>
        </w:tc>
        <w:tc>
          <w:tcPr>
            <w:tcW w:w="1369" w:type="dxa"/>
            <w:vAlign w:val="center"/>
          </w:tcPr>
          <w:p w14:paraId="504F1F02">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14:paraId="034F1032">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14:paraId="3D8396B8">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Y≥40000</w:t>
            </w:r>
          </w:p>
        </w:tc>
        <w:tc>
          <w:tcPr>
            <w:tcW w:w="1701" w:type="dxa"/>
            <w:vAlign w:val="center"/>
          </w:tcPr>
          <w:p w14:paraId="2BBF921B">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2000≤Y＜40000</w:t>
            </w:r>
          </w:p>
        </w:tc>
        <w:tc>
          <w:tcPr>
            <w:tcW w:w="1426" w:type="dxa"/>
            <w:vAlign w:val="center"/>
          </w:tcPr>
          <w:p w14:paraId="7E20C65B">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300≤Y＜2000</w:t>
            </w:r>
          </w:p>
        </w:tc>
        <w:tc>
          <w:tcPr>
            <w:tcW w:w="992" w:type="dxa"/>
            <w:vAlign w:val="center"/>
          </w:tcPr>
          <w:p w14:paraId="3698AE96">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Y＜300</w:t>
            </w:r>
          </w:p>
        </w:tc>
      </w:tr>
      <w:tr w14:paraId="0798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D439EEC">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建筑业</w:t>
            </w:r>
          </w:p>
        </w:tc>
        <w:tc>
          <w:tcPr>
            <w:tcW w:w="1369" w:type="dxa"/>
            <w:vAlign w:val="center"/>
          </w:tcPr>
          <w:p w14:paraId="340FBBBA">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14:paraId="5FBFAC17">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14:paraId="0C7C7B34">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Y≥80000</w:t>
            </w:r>
          </w:p>
        </w:tc>
        <w:tc>
          <w:tcPr>
            <w:tcW w:w="1701" w:type="dxa"/>
            <w:vAlign w:val="center"/>
          </w:tcPr>
          <w:p w14:paraId="33B3CF06">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6000≤Y＜80000</w:t>
            </w:r>
          </w:p>
        </w:tc>
        <w:tc>
          <w:tcPr>
            <w:tcW w:w="1426" w:type="dxa"/>
            <w:vAlign w:val="center"/>
          </w:tcPr>
          <w:p w14:paraId="25218663">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300≤Y＜6000</w:t>
            </w:r>
          </w:p>
        </w:tc>
        <w:tc>
          <w:tcPr>
            <w:tcW w:w="992" w:type="dxa"/>
            <w:vAlign w:val="center"/>
          </w:tcPr>
          <w:p w14:paraId="38832302">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Y＜300</w:t>
            </w:r>
          </w:p>
        </w:tc>
      </w:tr>
      <w:tr w14:paraId="073B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2F4AA11">
            <w:pPr>
              <w:rPr>
                <w:color w:val="auto"/>
                <w:highlight w:val="none"/>
              </w:rPr>
            </w:pPr>
          </w:p>
        </w:tc>
        <w:tc>
          <w:tcPr>
            <w:tcW w:w="1369" w:type="dxa"/>
            <w:vAlign w:val="center"/>
          </w:tcPr>
          <w:p w14:paraId="6E91262F">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资产总额(Z)</w:t>
            </w:r>
          </w:p>
        </w:tc>
        <w:tc>
          <w:tcPr>
            <w:tcW w:w="709" w:type="dxa"/>
            <w:vAlign w:val="center"/>
          </w:tcPr>
          <w:p w14:paraId="50830628">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14:paraId="0F06002F">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Z≥80000</w:t>
            </w:r>
          </w:p>
        </w:tc>
        <w:tc>
          <w:tcPr>
            <w:tcW w:w="1701" w:type="dxa"/>
            <w:vAlign w:val="center"/>
          </w:tcPr>
          <w:p w14:paraId="397BDDEB">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5000≤Z＜80000</w:t>
            </w:r>
          </w:p>
        </w:tc>
        <w:tc>
          <w:tcPr>
            <w:tcW w:w="1426" w:type="dxa"/>
            <w:vAlign w:val="center"/>
          </w:tcPr>
          <w:p w14:paraId="6D81E187">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300≤Z＜5000</w:t>
            </w:r>
          </w:p>
        </w:tc>
        <w:tc>
          <w:tcPr>
            <w:tcW w:w="992" w:type="dxa"/>
            <w:vAlign w:val="center"/>
          </w:tcPr>
          <w:p w14:paraId="2F42B032">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Z＜300</w:t>
            </w:r>
          </w:p>
        </w:tc>
      </w:tr>
      <w:tr w14:paraId="57326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67B1931">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批发业</w:t>
            </w:r>
          </w:p>
        </w:tc>
        <w:tc>
          <w:tcPr>
            <w:tcW w:w="1369" w:type="dxa"/>
            <w:vAlign w:val="center"/>
          </w:tcPr>
          <w:p w14:paraId="2ED75A91">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从业人员(X)</w:t>
            </w:r>
          </w:p>
        </w:tc>
        <w:tc>
          <w:tcPr>
            <w:tcW w:w="709" w:type="dxa"/>
            <w:vAlign w:val="center"/>
          </w:tcPr>
          <w:p w14:paraId="01D255F0">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人</w:t>
            </w:r>
          </w:p>
        </w:tc>
        <w:tc>
          <w:tcPr>
            <w:tcW w:w="1125" w:type="dxa"/>
            <w:vAlign w:val="center"/>
          </w:tcPr>
          <w:p w14:paraId="7F98BC04">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X≥200</w:t>
            </w:r>
          </w:p>
        </w:tc>
        <w:tc>
          <w:tcPr>
            <w:tcW w:w="1701" w:type="dxa"/>
            <w:vAlign w:val="center"/>
          </w:tcPr>
          <w:p w14:paraId="34F0E30C">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20≤X＜200</w:t>
            </w:r>
          </w:p>
        </w:tc>
        <w:tc>
          <w:tcPr>
            <w:tcW w:w="1426" w:type="dxa"/>
            <w:vAlign w:val="center"/>
          </w:tcPr>
          <w:p w14:paraId="2751CDB9">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5≤X＜20</w:t>
            </w:r>
          </w:p>
        </w:tc>
        <w:tc>
          <w:tcPr>
            <w:tcW w:w="992" w:type="dxa"/>
            <w:vAlign w:val="center"/>
          </w:tcPr>
          <w:p w14:paraId="41CAA178">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X＜5</w:t>
            </w:r>
          </w:p>
        </w:tc>
      </w:tr>
      <w:tr w14:paraId="1029C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D0C1BD5">
            <w:pPr>
              <w:rPr>
                <w:color w:val="auto"/>
                <w:highlight w:val="none"/>
              </w:rPr>
            </w:pPr>
          </w:p>
        </w:tc>
        <w:tc>
          <w:tcPr>
            <w:tcW w:w="1369" w:type="dxa"/>
            <w:vAlign w:val="center"/>
          </w:tcPr>
          <w:p w14:paraId="4C61FF43">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14:paraId="5018672F">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14:paraId="6E5B0429">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Y≥40000</w:t>
            </w:r>
          </w:p>
        </w:tc>
        <w:tc>
          <w:tcPr>
            <w:tcW w:w="1701" w:type="dxa"/>
            <w:vAlign w:val="center"/>
          </w:tcPr>
          <w:p w14:paraId="2AD005D2">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5000≤Y＜40000</w:t>
            </w:r>
          </w:p>
        </w:tc>
        <w:tc>
          <w:tcPr>
            <w:tcW w:w="1426" w:type="dxa"/>
            <w:vAlign w:val="center"/>
          </w:tcPr>
          <w:p w14:paraId="1DD65DFC">
            <w:pPr>
              <w:widowControl/>
              <w:spacing w:line="280" w:lineRule="exact"/>
              <w:ind w:left="-1" w:leftChars="-1" w:hanging="1"/>
              <w:jc w:val="center"/>
              <w:rPr>
                <w:rFonts w:ascii="宋体" w:cs="宋体"/>
                <w:color w:val="auto"/>
                <w:kern w:val="0"/>
                <w:sz w:val="18"/>
                <w:szCs w:val="18"/>
                <w:highlight w:val="none"/>
              </w:rPr>
            </w:pPr>
            <w:r>
              <w:rPr>
                <w:rFonts w:hint="eastAsia" w:ascii="宋体" w:cs="宋体"/>
                <w:color w:val="auto"/>
                <w:kern w:val="0"/>
                <w:sz w:val="18"/>
                <w:szCs w:val="18"/>
                <w:highlight w:val="none"/>
              </w:rPr>
              <w:t>1000≤Y＜5000</w:t>
            </w:r>
          </w:p>
        </w:tc>
        <w:tc>
          <w:tcPr>
            <w:tcW w:w="992" w:type="dxa"/>
            <w:vAlign w:val="center"/>
          </w:tcPr>
          <w:p w14:paraId="67B6C100">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Y＜1000</w:t>
            </w:r>
          </w:p>
        </w:tc>
      </w:tr>
      <w:tr w14:paraId="5F80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377756B">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零售业</w:t>
            </w:r>
          </w:p>
        </w:tc>
        <w:tc>
          <w:tcPr>
            <w:tcW w:w="1369" w:type="dxa"/>
            <w:vAlign w:val="center"/>
          </w:tcPr>
          <w:p w14:paraId="0F04197E">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从业人员(X)</w:t>
            </w:r>
          </w:p>
        </w:tc>
        <w:tc>
          <w:tcPr>
            <w:tcW w:w="709" w:type="dxa"/>
            <w:vAlign w:val="center"/>
          </w:tcPr>
          <w:p w14:paraId="31EAF8AD">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人</w:t>
            </w:r>
          </w:p>
        </w:tc>
        <w:tc>
          <w:tcPr>
            <w:tcW w:w="1125" w:type="dxa"/>
            <w:vAlign w:val="center"/>
          </w:tcPr>
          <w:p w14:paraId="6C4906F7">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X≥300</w:t>
            </w:r>
          </w:p>
        </w:tc>
        <w:tc>
          <w:tcPr>
            <w:tcW w:w="1701" w:type="dxa"/>
            <w:vAlign w:val="center"/>
          </w:tcPr>
          <w:p w14:paraId="07478FF9">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50≤X＜300</w:t>
            </w:r>
          </w:p>
        </w:tc>
        <w:tc>
          <w:tcPr>
            <w:tcW w:w="1426" w:type="dxa"/>
            <w:vAlign w:val="center"/>
          </w:tcPr>
          <w:p w14:paraId="1A1CA855">
            <w:pPr>
              <w:widowControl/>
              <w:spacing w:line="280" w:lineRule="exact"/>
              <w:ind w:left="-1" w:leftChars="-1" w:hanging="1"/>
              <w:jc w:val="center"/>
              <w:rPr>
                <w:rFonts w:ascii="宋体" w:cs="宋体"/>
                <w:color w:val="auto"/>
                <w:kern w:val="0"/>
                <w:sz w:val="18"/>
                <w:szCs w:val="18"/>
                <w:highlight w:val="none"/>
              </w:rPr>
            </w:pPr>
            <w:r>
              <w:rPr>
                <w:rFonts w:hint="eastAsia" w:ascii="宋体" w:cs="宋体"/>
                <w:color w:val="auto"/>
                <w:kern w:val="0"/>
                <w:sz w:val="18"/>
                <w:szCs w:val="18"/>
                <w:highlight w:val="none"/>
              </w:rPr>
              <w:t xml:space="preserve">10≤X＜50 </w:t>
            </w:r>
          </w:p>
        </w:tc>
        <w:tc>
          <w:tcPr>
            <w:tcW w:w="992" w:type="dxa"/>
            <w:vAlign w:val="center"/>
          </w:tcPr>
          <w:p w14:paraId="4D293436">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X＜10</w:t>
            </w:r>
          </w:p>
        </w:tc>
      </w:tr>
      <w:tr w14:paraId="6AE7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69D94E5">
            <w:pPr>
              <w:rPr>
                <w:color w:val="auto"/>
                <w:highlight w:val="none"/>
              </w:rPr>
            </w:pPr>
          </w:p>
        </w:tc>
        <w:tc>
          <w:tcPr>
            <w:tcW w:w="1369" w:type="dxa"/>
            <w:vAlign w:val="center"/>
          </w:tcPr>
          <w:p w14:paraId="45B4222F">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14:paraId="79CB97CD">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14:paraId="0D3CC132">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Y≥20000</w:t>
            </w:r>
          </w:p>
        </w:tc>
        <w:tc>
          <w:tcPr>
            <w:tcW w:w="1701" w:type="dxa"/>
            <w:vAlign w:val="center"/>
          </w:tcPr>
          <w:p w14:paraId="6455EBBB">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500≤Y＜20000</w:t>
            </w:r>
          </w:p>
        </w:tc>
        <w:tc>
          <w:tcPr>
            <w:tcW w:w="1426" w:type="dxa"/>
            <w:vAlign w:val="center"/>
          </w:tcPr>
          <w:p w14:paraId="2966B946">
            <w:pPr>
              <w:widowControl/>
              <w:spacing w:line="280" w:lineRule="exact"/>
              <w:ind w:left="-1" w:leftChars="-1" w:hanging="1"/>
              <w:jc w:val="center"/>
              <w:rPr>
                <w:rFonts w:ascii="宋体" w:cs="宋体"/>
                <w:color w:val="auto"/>
                <w:kern w:val="0"/>
                <w:sz w:val="18"/>
                <w:szCs w:val="18"/>
                <w:highlight w:val="none"/>
              </w:rPr>
            </w:pPr>
            <w:r>
              <w:rPr>
                <w:rFonts w:hint="eastAsia" w:ascii="宋体" w:cs="宋体"/>
                <w:color w:val="auto"/>
                <w:kern w:val="0"/>
                <w:sz w:val="18"/>
                <w:szCs w:val="18"/>
                <w:highlight w:val="none"/>
              </w:rPr>
              <w:t>100≤Y＜500</w:t>
            </w:r>
          </w:p>
        </w:tc>
        <w:tc>
          <w:tcPr>
            <w:tcW w:w="992" w:type="dxa"/>
            <w:vAlign w:val="center"/>
          </w:tcPr>
          <w:p w14:paraId="14FD92C2">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Y＜100</w:t>
            </w:r>
          </w:p>
        </w:tc>
      </w:tr>
      <w:tr w14:paraId="6076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2713BAC">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交通运输业 *</w:t>
            </w:r>
          </w:p>
        </w:tc>
        <w:tc>
          <w:tcPr>
            <w:tcW w:w="1369" w:type="dxa"/>
            <w:vAlign w:val="center"/>
          </w:tcPr>
          <w:p w14:paraId="5BF7408F">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从业人员(X)</w:t>
            </w:r>
          </w:p>
        </w:tc>
        <w:tc>
          <w:tcPr>
            <w:tcW w:w="709" w:type="dxa"/>
            <w:vAlign w:val="center"/>
          </w:tcPr>
          <w:p w14:paraId="1EB4EB26">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人</w:t>
            </w:r>
          </w:p>
        </w:tc>
        <w:tc>
          <w:tcPr>
            <w:tcW w:w="1125" w:type="dxa"/>
            <w:vAlign w:val="center"/>
          </w:tcPr>
          <w:p w14:paraId="0A6CA573">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X≥1000</w:t>
            </w:r>
          </w:p>
        </w:tc>
        <w:tc>
          <w:tcPr>
            <w:tcW w:w="1701" w:type="dxa"/>
            <w:vAlign w:val="center"/>
          </w:tcPr>
          <w:p w14:paraId="6511914D">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300≤X＜1000</w:t>
            </w:r>
          </w:p>
        </w:tc>
        <w:tc>
          <w:tcPr>
            <w:tcW w:w="1426" w:type="dxa"/>
            <w:vAlign w:val="center"/>
          </w:tcPr>
          <w:p w14:paraId="2778DE04">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20≤X＜300</w:t>
            </w:r>
          </w:p>
        </w:tc>
        <w:tc>
          <w:tcPr>
            <w:tcW w:w="992" w:type="dxa"/>
            <w:vAlign w:val="center"/>
          </w:tcPr>
          <w:p w14:paraId="04E8E435">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X＜20</w:t>
            </w:r>
          </w:p>
        </w:tc>
      </w:tr>
      <w:tr w14:paraId="41D0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2631367">
            <w:pPr>
              <w:rPr>
                <w:color w:val="auto"/>
                <w:highlight w:val="none"/>
              </w:rPr>
            </w:pPr>
          </w:p>
        </w:tc>
        <w:tc>
          <w:tcPr>
            <w:tcW w:w="1369" w:type="dxa"/>
            <w:vAlign w:val="center"/>
          </w:tcPr>
          <w:p w14:paraId="0E5E10FD">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14:paraId="1C85FEAE">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14:paraId="5B603E52">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Y≥30000</w:t>
            </w:r>
          </w:p>
        </w:tc>
        <w:tc>
          <w:tcPr>
            <w:tcW w:w="1701" w:type="dxa"/>
            <w:vAlign w:val="center"/>
          </w:tcPr>
          <w:p w14:paraId="17379C28">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3000≤Y＜30000</w:t>
            </w:r>
          </w:p>
        </w:tc>
        <w:tc>
          <w:tcPr>
            <w:tcW w:w="1426" w:type="dxa"/>
            <w:vAlign w:val="center"/>
          </w:tcPr>
          <w:p w14:paraId="0FA06534">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200≤Y＜3000</w:t>
            </w:r>
          </w:p>
        </w:tc>
        <w:tc>
          <w:tcPr>
            <w:tcW w:w="992" w:type="dxa"/>
            <w:vAlign w:val="center"/>
          </w:tcPr>
          <w:p w14:paraId="3DC5AA92">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Y＜200</w:t>
            </w:r>
          </w:p>
        </w:tc>
      </w:tr>
      <w:tr w14:paraId="49F8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023BAD3">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仓储业*</w:t>
            </w:r>
          </w:p>
        </w:tc>
        <w:tc>
          <w:tcPr>
            <w:tcW w:w="1369" w:type="dxa"/>
            <w:vAlign w:val="center"/>
          </w:tcPr>
          <w:p w14:paraId="0D4764E8">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从业人员(X)</w:t>
            </w:r>
          </w:p>
        </w:tc>
        <w:tc>
          <w:tcPr>
            <w:tcW w:w="709" w:type="dxa"/>
            <w:vAlign w:val="center"/>
          </w:tcPr>
          <w:p w14:paraId="3B0A9D04">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人</w:t>
            </w:r>
          </w:p>
        </w:tc>
        <w:tc>
          <w:tcPr>
            <w:tcW w:w="1125" w:type="dxa"/>
            <w:vAlign w:val="center"/>
          </w:tcPr>
          <w:p w14:paraId="677A07A8">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X≥200</w:t>
            </w:r>
          </w:p>
        </w:tc>
        <w:tc>
          <w:tcPr>
            <w:tcW w:w="1701" w:type="dxa"/>
            <w:vAlign w:val="center"/>
          </w:tcPr>
          <w:p w14:paraId="18AD973A">
            <w:pPr>
              <w:widowControl/>
              <w:spacing w:line="280" w:lineRule="exact"/>
              <w:ind w:left="1" w:leftChars="-51" w:hanging="108" w:hangingChars="60"/>
              <w:jc w:val="center"/>
              <w:rPr>
                <w:rFonts w:ascii="宋体" w:cs="宋体"/>
                <w:color w:val="auto"/>
                <w:kern w:val="0"/>
                <w:sz w:val="18"/>
                <w:szCs w:val="18"/>
                <w:highlight w:val="none"/>
              </w:rPr>
            </w:pPr>
            <w:r>
              <w:rPr>
                <w:rFonts w:hint="eastAsia" w:ascii="宋体" w:cs="宋体"/>
                <w:color w:val="auto"/>
                <w:kern w:val="0"/>
                <w:sz w:val="18"/>
                <w:szCs w:val="18"/>
                <w:highlight w:val="none"/>
              </w:rPr>
              <w:t>100≤X＜200</w:t>
            </w:r>
          </w:p>
        </w:tc>
        <w:tc>
          <w:tcPr>
            <w:tcW w:w="1426" w:type="dxa"/>
            <w:vAlign w:val="center"/>
          </w:tcPr>
          <w:p w14:paraId="2482C8CF">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20≤X＜100</w:t>
            </w:r>
          </w:p>
        </w:tc>
        <w:tc>
          <w:tcPr>
            <w:tcW w:w="992" w:type="dxa"/>
            <w:vAlign w:val="center"/>
          </w:tcPr>
          <w:p w14:paraId="65ED2C5A">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X＜20</w:t>
            </w:r>
          </w:p>
        </w:tc>
      </w:tr>
      <w:tr w14:paraId="731D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654188E">
            <w:pPr>
              <w:rPr>
                <w:color w:val="auto"/>
                <w:highlight w:val="none"/>
              </w:rPr>
            </w:pPr>
          </w:p>
        </w:tc>
        <w:tc>
          <w:tcPr>
            <w:tcW w:w="1369" w:type="dxa"/>
            <w:vAlign w:val="center"/>
          </w:tcPr>
          <w:p w14:paraId="7F499300">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14:paraId="3C073F6F">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14:paraId="276068BB">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Y≥30000</w:t>
            </w:r>
          </w:p>
        </w:tc>
        <w:tc>
          <w:tcPr>
            <w:tcW w:w="1701" w:type="dxa"/>
            <w:vAlign w:val="center"/>
          </w:tcPr>
          <w:p w14:paraId="175457C6">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1000≤Y＜30000</w:t>
            </w:r>
          </w:p>
        </w:tc>
        <w:tc>
          <w:tcPr>
            <w:tcW w:w="1426" w:type="dxa"/>
            <w:vAlign w:val="center"/>
          </w:tcPr>
          <w:p w14:paraId="48CA0A1D">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100≤Y＜1000</w:t>
            </w:r>
          </w:p>
        </w:tc>
        <w:tc>
          <w:tcPr>
            <w:tcW w:w="992" w:type="dxa"/>
            <w:vAlign w:val="center"/>
          </w:tcPr>
          <w:p w14:paraId="5918EEC2">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Y＜100</w:t>
            </w:r>
          </w:p>
        </w:tc>
      </w:tr>
      <w:tr w14:paraId="5872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6F7AC46">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邮政业</w:t>
            </w:r>
          </w:p>
        </w:tc>
        <w:tc>
          <w:tcPr>
            <w:tcW w:w="1369" w:type="dxa"/>
            <w:vAlign w:val="center"/>
          </w:tcPr>
          <w:p w14:paraId="46CA446A">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从业人员(X)</w:t>
            </w:r>
          </w:p>
        </w:tc>
        <w:tc>
          <w:tcPr>
            <w:tcW w:w="709" w:type="dxa"/>
            <w:vAlign w:val="center"/>
          </w:tcPr>
          <w:p w14:paraId="10C6F653">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人</w:t>
            </w:r>
          </w:p>
        </w:tc>
        <w:tc>
          <w:tcPr>
            <w:tcW w:w="1125" w:type="dxa"/>
            <w:vAlign w:val="center"/>
          </w:tcPr>
          <w:p w14:paraId="6E1CECCA">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X≥1000</w:t>
            </w:r>
          </w:p>
        </w:tc>
        <w:tc>
          <w:tcPr>
            <w:tcW w:w="1701" w:type="dxa"/>
            <w:vAlign w:val="center"/>
          </w:tcPr>
          <w:p w14:paraId="4B9443BB">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300≤X＜1000</w:t>
            </w:r>
          </w:p>
        </w:tc>
        <w:tc>
          <w:tcPr>
            <w:tcW w:w="1426" w:type="dxa"/>
            <w:vAlign w:val="center"/>
          </w:tcPr>
          <w:p w14:paraId="51965ED0">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20≤X＜300</w:t>
            </w:r>
          </w:p>
        </w:tc>
        <w:tc>
          <w:tcPr>
            <w:tcW w:w="992" w:type="dxa"/>
            <w:vAlign w:val="center"/>
          </w:tcPr>
          <w:p w14:paraId="2D2AA18A">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X＜20</w:t>
            </w:r>
          </w:p>
        </w:tc>
      </w:tr>
      <w:tr w14:paraId="7A52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8CC3D41">
            <w:pPr>
              <w:rPr>
                <w:color w:val="auto"/>
                <w:highlight w:val="none"/>
              </w:rPr>
            </w:pPr>
          </w:p>
        </w:tc>
        <w:tc>
          <w:tcPr>
            <w:tcW w:w="1369" w:type="dxa"/>
            <w:vAlign w:val="center"/>
          </w:tcPr>
          <w:p w14:paraId="44CC9AEF">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14:paraId="161D4C07">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14:paraId="5E758FD4">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Y≥30000</w:t>
            </w:r>
          </w:p>
        </w:tc>
        <w:tc>
          <w:tcPr>
            <w:tcW w:w="1701" w:type="dxa"/>
            <w:vAlign w:val="center"/>
          </w:tcPr>
          <w:p w14:paraId="08A1DC24">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2000≤Y＜30000</w:t>
            </w:r>
          </w:p>
        </w:tc>
        <w:tc>
          <w:tcPr>
            <w:tcW w:w="1426" w:type="dxa"/>
            <w:vAlign w:val="center"/>
          </w:tcPr>
          <w:p w14:paraId="24B76D01">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100≤Y＜2000</w:t>
            </w:r>
          </w:p>
        </w:tc>
        <w:tc>
          <w:tcPr>
            <w:tcW w:w="992" w:type="dxa"/>
            <w:vAlign w:val="center"/>
          </w:tcPr>
          <w:p w14:paraId="29EA2CCD">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Y＜100</w:t>
            </w:r>
          </w:p>
        </w:tc>
      </w:tr>
      <w:tr w14:paraId="231F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55EC476">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住宿业</w:t>
            </w:r>
          </w:p>
        </w:tc>
        <w:tc>
          <w:tcPr>
            <w:tcW w:w="1369" w:type="dxa"/>
            <w:vAlign w:val="center"/>
          </w:tcPr>
          <w:p w14:paraId="28DCC297">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从业人员(X)</w:t>
            </w:r>
          </w:p>
        </w:tc>
        <w:tc>
          <w:tcPr>
            <w:tcW w:w="709" w:type="dxa"/>
            <w:vAlign w:val="center"/>
          </w:tcPr>
          <w:p w14:paraId="2C83BE3D">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人</w:t>
            </w:r>
          </w:p>
        </w:tc>
        <w:tc>
          <w:tcPr>
            <w:tcW w:w="1125" w:type="dxa"/>
            <w:vAlign w:val="center"/>
          </w:tcPr>
          <w:p w14:paraId="6BCBA740">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X≥300</w:t>
            </w:r>
          </w:p>
        </w:tc>
        <w:tc>
          <w:tcPr>
            <w:tcW w:w="1701" w:type="dxa"/>
            <w:vAlign w:val="center"/>
          </w:tcPr>
          <w:p w14:paraId="3D21BAB9">
            <w:pPr>
              <w:widowControl/>
              <w:spacing w:line="280" w:lineRule="exact"/>
              <w:ind w:left="1" w:leftChars="-51" w:hanging="108" w:hangingChars="60"/>
              <w:jc w:val="center"/>
              <w:rPr>
                <w:rFonts w:ascii="宋体" w:cs="宋体"/>
                <w:color w:val="auto"/>
                <w:kern w:val="0"/>
                <w:sz w:val="18"/>
                <w:szCs w:val="18"/>
                <w:highlight w:val="none"/>
              </w:rPr>
            </w:pPr>
            <w:r>
              <w:rPr>
                <w:rFonts w:hint="eastAsia" w:ascii="宋体" w:cs="宋体"/>
                <w:color w:val="auto"/>
                <w:kern w:val="0"/>
                <w:sz w:val="18"/>
                <w:szCs w:val="18"/>
                <w:highlight w:val="none"/>
              </w:rPr>
              <w:t>100≤X＜300</w:t>
            </w:r>
          </w:p>
        </w:tc>
        <w:tc>
          <w:tcPr>
            <w:tcW w:w="1426" w:type="dxa"/>
            <w:vAlign w:val="center"/>
          </w:tcPr>
          <w:p w14:paraId="7C93008D">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10≤X＜100</w:t>
            </w:r>
          </w:p>
        </w:tc>
        <w:tc>
          <w:tcPr>
            <w:tcW w:w="992" w:type="dxa"/>
            <w:vAlign w:val="center"/>
          </w:tcPr>
          <w:p w14:paraId="21A64266">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X＜10</w:t>
            </w:r>
          </w:p>
        </w:tc>
      </w:tr>
      <w:tr w14:paraId="1D7B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9AE1581">
            <w:pPr>
              <w:rPr>
                <w:color w:val="auto"/>
                <w:highlight w:val="none"/>
              </w:rPr>
            </w:pPr>
          </w:p>
        </w:tc>
        <w:tc>
          <w:tcPr>
            <w:tcW w:w="1369" w:type="dxa"/>
            <w:vAlign w:val="center"/>
          </w:tcPr>
          <w:p w14:paraId="729FF691">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14:paraId="54B746BD">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14:paraId="4F44AF8C">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Y≥10000</w:t>
            </w:r>
          </w:p>
        </w:tc>
        <w:tc>
          <w:tcPr>
            <w:tcW w:w="1701" w:type="dxa"/>
            <w:vAlign w:val="center"/>
          </w:tcPr>
          <w:p w14:paraId="2DCCF069">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2000≤Y＜10000</w:t>
            </w:r>
          </w:p>
        </w:tc>
        <w:tc>
          <w:tcPr>
            <w:tcW w:w="1426" w:type="dxa"/>
            <w:vAlign w:val="center"/>
          </w:tcPr>
          <w:p w14:paraId="0EE76179">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100≤Y＜2000</w:t>
            </w:r>
          </w:p>
        </w:tc>
        <w:tc>
          <w:tcPr>
            <w:tcW w:w="992" w:type="dxa"/>
            <w:vAlign w:val="center"/>
          </w:tcPr>
          <w:p w14:paraId="5D8149A6">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Y＜100</w:t>
            </w:r>
          </w:p>
        </w:tc>
      </w:tr>
      <w:tr w14:paraId="033E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C4A8636">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餐饮业</w:t>
            </w:r>
          </w:p>
        </w:tc>
        <w:tc>
          <w:tcPr>
            <w:tcW w:w="1369" w:type="dxa"/>
            <w:vAlign w:val="center"/>
          </w:tcPr>
          <w:p w14:paraId="025620E9">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从业人员(X)</w:t>
            </w:r>
          </w:p>
        </w:tc>
        <w:tc>
          <w:tcPr>
            <w:tcW w:w="709" w:type="dxa"/>
            <w:vAlign w:val="center"/>
          </w:tcPr>
          <w:p w14:paraId="39A69E53">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人</w:t>
            </w:r>
          </w:p>
        </w:tc>
        <w:tc>
          <w:tcPr>
            <w:tcW w:w="1125" w:type="dxa"/>
            <w:vAlign w:val="center"/>
          </w:tcPr>
          <w:p w14:paraId="523A84E4">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X≥300</w:t>
            </w:r>
          </w:p>
        </w:tc>
        <w:tc>
          <w:tcPr>
            <w:tcW w:w="1701" w:type="dxa"/>
            <w:vAlign w:val="center"/>
          </w:tcPr>
          <w:p w14:paraId="364C3BC2">
            <w:pPr>
              <w:widowControl/>
              <w:spacing w:line="280" w:lineRule="exact"/>
              <w:ind w:left="1" w:leftChars="-51" w:hanging="108" w:hangingChars="60"/>
              <w:jc w:val="center"/>
              <w:rPr>
                <w:rFonts w:ascii="宋体" w:cs="宋体"/>
                <w:color w:val="auto"/>
                <w:kern w:val="0"/>
                <w:sz w:val="18"/>
                <w:szCs w:val="18"/>
                <w:highlight w:val="none"/>
              </w:rPr>
            </w:pPr>
            <w:r>
              <w:rPr>
                <w:rFonts w:hint="eastAsia" w:ascii="宋体" w:cs="宋体"/>
                <w:color w:val="auto"/>
                <w:kern w:val="0"/>
                <w:sz w:val="18"/>
                <w:szCs w:val="18"/>
                <w:highlight w:val="none"/>
              </w:rPr>
              <w:t xml:space="preserve">100≤X＜300 </w:t>
            </w:r>
          </w:p>
        </w:tc>
        <w:tc>
          <w:tcPr>
            <w:tcW w:w="1426" w:type="dxa"/>
            <w:vAlign w:val="center"/>
          </w:tcPr>
          <w:p w14:paraId="5FB5F035">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10≤X＜100</w:t>
            </w:r>
          </w:p>
        </w:tc>
        <w:tc>
          <w:tcPr>
            <w:tcW w:w="992" w:type="dxa"/>
            <w:vAlign w:val="center"/>
          </w:tcPr>
          <w:p w14:paraId="68D2909E">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X＜10</w:t>
            </w:r>
          </w:p>
        </w:tc>
      </w:tr>
      <w:tr w14:paraId="78CF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FE5CC0C">
            <w:pPr>
              <w:rPr>
                <w:color w:val="auto"/>
                <w:highlight w:val="none"/>
              </w:rPr>
            </w:pPr>
          </w:p>
        </w:tc>
        <w:tc>
          <w:tcPr>
            <w:tcW w:w="1369" w:type="dxa"/>
            <w:vAlign w:val="center"/>
          </w:tcPr>
          <w:p w14:paraId="3EB52558">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14:paraId="022D3E70">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14:paraId="39BBAD66">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Y≥10000</w:t>
            </w:r>
          </w:p>
        </w:tc>
        <w:tc>
          <w:tcPr>
            <w:tcW w:w="1701" w:type="dxa"/>
            <w:vAlign w:val="center"/>
          </w:tcPr>
          <w:p w14:paraId="5EBAAAE9">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2000≤Y＜10000</w:t>
            </w:r>
          </w:p>
        </w:tc>
        <w:tc>
          <w:tcPr>
            <w:tcW w:w="1426" w:type="dxa"/>
            <w:vAlign w:val="center"/>
          </w:tcPr>
          <w:p w14:paraId="7EF62160">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100≤Y＜2000</w:t>
            </w:r>
          </w:p>
        </w:tc>
        <w:tc>
          <w:tcPr>
            <w:tcW w:w="992" w:type="dxa"/>
            <w:vAlign w:val="center"/>
          </w:tcPr>
          <w:p w14:paraId="40C3B93A">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Y＜100</w:t>
            </w:r>
          </w:p>
        </w:tc>
      </w:tr>
      <w:tr w14:paraId="64344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74EA308">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信息传输业 *</w:t>
            </w:r>
          </w:p>
        </w:tc>
        <w:tc>
          <w:tcPr>
            <w:tcW w:w="1369" w:type="dxa"/>
            <w:vAlign w:val="center"/>
          </w:tcPr>
          <w:p w14:paraId="0F4B0877">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从业人员(X)</w:t>
            </w:r>
          </w:p>
        </w:tc>
        <w:tc>
          <w:tcPr>
            <w:tcW w:w="709" w:type="dxa"/>
            <w:vAlign w:val="center"/>
          </w:tcPr>
          <w:p w14:paraId="01CE6A8B">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人</w:t>
            </w:r>
          </w:p>
        </w:tc>
        <w:tc>
          <w:tcPr>
            <w:tcW w:w="1125" w:type="dxa"/>
            <w:vAlign w:val="center"/>
          </w:tcPr>
          <w:p w14:paraId="183865FA">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X≥2000</w:t>
            </w:r>
          </w:p>
        </w:tc>
        <w:tc>
          <w:tcPr>
            <w:tcW w:w="1701" w:type="dxa"/>
            <w:vAlign w:val="center"/>
          </w:tcPr>
          <w:p w14:paraId="5A7908F1">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100≤X＜2000</w:t>
            </w:r>
          </w:p>
        </w:tc>
        <w:tc>
          <w:tcPr>
            <w:tcW w:w="1426" w:type="dxa"/>
            <w:vAlign w:val="center"/>
          </w:tcPr>
          <w:p w14:paraId="0D59550C">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10≤X＜100</w:t>
            </w:r>
          </w:p>
        </w:tc>
        <w:tc>
          <w:tcPr>
            <w:tcW w:w="992" w:type="dxa"/>
            <w:vAlign w:val="center"/>
          </w:tcPr>
          <w:p w14:paraId="6530E847">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X＜10</w:t>
            </w:r>
          </w:p>
        </w:tc>
      </w:tr>
      <w:tr w14:paraId="7C84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7624060">
            <w:pPr>
              <w:rPr>
                <w:color w:val="auto"/>
                <w:highlight w:val="none"/>
              </w:rPr>
            </w:pPr>
          </w:p>
        </w:tc>
        <w:tc>
          <w:tcPr>
            <w:tcW w:w="1369" w:type="dxa"/>
            <w:vAlign w:val="center"/>
          </w:tcPr>
          <w:p w14:paraId="570FAD1E">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14:paraId="45CDF72D">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14:paraId="253A7812">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Y≥100000</w:t>
            </w:r>
          </w:p>
        </w:tc>
        <w:tc>
          <w:tcPr>
            <w:tcW w:w="1701" w:type="dxa"/>
            <w:vAlign w:val="center"/>
          </w:tcPr>
          <w:p w14:paraId="5DA7D326">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1000≤Y＜100000</w:t>
            </w:r>
          </w:p>
        </w:tc>
        <w:tc>
          <w:tcPr>
            <w:tcW w:w="1426" w:type="dxa"/>
            <w:vAlign w:val="center"/>
          </w:tcPr>
          <w:p w14:paraId="056F7C31">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100≤Y＜1000</w:t>
            </w:r>
          </w:p>
        </w:tc>
        <w:tc>
          <w:tcPr>
            <w:tcW w:w="992" w:type="dxa"/>
            <w:vAlign w:val="center"/>
          </w:tcPr>
          <w:p w14:paraId="6B007C74">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Y＜100</w:t>
            </w:r>
          </w:p>
        </w:tc>
      </w:tr>
      <w:tr w14:paraId="2BC3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23A274C7">
            <w:pPr>
              <w:widowControl/>
              <w:spacing w:line="280" w:lineRule="exact"/>
              <w:jc w:val="left"/>
              <w:rPr>
                <w:rFonts w:ascii="宋体" w:cs="宋体"/>
                <w:color w:val="auto"/>
                <w:spacing w:val="-12"/>
                <w:kern w:val="0"/>
                <w:sz w:val="18"/>
                <w:szCs w:val="18"/>
                <w:highlight w:val="none"/>
              </w:rPr>
            </w:pPr>
            <w:r>
              <w:rPr>
                <w:rFonts w:hint="eastAsia" w:ascii="宋体" w:cs="宋体"/>
                <w:color w:val="auto"/>
                <w:spacing w:val="-12"/>
                <w:kern w:val="0"/>
                <w:sz w:val="18"/>
                <w:szCs w:val="18"/>
                <w:highlight w:val="none"/>
              </w:rPr>
              <w:t>软件和信息技术服</w:t>
            </w:r>
            <w:r>
              <w:rPr>
                <w:rFonts w:hint="eastAsia" w:ascii="宋体" w:cs="宋体"/>
                <w:color w:val="auto"/>
                <w:kern w:val="0"/>
                <w:sz w:val="18"/>
                <w:szCs w:val="18"/>
                <w:highlight w:val="none"/>
              </w:rPr>
              <w:t>务业</w:t>
            </w:r>
          </w:p>
        </w:tc>
        <w:tc>
          <w:tcPr>
            <w:tcW w:w="1369" w:type="dxa"/>
            <w:vAlign w:val="center"/>
          </w:tcPr>
          <w:p w14:paraId="23EBAB79">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从业人员(X)</w:t>
            </w:r>
          </w:p>
        </w:tc>
        <w:tc>
          <w:tcPr>
            <w:tcW w:w="709" w:type="dxa"/>
            <w:vAlign w:val="center"/>
          </w:tcPr>
          <w:p w14:paraId="0C7AF996">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人</w:t>
            </w:r>
          </w:p>
        </w:tc>
        <w:tc>
          <w:tcPr>
            <w:tcW w:w="1125" w:type="dxa"/>
            <w:vAlign w:val="center"/>
          </w:tcPr>
          <w:p w14:paraId="67EB059D">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X≥300</w:t>
            </w:r>
          </w:p>
        </w:tc>
        <w:tc>
          <w:tcPr>
            <w:tcW w:w="1701" w:type="dxa"/>
            <w:vAlign w:val="center"/>
          </w:tcPr>
          <w:p w14:paraId="14CFF893">
            <w:pPr>
              <w:widowControl/>
              <w:spacing w:line="280" w:lineRule="exact"/>
              <w:ind w:left="1" w:leftChars="-51" w:hanging="108" w:hangingChars="60"/>
              <w:jc w:val="center"/>
              <w:rPr>
                <w:rFonts w:ascii="宋体" w:cs="宋体"/>
                <w:color w:val="auto"/>
                <w:kern w:val="0"/>
                <w:sz w:val="18"/>
                <w:szCs w:val="18"/>
                <w:highlight w:val="none"/>
              </w:rPr>
            </w:pPr>
            <w:r>
              <w:rPr>
                <w:rFonts w:hint="eastAsia" w:ascii="宋体" w:cs="宋体"/>
                <w:color w:val="auto"/>
                <w:kern w:val="0"/>
                <w:sz w:val="18"/>
                <w:szCs w:val="18"/>
                <w:highlight w:val="none"/>
              </w:rPr>
              <w:t xml:space="preserve">100≤X＜300 </w:t>
            </w:r>
          </w:p>
        </w:tc>
        <w:tc>
          <w:tcPr>
            <w:tcW w:w="1426" w:type="dxa"/>
            <w:vAlign w:val="center"/>
          </w:tcPr>
          <w:p w14:paraId="252D5036">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10≤X＜100</w:t>
            </w:r>
          </w:p>
        </w:tc>
        <w:tc>
          <w:tcPr>
            <w:tcW w:w="992" w:type="dxa"/>
            <w:vAlign w:val="center"/>
          </w:tcPr>
          <w:p w14:paraId="14B203A7">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X＜10</w:t>
            </w:r>
          </w:p>
        </w:tc>
      </w:tr>
      <w:tr w14:paraId="7167E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63E6697">
            <w:pPr>
              <w:rPr>
                <w:color w:val="auto"/>
                <w:highlight w:val="none"/>
              </w:rPr>
            </w:pPr>
          </w:p>
        </w:tc>
        <w:tc>
          <w:tcPr>
            <w:tcW w:w="1369" w:type="dxa"/>
            <w:vAlign w:val="center"/>
          </w:tcPr>
          <w:p w14:paraId="5A6F2E6B">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14:paraId="28068E75">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14:paraId="2A968620">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Y≥10000</w:t>
            </w:r>
          </w:p>
        </w:tc>
        <w:tc>
          <w:tcPr>
            <w:tcW w:w="1701" w:type="dxa"/>
            <w:vAlign w:val="center"/>
          </w:tcPr>
          <w:p w14:paraId="325007B6">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1000≤Y＜10000</w:t>
            </w:r>
          </w:p>
        </w:tc>
        <w:tc>
          <w:tcPr>
            <w:tcW w:w="1426" w:type="dxa"/>
            <w:vAlign w:val="center"/>
          </w:tcPr>
          <w:p w14:paraId="0BB16D99">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50≤Y＜1000</w:t>
            </w:r>
          </w:p>
        </w:tc>
        <w:tc>
          <w:tcPr>
            <w:tcW w:w="992" w:type="dxa"/>
            <w:vAlign w:val="center"/>
          </w:tcPr>
          <w:p w14:paraId="7B1EF305">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Y＜50</w:t>
            </w:r>
          </w:p>
        </w:tc>
      </w:tr>
      <w:tr w14:paraId="2857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44CFB20">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房地产开发经营</w:t>
            </w:r>
          </w:p>
        </w:tc>
        <w:tc>
          <w:tcPr>
            <w:tcW w:w="1369" w:type="dxa"/>
            <w:vAlign w:val="center"/>
          </w:tcPr>
          <w:p w14:paraId="12AE2E38">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14:paraId="4237D50C">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14:paraId="3D4A4707">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Y≥200000</w:t>
            </w:r>
          </w:p>
        </w:tc>
        <w:tc>
          <w:tcPr>
            <w:tcW w:w="1701" w:type="dxa"/>
            <w:vAlign w:val="center"/>
          </w:tcPr>
          <w:p w14:paraId="45651E1D">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1000≤Y＜200000</w:t>
            </w:r>
          </w:p>
        </w:tc>
        <w:tc>
          <w:tcPr>
            <w:tcW w:w="1426" w:type="dxa"/>
            <w:vAlign w:val="center"/>
          </w:tcPr>
          <w:p w14:paraId="2A90422E">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100≤Y＜1000</w:t>
            </w:r>
          </w:p>
        </w:tc>
        <w:tc>
          <w:tcPr>
            <w:tcW w:w="992" w:type="dxa"/>
            <w:vAlign w:val="center"/>
          </w:tcPr>
          <w:p w14:paraId="55141890">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Y＜100</w:t>
            </w:r>
          </w:p>
        </w:tc>
      </w:tr>
      <w:tr w14:paraId="5CE9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6959534">
            <w:pPr>
              <w:rPr>
                <w:color w:val="auto"/>
                <w:highlight w:val="none"/>
              </w:rPr>
            </w:pPr>
          </w:p>
        </w:tc>
        <w:tc>
          <w:tcPr>
            <w:tcW w:w="1369" w:type="dxa"/>
            <w:vAlign w:val="center"/>
          </w:tcPr>
          <w:p w14:paraId="36F263CB">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资产总额(Z)</w:t>
            </w:r>
          </w:p>
        </w:tc>
        <w:tc>
          <w:tcPr>
            <w:tcW w:w="709" w:type="dxa"/>
            <w:vAlign w:val="center"/>
          </w:tcPr>
          <w:p w14:paraId="0018EFD3">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14:paraId="245576EB">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Z≥10000</w:t>
            </w:r>
          </w:p>
        </w:tc>
        <w:tc>
          <w:tcPr>
            <w:tcW w:w="1701" w:type="dxa"/>
            <w:vAlign w:val="center"/>
          </w:tcPr>
          <w:p w14:paraId="28E3B74A">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5000≤Z＜10000</w:t>
            </w:r>
          </w:p>
        </w:tc>
        <w:tc>
          <w:tcPr>
            <w:tcW w:w="1426" w:type="dxa"/>
            <w:vAlign w:val="center"/>
          </w:tcPr>
          <w:p w14:paraId="05E40B56">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2000≤Z＜5000</w:t>
            </w:r>
          </w:p>
        </w:tc>
        <w:tc>
          <w:tcPr>
            <w:tcW w:w="992" w:type="dxa"/>
            <w:vAlign w:val="center"/>
          </w:tcPr>
          <w:p w14:paraId="1CA03E7B">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Z＜2000</w:t>
            </w:r>
          </w:p>
        </w:tc>
      </w:tr>
      <w:tr w14:paraId="1FB3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5AE99B6">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物业管理</w:t>
            </w:r>
          </w:p>
        </w:tc>
        <w:tc>
          <w:tcPr>
            <w:tcW w:w="1369" w:type="dxa"/>
            <w:vAlign w:val="center"/>
          </w:tcPr>
          <w:p w14:paraId="1A7BFED6">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从业人员(X)</w:t>
            </w:r>
          </w:p>
        </w:tc>
        <w:tc>
          <w:tcPr>
            <w:tcW w:w="709" w:type="dxa"/>
            <w:vAlign w:val="center"/>
          </w:tcPr>
          <w:p w14:paraId="1F1801BA">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人</w:t>
            </w:r>
          </w:p>
        </w:tc>
        <w:tc>
          <w:tcPr>
            <w:tcW w:w="1125" w:type="dxa"/>
            <w:vAlign w:val="center"/>
          </w:tcPr>
          <w:p w14:paraId="51711FEC">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X≥1000</w:t>
            </w:r>
          </w:p>
        </w:tc>
        <w:tc>
          <w:tcPr>
            <w:tcW w:w="1701" w:type="dxa"/>
            <w:vAlign w:val="center"/>
          </w:tcPr>
          <w:p w14:paraId="756F26E2">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300≤X＜1000</w:t>
            </w:r>
          </w:p>
        </w:tc>
        <w:tc>
          <w:tcPr>
            <w:tcW w:w="1426" w:type="dxa"/>
            <w:vAlign w:val="center"/>
          </w:tcPr>
          <w:p w14:paraId="69775F09">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100≤X＜300</w:t>
            </w:r>
          </w:p>
        </w:tc>
        <w:tc>
          <w:tcPr>
            <w:tcW w:w="992" w:type="dxa"/>
            <w:vAlign w:val="center"/>
          </w:tcPr>
          <w:p w14:paraId="05843206">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X＜100</w:t>
            </w:r>
          </w:p>
        </w:tc>
      </w:tr>
      <w:tr w14:paraId="017F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8EB95FA">
            <w:pPr>
              <w:rPr>
                <w:color w:val="auto"/>
                <w:highlight w:val="none"/>
              </w:rPr>
            </w:pPr>
          </w:p>
        </w:tc>
        <w:tc>
          <w:tcPr>
            <w:tcW w:w="1369" w:type="dxa"/>
            <w:vAlign w:val="center"/>
          </w:tcPr>
          <w:p w14:paraId="58049A26">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营业收入(Y)</w:t>
            </w:r>
          </w:p>
        </w:tc>
        <w:tc>
          <w:tcPr>
            <w:tcW w:w="709" w:type="dxa"/>
            <w:vAlign w:val="center"/>
          </w:tcPr>
          <w:p w14:paraId="6E3F9D07">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14:paraId="54CC638F">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Y≥5000</w:t>
            </w:r>
          </w:p>
        </w:tc>
        <w:tc>
          <w:tcPr>
            <w:tcW w:w="1701" w:type="dxa"/>
            <w:vAlign w:val="center"/>
          </w:tcPr>
          <w:p w14:paraId="3C10932E">
            <w:pPr>
              <w:widowControl/>
              <w:spacing w:line="280" w:lineRule="exact"/>
              <w:ind w:left="1" w:leftChars="-51" w:hanging="108" w:hangingChars="60"/>
              <w:jc w:val="center"/>
              <w:rPr>
                <w:rFonts w:ascii="宋体" w:cs="宋体"/>
                <w:color w:val="auto"/>
                <w:kern w:val="0"/>
                <w:sz w:val="18"/>
                <w:szCs w:val="18"/>
                <w:highlight w:val="none"/>
              </w:rPr>
            </w:pPr>
            <w:r>
              <w:rPr>
                <w:rFonts w:hint="eastAsia" w:ascii="宋体" w:cs="宋体"/>
                <w:color w:val="auto"/>
                <w:kern w:val="0"/>
                <w:sz w:val="18"/>
                <w:szCs w:val="18"/>
                <w:highlight w:val="none"/>
              </w:rPr>
              <w:t>1000≤Y＜5000</w:t>
            </w:r>
          </w:p>
        </w:tc>
        <w:tc>
          <w:tcPr>
            <w:tcW w:w="1426" w:type="dxa"/>
            <w:vAlign w:val="center"/>
          </w:tcPr>
          <w:p w14:paraId="626094B5">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500≤Y＜1000</w:t>
            </w:r>
          </w:p>
        </w:tc>
        <w:tc>
          <w:tcPr>
            <w:tcW w:w="992" w:type="dxa"/>
            <w:vAlign w:val="center"/>
          </w:tcPr>
          <w:p w14:paraId="0C2D0BA4">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Y＜500</w:t>
            </w:r>
          </w:p>
        </w:tc>
      </w:tr>
      <w:tr w14:paraId="19D3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364EE54">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租赁和商务服务业</w:t>
            </w:r>
          </w:p>
        </w:tc>
        <w:tc>
          <w:tcPr>
            <w:tcW w:w="1369" w:type="dxa"/>
            <w:vAlign w:val="center"/>
          </w:tcPr>
          <w:p w14:paraId="1657A31C">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从业人员(X)</w:t>
            </w:r>
          </w:p>
        </w:tc>
        <w:tc>
          <w:tcPr>
            <w:tcW w:w="709" w:type="dxa"/>
            <w:vAlign w:val="center"/>
          </w:tcPr>
          <w:p w14:paraId="2B5408B8">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人</w:t>
            </w:r>
          </w:p>
        </w:tc>
        <w:tc>
          <w:tcPr>
            <w:tcW w:w="1125" w:type="dxa"/>
            <w:vAlign w:val="center"/>
          </w:tcPr>
          <w:p w14:paraId="7A4FF4C7">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X≥300</w:t>
            </w:r>
          </w:p>
        </w:tc>
        <w:tc>
          <w:tcPr>
            <w:tcW w:w="1701" w:type="dxa"/>
            <w:vAlign w:val="center"/>
          </w:tcPr>
          <w:p w14:paraId="296B9408">
            <w:pPr>
              <w:widowControl/>
              <w:spacing w:line="280" w:lineRule="exact"/>
              <w:ind w:left="1" w:leftChars="-51" w:hanging="108" w:hangingChars="60"/>
              <w:jc w:val="center"/>
              <w:rPr>
                <w:rFonts w:ascii="宋体" w:cs="宋体"/>
                <w:color w:val="auto"/>
                <w:kern w:val="0"/>
                <w:sz w:val="18"/>
                <w:szCs w:val="18"/>
                <w:highlight w:val="none"/>
              </w:rPr>
            </w:pPr>
            <w:r>
              <w:rPr>
                <w:rFonts w:hint="eastAsia" w:ascii="宋体" w:cs="宋体"/>
                <w:color w:val="auto"/>
                <w:kern w:val="0"/>
                <w:sz w:val="18"/>
                <w:szCs w:val="18"/>
                <w:highlight w:val="none"/>
              </w:rPr>
              <w:t>100≤X＜300</w:t>
            </w:r>
          </w:p>
        </w:tc>
        <w:tc>
          <w:tcPr>
            <w:tcW w:w="1426" w:type="dxa"/>
            <w:vAlign w:val="center"/>
          </w:tcPr>
          <w:p w14:paraId="1A62A905">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10≤X＜100</w:t>
            </w:r>
          </w:p>
        </w:tc>
        <w:tc>
          <w:tcPr>
            <w:tcW w:w="992" w:type="dxa"/>
            <w:vAlign w:val="center"/>
          </w:tcPr>
          <w:p w14:paraId="0BCDA470">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X＜10</w:t>
            </w:r>
          </w:p>
        </w:tc>
      </w:tr>
      <w:tr w14:paraId="3A10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193878A">
            <w:pPr>
              <w:rPr>
                <w:color w:val="auto"/>
                <w:highlight w:val="none"/>
              </w:rPr>
            </w:pPr>
          </w:p>
        </w:tc>
        <w:tc>
          <w:tcPr>
            <w:tcW w:w="1369" w:type="dxa"/>
            <w:vAlign w:val="center"/>
          </w:tcPr>
          <w:p w14:paraId="5993A2FB">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资产总额(Z)</w:t>
            </w:r>
          </w:p>
        </w:tc>
        <w:tc>
          <w:tcPr>
            <w:tcW w:w="709" w:type="dxa"/>
            <w:vAlign w:val="center"/>
          </w:tcPr>
          <w:p w14:paraId="59A968ED">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万元</w:t>
            </w:r>
          </w:p>
        </w:tc>
        <w:tc>
          <w:tcPr>
            <w:tcW w:w="1125" w:type="dxa"/>
            <w:vAlign w:val="center"/>
          </w:tcPr>
          <w:p w14:paraId="5D010C55">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Z≥120000</w:t>
            </w:r>
          </w:p>
        </w:tc>
        <w:tc>
          <w:tcPr>
            <w:tcW w:w="1701" w:type="dxa"/>
            <w:vAlign w:val="center"/>
          </w:tcPr>
          <w:p w14:paraId="75F654F5">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8000≤Z＜120000</w:t>
            </w:r>
          </w:p>
        </w:tc>
        <w:tc>
          <w:tcPr>
            <w:tcW w:w="1426" w:type="dxa"/>
            <w:vAlign w:val="center"/>
          </w:tcPr>
          <w:p w14:paraId="326D72AE">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100≤Z＜8000</w:t>
            </w:r>
          </w:p>
        </w:tc>
        <w:tc>
          <w:tcPr>
            <w:tcW w:w="992" w:type="dxa"/>
            <w:vAlign w:val="center"/>
          </w:tcPr>
          <w:p w14:paraId="2970100C">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Z＜100</w:t>
            </w:r>
          </w:p>
        </w:tc>
      </w:tr>
      <w:tr w14:paraId="73FA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10D7A376">
            <w:pPr>
              <w:widowControl/>
              <w:spacing w:line="280" w:lineRule="exact"/>
              <w:jc w:val="left"/>
              <w:rPr>
                <w:rFonts w:ascii="宋体" w:cs="宋体"/>
                <w:color w:val="auto"/>
                <w:kern w:val="0"/>
                <w:sz w:val="18"/>
                <w:szCs w:val="18"/>
                <w:highlight w:val="none"/>
              </w:rPr>
            </w:pPr>
            <w:r>
              <w:rPr>
                <w:rFonts w:hint="eastAsia" w:ascii="宋体" w:cs="宋体"/>
                <w:color w:val="auto"/>
                <w:kern w:val="0"/>
                <w:sz w:val="18"/>
                <w:szCs w:val="18"/>
                <w:highlight w:val="none"/>
              </w:rPr>
              <w:t>其他未列明行业 *</w:t>
            </w:r>
          </w:p>
        </w:tc>
        <w:tc>
          <w:tcPr>
            <w:tcW w:w="1369" w:type="dxa"/>
            <w:vAlign w:val="center"/>
          </w:tcPr>
          <w:p w14:paraId="4D82050E">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从业人员(X)</w:t>
            </w:r>
          </w:p>
        </w:tc>
        <w:tc>
          <w:tcPr>
            <w:tcW w:w="709" w:type="dxa"/>
            <w:vAlign w:val="center"/>
          </w:tcPr>
          <w:p w14:paraId="0E9317DD">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人</w:t>
            </w:r>
          </w:p>
        </w:tc>
        <w:tc>
          <w:tcPr>
            <w:tcW w:w="1125" w:type="dxa"/>
            <w:vAlign w:val="center"/>
          </w:tcPr>
          <w:p w14:paraId="1AFE4337">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X≥300</w:t>
            </w:r>
          </w:p>
        </w:tc>
        <w:tc>
          <w:tcPr>
            <w:tcW w:w="1701" w:type="dxa"/>
            <w:vAlign w:val="center"/>
          </w:tcPr>
          <w:p w14:paraId="7346FC0B">
            <w:pPr>
              <w:widowControl/>
              <w:spacing w:line="280" w:lineRule="exact"/>
              <w:ind w:left="1" w:leftChars="-51" w:hanging="108" w:hangingChars="60"/>
              <w:jc w:val="center"/>
              <w:rPr>
                <w:rFonts w:ascii="宋体" w:cs="宋体"/>
                <w:color w:val="auto"/>
                <w:kern w:val="0"/>
                <w:sz w:val="18"/>
                <w:szCs w:val="18"/>
                <w:highlight w:val="none"/>
              </w:rPr>
            </w:pPr>
            <w:r>
              <w:rPr>
                <w:rFonts w:hint="eastAsia" w:ascii="宋体" w:cs="宋体"/>
                <w:color w:val="auto"/>
                <w:kern w:val="0"/>
                <w:sz w:val="18"/>
                <w:szCs w:val="18"/>
                <w:highlight w:val="none"/>
              </w:rPr>
              <w:t>100≤X＜300</w:t>
            </w:r>
          </w:p>
        </w:tc>
        <w:tc>
          <w:tcPr>
            <w:tcW w:w="1426" w:type="dxa"/>
            <w:vAlign w:val="center"/>
          </w:tcPr>
          <w:p w14:paraId="55226047">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10≤X＜100</w:t>
            </w:r>
          </w:p>
        </w:tc>
        <w:tc>
          <w:tcPr>
            <w:tcW w:w="992" w:type="dxa"/>
            <w:vAlign w:val="center"/>
          </w:tcPr>
          <w:p w14:paraId="75EF60DF">
            <w:pPr>
              <w:widowControl/>
              <w:spacing w:line="280" w:lineRule="exact"/>
              <w:jc w:val="center"/>
              <w:rPr>
                <w:rFonts w:ascii="宋体" w:cs="宋体"/>
                <w:color w:val="auto"/>
                <w:kern w:val="0"/>
                <w:sz w:val="18"/>
                <w:szCs w:val="18"/>
                <w:highlight w:val="none"/>
              </w:rPr>
            </w:pPr>
            <w:r>
              <w:rPr>
                <w:rFonts w:hint="eastAsia" w:ascii="宋体" w:cs="宋体"/>
                <w:color w:val="auto"/>
                <w:kern w:val="0"/>
                <w:sz w:val="18"/>
                <w:szCs w:val="18"/>
                <w:highlight w:val="none"/>
              </w:rPr>
              <w:t>X＜10</w:t>
            </w:r>
          </w:p>
        </w:tc>
      </w:tr>
    </w:tbl>
    <w:p w14:paraId="0E044F4E">
      <w:pPr>
        <w:widowControl/>
        <w:spacing w:line="280" w:lineRule="exact"/>
        <w:rPr>
          <w:rFonts w:ascii="宋体" w:cs="宋体"/>
          <w:color w:val="auto"/>
          <w:spacing w:val="8"/>
          <w:kern w:val="0"/>
          <w:sz w:val="24"/>
          <w:highlight w:val="none"/>
        </w:rPr>
      </w:pPr>
    </w:p>
    <w:p w14:paraId="0B7F97AA">
      <w:pPr>
        <w:widowControl/>
        <w:spacing w:line="360" w:lineRule="auto"/>
        <w:rPr>
          <w:rFonts w:ascii="宋体" w:cs="宋体"/>
          <w:color w:val="auto"/>
          <w:spacing w:val="8"/>
          <w:kern w:val="0"/>
          <w:szCs w:val="21"/>
          <w:highlight w:val="none"/>
        </w:rPr>
      </w:pPr>
    </w:p>
    <w:p w14:paraId="2FCA624D">
      <w:pPr>
        <w:widowControl/>
        <w:spacing w:line="360" w:lineRule="auto"/>
        <w:rPr>
          <w:rFonts w:ascii="宋体" w:cs="宋体"/>
          <w:color w:val="auto"/>
          <w:spacing w:val="8"/>
          <w:kern w:val="0"/>
          <w:szCs w:val="21"/>
          <w:highlight w:val="none"/>
        </w:rPr>
      </w:pPr>
      <w:r>
        <w:rPr>
          <w:rFonts w:hint="eastAsia" w:ascii="宋体" w:cs="宋体"/>
          <w:color w:val="auto"/>
          <w:spacing w:val="8"/>
          <w:kern w:val="0"/>
          <w:szCs w:val="21"/>
          <w:highlight w:val="none"/>
        </w:rPr>
        <w:t>说明：</w:t>
      </w:r>
    </w:p>
    <w:p w14:paraId="21333A54">
      <w:pPr>
        <w:pStyle w:val="14"/>
        <w:adjustRightInd w:val="0"/>
        <w:spacing w:line="360" w:lineRule="auto"/>
        <w:ind w:firstLine="452" w:firstLineChars="200"/>
        <w:contextualSpacing/>
        <w:rPr>
          <w:rFonts w:cs="宋体"/>
          <w:color w:val="auto"/>
          <w:spacing w:val="8"/>
          <w:kern w:val="0"/>
          <w:szCs w:val="21"/>
          <w:highlight w:val="none"/>
        </w:rPr>
      </w:pPr>
      <w:r>
        <w:rPr>
          <w:rFonts w:hint="eastAsia" w:cs="宋体"/>
          <w:color w:val="auto"/>
          <w:spacing w:val="8"/>
          <w:kern w:val="0"/>
          <w:szCs w:val="21"/>
          <w:highlight w:val="none"/>
        </w:rPr>
        <w:t>1.大型、中型和小型企业须同时满足所列指标的下限，否则下划一档；微型企业只须满足所列指标中的一项即可。</w:t>
      </w:r>
    </w:p>
    <w:p w14:paraId="3B9210E8">
      <w:pPr>
        <w:pStyle w:val="14"/>
        <w:adjustRightInd w:val="0"/>
        <w:spacing w:line="360" w:lineRule="auto"/>
        <w:ind w:firstLine="452" w:firstLineChars="200"/>
        <w:contextualSpacing/>
        <w:rPr>
          <w:rFonts w:cs="宋体"/>
          <w:color w:val="auto"/>
          <w:spacing w:val="8"/>
          <w:kern w:val="0"/>
          <w:szCs w:val="21"/>
          <w:highlight w:val="none"/>
        </w:rPr>
      </w:pPr>
      <w:r>
        <w:rPr>
          <w:rFonts w:hint="eastAsia" w:cs="宋体"/>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B830C9C">
      <w:pPr>
        <w:pStyle w:val="14"/>
        <w:spacing w:line="360" w:lineRule="auto"/>
        <w:ind w:firstLine="452" w:firstLineChars="200"/>
        <w:rPr>
          <w:rFonts w:hint="eastAsia" w:cs="宋体"/>
          <w:color w:val="auto"/>
          <w:spacing w:val="8"/>
          <w:kern w:val="0"/>
          <w:szCs w:val="21"/>
          <w:highlight w:val="none"/>
        </w:rPr>
      </w:pPr>
      <w:r>
        <w:rPr>
          <w:rFonts w:hint="eastAsia" w:cs="宋体"/>
          <w:color w:val="auto"/>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23B91046">
      <w:pPr>
        <w:rPr>
          <w:rFonts w:hint="eastAsia" w:cs="宋体"/>
          <w:color w:val="auto"/>
          <w:spacing w:val="8"/>
          <w:kern w:val="0"/>
          <w:szCs w:val="21"/>
          <w:highlight w:val="none"/>
        </w:rPr>
      </w:pPr>
      <w:r>
        <w:rPr>
          <w:rFonts w:hint="eastAsia" w:cs="宋体"/>
          <w:color w:val="auto"/>
          <w:spacing w:val="8"/>
          <w:kern w:val="0"/>
          <w:szCs w:val="21"/>
          <w:highlight w:val="none"/>
        </w:rPr>
        <w:br w:type="page"/>
      </w:r>
    </w:p>
    <w:p w14:paraId="711740CD">
      <w:pPr>
        <w:spacing w:line="428" w:lineRule="exact"/>
        <w:rPr>
          <w:rFonts w:hint="eastAsia" w:ascii="宋体" w:hAnsi="Times New Roman" w:eastAsia="宋体" w:cs="宋体"/>
          <w:color w:val="auto"/>
          <w:sz w:val="32"/>
          <w:szCs w:val="32"/>
          <w:highlight w:val="none"/>
          <w:lang w:val="en-US" w:eastAsia="zh-CN"/>
        </w:rPr>
      </w:pPr>
      <w:r>
        <w:rPr>
          <w:rFonts w:hint="eastAsia" w:ascii="宋体" w:hAnsi="Times New Roman" w:eastAsia="宋体" w:cs="宋体"/>
          <w:color w:val="auto"/>
          <w:sz w:val="32"/>
          <w:szCs w:val="32"/>
          <w:highlight w:val="none"/>
          <w:lang w:val="en-US" w:eastAsia="zh-CN"/>
        </w:rPr>
        <w:t>附件3</w:t>
      </w:r>
    </w:p>
    <w:p w14:paraId="76AEFC1A">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center"/>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b/>
          <w:i w:val="0"/>
          <w:iCs w:val="0"/>
          <w:caps w:val="0"/>
          <w:color w:val="auto"/>
          <w:spacing w:val="0"/>
          <w:kern w:val="2"/>
          <w:sz w:val="30"/>
          <w:szCs w:val="30"/>
          <w:highlight w:val="none"/>
          <w:shd w:val="clear" w:color="auto" w:fill="auto"/>
        </w:rPr>
        <w:t>中国境内生产的组件成本核算基本规则</w:t>
      </w:r>
    </w:p>
    <w:p w14:paraId="5675CBBE">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1E620545">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rPr>
        <w:t>一、产品的一级组件是指直接组成产品的组件。产品的二级组件是指直接组成产品一级组件的组件。一级组件不可分解的，视同二级组件。</w:t>
      </w:r>
    </w:p>
    <w:p w14:paraId="1788B333">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highlight w:val="none"/>
          <w:shd w:val="clear" w:color="auto" w:fill="auto"/>
        </w:rPr>
      </w:pPr>
      <w:r>
        <w:rPr>
          <w:rFonts w:hint="eastAsia" w:ascii="宋体" w:hAnsi="宋体" w:eastAsia="宋体" w:cs="宋体"/>
          <w:i w:val="0"/>
          <w:iCs w:val="0"/>
          <w:caps w:val="0"/>
          <w:color w:val="auto"/>
          <w:spacing w:val="0"/>
          <w:kern w:val="2"/>
          <w:sz w:val="21"/>
          <w:szCs w:val="21"/>
          <w:highlight w:val="none"/>
          <w:shd w:val="clear" w:color="auto" w:fill="auto"/>
        </w:rPr>
        <w:t>二、二级组件在中国境内生产的，其全部成本计入中国境内生产的组件成本；二级组件不在中国境内生产的，其成本不计入中国境内生产的组件成本。</w:t>
      </w:r>
    </w:p>
    <w:p w14:paraId="5030544D">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highlight w:val="none"/>
          <w:shd w:val="clear" w:color="auto" w:fill="auto"/>
        </w:rPr>
      </w:pPr>
      <w:r>
        <w:rPr>
          <w:rFonts w:hint="eastAsia" w:ascii="宋体" w:hAnsi="宋体" w:eastAsia="宋体" w:cs="宋体"/>
          <w:i w:val="0"/>
          <w:iCs w:val="0"/>
          <w:caps w:val="0"/>
          <w:color w:val="auto"/>
          <w:spacing w:val="0"/>
          <w:kern w:val="2"/>
          <w:sz w:val="21"/>
          <w:szCs w:val="21"/>
          <w:highlight w:val="none"/>
          <w:shd w:val="clear" w:color="auto" w:fill="auto"/>
        </w:rPr>
        <w:t>三、产品总成本和组件成本以相关会计核算数据、采购合同、进货记录等为基础进行计算。</w:t>
      </w:r>
    </w:p>
    <w:p w14:paraId="1CBE4588">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color w:val="auto"/>
          <w:highlight w:val="none"/>
        </w:rPr>
      </w:pPr>
      <w:r>
        <w:rPr>
          <w:rFonts w:hint="eastAsia" w:ascii="宋体" w:hAnsi="宋体" w:eastAsia="宋体" w:cs="宋体"/>
          <w:i w:val="0"/>
          <w:iCs w:val="0"/>
          <w:caps w:val="0"/>
          <w:color w:val="auto"/>
          <w:spacing w:val="0"/>
          <w:sz w:val="21"/>
          <w:szCs w:val="21"/>
          <w:highlight w:val="none"/>
          <w:shd w:val="clear" w:color="auto" w:fill="auto"/>
        </w:rPr>
        <w:t>四、需要对成本核算规则予以进一步明确的其他有关事项，由财政部会同有关部门另行规定。</w:t>
      </w:r>
      <w:r>
        <w:rPr>
          <w:rFonts w:hint="eastAsia" w:ascii="宋体" w:hAnsi="宋体" w:eastAsia="宋体" w:cs="宋体"/>
          <w:color w:val="auto"/>
          <w:sz w:val="21"/>
          <w:szCs w:val="21"/>
          <w:highlight w:val="none"/>
        </w:rPr>
        <w:br w:type="page"/>
      </w:r>
    </w:p>
    <w:p w14:paraId="29DD86B2">
      <w:pPr>
        <w:pStyle w:val="14"/>
        <w:jc w:val="center"/>
        <w:outlineLvl w:val="0"/>
        <w:rPr>
          <w:rFonts w:cs="宋体"/>
          <w:b/>
          <w:color w:val="auto"/>
          <w:sz w:val="36"/>
          <w:szCs w:val="36"/>
          <w:highlight w:val="none"/>
        </w:rPr>
      </w:pPr>
      <w:bookmarkStart w:id="62" w:name="_Toc8839"/>
      <w:bookmarkStart w:id="63" w:name="_Toc5641"/>
      <w:bookmarkStart w:id="64" w:name="_Toc15229"/>
      <w:bookmarkStart w:id="65" w:name="_Toc532545044"/>
      <w:bookmarkStart w:id="66" w:name="_Toc6743"/>
      <w:bookmarkStart w:id="67" w:name="_Toc19501"/>
      <w:bookmarkStart w:id="68" w:name="_Toc1395"/>
      <w:bookmarkStart w:id="69" w:name="_Toc9505"/>
      <w:bookmarkStart w:id="70" w:name="_Toc30618"/>
      <w:bookmarkStart w:id="71" w:name="_Toc5815"/>
      <w:bookmarkStart w:id="72" w:name="_Toc2394"/>
      <w:bookmarkStart w:id="73" w:name="_Toc29575"/>
      <w:r>
        <w:rPr>
          <w:rFonts w:hint="eastAsia" w:cs="宋体"/>
          <w:b/>
          <w:color w:val="auto"/>
          <w:sz w:val="36"/>
          <w:highlight w:val="none"/>
        </w:rPr>
        <w:t>第三章  投标人须知</w:t>
      </w:r>
      <w:bookmarkEnd w:id="62"/>
      <w:bookmarkEnd w:id="63"/>
      <w:bookmarkEnd w:id="64"/>
      <w:bookmarkEnd w:id="65"/>
      <w:bookmarkEnd w:id="66"/>
      <w:bookmarkEnd w:id="67"/>
      <w:bookmarkEnd w:id="68"/>
      <w:bookmarkEnd w:id="69"/>
      <w:bookmarkEnd w:id="70"/>
      <w:bookmarkEnd w:id="71"/>
      <w:bookmarkEnd w:id="72"/>
      <w:bookmarkEnd w:id="73"/>
    </w:p>
    <w:p w14:paraId="485CF4E9">
      <w:pPr>
        <w:pStyle w:val="14"/>
        <w:spacing w:line="720" w:lineRule="auto"/>
        <w:jc w:val="center"/>
        <w:outlineLvl w:val="1"/>
        <w:rPr>
          <w:rFonts w:cs="宋体"/>
          <w:b/>
          <w:color w:val="auto"/>
          <w:sz w:val="30"/>
          <w:szCs w:val="30"/>
          <w:highlight w:val="none"/>
        </w:rPr>
      </w:pPr>
      <w:bookmarkStart w:id="74" w:name="_Toc20955"/>
      <w:bookmarkStart w:id="75" w:name="_Toc2967"/>
      <w:bookmarkStart w:id="76" w:name="_Toc28990"/>
      <w:bookmarkStart w:id="77" w:name="_Toc12345"/>
      <w:bookmarkStart w:id="78" w:name="_Toc992"/>
      <w:r>
        <w:rPr>
          <w:rFonts w:hint="eastAsia" w:cs="宋体"/>
          <w:b/>
          <w:color w:val="auto"/>
          <w:sz w:val="30"/>
          <w:szCs w:val="30"/>
          <w:highlight w:val="none"/>
        </w:rPr>
        <w:t>第一节 投标人须知前附表</w:t>
      </w:r>
      <w:bookmarkEnd w:id="74"/>
      <w:bookmarkEnd w:id="75"/>
      <w:bookmarkEnd w:id="76"/>
      <w:bookmarkEnd w:id="77"/>
      <w:bookmarkEnd w:id="78"/>
    </w:p>
    <w:tbl>
      <w:tblPr>
        <w:tblStyle w:val="27"/>
        <w:tblW w:w="102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0"/>
        <w:gridCol w:w="2083"/>
        <w:gridCol w:w="7297"/>
      </w:tblGrid>
      <w:tr w14:paraId="297E06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60" w:type="dxa"/>
            <w:tcBorders>
              <w:top w:val="single" w:color="auto" w:sz="4" w:space="0"/>
              <w:left w:val="single" w:color="auto" w:sz="4" w:space="0"/>
              <w:bottom w:val="single" w:color="auto" w:sz="4" w:space="0"/>
              <w:right w:val="single" w:color="auto" w:sz="4" w:space="0"/>
            </w:tcBorders>
            <w:vAlign w:val="center"/>
          </w:tcPr>
          <w:p w14:paraId="5E865E33">
            <w:pPr>
              <w:snapToGrid w:val="0"/>
              <w:spacing w:line="400" w:lineRule="exact"/>
              <w:jc w:val="center"/>
              <w:rPr>
                <w:rFonts w:ascii="宋体" w:cs="宋体"/>
                <w:color w:val="auto"/>
                <w:szCs w:val="21"/>
                <w:highlight w:val="none"/>
              </w:rPr>
            </w:pPr>
            <w:r>
              <w:rPr>
                <w:rFonts w:hint="eastAsia" w:ascii="宋体" w:cs="宋体"/>
                <w:color w:val="auto"/>
                <w:szCs w:val="21"/>
                <w:highlight w:val="none"/>
              </w:rPr>
              <w:t>条款号</w:t>
            </w:r>
          </w:p>
        </w:tc>
        <w:tc>
          <w:tcPr>
            <w:tcW w:w="2083" w:type="dxa"/>
            <w:tcBorders>
              <w:top w:val="single" w:color="auto" w:sz="4" w:space="0"/>
              <w:left w:val="single" w:color="auto" w:sz="4" w:space="0"/>
              <w:bottom w:val="single" w:color="auto" w:sz="4" w:space="0"/>
              <w:right w:val="single" w:color="auto" w:sz="4" w:space="0"/>
            </w:tcBorders>
            <w:vAlign w:val="center"/>
          </w:tcPr>
          <w:p w14:paraId="0D82A300">
            <w:pPr>
              <w:snapToGrid w:val="0"/>
              <w:spacing w:line="400" w:lineRule="exact"/>
              <w:jc w:val="center"/>
              <w:rPr>
                <w:rFonts w:ascii="宋体" w:cs="宋体"/>
                <w:color w:val="auto"/>
                <w:szCs w:val="21"/>
                <w:highlight w:val="none"/>
              </w:rPr>
            </w:pPr>
            <w:r>
              <w:rPr>
                <w:rFonts w:hint="eastAsia" w:ascii="宋体" w:cs="宋体"/>
                <w:color w:val="auto"/>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vAlign w:val="center"/>
          </w:tcPr>
          <w:p w14:paraId="0D4F5A69">
            <w:pPr>
              <w:snapToGrid w:val="0"/>
              <w:spacing w:line="400" w:lineRule="exact"/>
              <w:jc w:val="center"/>
              <w:rPr>
                <w:rFonts w:ascii="宋体" w:cs="宋体"/>
                <w:color w:val="auto"/>
                <w:szCs w:val="21"/>
                <w:highlight w:val="none"/>
              </w:rPr>
            </w:pPr>
            <w:r>
              <w:rPr>
                <w:rFonts w:hint="eastAsia" w:ascii="宋体" w:cs="宋体"/>
                <w:color w:val="auto"/>
                <w:szCs w:val="21"/>
                <w:highlight w:val="none"/>
              </w:rPr>
              <w:t>编列内容</w:t>
            </w:r>
          </w:p>
        </w:tc>
      </w:tr>
      <w:tr w14:paraId="37B24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6DE05116">
            <w:pPr>
              <w:snapToGrid w:val="0"/>
              <w:spacing w:line="360" w:lineRule="auto"/>
              <w:jc w:val="center"/>
              <w:rPr>
                <w:rFonts w:ascii="宋体" w:cs="宋体"/>
                <w:color w:val="auto"/>
                <w:szCs w:val="21"/>
                <w:highlight w:val="none"/>
              </w:rPr>
            </w:pPr>
            <w:r>
              <w:rPr>
                <w:rFonts w:hint="eastAsia" w:ascii="宋体" w:hAnsi="宋体" w:cs="宋体"/>
                <w:color w:val="auto"/>
                <w:szCs w:val="21"/>
                <w:highlight w:val="none"/>
                <w:lang w:val="en-US" w:eastAsia="zh-CN"/>
              </w:rPr>
              <w:t>2.8</w:t>
            </w:r>
          </w:p>
        </w:tc>
        <w:tc>
          <w:tcPr>
            <w:tcW w:w="2083" w:type="dxa"/>
            <w:tcBorders>
              <w:top w:val="single" w:color="auto" w:sz="4" w:space="0"/>
              <w:left w:val="single" w:color="auto" w:sz="4" w:space="0"/>
              <w:bottom w:val="single" w:color="auto" w:sz="4" w:space="0"/>
              <w:right w:val="single" w:color="auto" w:sz="4" w:space="0"/>
            </w:tcBorders>
            <w:vAlign w:val="center"/>
          </w:tcPr>
          <w:p w14:paraId="4C721EFC">
            <w:pPr>
              <w:snapToGrid w:val="0"/>
              <w:spacing w:line="360" w:lineRule="auto"/>
              <w:jc w:val="both"/>
              <w:rPr>
                <w:rFonts w:ascii="宋体" w:cs="宋体"/>
                <w:color w:val="auto"/>
                <w:szCs w:val="21"/>
                <w:highlight w:val="none"/>
              </w:rPr>
            </w:pPr>
            <w:r>
              <w:rPr>
                <w:rFonts w:hint="eastAsia" w:ascii="宋体" w:hAnsi="宋体" w:cs="宋体"/>
                <w:b w:val="0"/>
                <w:color w:val="auto"/>
                <w:sz w:val="21"/>
                <w:szCs w:val="21"/>
                <w:highlight w:val="none"/>
              </w:rPr>
              <w:t>实质性要求</w:t>
            </w:r>
          </w:p>
        </w:tc>
        <w:tc>
          <w:tcPr>
            <w:tcW w:w="7297" w:type="dxa"/>
            <w:tcBorders>
              <w:top w:val="single" w:color="auto" w:sz="4" w:space="0"/>
              <w:left w:val="single" w:color="auto" w:sz="4" w:space="0"/>
              <w:bottom w:val="single" w:color="auto" w:sz="4" w:space="0"/>
              <w:right w:val="single" w:color="auto" w:sz="4" w:space="0"/>
            </w:tcBorders>
            <w:vAlign w:val="center"/>
          </w:tcPr>
          <w:p w14:paraId="435A78E9">
            <w:pPr>
              <w:snapToGrid w:val="0"/>
              <w:spacing w:line="360" w:lineRule="auto"/>
              <w:jc w:val="left"/>
              <w:rPr>
                <w:rFonts w:ascii="宋体" w:cs="宋体"/>
                <w:color w:val="auto"/>
                <w:szCs w:val="21"/>
                <w:highlight w:val="none"/>
              </w:rPr>
            </w:pPr>
            <w:r>
              <w:rPr>
                <w:rFonts w:hint="eastAsia" w:ascii="宋体" w:hAnsi="宋体" w:cs="宋体"/>
                <w:b w:val="0"/>
                <w:color w:val="auto"/>
                <w:sz w:val="21"/>
                <w:szCs w:val="21"/>
                <w:highlight w:val="none"/>
              </w:rPr>
              <w:t>指招标文件中已经指明</w:t>
            </w:r>
            <w:r>
              <w:rPr>
                <w:rFonts w:hint="eastAsia" w:ascii="宋体" w:hAnsi="宋体" w:cs="宋体"/>
                <w:b w:val="0"/>
                <w:color w:val="auto"/>
                <w:sz w:val="21"/>
                <w:szCs w:val="21"/>
                <w:highlight w:val="none"/>
                <w:lang w:val="en-US" w:eastAsia="zh-CN"/>
              </w:rPr>
              <w:t>不提供或</w:t>
            </w:r>
            <w:r>
              <w:rPr>
                <w:rFonts w:hint="eastAsia" w:ascii="宋体" w:hAnsi="宋体" w:cs="宋体"/>
                <w:b w:val="0"/>
                <w:color w:val="auto"/>
                <w:sz w:val="21"/>
                <w:szCs w:val="21"/>
                <w:highlight w:val="none"/>
              </w:rPr>
              <w:t>不满足则投标无效的条款，或者</w:t>
            </w:r>
            <w:r>
              <w:rPr>
                <w:rFonts w:hint="eastAsia" w:ascii="宋体" w:hAnsi="宋体" w:cs="宋体"/>
                <w:b w:val="0"/>
                <w:color w:val="auto"/>
                <w:sz w:val="21"/>
                <w:szCs w:val="21"/>
                <w:highlight w:val="none"/>
                <w:lang w:eastAsia="zh-CN"/>
              </w:rPr>
              <w:t>第二章“采购需求”</w:t>
            </w:r>
            <w:r>
              <w:rPr>
                <w:rFonts w:hint="eastAsia" w:ascii="宋体" w:hAnsi="宋体" w:cs="宋体"/>
                <w:b w:val="0"/>
                <w:color w:val="auto"/>
                <w:sz w:val="21"/>
                <w:szCs w:val="21"/>
                <w:highlight w:val="none"/>
              </w:rPr>
              <w:t>中带“▲”的条款。</w:t>
            </w:r>
          </w:p>
        </w:tc>
      </w:tr>
      <w:tr w14:paraId="59AB0B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14:paraId="5E581EC5">
            <w:pPr>
              <w:spacing w:line="400" w:lineRule="exact"/>
              <w:rPr>
                <w:rFonts w:hint="eastAsia" w:ascii="宋体" w:hAnsi="Times New Roman" w:eastAsia="宋体" w:cs="宋体"/>
                <w:color w:val="auto"/>
                <w:kern w:val="2"/>
                <w:sz w:val="21"/>
                <w:szCs w:val="21"/>
                <w:highlight w:val="none"/>
                <w:lang w:val="en-US" w:eastAsia="zh-CN" w:bidi="ar-SA"/>
              </w:rPr>
            </w:pPr>
            <w:r>
              <w:rPr>
                <w:rFonts w:hint="eastAsia" w:ascii="宋体" w:cs="宋体"/>
                <w:color w:val="auto"/>
                <w:szCs w:val="21"/>
                <w:highlight w:val="none"/>
              </w:rPr>
              <w:t>3</w:t>
            </w:r>
          </w:p>
        </w:tc>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14:paraId="5ABEA7BD">
            <w:pPr>
              <w:spacing w:line="400" w:lineRule="exact"/>
              <w:rPr>
                <w:rFonts w:hint="eastAsia" w:ascii="宋体" w:hAnsi="Times New Roman" w:eastAsia="宋体" w:cs="宋体"/>
                <w:color w:val="auto"/>
                <w:kern w:val="2"/>
                <w:sz w:val="21"/>
                <w:szCs w:val="21"/>
                <w:highlight w:val="none"/>
                <w:lang w:val="en-US" w:eastAsia="zh-CN" w:bidi="ar-SA"/>
              </w:rPr>
            </w:pPr>
            <w:r>
              <w:rPr>
                <w:rFonts w:hint="eastAsia" w:ascii="宋体" w:cs="宋体"/>
                <w:color w:val="auto"/>
                <w:szCs w:val="21"/>
                <w:highlight w:val="none"/>
              </w:rPr>
              <w:t>投标人的资格要求</w:t>
            </w:r>
          </w:p>
        </w:tc>
        <w:tc>
          <w:tcPr>
            <w:tcW w:w="7297" w:type="dxa"/>
            <w:tcBorders>
              <w:top w:val="single" w:color="auto" w:sz="4" w:space="0"/>
              <w:left w:val="single" w:color="auto" w:sz="4" w:space="0"/>
              <w:bottom w:val="single" w:color="auto" w:sz="4" w:space="0"/>
              <w:right w:val="single" w:color="auto" w:sz="4" w:space="0"/>
            </w:tcBorders>
            <w:shd w:val="clear" w:color="auto" w:fill="auto"/>
            <w:vAlign w:val="center"/>
          </w:tcPr>
          <w:p w14:paraId="1BA3425E">
            <w:pPr>
              <w:pStyle w:val="9"/>
              <w:spacing w:line="400" w:lineRule="exact"/>
              <w:jc w:val="both"/>
              <w:rPr>
                <w:rFonts w:hint="eastAsia" w:ascii="宋体" w:hAnsi="Times New Roman" w:eastAsia="宋体" w:cs="宋体"/>
                <w:color w:val="auto"/>
                <w:kern w:val="2"/>
                <w:sz w:val="21"/>
                <w:szCs w:val="21"/>
                <w:highlight w:val="none"/>
                <w:lang w:val="en-US" w:eastAsia="zh-CN" w:bidi="ar-SA"/>
              </w:rPr>
            </w:pPr>
            <w:r>
              <w:rPr>
                <w:rFonts w:hint="eastAsia" w:ascii="宋体" w:cs="宋体"/>
                <w:color w:val="auto"/>
                <w:szCs w:val="21"/>
                <w:highlight w:val="none"/>
              </w:rPr>
              <w:t>详见招标公告。</w:t>
            </w:r>
          </w:p>
        </w:tc>
      </w:tr>
      <w:tr w14:paraId="74D68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2977473F">
            <w:pPr>
              <w:spacing w:line="400" w:lineRule="exact"/>
              <w:rPr>
                <w:rFonts w:ascii="宋体" w:cs="宋体"/>
                <w:color w:val="auto"/>
                <w:szCs w:val="21"/>
                <w:highlight w:val="none"/>
              </w:rPr>
            </w:pPr>
            <w:r>
              <w:rPr>
                <w:rFonts w:hint="eastAsia" w:ascii="宋体" w:cs="宋体"/>
                <w:color w:val="auto"/>
                <w:szCs w:val="21"/>
                <w:highlight w:val="none"/>
              </w:rPr>
              <w:t>6.1</w:t>
            </w:r>
          </w:p>
        </w:tc>
        <w:tc>
          <w:tcPr>
            <w:tcW w:w="2083" w:type="dxa"/>
            <w:tcBorders>
              <w:top w:val="single" w:color="auto" w:sz="4" w:space="0"/>
              <w:left w:val="single" w:color="auto" w:sz="4" w:space="0"/>
              <w:bottom w:val="single" w:color="auto" w:sz="4" w:space="0"/>
              <w:right w:val="single" w:color="auto" w:sz="4" w:space="0"/>
            </w:tcBorders>
            <w:vAlign w:val="center"/>
          </w:tcPr>
          <w:p w14:paraId="6D1605B3">
            <w:pPr>
              <w:spacing w:line="400" w:lineRule="exact"/>
              <w:rPr>
                <w:rFonts w:ascii="宋体" w:cs="宋体"/>
                <w:color w:val="auto"/>
                <w:szCs w:val="21"/>
                <w:highlight w:val="none"/>
              </w:rPr>
            </w:pPr>
            <w:bookmarkStart w:id="79" w:name="_8.1"/>
            <w:bookmarkEnd w:id="79"/>
            <w:bookmarkStart w:id="80" w:name="_9.2"/>
            <w:bookmarkEnd w:id="80"/>
            <w:bookmarkStart w:id="81" w:name="_5"/>
            <w:bookmarkEnd w:id="81"/>
            <w:r>
              <w:rPr>
                <w:rFonts w:hint="eastAsia" w:ascii="宋体" w:cs="宋体"/>
                <w:color w:val="auto"/>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vAlign w:val="center"/>
          </w:tcPr>
          <w:p w14:paraId="75A5025A">
            <w:pPr>
              <w:pStyle w:val="9"/>
              <w:spacing w:line="400" w:lineRule="exact"/>
              <w:jc w:val="both"/>
              <w:rPr>
                <w:rFonts w:ascii="宋体" w:cs="宋体"/>
                <w:color w:val="auto"/>
                <w:szCs w:val="21"/>
                <w:highlight w:val="none"/>
              </w:rPr>
            </w:pPr>
            <w:bookmarkStart w:id="82" w:name="PO_3000001867_PM007_1"/>
            <w:r>
              <w:rPr>
                <w:rFonts w:hint="eastAsia" w:ascii="宋体" w:cs="宋体"/>
                <w:color w:val="auto"/>
                <w:szCs w:val="21"/>
                <w:highlight w:val="none"/>
              </w:rPr>
              <w:t>详见招标公告</w:t>
            </w:r>
            <w:bookmarkEnd w:id="82"/>
            <w:r>
              <w:rPr>
                <w:rFonts w:hint="eastAsia" w:ascii="宋体" w:cs="宋体"/>
                <w:color w:val="auto"/>
                <w:szCs w:val="21"/>
                <w:highlight w:val="none"/>
              </w:rPr>
              <w:t>。</w:t>
            </w:r>
          </w:p>
        </w:tc>
      </w:tr>
      <w:tr w14:paraId="0F1639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635DA6F5">
            <w:pPr>
              <w:spacing w:line="400" w:lineRule="exact"/>
              <w:rPr>
                <w:rFonts w:ascii="宋体" w:cs="宋体"/>
                <w:color w:val="auto"/>
                <w:szCs w:val="21"/>
                <w:highlight w:val="none"/>
              </w:rPr>
            </w:pPr>
            <w:r>
              <w:rPr>
                <w:rFonts w:hint="eastAsia" w:ascii="宋体" w:cs="宋体"/>
                <w:color w:val="auto"/>
                <w:szCs w:val="21"/>
                <w:highlight w:val="none"/>
              </w:rPr>
              <w:t>6.2</w:t>
            </w:r>
          </w:p>
        </w:tc>
        <w:tc>
          <w:tcPr>
            <w:tcW w:w="2083" w:type="dxa"/>
            <w:tcBorders>
              <w:top w:val="single" w:color="auto" w:sz="4" w:space="0"/>
              <w:left w:val="single" w:color="auto" w:sz="4" w:space="0"/>
              <w:bottom w:val="single" w:color="auto" w:sz="4" w:space="0"/>
              <w:right w:val="single" w:color="auto" w:sz="4" w:space="0"/>
            </w:tcBorders>
            <w:vAlign w:val="center"/>
          </w:tcPr>
          <w:p w14:paraId="0646214E">
            <w:pPr>
              <w:spacing w:line="400" w:lineRule="exact"/>
              <w:rPr>
                <w:rFonts w:ascii="宋体" w:cs="宋体"/>
                <w:color w:val="auto"/>
                <w:szCs w:val="21"/>
                <w:highlight w:val="none"/>
              </w:rPr>
            </w:pPr>
            <w:r>
              <w:rPr>
                <w:rFonts w:hint="eastAsia" w:ascii="宋体" w:cs="宋体"/>
                <w:color w:val="auto"/>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vAlign w:val="center"/>
          </w:tcPr>
          <w:p w14:paraId="440B3E68">
            <w:pPr>
              <w:pStyle w:val="9"/>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☑不接受联合体。</w:t>
            </w:r>
          </w:p>
          <w:p w14:paraId="061698E9">
            <w:pPr>
              <w:pStyle w:val="9"/>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接受联合体：</w:t>
            </w:r>
          </w:p>
          <w:p w14:paraId="1BD20482">
            <w:pPr>
              <w:pStyle w:val="9"/>
              <w:spacing w:line="380" w:lineRule="exact"/>
              <w:rPr>
                <w:rFonts w:hint="eastAsia" w:ascii="宋体" w:hAnsi="宋体" w:cs="宋体"/>
                <w:color w:val="auto"/>
                <w:szCs w:val="21"/>
                <w:highlight w:val="none"/>
              </w:rPr>
            </w:pPr>
            <w:r>
              <w:rPr>
                <w:rFonts w:hint="eastAsia" w:ascii="宋体" w:hAnsi="宋体" w:cs="宋体"/>
                <w:color w:val="auto"/>
                <w:szCs w:val="21"/>
                <w:highlight w:val="none"/>
              </w:rPr>
              <w:t>1.两个以上投标人可以组成一个投标联合体，以一个投标人的身份共同参加投标，联合体投标人的名称应统一按“XXX公司与XXX公司的联合体”的规则填写。</w:t>
            </w:r>
          </w:p>
          <w:p w14:paraId="1904C261">
            <w:pPr>
              <w:pStyle w:val="9"/>
              <w:spacing w:line="380" w:lineRule="exact"/>
              <w:rPr>
                <w:rFonts w:hint="eastAsia" w:ascii="宋体" w:hAnsi="宋体" w:cs="宋体"/>
                <w:color w:val="auto"/>
                <w:szCs w:val="21"/>
                <w:highlight w:val="none"/>
              </w:rPr>
            </w:pPr>
            <w:r>
              <w:rPr>
                <w:rFonts w:hint="eastAsia" w:ascii="宋体" w:hAnsi="宋体" w:cs="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w:t>
            </w:r>
            <w:r>
              <w:rPr>
                <w:rFonts w:hint="eastAsia" w:ascii="宋体" w:hAnsi="宋体" w:eastAsia="宋体" w:cs="宋体"/>
                <w:color w:val="auto"/>
                <w:szCs w:val="21"/>
                <w:highlight w:val="none"/>
                <w:lang w:val="en-US" w:eastAsia="zh-CN"/>
              </w:rPr>
              <w:t>本项目有特殊要求规定投标人特定条件的，联合体各方中至少有一方必须符合招标文件规定的特定条件</w:t>
            </w:r>
            <w:r>
              <w:rPr>
                <w:rFonts w:hint="eastAsia" w:ascii="宋体" w:hAnsi="宋体" w:cs="宋体"/>
                <w:color w:val="auto"/>
                <w:szCs w:val="21"/>
                <w:highlight w:val="none"/>
              </w:rPr>
              <w:t>。</w:t>
            </w:r>
          </w:p>
          <w:p w14:paraId="3A484684">
            <w:pPr>
              <w:pStyle w:val="9"/>
              <w:spacing w:line="380" w:lineRule="exact"/>
              <w:rPr>
                <w:rFonts w:hint="eastAsia" w:ascii="宋体" w:hAnsi="宋体" w:cs="宋体"/>
                <w:color w:val="auto"/>
                <w:szCs w:val="21"/>
                <w:highlight w:val="none"/>
              </w:rPr>
            </w:pPr>
            <w:r>
              <w:rPr>
                <w:rFonts w:hint="eastAsia" w:ascii="宋体" w:hAnsi="宋体" w:cs="宋体"/>
                <w:color w:val="auto"/>
                <w:szCs w:val="21"/>
                <w:highlight w:val="none"/>
              </w:rPr>
              <w:t>3. 联合体投标的，须提供《联合体投标协议书》（格式后附），协议书必须明确主体方（或者牵头方）并明确约定联合体各方承担的工作和相应的责任（各方承担责任与义务的分工必须符合采购需求，</w:t>
            </w:r>
            <w:r>
              <w:rPr>
                <w:rFonts w:hint="eastAsia" w:ascii="宋体" w:hAnsi="宋体" w:cs="宋体"/>
                <w:b/>
                <w:bCs/>
                <w:color w:val="auto"/>
                <w:szCs w:val="21"/>
                <w:highlight w:val="none"/>
              </w:rPr>
              <w:t>否则，联合体投标无效</w:t>
            </w:r>
            <w:r>
              <w:rPr>
                <w:rFonts w:hint="eastAsia" w:ascii="宋体" w:hAnsi="宋体" w:cs="宋体"/>
                <w:color w:val="auto"/>
                <w:szCs w:val="21"/>
                <w:highlight w:val="none"/>
              </w:rPr>
              <w:t>），并将联合</w:t>
            </w:r>
            <w:r>
              <w:rPr>
                <w:rFonts w:hint="eastAsia" w:ascii="宋体" w:hAnsi="宋体" w:cs="宋体"/>
                <w:color w:val="auto"/>
                <w:szCs w:val="21"/>
                <w:highlight w:val="none"/>
                <w:lang w:eastAsia="zh-CN"/>
              </w:rPr>
              <w:t>体</w:t>
            </w:r>
            <w:r>
              <w:rPr>
                <w:rFonts w:hint="eastAsia" w:ascii="宋体" w:hAnsi="宋体" w:cs="宋体"/>
                <w:color w:val="auto"/>
                <w:szCs w:val="21"/>
                <w:highlight w:val="none"/>
              </w:rPr>
              <w:t>投标协议放入投标文件。联合体各方必须共同与采购人签订采购合同，就采购合同约定的事项对采购人承担连带责任。</w:t>
            </w:r>
          </w:p>
          <w:p w14:paraId="5AD86CAF">
            <w:pPr>
              <w:pStyle w:val="9"/>
              <w:spacing w:line="380" w:lineRule="exact"/>
              <w:rPr>
                <w:rFonts w:hint="eastAsia"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4.以联合体形式参加政府采购活动的，联合体各方不得再单独参加或者与其他投标人另外组成联合体参加同一合同项下的政府采购活动，</w:t>
            </w:r>
            <w:r>
              <w:rPr>
                <w:rFonts w:hint="eastAsia" w:ascii="宋体" w:hAnsi="宋体" w:cs="宋体"/>
                <w:b/>
                <w:bCs/>
                <w:color w:val="auto"/>
                <w:szCs w:val="21"/>
                <w:highlight w:val="none"/>
              </w:rPr>
              <w:t>否则与之相关的投标文件作废</w:t>
            </w:r>
            <w:r>
              <w:rPr>
                <w:rFonts w:hint="eastAsia" w:ascii="宋体" w:hAnsi="宋体" w:cs="宋体"/>
                <w:color w:val="auto"/>
                <w:szCs w:val="21"/>
                <w:highlight w:val="none"/>
              </w:rPr>
              <w:t>。</w:t>
            </w:r>
          </w:p>
          <w:p w14:paraId="64E22ED0">
            <w:pPr>
              <w:pStyle w:val="9"/>
              <w:spacing w:line="380" w:lineRule="exact"/>
              <w:rPr>
                <w:rFonts w:hint="eastAsia" w:ascii="宋体" w:hAnsi="宋体" w:cs="宋体"/>
                <w:color w:val="auto"/>
                <w:szCs w:val="21"/>
                <w:highlight w:val="none"/>
              </w:rPr>
            </w:pPr>
            <w:r>
              <w:rPr>
                <w:rFonts w:hint="eastAsia" w:ascii="宋体" w:hAnsi="宋体" w:cs="宋体"/>
                <w:color w:val="auto"/>
                <w:szCs w:val="21"/>
                <w:highlight w:val="none"/>
              </w:rPr>
              <w:t>5.联合体中有同类资质的投标人按照联合体分工承担相同工作的，应当按照资质等级较低的投标人确定资质等级。</w:t>
            </w:r>
          </w:p>
          <w:p w14:paraId="6EB26EC4">
            <w:pPr>
              <w:pStyle w:val="9"/>
              <w:spacing w:line="380" w:lineRule="exact"/>
              <w:rPr>
                <w:rFonts w:hint="eastAsia" w:ascii="宋体" w:hAnsi="宋体" w:cs="宋体"/>
                <w:color w:val="auto"/>
                <w:szCs w:val="21"/>
                <w:highlight w:val="none"/>
              </w:rPr>
            </w:pPr>
            <w:r>
              <w:rPr>
                <w:rFonts w:hint="eastAsia" w:ascii="宋体" w:hAnsi="宋体" w:cs="宋体"/>
                <w:color w:val="auto"/>
                <w:szCs w:val="21"/>
                <w:highlight w:val="none"/>
              </w:rPr>
              <w:t>6.联合体投标业绩、履约能力按照联合体各方其中较高的一方认定并计算（招标文件另有规定的除外）。</w:t>
            </w:r>
          </w:p>
          <w:p w14:paraId="26DAF5BE">
            <w:pPr>
              <w:pStyle w:val="9"/>
              <w:spacing w:line="380" w:lineRule="exact"/>
              <w:rPr>
                <w:rFonts w:hint="eastAsia" w:ascii="宋体" w:hAnsi="宋体" w:cs="宋体"/>
                <w:color w:val="auto"/>
                <w:szCs w:val="21"/>
                <w:highlight w:val="none"/>
              </w:rPr>
            </w:pPr>
            <w:r>
              <w:rPr>
                <w:rFonts w:hint="eastAsia" w:ascii="宋体" w:hAnsi="宋体" w:cs="宋体"/>
                <w:color w:val="auto"/>
                <w:szCs w:val="21"/>
                <w:highlight w:val="none"/>
              </w:rPr>
              <w:t>7.投标人为联合体的，可以由联合体中的一方或者多方共同缴纳投标保证金，其缴纳的投标保证金对联合体各方均具有约束力。</w:t>
            </w:r>
          </w:p>
          <w:p w14:paraId="3B25ABF3">
            <w:pPr>
              <w:pStyle w:val="9"/>
              <w:spacing w:line="400" w:lineRule="exact"/>
              <w:rPr>
                <w:rFonts w:hint="eastAsia" w:asci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.联合体各方均应按照招标文件的规定提交资格文件。</w:t>
            </w:r>
          </w:p>
        </w:tc>
      </w:tr>
      <w:tr w14:paraId="69ABC8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04B608FE">
            <w:pPr>
              <w:spacing w:line="400" w:lineRule="exact"/>
              <w:rPr>
                <w:rFonts w:ascii="宋体" w:cs="宋体"/>
                <w:color w:val="auto"/>
                <w:szCs w:val="21"/>
                <w:highlight w:val="none"/>
              </w:rPr>
            </w:pPr>
            <w:r>
              <w:rPr>
                <w:rFonts w:hint="eastAsia" w:ascii="宋体" w:cs="宋体"/>
                <w:color w:val="auto"/>
                <w:szCs w:val="21"/>
                <w:highlight w:val="none"/>
              </w:rPr>
              <w:t>7.2</w:t>
            </w:r>
          </w:p>
        </w:tc>
        <w:tc>
          <w:tcPr>
            <w:tcW w:w="2083" w:type="dxa"/>
            <w:tcBorders>
              <w:top w:val="single" w:color="auto" w:sz="4" w:space="0"/>
              <w:left w:val="single" w:color="auto" w:sz="4" w:space="0"/>
              <w:bottom w:val="single" w:color="auto" w:sz="4" w:space="0"/>
              <w:right w:val="single" w:color="auto" w:sz="4" w:space="0"/>
            </w:tcBorders>
            <w:vAlign w:val="center"/>
          </w:tcPr>
          <w:p w14:paraId="778E33CC">
            <w:pPr>
              <w:spacing w:line="400" w:lineRule="exact"/>
              <w:rPr>
                <w:rFonts w:ascii="宋体" w:cs="宋体"/>
                <w:color w:val="auto"/>
                <w:szCs w:val="21"/>
                <w:highlight w:val="none"/>
              </w:rPr>
            </w:pPr>
            <w:r>
              <w:rPr>
                <w:rFonts w:hint="eastAsia" w:ascii="宋体" w:cs="宋体"/>
                <w:color w:val="auto"/>
                <w:szCs w:val="21"/>
                <w:highlight w:val="none"/>
              </w:rPr>
              <w:t>是否允许分包</w:t>
            </w:r>
          </w:p>
        </w:tc>
        <w:tc>
          <w:tcPr>
            <w:tcW w:w="7297" w:type="dxa"/>
            <w:tcBorders>
              <w:top w:val="single" w:color="auto" w:sz="4" w:space="0"/>
              <w:left w:val="single" w:color="auto" w:sz="4" w:space="0"/>
              <w:bottom w:val="single" w:color="auto" w:sz="4" w:space="0"/>
              <w:right w:val="single" w:color="auto" w:sz="4" w:space="0"/>
            </w:tcBorders>
            <w:vAlign w:val="center"/>
          </w:tcPr>
          <w:p w14:paraId="1AEBAC68">
            <w:pPr>
              <w:spacing w:line="400" w:lineRule="exact"/>
              <w:jc w:val="left"/>
              <w:rPr>
                <w:rFonts w:ascii="宋体" w:cs="宋体"/>
                <w:color w:val="auto"/>
                <w:szCs w:val="21"/>
                <w:highlight w:val="none"/>
              </w:rPr>
            </w:pPr>
            <w:bookmarkStart w:id="83" w:name="PO_3000001871_PM044"/>
            <w:bookmarkStart w:id="84" w:name="PO_3000001867_PM044"/>
            <w:r>
              <w:rPr>
                <w:rFonts w:hint="eastAsia" w:ascii="宋体" w:cs="宋体"/>
                <w:color w:val="auto"/>
                <w:szCs w:val="21"/>
                <w:highlight w:val="none"/>
              </w:rPr>
              <w:t>☑ 不允许分包</w:t>
            </w:r>
            <w:bookmarkEnd w:id="83"/>
            <w:r>
              <w:rPr>
                <w:rFonts w:hint="eastAsia" w:ascii="宋体" w:cs="宋体"/>
                <w:color w:val="auto"/>
                <w:szCs w:val="21"/>
                <w:highlight w:val="none"/>
              </w:rPr>
              <w:t>。</w:t>
            </w:r>
          </w:p>
          <w:p w14:paraId="2BA0C863">
            <w:pPr>
              <w:pStyle w:val="9"/>
              <w:spacing w:line="400" w:lineRule="exact"/>
              <w:rPr>
                <w:rFonts w:ascii="宋体" w:cs="宋体"/>
                <w:color w:val="auto"/>
                <w:szCs w:val="21"/>
                <w:highlight w:val="none"/>
              </w:rPr>
            </w:pPr>
            <w:r>
              <w:rPr>
                <w:rFonts w:hint="eastAsia" w:ascii="宋体" w:cs="宋体"/>
                <w:color w:val="auto"/>
                <w:szCs w:val="21"/>
                <w:highlight w:val="none"/>
              </w:rPr>
              <w:t>□允许分包：</w:t>
            </w:r>
          </w:p>
          <w:bookmarkEnd w:id="84"/>
          <w:p w14:paraId="3DCD8826">
            <w:pPr>
              <w:pStyle w:val="9"/>
              <w:spacing w:line="400" w:lineRule="exact"/>
              <w:rPr>
                <w:rFonts w:ascii="宋体" w:cs="宋体"/>
                <w:color w:val="auto"/>
                <w:szCs w:val="21"/>
                <w:highlight w:val="none"/>
              </w:rPr>
            </w:pPr>
            <w:r>
              <w:rPr>
                <w:rFonts w:hint="eastAsia" w:ascii="宋体" w:cs="宋体"/>
                <w:color w:val="auto"/>
                <w:szCs w:val="21"/>
                <w:highlight w:val="none"/>
              </w:rPr>
              <w:t>分包内容：</w:t>
            </w:r>
            <w:r>
              <w:rPr>
                <w:rFonts w:hint="eastAsia" w:ascii="宋体" w:cs="宋体"/>
                <w:color w:val="auto"/>
                <w:szCs w:val="21"/>
                <w:highlight w:val="none"/>
                <w:u w:val="single"/>
              </w:rPr>
              <w:t xml:space="preserve">                                     。</w:t>
            </w:r>
          </w:p>
          <w:p w14:paraId="450171FB">
            <w:pPr>
              <w:pStyle w:val="9"/>
              <w:spacing w:line="400" w:lineRule="exact"/>
              <w:rPr>
                <w:rFonts w:ascii="宋体" w:cs="宋体"/>
                <w:color w:val="auto"/>
                <w:szCs w:val="21"/>
                <w:highlight w:val="none"/>
              </w:rPr>
            </w:pPr>
            <w:r>
              <w:rPr>
                <w:rFonts w:hint="eastAsia" w:ascii="宋体" w:cs="宋体"/>
                <w:color w:val="auto"/>
                <w:szCs w:val="21"/>
                <w:highlight w:val="none"/>
              </w:rPr>
              <w:t>分包金额或者比例：</w:t>
            </w:r>
            <w:r>
              <w:rPr>
                <w:rFonts w:hint="eastAsia" w:ascii="宋体" w:cs="宋体"/>
                <w:color w:val="auto"/>
                <w:szCs w:val="21"/>
                <w:highlight w:val="none"/>
                <w:u w:val="single"/>
              </w:rPr>
              <w:t xml:space="preserve">                                     。</w:t>
            </w:r>
          </w:p>
        </w:tc>
      </w:tr>
      <w:tr w14:paraId="5725C0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8" w:hRule="atLeast"/>
        </w:trPr>
        <w:tc>
          <w:tcPr>
            <w:tcW w:w="860" w:type="dxa"/>
            <w:tcBorders>
              <w:top w:val="single" w:color="auto" w:sz="4" w:space="0"/>
              <w:left w:val="single" w:color="auto" w:sz="4" w:space="0"/>
              <w:bottom w:val="single" w:color="auto" w:sz="4" w:space="0"/>
              <w:right w:val="single" w:color="auto" w:sz="4" w:space="0"/>
            </w:tcBorders>
            <w:vAlign w:val="center"/>
          </w:tcPr>
          <w:p w14:paraId="5260F403">
            <w:pPr>
              <w:spacing w:line="400" w:lineRule="exact"/>
              <w:rPr>
                <w:rFonts w:ascii="宋体" w:cs="宋体"/>
                <w:color w:val="auto"/>
                <w:szCs w:val="21"/>
                <w:highlight w:val="none"/>
              </w:rPr>
            </w:pPr>
            <w:r>
              <w:rPr>
                <w:rFonts w:hint="eastAsia" w:ascii="宋体" w:cs="宋体"/>
                <w:color w:val="auto"/>
                <w:szCs w:val="21"/>
                <w:highlight w:val="none"/>
              </w:rPr>
              <w:t>8.4</w:t>
            </w:r>
          </w:p>
          <w:p w14:paraId="065F3E79">
            <w:pPr>
              <w:spacing w:line="400" w:lineRule="exact"/>
              <w:rPr>
                <w:rFonts w:ascii="宋体" w:cs="宋体"/>
                <w:color w:val="auto"/>
                <w:szCs w:val="21"/>
                <w:highlight w:val="none"/>
              </w:rPr>
            </w:pPr>
          </w:p>
        </w:tc>
        <w:tc>
          <w:tcPr>
            <w:tcW w:w="2083" w:type="dxa"/>
            <w:tcBorders>
              <w:top w:val="single" w:color="auto" w:sz="4" w:space="0"/>
              <w:left w:val="single" w:color="auto" w:sz="4" w:space="0"/>
              <w:right w:val="single" w:color="auto" w:sz="4" w:space="0"/>
            </w:tcBorders>
            <w:vAlign w:val="center"/>
          </w:tcPr>
          <w:p w14:paraId="762067C2">
            <w:pPr>
              <w:pStyle w:val="9"/>
              <w:spacing w:line="400" w:lineRule="exact"/>
              <w:rPr>
                <w:rFonts w:ascii="宋体" w:cs="宋体"/>
                <w:color w:val="auto"/>
                <w:szCs w:val="21"/>
                <w:highlight w:val="none"/>
              </w:rPr>
            </w:pPr>
            <w:r>
              <w:rPr>
                <w:rFonts w:hint="eastAsia" w:ascii="宋体" w:cs="宋体"/>
                <w:color w:val="auto"/>
                <w:szCs w:val="21"/>
                <w:highlight w:val="none"/>
              </w:rPr>
              <w:t>提供相同品牌产品且通过资格审查、符合性审查的不同投标人参加同一合同项下投标的获得参加评标资格的投标人或获得中标人推荐资格的确定方式</w:t>
            </w:r>
          </w:p>
        </w:tc>
        <w:tc>
          <w:tcPr>
            <w:tcW w:w="7297" w:type="dxa"/>
            <w:tcBorders>
              <w:top w:val="single" w:color="auto" w:sz="4" w:space="0"/>
              <w:left w:val="single" w:color="auto" w:sz="4" w:space="0"/>
              <w:right w:val="single" w:color="auto" w:sz="4" w:space="0"/>
            </w:tcBorders>
            <w:vAlign w:val="center"/>
          </w:tcPr>
          <w:p w14:paraId="21DDBD31">
            <w:pPr>
              <w:pStyle w:val="14"/>
              <w:spacing w:line="400" w:lineRule="exact"/>
              <w:rPr>
                <w:rFonts w:cs="宋体"/>
                <w:color w:val="auto"/>
                <w:szCs w:val="21"/>
                <w:highlight w:val="none"/>
              </w:rPr>
            </w:pPr>
            <w:r>
              <w:rPr>
                <w:rFonts w:hint="eastAsia" w:cs="宋体"/>
                <w:color w:val="auto"/>
                <w:szCs w:val="21"/>
                <w:highlight w:val="none"/>
              </w:rPr>
              <w:t>□随机抽取（采用最低评标价法，投标报价相同时；采用综合评分法，评审得分相同时。）</w:t>
            </w:r>
          </w:p>
          <w:p w14:paraId="7F926275">
            <w:pPr>
              <w:pStyle w:val="9"/>
              <w:spacing w:line="400" w:lineRule="exact"/>
              <w:rPr>
                <w:rFonts w:ascii="宋体" w:cs="宋体"/>
                <w:color w:val="auto"/>
                <w:szCs w:val="21"/>
                <w:highlight w:val="none"/>
              </w:rPr>
            </w:pPr>
            <w:r>
              <w:rPr>
                <w:rFonts w:hint="eastAsia" w:ascii="宋体" w:cs="宋体"/>
                <w:color w:val="auto"/>
                <w:szCs w:val="21"/>
                <w:highlight w:val="none"/>
              </w:rPr>
              <w:t>☑ 其他方式：</w:t>
            </w:r>
          </w:p>
          <w:p w14:paraId="531D3A4B">
            <w:pPr>
              <w:pStyle w:val="9"/>
              <w:spacing w:line="400" w:lineRule="exact"/>
              <w:rPr>
                <w:rFonts w:ascii="宋体" w:cs="宋体"/>
                <w:color w:val="auto"/>
                <w:szCs w:val="21"/>
                <w:highlight w:val="none"/>
              </w:rPr>
            </w:pPr>
            <w:r>
              <w:rPr>
                <w:rFonts w:hint="eastAsia" w:ascii="宋体" w:cs="宋体"/>
                <w:color w:val="auto"/>
                <w:szCs w:val="21"/>
                <w:highlight w:val="none"/>
              </w:rPr>
              <w:t xml:space="preserve">☑ </w:t>
            </w:r>
            <w:r>
              <w:rPr>
                <w:rFonts w:hint="eastAsia" w:ascii="宋体" w:cs="宋体"/>
                <w:b/>
                <w:bCs/>
                <w:color w:val="auto"/>
                <w:szCs w:val="21"/>
                <w:highlight w:val="none"/>
              </w:rPr>
              <w:t>采用综合评分法，</w:t>
            </w:r>
            <w:r>
              <w:rPr>
                <w:rFonts w:hint="eastAsia" w:ascii="宋体" w:cs="宋体"/>
                <w:color w:val="auto"/>
                <w:szCs w:val="21"/>
                <w:highlight w:val="none"/>
              </w:rPr>
              <w:t>评审得分相同时，投标总报价低的获得推荐资格，评审得分、投标总报价均相同时，由采购人随机抽取。</w:t>
            </w:r>
          </w:p>
          <w:p w14:paraId="737F17F0">
            <w:pPr>
              <w:spacing w:line="400" w:lineRule="exact"/>
              <w:rPr>
                <w:rFonts w:ascii="宋体" w:cs="宋体"/>
                <w:color w:val="auto"/>
                <w:szCs w:val="21"/>
                <w:highlight w:val="none"/>
              </w:rPr>
            </w:pPr>
            <w:r>
              <w:rPr>
                <w:rFonts w:hint="eastAsia" w:ascii="宋体" w:cs="宋体"/>
                <w:color w:val="auto"/>
                <w:szCs w:val="21"/>
                <w:highlight w:val="none"/>
              </w:rPr>
              <w:t>□</w:t>
            </w:r>
            <w:r>
              <w:rPr>
                <w:rFonts w:hint="eastAsia" w:ascii="宋体" w:cs="宋体"/>
                <w:b/>
                <w:bCs/>
                <w:color w:val="auto"/>
                <w:szCs w:val="21"/>
                <w:highlight w:val="none"/>
              </w:rPr>
              <w:t>采用最低评标价法，</w:t>
            </w:r>
            <w:r>
              <w:rPr>
                <w:rFonts w:hint="eastAsia" w:ascii="宋体" w:cs="宋体"/>
                <w:color w:val="auto"/>
                <w:szCs w:val="21"/>
                <w:highlight w:val="none"/>
              </w:rPr>
              <w:t>投标总报价相同时，由采购人随机抽取。</w:t>
            </w:r>
          </w:p>
        </w:tc>
      </w:tr>
      <w:tr w14:paraId="353B01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73E95805">
            <w:pPr>
              <w:spacing w:line="400" w:lineRule="exact"/>
              <w:rPr>
                <w:rFonts w:ascii="宋体" w:cs="宋体"/>
                <w:color w:val="auto"/>
                <w:szCs w:val="21"/>
                <w:highlight w:val="none"/>
              </w:rPr>
            </w:pPr>
            <w:r>
              <w:rPr>
                <w:rFonts w:hint="eastAsia" w:ascii="宋体" w:cs="宋体"/>
                <w:color w:val="auto"/>
                <w:szCs w:val="21"/>
                <w:highlight w:val="none"/>
              </w:rPr>
              <w:t>11.4</w:t>
            </w:r>
          </w:p>
        </w:tc>
        <w:tc>
          <w:tcPr>
            <w:tcW w:w="2083" w:type="dxa"/>
            <w:tcBorders>
              <w:top w:val="single" w:color="auto" w:sz="4" w:space="0"/>
              <w:left w:val="single" w:color="auto" w:sz="4" w:space="0"/>
              <w:bottom w:val="single" w:color="auto" w:sz="4" w:space="0"/>
              <w:right w:val="single" w:color="auto" w:sz="4" w:space="0"/>
            </w:tcBorders>
            <w:vAlign w:val="center"/>
          </w:tcPr>
          <w:p w14:paraId="3BA28884">
            <w:pPr>
              <w:spacing w:line="400" w:lineRule="exact"/>
              <w:rPr>
                <w:rFonts w:ascii="宋体" w:cs="宋体"/>
                <w:color w:val="auto"/>
                <w:szCs w:val="21"/>
                <w:highlight w:val="none"/>
              </w:rPr>
            </w:pPr>
            <w:r>
              <w:rPr>
                <w:rFonts w:hint="eastAsia" w:ascii="宋体" w:cs="宋体"/>
                <w:color w:val="auto"/>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vAlign w:val="center"/>
          </w:tcPr>
          <w:p w14:paraId="193A3CA3">
            <w:pPr>
              <w:spacing w:line="400" w:lineRule="exact"/>
              <w:rPr>
                <w:rFonts w:ascii="宋体" w:cs="宋体"/>
                <w:color w:val="auto"/>
                <w:szCs w:val="21"/>
                <w:highlight w:val="none"/>
              </w:rPr>
            </w:pPr>
            <w:r>
              <w:rPr>
                <w:rFonts w:hint="eastAsia" w:ascii="宋体" w:cs="宋体"/>
                <w:color w:val="auto"/>
                <w:szCs w:val="21"/>
                <w:highlight w:val="none"/>
              </w:rPr>
              <w:t>与本项目相关的政府采购业务澄清、更正及与之相关的事项将在招标公告中“六、其他补充事宜”中网上查询地址上发布</w:t>
            </w:r>
            <w:r>
              <w:rPr>
                <w:rFonts w:hint="eastAsia" w:ascii="宋体" w:cs="宋体"/>
                <w:color w:val="auto"/>
                <w:kern w:val="0"/>
                <w:szCs w:val="21"/>
                <w:highlight w:val="none"/>
              </w:rPr>
              <w:t>。</w:t>
            </w:r>
          </w:p>
        </w:tc>
      </w:tr>
      <w:tr w14:paraId="40A523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6BABA3A7">
            <w:pPr>
              <w:spacing w:line="400" w:lineRule="exact"/>
              <w:rPr>
                <w:rFonts w:ascii="宋体" w:cs="宋体"/>
                <w:color w:val="auto"/>
                <w:szCs w:val="21"/>
                <w:highlight w:val="none"/>
              </w:rPr>
            </w:pPr>
            <w:r>
              <w:rPr>
                <w:rFonts w:hint="eastAsia" w:ascii="宋体" w:cs="宋体"/>
                <w:color w:val="auto"/>
                <w:szCs w:val="21"/>
                <w:highlight w:val="none"/>
              </w:rPr>
              <w:t>11.5</w:t>
            </w:r>
          </w:p>
        </w:tc>
        <w:tc>
          <w:tcPr>
            <w:tcW w:w="2083" w:type="dxa"/>
            <w:tcBorders>
              <w:top w:val="single" w:color="auto" w:sz="4" w:space="0"/>
              <w:left w:val="single" w:color="auto" w:sz="4" w:space="0"/>
              <w:bottom w:val="single" w:color="auto" w:sz="4" w:space="0"/>
              <w:right w:val="single" w:color="auto" w:sz="4" w:space="0"/>
            </w:tcBorders>
            <w:vAlign w:val="center"/>
          </w:tcPr>
          <w:p w14:paraId="1476CCC1">
            <w:pPr>
              <w:spacing w:line="400" w:lineRule="exact"/>
              <w:rPr>
                <w:rFonts w:ascii="宋体" w:cs="宋体"/>
                <w:color w:val="auto"/>
                <w:szCs w:val="21"/>
                <w:highlight w:val="none"/>
              </w:rPr>
            </w:pPr>
            <w:r>
              <w:rPr>
                <w:rFonts w:hint="eastAsia" w:ascii="宋体" w:cs="宋体"/>
                <w:color w:val="auto"/>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vAlign w:val="center"/>
          </w:tcPr>
          <w:p w14:paraId="575DA7F8">
            <w:pPr>
              <w:snapToGrid w:val="0"/>
              <w:spacing w:line="400" w:lineRule="exact"/>
              <w:rPr>
                <w:rFonts w:ascii="宋体" w:cs="宋体"/>
                <w:color w:val="auto"/>
                <w:szCs w:val="21"/>
                <w:highlight w:val="none"/>
              </w:rPr>
            </w:pPr>
            <w:r>
              <w:rPr>
                <w:rFonts w:hint="eastAsia" w:ascii="宋体" w:cs="宋体"/>
                <w:color w:val="auto"/>
                <w:szCs w:val="21"/>
                <w:highlight w:val="none"/>
              </w:rPr>
              <w:t>☑ 不组织召开开标前答疑会</w:t>
            </w:r>
          </w:p>
          <w:p w14:paraId="73CA782C">
            <w:pPr>
              <w:snapToGrid w:val="0"/>
              <w:spacing w:line="400" w:lineRule="exact"/>
              <w:rPr>
                <w:rFonts w:ascii="宋体" w:cs="宋体"/>
                <w:color w:val="auto"/>
                <w:szCs w:val="21"/>
                <w:highlight w:val="none"/>
              </w:rPr>
            </w:pPr>
            <w:r>
              <w:rPr>
                <w:rFonts w:hint="eastAsia" w:ascii="宋体" w:cs="宋体"/>
                <w:color w:val="auto"/>
                <w:szCs w:val="21"/>
                <w:highlight w:val="none"/>
              </w:rPr>
              <w:t>□组织召开开标前答疑会</w:t>
            </w:r>
          </w:p>
          <w:p w14:paraId="2E731674">
            <w:pPr>
              <w:snapToGrid w:val="0"/>
              <w:spacing w:line="400" w:lineRule="exact"/>
              <w:rPr>
                <w:rFonts w:ascii="宋体" w:cs="宋体"/>
                <w:color w:val="auto"/>
                <w:szCs w:val="21"/>
                <w:highlight w:val="none"/>
                <w:u w:val="single"/>
              </w:rPr>
            </w:pPr>
            <w:r>
              <w:rPr>
                <w:rFonts w:hint="eastAsia" w:ascii="宋体" w:cs="宋体"/>
                <w:color w:val="auto"/>
                <w:szCs w:val="21"/>
                <w:highlight w:val="none"/>
              </w:rPr>
              <w:t>会议开始时间：</w:t>
            </w:r>
            <w:r>
              <w:rPr>
                <w:rFonts w:hint="eastAsia" w:ascii="宋体" w:cs="宋体"/>
                <w:color w:val="auto"/>
                <w:szCs w:val="21"/>
                <w:highlight w:val="none"/>
                <w:u w:val="single"/>
              </w:rPr>
              <w:t xml:space="preserve">   </w:t>
            </w:r>
            <w:r>
              <w:rPr>
                <w:rFonts w:hint="eastAsia" w:ascii="宋体" w:cs="宋体"/>
                <w:color w:val="auto"/>
                <w:szCs w:val="21"/>
                <w:highlight w:val="none"/>
              </w:rPr>
              <w:t>年</w:t>
            </w:r>
            <w:r>
              <w:rPr>
                <w:rFonts w:hint="eastAsia" w:ascii="宋体" w:cs="宋体"/>
                <w:color w:val="auto"/>
                <w:szCs w:val="21"/>
                <w:highlight w:val="none"/>
                <w:u w:val="single"/>
              </w:rPr>
              <w:t xml:space="preserve">  </w:t>
            </w:r>
            <w:r>
              <w:rPr>
                <w:rFonts w:hint="eastAsia" w:ascii="宋体" w:cs="宋体"/>
                <w:color w:val="auto"/>
                <w:szCs w:val="21"/>
                <w:highlight w:val="none"/>
              </w:rPr>
              <w:t>月</w:t>
            </w:r>
            <w:r>
              <w:rPr>
                <w:rFonts w:hint="eastAsia" w:ascii="宋体" w:cs="宋体"/>
                <w:color w:val="auto"/>
                <w:szCs w:val="21"/>
                <w:highlight w:val="none"/>
                <w:u w:val="single"/>
              </w:rPr>
              <w:t xml:space="preserve">  </w:t>
            </w:r>
            <w:r>
              <w:rPr>
                <w:rFonts w:hint="eastAsia" w:ascii="宋体" w:cs="宋体"/>
                <w:color w:val="auto"/>
                <w:szCs w:val="21"/>
                <w:highlight w:val="none"/>
              </w:rPr>
              <w:t xml:space="preserve">日 </w:t>
            </w:r>
            <w:r>
              <w:rPr>
                <w:rFonts w:hint="eastAsia" w:ascii="宋体" w:cs="宋体"/>
                <w:color w:val="auto"/>
                <w:szCs w:val="21"/>
                <w:highlight w:val="none"/>
                <w:u w:val="single"/>
              </w:rPr>
              <w:t xml:space="preserve">  </w:t>
            </w:r>
            <w:r>
              <w:rPr>
                <w:rFonts w:hint="eastAsia" w:ascii="宋体" w:cs="宋体"/>
                <w:color w:val="auto"/>
                <w:szCs w:val="21"/>
                <w:highlight w:val="none"/>
              </w:rPr>
              <w:t>时</w:t>
            </w:r>
            <w:r>
              <w:rPr>
                <w:rFonts w:hint="eastAsia" w:ascii="宋体" w:cs="宋体"/>
                <w:color w:val="auto"/>
                <w:szCs w:val="21"/>
                <w:highlight w:val="none"/>
                <w:u w:val="single"/>
              </w:rPr>
              <w:t xml:space="preserve">  分</w:t>
            </w:r>
            <w:r>
              <w:rPr>
                <w:rFonts w:hint="eastAsia" w:ascii="宋体" w:cs="宋体"/>
                <w:color w:val="auto"/>
                <w:szCs w:val="21"/>
                <w:highlight w:val="none"/>
              </w:rPr>
              <w:t>，逾期后果自负。会议地点：</w:t>
            </w:r>
            <w:r>
              <w:rPr>
                <w:rFonts w:hint="eastAsia" w:ascii="宋体" w:cs="宋体"/>
                <w:color w:val="auto"/>
                <w:szCs w:val="21"/>
                <w:highlight w:val="none"/>
                <w:u w:val="single"/>
              </w:rPr>
              <w:t xml:space="preserve">              </w:t>
            </w:r>
          </w:p>
        </w:tc>
      </w:tr>
      <w:tr w14:paraId="21184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nil"/>
              <w:left w:val="single" w:color="auto" w:sz="4" w:space="0"/>
              <w:bottom w:val="nil"/>
              <w:right w:val="single" w:color="auto" w:sz="4" w:space="0"/>
            </w:tcBorders>
            <w:vAlign w:val="center"/>
          </w:tcPr>
          <w:p w14:paraId="708E84FB">
            <w:pPr>
              <w:spacing w:line="400" w:lineRule="exact"/>
              <w:rPr>
                <w:rFonts w:ascii="宋体" w:cs="宋体"/>
                <w:color w:val="auto"/>
                <w:szCs w:val="21"/>
                <w:highlight w:val="none"/>
              </w:rPr>
            </w:pPr>
            <w:r>
              <w:rPr>
                <w:rFonts w:hint="eastAsia" w:ascii="宋体" w:cs="宋体"/>
                <w:color w:val="auto"/>
                <w:szCs w:val="21"/>
                <w:highlight w:val="none"/>
              </w:rPr>
              <w:t>13.1</w:t>
            </w:r>
          </w:p>
        </w:tc>
        <w:tc>
          <w:tcPr>
            <w:tcW w:w="2083" w:type="dxa"/>
            <w:tcBorders>
              <w:top w:val="single" w:color="auto" w:sz="4" w:space="0"/>
              <w:left w:val="single" w:color="auto" w:sz="4" w:space="0"/>
              <w:bottom w:val="single" w:color="auto" w:sz="4" w:space="0"/>
              <w:right w:val="single" w:color="auto" w:sz="4" w:space="0"/>
            </w:tcBorders>
            <w:vAlign w:val="center"/>
          </w:tcPr>
          <w:p w14:paraId="5765B348">
            <w:pPr>
              <w:snapToGrid w:val="0"/>
              <w:spacing w:line="400" w:lineRule="exact"/>
              <w:jc w:val="left"/>
              <w:rPr>
                <w:rFonts w:ascii="宋体" w:cs="宋体"/>
                <w:color w:val="auto"/>
                <w:szCs w:val="21"/>
                <w:highlight w:val="none"/>
              </w:rPr>
            </w:pPr>
            <w:bookmarkStart w:id="85" w:name="_13.2"/>
            <w:bookmarkEnd w:id="85"/>
            <w:r>
              <w:rPr>
                <w:rFonts w:hint="eastAsia" w:ascii="宋体" w:cs="宋体"/>
                <w:color w:val="auto"/>
                <w:szCs w:val="21"/>
                <w:highlight w:val="none"/>
              </w:rPr>
              <w:t>资格文件组成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4CF7FC55">
            <w:pPr>
              <w:snapToGrid w:val="0"/>
              <w:spacing w:line="400" w:lineRule="exact"/>
              <w:jc w:val="left"/>
              <w:rPr>
                <w:rFonts w:hint="eastAsia" w:ascii="宋体" w:cs="宋体"/>
                <w:color w:val="auto"/>
                <w:szCs w:val="21"/>
                <w:highlight w:val="none"/>
              </w:rPr>
            </w:pPr>
            <w:r>
              <w:rPr>
                <w:rFonts w:hint="eastAsia" w:ascii="宋体" w:cs="宋体"/>
                <w:color w:val="auto"/>
                <w:szCs w:val="21"/>
                <w:highlight w:val="none"/>
              </w:rPr>
              <w:t>1</w:t>
            </w:r>
            <w:r>
              <w:rPr>
                <w:rFonts w:hint="eastAsia" w:ascii="宋体" w:cs="宋体"/>
                <w:color w:val="auto"/>
                <w:szCs w:val="21"/>
                <w:highlight w:val="none"/>
                <w:lang w:val="en-US" w:eastAsia="zh-CN"/>
              </w:rPr>
              <w:t>.</w:t>
            </w:r>
            <w:r>
              <w:rPr>
                <w:rFonts w:hint="eastAsia" w:ascii="宋体" w:cs="宋体"/>
                <w:color w:val="auto"/>
                <w:szCs w:val="21"/>
                <w:highlight w:val="none"/>
              </w:rPr>
              <w:t>投标人为法人或者其他组织的，提供营业执照等证明文件</w:t>
            </w:r>
            <w:r>
              <w:rPr>
                <w:rFonts w:hint="eastAsia" w:ascii="宋体" w:cs="宋体"/>
                <w:color w:val="auto"/>
                <w:szCs w:val="21"/>
                <w:highlight w:val="none"/>
                <w:lang w:eastAsia="zh-CN"/>
              </w:rPr>
              <w:t>复印件</w:t>
            </w:r>
            <w:r>
              <w:rPr>
                <w:rFonts w:hint="eastAsia" w:ascii="宋体" w:cs="宋体"/>
                <w:color w:val="auto"/>
                <w:szCs w:val="21"/>
                <w:highlight w:val="none"/>
              </w:rPr>
              <w:t>（如营业执照或者事业单位法人证书或者执业许可证等），投标人为自然人的，提供</w:t>
            </w:r>
            <w:r>
              <w:rPr>
                <w:rFonts w:hint="eastAsia" w:ascii="宋体" w:cs="宋体"/>
                <w:color w:val="auto"/>
                <w:szCs w:val="21"/>
                <w:highlight w:val="none"/>
                <w:lang w:eastAsia="zh-CN"/>
              </w:rPr>
              <w:t>有效</w:t>
            </w:r>
            <w:r>
              <w:rPr>
                <w:rFonts w:hint="eastAsia" w:ascii="宋体" w:cs="宋体"/>
                <w:color w:val="auto"/>
                <w:szCs w:val="21"/>
                <w:highlight w:val="none"/>
              </w:rPr>
              <w:t>身份证</w:t>
            </w:r>
            <w:r>
              <w:rPr>
                <w:rFonts w:hint="eastAsia" w:ascii="宋体" w:cs="宋体"/>
                <w:color w:val="auto"/>
                <w:szCs w:val="21"/>
                <w:highlight w:val="none"/>
                <w:lang w:eastAsia="zh-CN"/>
              </w:rPr>
              <w:t>正反面</w:t>
            </w:r>
            <w:r>
              <w:rPr>
                <w:rFonts w:hint="eastAsia" w:ascii="宋体" w:cs="宋体"/>
                <w:color w:val="auto"/>
                <w:szCs w:val="21"/>
                <w:highlight w:val="none"/>
              </w:rPr>
              <w:t>复印件</w:t>
            </w:r>
            <w:r>
              <w:rPr>
                <w:rFonts w:hint="eastAsia" w:ascii="宋体" w:cs="宋体"/>
                <w:color w:val="auto"/>
                <w:szCs w:val="21"/>
                <w:highlight w:val="none"/>
                <w:lang w:val="en-US" w:eastAsia="zh-CN"/>
              </w:rPr>
              <w:t>；银行、保险、石油石化、电力、电信等有行业特殊情况的，法人的分支机构经法人授权后可以分支机构的身份参加政府采购。如投标人为分支机构的，必须在投标文件中同时提供经法人授权投标人以分支机构名义参加投标的授权委托书、法人营业执照及分支机构营业执照的复印件</w:t>
            </w:r>
            <w:r>
              <w:rPr>
                <w:rFonts w:hint="eastAsia" w:ascii="宋体" w:cs="宋体"/>
                <w:color w:val="auto"/>
                <w:szCs w:val="21"/>
                <w:highlight w:val="none"/>
              </w:rPr>
              <w:t>。（</w:t>
            </w:r>
            <w:r>
              <w:rPr>
                <w:rFonts w:hint="eastAsia" w:ascii="宋体" w:cs="宋体"/>
                <w:b/>
                <w:bCs/>
                <w:color w:val="auto"/>
                <w:szCs w:val="21"/>
                <w:highlight w:val="none"/>
              </w:rPr>
              <w:t>必须提供，否则作无效投标处理</w:t>
            </w:r>
            <w:r>
              <w:rPr>
                <w:rFonts w:hint="eastAsia" w:ascii="宋体" w:cs="宋体"/>
                <w:color w:val="auto"/>
                <w:szCs w:val="21"/>
                <w:highlight w:val="none"/>
              </w:rPr>
              <w:t>）</w:t>
            </w:r>
          </w:p>
          <w:p w14:paraId="44A23516">
            <w:pPr>
              <w:snapToGrid w:val="0"/>
              <w:spacing w:line="400" w:lineRule="exact"/>
              <w:jc w:val="left"/>
              <w:rPr>
                <w:rFonts w:ascii="宋体" w:cs="宋体"/>
                <w:color w:val="auto"/>
                <w:szCs w:val="21"/>
                <w:highlight w:val="none"/>
              </w:rPr>
            </w:pPr>
            <w:r>
              <w:rPr>
                <w:rFonts w:hint="eastAsia" w:ascii="宋体" w:cs="宋体"/>
                <w:color w:val="auto"/>
                <w:szCs w:val="21"/>
                <w:highlight w:val="none"/>
              </w:rPr>
              <w:t>2</w:t>
            </w:r>
            <w:r>
              <w:rPr>
                <w:rFonts w:hint="eastAsia" w:ascii="宋体" w:cs="宋体"/>
                <w:color w:val="auto"/>
                <w:szCs w:val="21"/>
                <w:highlight w:val="none"/>
                <w:lang w:val="en-US" w:eastAsia="zh-CN"/>
              </w:rPr>
              <w:t>.</w:t>
            </w:r>
            <w:r>
              <w:rPr>
                <w:rFonts w:hint="eastAsia" w:ascii="宋体" w:cs="宋体"/>
                <w:color w:val="auto"/>
                <w:szCs w:val="21"/>
                <w:highlight w:val="none"/>
              </w:rPr>
              <w:t>投标人依法缴纳税收的相关材料（</w:t>
            </w:r>
            <w:r>
              <w:rPr>
                <w:rFonts w:hint="eastAsia" w:ascii="宋体" w:cs="宋体"/>
                <w:color w:val="auto"/>
                <w:szCs w:val="21"/>
                <w:highlight w:val="none"/>
                <w:u w:val="single"/>
              </w:rPr>
              <w:t>提供税款所属时期为2025年</w:t>
            </w:r>
            <w:r>
              <w:rPr>
                <w:rFonts w:hint="eastAsia" w:ascii="宋体" w:cs="宋体"/>
                <w:color w:val="auto"/>
                <w:szCs w:val="21"/>
                <w:highlight w:val="none"/>
                <w:u w:val="single"/>
                <w:lang w:val="en-US" w:eastAsia="zh-CN"/>
              </w:rPr>
              <w:t>9</w:t>
            </w:r>
            <w:r>
              <w:rPr>
                <w:rFonts w:hint="eastAsia" w:ascii="宋体" w:cs="宋体"/>
                <w:color w:val="auto"/>
                <w:szCs w:val="21"/>
                <w:highlight w:val="none"/>
                <w:u w:val="single"/>
              </w:rPr>
              <w:t>月至投标文件提交截止时间止的任意1个月</w:t>
            </w:r>
            <w:r>
              <w:rPr>
                <w:rFonts w:hint="eastAsia" w:ascii="宋体" w:cs="宋体"/>
                <w:color w:val="auto"/>
                <w:szCs w:val="21"/>
                <w:highlight w:val="none"/>
              </w:rPr>
              <w:t>的依法缴纳税收的凭据复印件；依法免税的投标人，必须提供相应文件证明其依法免税。从取得营业执照时间起到投标文件提交截止时间为止不足要求月数的，只需提供从取得营业执照起的依法缴纳税收相应证明文件）。（</w:t>
            </w:r>
            <w:r>
              <w:rPr>
                <w:rFonts w:hint="eastAsia" w:ascii="宋体" w:cs="宋体"/>
                <w:b/>
                <w:color w:val="auto"/>
                <w:szCs w:val="21"/>
                <w:highlight w:val="none"/>
              </w:rPr>
              <w:t>必须提供，否则作无效投标处理</w:t>
            </w:r>
            <w:r>
              <w:rPr>
                <w:rFonts w:hint="eastAsia" w:ascii="宋体" w:cs="宋体"/>
                <w:color w:val="auto"/>
                <w:szCs w:val="21"/>
                <w:highlight w:val="none"/>
              </w:rPr>
              <w:t>）</w:t>
            </w:r>
          </w:p>
          <w:p w14:paraId="0251BB7F">
            <w:pPr>
              <w:snapToGrid w:val="0"/>
              <w:spacing w:line="400" w:lineRule="exact"/>
              <w:jc w:val="left"/>
              <w:rPr>
                <w:rFonts w:ascii="宋体" w:cs="宋体"/>
                <w:color w:val="auto"/>
                <w:szCs w:val="21"/>
                <w:highlight w:val="none"/>
              </w:rPr>
            </w:pPr>
            <w:r>
              <w:rPr>
                <w:rFonts w:hint="eastAsia" w:ascii="宋体" w:cs="宋体"/>
                <w:color w:val="auto"/>
                <w:szCs w:val="21"/>
                <w:highlight w:val="none"/>
              </w:rPr>
              <w:t>3</w:t>
            </w:r>
            <w:r>
              <w:rPr>
                <w:rFonts w:hint="eastAsia" w:ascii="宋体" w:cs="宋体"/>
                <w:color w:val="auto"/>
                <w:szCs w:val="21"/>
                <w:highlight w:val="none"/>
                <w:lang w:val="en-US" w:eastAsia="zh-CN"/>
              </w:rPr>
              <w:t>.</w:t>
            </w:r>
            <w:r>
              <w:rPr>
                <w:rFonts w:hint="eastAsia" w:ascii="宋体" w:cs="宋体"/>
                <w:color w:val="auto"/>
                <w:szCs w:val="21"/>
                <w:highlight w:val="none"/>
              </w:rPr>
              <w:t>投标人依法缴纳社会保障资金的相关材料（</w:t>
            </w:r>
            <w:r>
              <w:rPr>
                <w:rFonts w:hint="eastAsia" w:ascii="宋体" w:cs="宋体"/>
                <w:color w:val="auto"/>
                <w:szCs w:val="21"/>
                <w:highlight w:val="none"/>
                <w:u w:val="single"/>
              </w:rPr>
              <w:t>提供税款所属时期或缴费起始时间为2025年</w:t>
            </w:r>
            <w:r>
              <w:rPr>
                <w:rFonts w:hint="eastAsia" w:ascii="宋体" w:cs="宋体"/>
                <w:color w:val="auto"/>
                <w:szCs w:val="21"/>
                <w:highlight w:val="none"/>
                <w:u w:val="single"/>
                <w:lang w:val="en-US" w:eastAsia="zh-CN"/>
              </w:rPr>
              <w:t>9</w:t>
            </w:r>
            <w:r>
              <w:rPr>
                <w:rFonts w:hint="eastAsia" w:ascii="宋体" w:cs="宋体"/>
                <w:color w:val="auto"/>
                <w:szCs w:val="21"/>
                <w:highlight w:val="none"/>
                <w:u w:val="single"/>
              </w:rPr>
              <w:t>月至投标文件提交截止时间止的任意1个月</w:t>
            </w:r>
            <w:r>
              <w:rPr>
                <w:rFonts w:hint="eastAsia" w:ascii="宋体" w:cs="宋体"/>
                <w:color w:val="auto"/>
                <w:szCs w:val="21"/>
                <w:highlight w:val="none"/>
              </w:rPr>
              <w:t>的依法缴纳社会保障资金的缴费凭证复印件；依法不需要缴纳社会保障资金的投标人，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cs="宋体"/>
                <w:b/>
                <w:color w:val="auto"/>
                <w:szCs w:val="21"/>
                <w:highlight w:val="none"/>
              </w:rPr>
              <w:t>必须提供，否则作无效投标处理</w:t>
            </w:r>
            <w:r>
              <w:rPr>
                <w:rFonts w:hint="eastAsia" w:ascii="宋体" w:cs="宋体"/>
                <w:color w:val="auto"/>
                <w:szCs w:val="21"/>
                <w:highlight w:val="none"/>
              </w:rPr>
              <w:t>）</w:t>
            </w:r>
          </w:p>
          <w:p w14:paraId="5831015A">
            <w:pPr>
              <w:snapToGrid w:val="0"/>
              <w:spacing w:line="400" w:lineRule="exact"/>
              <w:jc w:val="left"/>
              <w:rPr>
                <w:rFonts w:ascii="宋体" w:cs="宋体"/>
                <w:color w:val="auto"/>
                <w:szCs w:val="21"/>
                <w:highlight w:val="none"/>
              </w:rPr>
            </w:pPr>
            <w:r>
              <w:rPr>
                <w:rFonts w:hint="eastAsia" w:ascii="宋体" w:cs="宋体"/>
                <w:color w:val="auto"/>
                <w:szCs w:val="21"/>
                <w:highlight w:val="none"/>
              </w:rPr>
              <w:t>4</w:t>
            </w:r>
            <w:r>
              <w:rPr>
                <w:rFonts w:hint="eastAsia" w:ascii="宋体" w:cs="宋体"/>
                <w:color w:val="auto"/>
                <w:szCs w:val="21"/>
                <w:highlight w:val="none"/>
                <w:lang w:val="en-US" w:eastAsia="zh-CN"/>
              </w:rPr>
              <w:t>.</w:t>
            </w:r>
            <w:r>
              <w:rPr>
                <w:rFonts w:hint="eastAsia" w:ascii="宋体" w:cs="宋体"/>
                <w:color w:val="auto"/>
                <w:szCs w:val="21"/>
                <w:highlight w:val="none"/>
              </w:rPr>
              <w:t>投标人财务状况报告（提供2024年度经审计的财务报告复印件或者截标时间前半年内至少一个月能反映财务状况的报表或者投标人自拟的截标时间前半年内至少一个月的财务情况说明）。（</w:t>
            </w:r>
            <w:r>
              <w:rPr>
                <w:rFonts w:hint="eastAsia" w:ascii="宋体" w:cs="宋体"/>
                <w:b/>
                <w:color w:val="auto"/>
                <w:szCs w:val="21"/>
                <w:highlight w:val="none"/>
              </w:rPr>
              <w:t>必须提供，否则作无效投标处理</w:t>
            </w:r>
            <w:r>
              <w:rPr>
                <w:rFonts w:hint="eastAsia" w:ascii="宋体" w:cs="宋体"/>
                <w:color w:val="auto"/>
                <w:szCs w:val="21"/>
                <w:highlight w:val="none"/>
              </w:rPr>
              <w:t>）</w:t>
            </w:r>
          </w:p>
          <w:p w14:paraId="403FB30B">
            <w:pPr>
              <w:snapToGrid w:val="0"/>
              <w:spacing w:line="400" w:lineRule="exact"/>
              <w:jc w:val="left"/>
              <w:rPr>
                <w:rFonts w:ascii="宋体" w:cs="宋体"/>
                <w:color w:val="auto"/>
                <w:szCs w:val="21"/>
                <w:highlight w:val="none"/>
              </w:rPr>
            </w:pPr>
            <w:r>
              <w:rPr>
                <w:rFonts w:hint="eastAsia" w:ascii="宋体" w:cs="宋体"/>
                <w:color w:val="auto"/>
                <w:szCs w:val="21"/>
                <w:highlight w:val="none"/>
              </w:rPr>
              <w:t>5</w:t>
            </w:r>
            <w:r>
              <w:rPr>
                <w:rFonts w:hint="eastAsia" w:ascii="宋体" w:cs="宋体"/>
                <w:color w:val="auto"/>
                <w:szCs w:val="21"/>
                <w:highlight w:val="none"/>
                <w:lang w:val="en-US" w:eastAsia="zh-CN"/>
              </w:rPr>
              <w:t>.</w:t>
            </w:r>
            <w:r>
              <w:rPr>
                <w:rFonts w:hint="eastAsia" w:ascii="宋体" w:cs="宋体"/>
                <w:color w:val="auto"/>
                <w:szCs w:val="21"/>
                <w:highlight w:val="none"/>
              </w:rPr>
              <w:t>本项目的特定资格要求：无。（</w:t>
            </w:r>
            <w:r>
              <w:rPr>
                <w:rFonts w:hint="eastAsia" w:ascii="宋体" w:cs="宋体"/>
                <w:b/>
                <w:bCs/>
                <w:color w:val="auto"/>
                <w:szCs w:val="21"/>
                <w:highlight w:val="none"/>
                <w:lang w:val="en-US" w:eastAsia="zh-CN"/>
              </w:rPr>
              <w:t>如有则</w:t>
            </w:r>
            <w:r>
              <w:rPr>
                <w:rFonts w:hint="eastAsia" w:ascii="宋体" w:cs="宋体"/>
                <w:b/>
                <w:color w:val="auto"/>
                <w:szCs w:val="21"/>
                <w:highlight w:val="none"/>
              </w:rPr>
              <w:t>必须提供，否则作无效投标处理</w:t>
            </w:r>
            <w:r>
              <w:rPr>
                <w:rFonts w:hint="eastAsia" w:ascii="宋体" w:cs="宋体"/>
                <w:color w:val="auto"/>
                <w:szCs w:val="21"/>
                <w:highlight w:val="none"/>
              </w:rPr>
              <w:t>）</w:t>
            </w:r>
          </w:p>
          <w:p w14:paraId="43D51B3D">
            <w:pPr>
              <w:snapToGrid w:val="0"/>
              <w:spacing w:line="400" w:lineRule="exact"/>
              <w:jc w:val="left"/>
              <w:rPr>
                <w:rFonts w:hint="eastAsia" w:ascii="宋体" w:cs="宋体"/>
                <w:color w:val="auto"/>
                <w:szCs w:val="21"/>
                <w:highlight w:val="none"/>
              </w:rPr>
            </w:pPr>
            <w:r>
              <w:rPr>
                <w:rFonts w:hint="eastAsia" w:ascii="宋体" w:cs="宋体"/>
                <w:color w:val="auto"/>
                <w:szCs w:val="21"/>
                <w:highlight w:val="none"/>
                <w:lang w:val="en-US" w:eastAsia="zh-CN"/>
              </w:rPr>
              <w:t>6.</w:t>
            </w:r>
            <w:r>
              <w:rPr>
                <w:rFonts w:hint="eastAsia" w:ascii="宋体" w:cs="宋体"/>
                <w:color w:val="auto"/>
                <w:szCs w:val="21"/>
                <w:highlight w:val="none"/>
              </w:rPr>
              <w:t>投标人直接控股股东信息表（格式后附）</w:t>
            </w:r>
            <w:r>
              <w:rPr>
                <w:rFonts w:hint="eastAsia" w:ascii="宋体" w:cs="宋体"/>
                <w:color w:val="auto"/>
                <w:szCs w:val="21"/>
                <w:highlight w:val="none"/>
                <w:lang w:eastAsia="zh-CN"/>
              </w:rPr>
              <w:t>。</w:t>
            </w:r>
            <w:r>
              <w:rPr>
                <w:rFonts w:hint="eastAsia" w:ascii="宋体" w:cs="宋体"/>
                <w:color w:val="auto"/>
                <w:szCs w:val="21"/>
                <w:highlight w:val="none"/>
              </w:rPr>
              <w:t>（</w:t>
            </w:r>
            <w:r>
              <w:rPr>
                <w:rFonts w:hint="eastAsia" w:ascii="宋体" w:cs="宋体"/>
                <w:b/>
                <w:bCs/>
                <w:color w:val="auto"/>
                <w:szCs w:val="21"/>
                <w:highlight w:val="none"/>
              </w:rPr>
              <w:t>必须提供，否则作无效投标处理</w:t>
            </w:r>
            <w:r>
              <w:rPr>
                <w:rFonts w:hint="eastAsia" w:ascii="宋体" w:cs="宋体"/>
                <w:color w:val="auto"/>
                <w:szCs w:val="21"/>
                <w:highlight w:val="none"/>
              </w:rPr>
              <w:t>）</w:t>
            </w:r>
          </w:p>
          <w:p w14:paraId="26C9625F">
            <w:pPr>
              <w:snapToGrid w:val="0"/>
              <w:spacing w:line="400" w:lineRule="exact"/>
              <w:jc w:val="left"/>
              <w:rPr>
                <w:rFonts w:hint="eastAsia" w:ascii="宋体" w:cs="宋体"/>
                <w:color w:val="auto"/>
                <w:szCs w:val="21"/>
                <w:highlight w:val="none"/>
              </w:rPr>
            </w:pPr>
            <w:r>
              <w:rPr>
                <w:rFonts w:hint="eastAsia" w:ascii="宋体" w:cs="宋体"/>
                <w:color w:val="auto"/>
                <w:szCs w:val="21"/>
                <w:highlight w:val="none"/>
                <w:lang w:val="en-US" w:eastAsia="zh-CN"/>
              </w:rPr>
              <w:t>7.</w:t>
            </w:r>
            <w:r>
              <w:rPr>
                <w:rFonts w:hint="eastAsia" w:ascii="宋体" w:cs="宋体"/>
                <w:color w:val="auto"/>
                <w:szCs w:val="21"/>
                <w:highlight w:val="none"/>
              </w:rPr>
              <w:t>投标人直接管理关系信息表（格式后附）</w:t>
            </w:r>
            <w:r>
              <w:rPr>
                <w:rFonts w:hint="eastAsia" w:ascii="宋体" w:cs="宋体"/>
                <w:color w:val="auto"/>
                <w:szCs w:val="21"/>
                <w:highlight w:val="none"/>
                <w:lang w:eastAsia="zh-CN"/>
              </w:rPr>
              <w:t>。</w:t>
            </w:r>
            <w:r>
              <w:rPr>
                <w:rFonts w:hint="eastAsia" w:ascii="宋体" w:cs="宋体"/>
                <w:color w:val="auto"/>
                <w:szCs w:val="21"/>
                <w:highlight w:val="none"/>
              </w:rPr>
              <w:t>（</w:t>
            </w:r>
            <w:r>
              <w:rPr>
                <w:rFonts w:hint="eastAsia" w:ascii="宋体" w:cs="宋体"/>
                <w:b/>
                <w:bCs/>
                <w:color w:val="auto"/>
                <w:szCs w:val="21"/>
                <w:highlight w:val="none"/>
              </w:rPr>
              <w:t>必须提供，否则作无效投标处理</w:t>
            </w:r>
            <w:r>
              <w:rPr>
                <w:rFonts w:hint="eastAsia" w:ascii="宋体" w:cs="宋体"/>
                <w:color w:val="auto"/>
                <w:szCs w:val="21"/>
                <w:highlight w:val="none"/>
              </w:rPr>
              <w:t>）</w:t>
            </w:r>
          </w:p>
          <w:p w14:paraId="5AECE156">
            <w:pPr>
              <w:snapToGrid w:val="0"/>
              <w:spacing w:line="400" w:lineRule="exact"/>
              <w:jc w:val="left"/>
              <w:rPr>
                <w:rFonts w:ascii="宋体" w:cs="宋体"/>
                <w:color w:val="auto"/>
                <w:szCs w:val="21"/>
                <w:highlight w:val="none"/>
              </w:rPr>
            </w:pPr>
            <w:r>
              <w:rPr>
                <w:rFonts w:hint="eastAsia" w:ascii="宋体" w:cs="宋体"/>
                <w:color w:val="auto"/>
                <w:szCs w:val="21"/>
                <w:highlight w:val="none"/>
                <w:lang w:val="en-US" w:eastAsia="zh-CN"/>
              </w:rPr>
              <w:t>8.</w:t>
            </w:r>
            <w:r>
              <w:rPr>
                <w:rFonts w:hint="eastAsia" w:ascii="宋体" w:cs="宋体"/>
                <w:color w:val="auto"/>
                <w:szCs w:val="21"/>
                <w:highlight w:val="none"/>
              </w:rPr>
              <w:t>声明函（格式后附）。（</w:t>
            </w:r>
            <w:r>
              <w:rPr>
                <w:rFonts w:hint="eastAsia" w:ascii="宋体" w:cs="宋体"/>
                <w:b/>
                <w:color w:val="auto"/>
                <w:szCs w:val="21"/>
                <w:highlight w:val="none"/>
              </w:rPr>
              <w:t>必须提供，否则作无效投标处理</w:t>
            </w:r>
            <w:r>
              <w:rPr>
                <w:rFonts w:hint="eastAsia" w:ascii="宋体" w:cs="宋体"/>
                <w:color w:val="auto"/>
                <w:szCs w:val="21"/>
                <w:highlight w:val="none"/>
              </w:rPr>
              <w:t>）</w:t>
            </w:r>
          </w:p>
          <w:p w14:paraId="37DE0C22">
            <w:pPr>
              <w:snapToGrid w:val="0"/>
              <w:spacing w:line="400" w:lineRule="exact"/>
              <w:jc w:val="left"/>
              <w:rPr>
                <w:rFonts w:ascii="宋体" w:cs="宋体"/>
                <w:color w:val="auto"/>
                <w:szCs w:val="21"/>
                <w:highlight w:val="none"/>
              </w:rPr>
            </w:pPr>
            <w:r>
              <w:rPr>
                <w:rFonts w:hint="eastAsia" w:ascii="宋体" w:cs="宋体"/>
                <w:color w:val="auto"/>
                <w:szCs w:val="21"/>
                <w:highlight w:val="none"/>
                <w:lang w:val="en-US" w:eastAsia="zh-CN"/>
              </w:rPr>
              <w:t>9.</w:t>
            </w:r>
            <w:r>
              <w:rPr>
                <w:rFonts w:hint="eastAsia" w:ascii="宋体" w:cs="宋体"/>
                <w:color w:val="auto"/>
                <w:szCs w:val="21"/>
                <w:highlight w:val="none"/>
              </w:rPr>
              <w:t>联合体投标协议书（格式后附）。（</w:t>
            </w:r>
            <w:r>
              <w:rPr>
                <w:rFonts w:hint="eastAsia" w:ascii="宋体" w:cs="宋体"/>
                <w:b/>
                <w:color w:val="auto"/>
                <w:szCs w:val="21"/>
                <w:highlight w:val="none"/>
              </w:rPr>
              <w:t>联合体投标时必须提供，否则作无效投标处理</w:t>
            </w:r>
            <w:r>
              <w:rPr>
                <w:rFonts w:hint="eastAsia" w:ascii="宋体" w:cs="宋体"/>
                <w:color w:val="auto"/>
                <w:szCs w:val="21"/>
                <w:highlight w:val="none"/>
              </w:rPr>
              <w:t>）</w:t>
            </w:r>
          </w:p>
          <w:p w14:paraId="22883E63">
            <w:pPr>
              <w:snapToGrid w:val="0"/>
              <w:spacing w:line="400" w:lineRule="exact"/>
              <w:jc w:val="left"/>
              <w:rPr>
                <w:rFonts w:ascii="宋体" w:cs="宋体"/>
                <w:color w:val="auto"/>
                <w:szCs w:val="21"/>
                <w:highlight w:val="none"/>
              </w:rPr>
            </w:pPr>
            <w:r>
              <w:rPr>
                <w:rFonts w:hint="eastAsia" w:ascii="宋体" w:cs="宋体"/>
                <w:color w:val="auto"/>
                <w:szCs w:val="21"/>
                <w:highlight w:val="none"/>
                <w:lang w:val="en-US" w:eastAsia="zh-CN"/>
              </w:rPr>
              <w:t>10.</w:t>
            </w:r>
            <w:r>
              <w:rPr>
                <w:rFonts w:hint="eastAsia" w:ascii="宋体" w:cs="宋体"/>
                <w:color w:val="auto"/>
                <w:szCs w:val="21"/>
                <w:highlight w:val="none"/>
              </w:rPr>
              <w:t>除招标文件规定必须提供以外，投标人认为需要提供的其他证明材料。（</w:t>
            </w:r>
            <w:r>
              <w:rPr>
                <w:rFonts w:hint="eastAsia" w:ascii="宋体" w:cs="宋体"/>
                <w:b/>
                <w:bCs/>
                <w:color w:val="auto"/>
                <w:szCs w:val="21"/>
                <w:highlight w:val="none"/>
              </w:rPr>
              <w:t>格式自拟，如有，请提供</w:t>
            </w:r>
            <w:r>
              <w:rPr>
                <w:rFonts w:hint="eastAsia" w:ascii="宋体" w:cs="宋体"/>
                <w:color w:val="auto"/>
                <w:szCs w:val="21"/>
                <w:highlight w:val="none"/>
              </w:rPr>
              <w:t>）</w:t>
            </w:r>
          </w:p>
          <w:p w14:paraId="5ACBFE26">
            <w:pPr>
              <w:snapToGrid w:val="0"/>
              <w:spacing w:line="400" w:lineRule="exact"/>
              <w:jc w:val="left"/>
              <w:rPr>
                <w:rFonts w:ascii="宋体" w:cs="宋体"/>
                <w:b/>
                <w:color w:val="auto"/>
                <w:szCs w:val="21"/>
                <w:highlight w:val="none"/>
              </w:rPr>
            </w:pPr>
            <w:r>
              <w:rPr>
                <w:rFonts w:hint="eastAsia" w:ascii="宋体" w:cs="宋体"/>
                <w:b/>
                <w:bCs/>
                <w:color w:val="auto"/>
                <w:szCs w:val="21"/>
                <w:highlight w:val="none"/>
              </w:rPr>
              <w:t>注：1</w:t>
            </w:r>
            <w:r>
              <w:rPr>
                <w:rFonts w:hint="eastAsia" w:ascii="宋体" w:cs="宋体"/>
                <w:b/>
                <w:bCs/>
                <w:color w:val="auto"/>
                <w:szCs w:val="21"/>
                <w:highlight w:val="none"/>
                <w:lang w:val="en-US" w:eastAsia="zh-CN"/>
              </w:rPr>
              <w:t>.</w:t>
            </w:r>
            <w:r>
              <w:rPr>
                <w:rFonts w:hint="eastAsia" w:ascii="宋体" w:cs="宋体"/>
                <w:b/>
                <w:bCs/>
                <w:color w:val="auto"/>
                <w:szCs w:val="21"/>
                <w:highlight w:val="none"/>
              </w:rPr>
              <w:t>以上标明“必须提供”的材料</w:t>
            </w:r>
            <w:r>
              <w:rPr>
                <w:rFonts w:hint="eastAsia" w:ascii="宋体" w:cs="宋体"/>
                <w:b/>
                <w:color w:val="auto"/>
                <w:szCs w:val="21"/>
                <w:highlight w:val="none"/>
              </w:rPr>
              <w:t>属于复印件的扫描件的</w:t>
            </w:r>
            <w:r>
              <w:rPr>
                <w:rFonts w:hint="eastAsia" w:ascii="宋体" w:cs="宋体"/>
                <w:b/>
                <w:bCs/>
                <w:color w:val="auto"/>
                <w:szCs w:val="21"/>
                <w:highlight w:val="none"/>
              </w:rPr>
              <w:t>，必须加盖投标人公章，否则</w:t>
            </w:r>
            <w:r>
              <w:rPr>
                <w:rFonts w:hint="eastAsia" w:ascii="宋体" w:cs="宋体"/>
                <w:b/>
                <w:color w:val="auto"/>
                <w:szCs w:val="21"/>
                <w:highlight w:val="none"/>
              </w:rPr>
              <w:t>作无效投标处理。</w:t>
            </w:r>
          </w:p>
          <w:p w14:paraId="62B9B9B5">
            <w:pPr>
              <w:snapToGrid w:val="0"/>
              <w:spacing w:line="400" w:lineRule="exact"/>
              <w:ind w:firstLine="422" w:firstLineChars="200"/>
              <w:jc w:val="left"/>
              <w:rPr>
                <w:rFonts w:ascii="宋体" w:cs="宋体"/>
                <w:b/>
                <w:bCs/>
                <w:color w:val="auto"/>
                <w:szCs w:val="21"/>
                <w:highlight w:val="none"/>
              </w:rPr>
            </w:pPr>
            <w:r>
              <w:rPr>
                <w:rFonts w:hint="eastAsia" w:ascii="宋体" w:cs="宋体"/>
                <w:b/>
                <w:color w:val="auto"/>
                <w:szCs w:val="21"/>
                <w:highlight w:val="none"/>
              </w:rPr>
              <w:t>2</w:t>
            </w:r>
            <w:r>
              <w:rPr>
                <w:rFonts w:hint="eastAsia" w:ascii="宋体" w:cs="宋体"/>
                <w:b/>
                <w:bCs/>
                <w:color w:val="auto"/>
                <w:szCs w:val="21"/>
                <w:highlight w:val="none"/>
                <w:lang w:val="en-US" w:eastAsia="zh-CN"/>
              </w:rPr>
              <w:t>.</w:t>
            </w:r>
            <w:r>
              <w:rPr>
                <w:rFonts w:hint="eastAsia" w:ascii="宋体" w:cs="宋体"/>
                <w:b/>
                <w:bCs/>
                <w:color w:val="auto"/>
                <w:szCs w:val="21"/>
                <w:highlight w:val="none"/>
              </w:rPr>
              <w:t>联合体投标时，第1-</w:t>
            </w:r>
            <w:r>
              <w:rPr>
                <w:rFonts w:hint="eastAsia" w:ascii="宋体" w:cs="宋体"/>
                <w:b/>
                <w:bCs/>
                <w:color w:val="auto"/>
                <w:szCs w:val="21"/>
                <w:highlight w:val="none"/>
                <w:lang w:val="en-US" w:eastAsia="zh-CN"/>
              </w:rPr>
              <w:t>7</w:t>
            </w:r>
            <w:r>
              <w:rPr>
                <w:rFonts w:hint="eastAsia" w:ascii="宋体" w:cs="宋体"/>
                <w:b/>
                <w:bCs/>
                <w:color w:val="auto"/>
                <w:szCs w:val="21"/>
                <w:highlight w:val="none"/>
              </w:rPr>
              <w:t>项资格证明文件联合体各方均必须分别提供，联合体各方分别盖章，否则投标文件作无效投标处理。</w:t>
            </w:r>
          </w:p>
        </w:tc>
      </w:tr>
      <w:tr w14:paraId="25F66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nil"/>
              <w:left w:val="single" w:color="auto" w:sz="4" w:space="0"/>
              <w:bottom w:val="nil"/>
              <w:right w:val="single" w:color="auto" w:sz="4" w:space="0"/>
            </w:tcBorders>
            <w:vAlign w:val="center"/>
          </w:tcPr>
          <w:p w14:paraId="686CB45B">
            <w:pPr>
              <w:spacing w:line="400" w:lineRule="exact"/>
              <w:rPr>
                <w:rFonts w:asci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5BE12F1E">
            <w:pPr>
              <w:snapToGrid w:val="0"/>
              <w:spacing w:line="400" w:lineRule="exact"/>
              <w:jc w:val="left"/>
              <w:rPr>
                <w:rFonts w:ascii="宋体" w:cs="宋体"/>
                <w:color w:val="auto"/>
                <w:szCs w:val="21"/>
                <w:highlight w:val="none"/>
              </w:rPr>
            </w:pPr>
            <w:bookmarkStart w:id="86" w:name="_13.3"/>
            <w:bookmarkEnd w:id="86"/>
            <w:r>
              <w:rPr>
                <w:rFonts w:hint="eastAsia" w:ascii="宋体" w:cs="宋体"/>
                <w:color w:val="auto"/>
                <w:szCs w:val="21"/>
                <w:highlight w:val="none"/>
              </w:rPr>
              <w:t>商务文件组成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470EC97A">
            <w:pPr>
              <w:snapToGrid w:val="0"/>
              <w:spacing w:line="400" w:lineRule="exact"/>
              <w:jc w:val="left"/>
              <w:rPr>
                <w:rFonts w:ascii="宋体" w:cs="宋体"/>
                <w:color w:val="auto"/>
                <w:szCs w:val="21"/>
                <w:highlight w:val="none"/>
              </w:rPr>
            </w:pPr>
            <w:r>
              <w:rPr>
                <w:rFonts w:hint="eastAsia" w:ascii="宋体" w:cs="宋体"/>
                <w:color w:val="auto"/>
                <w:szCs w:val="21"/>
                <w:highlight w:val="none"/>
              </w:rPr>
              <w:t>1</w:t>
            </w:r>
            <w:r>
              <w:rPr>
                <w:rFonts w:hint="eastAsia" w:ascii="宋体" w:cs="宋体"/>
                <w:color w:val="auto"/>
                <w:szCs w:val="21"/>
                <w:highlight w:val="none"/>
                <w:lang w:val="en-US" w:eastAsia="zh-CN"/>
              </w:rPr>
              <w:t>.</w:t>
            </w:r>
            <w:r>
              <w:rPr>
                <w:rFonts w:hint="eastAsia" w:ascii="宋体" w:cs="宋体"/>
                <w:color w:val="auto"/>
                <w:szCs w:val="21"/>
                <w:highlight w:val="none"/>
              </w:rPr>
              <w:t>无串通投标行为的承诺函（格式后附）；（</w:t>
            </w:r>
            <w:r>
              <w:rPr>
                <w:rFonts w:hint="eastAsia" w:ascii="宋体" w:cs="宋体"/>
                <w:b/>
                <w:color w:val="auto"/>
                <w:szCs w:val="21"/>
                <w:highlight w:val="none"/>
              </w:rPr>
              <w:t>必须提供，否则作无效投标处理</w:t>
            </w:r>
            <w:r>
              <w:rPr>
                <w:rFonts w:hint="eastAsia" w:ascii="宋体" w:cs="宋体"/>
                <w:color w:val="auto"/>
                <w:szCs w:val="21"/>
                <w:highlight w:val="none"/>
              </w:rPr>
              <w:t>）</w:t>
            </w:r>
          </w:p>
          <w:p w14:paraId="229316F2">
            <w:pPr>
              <w:snapToGrid w:val="0"/>
              <w:spacing w:line="400" w:lineRule="exact"/>
              <w:jc w:val="left"/>
              <w:rPr>
                <w:rFonts w:ascii="宋体" w:cs="宋体"/>
                <w:color w:val="auto"/>
                <w:szCs w:val="21"/>
                <w:highlight w:val="none"/>
              </w:rPr>
            </w:pPr>
            <w:r>
              <w:rPr>
                <w:rFonts w:hint="eastAsia" w:ascii="宋体" w:cs="宋体"/>
                <w:color w:val="auto"/>
                <w:szCs w:val="21"/>
                <w:highlight w:val="none"/>
              </w:rPr>
              <w:t>2</w:t>
            </w:r>
            <w:r>
              <w:rPr>
                <w:rFonts w:hint="eastAsia" w:ascii="宋体" w:cs="宋体"/>
                <w:color w:val="auto"/>
                <w:szCs w:val="21"/>
                <w:highlight w:val="none"/>
                <w:lang w:val="en-US" w:eastAsia="zh-CN"/>
              </w:rPr>
              <w:t>.</w:t>
            </w:r>
            <w:r>
              <w:rPr>
                <w:rFonts w:hint="eastAsia" w:ascii="宋体" w:cs="宋体"/>
                <w:color w:val="auto"/>
                <w:szCs w:val="21"/>
                <w:highlight w:val="none"/>
              </w:rPr>
              <w:t>法定代表人身份证明及法定代表人有效身份证正反面复印件（格式后附）；（</w:t>
            </w:r>
            <w:r>
              <w:rPr>
                <w:rFonts w:hint="eastAsia" w:ascii="宋体" w:cs="宋体"/>
                <w:b/>
                <w:bCs/>
                <w:color w:val="auto"/>
                <w:szCs w:val="21"/>
                <w:highlight w:val="none"/>
              </w:rPr>
              <w:t>除自然人投标外</w:t>
            </w:r>
            <w:r>
              <w:rPr>
                <w:rFonts w:hint="eastAsia" w:ascii="宋体" w:cs="宋体"/>
                <w:b/>
                <w:color w:val="auto"/>
                <w:szCs w:val="21"/>
                <w:highlight w:val="none"/>
              </w:rPr>
              <w:t>必须提供，否则作无效投标处理</w:t>
            </w:r>
            <w:r>
              <w:rPr>
                <w:rFonts w:hint="eastAsia" w:ascii="宋体" w:cs="宋体"/>
                <w:color w:val="auto"/>
                <w:szCs w:val="21"/>
                <w:highlight w:val="none"/>
              </w:rPr>
              <w:t>）</w:t>
            </w:r>
          </w:p>
          <w:p w14:paraId="50D37B43">
            <w:pPr>
              <w:snapToGrid w:val="0"/>
              <w:spacing w:line="400" w:lineRule="exact"/>
              <w:jc w:val="left"/>
              <w:rPr>
                <w:rFonts w:ascii="宋体" w:cs="宋体"/>
                <w:color w:val="auto"/>
                <w:szCs w:val="21"/>
                <w:highlight w:val="none"/>
              </w:rPr>
            </w:pPr>
            <w:r>
              <w:rPr>
                <w:rFonts w:hint="eastAsia" w:ascii="宋体" w:cs="宋体"/>
                <w:color w:val="auto"/>
                <w:szCs w:val="21"/>
                <w:highlight w:val="none"/>
              </w:rPr>
              <w:t>3</w:t>
            </w:r>
            <w:r>
              <w:rPr>
                <w:rFonts w:hint="eastAsia" w:ascii="宋体" w:cs="宋体"/>
                <w:color w:val="auto"/>
                <w:szCs w:val="21"/>
                <w:highlight w:val="none"/>
                <w:lang w:val="en-US" w:eastAsia="zh-CN"/>
              </w:rPr>
              <w:t>.</w:t>
            </w:r>
            <w:r>
              <w:rPr>
                <w:rFonts w:hint="eastAsia" w:ascii="宋体" w:cs="宋体"/>
                <w:color w:val="auto"/>
                <w:szCs w:val="21"/>
                <w:highlight w:val="none"/>
              </w:rPr>
              <w:t>法定代表人授权委托书及委托代理人有效身份证正反面复印件（格式后附）；（</w:t>
            </w:r>
            <w:r>
              <w:rPr>
                <w:rFonts w:hint="eastAsia" w:ascii="宋体" w:cs="宋体"/>
                <w:b/>
                <w:color w:val="auto"/>
                <w:szCs w:val="21"/>
                <w:highlight w:val="none"/>
              </w:rPr>
              <w:t>委托时必须提供，否则作无效投标处理</w:t>
            </w:r>
            <w:r>
              <w:rPr>
                <w:rFonts w:hint="eastAsia" w:ascii="宋体" w:cs="宋体"/>
                <w:color w:val="auto"/>
                <w:szCs w:val="21"/>
                <w:highlight w:val="none"/>
              </w:rPr>
              <w:t>）</w:t>
            </w:r>
          </w:p>
          <w:p w14:paraId="03C15389">
            <w:pPr>
              <w:snapToGrid w:val="0"/>
              <w:spacing w:line="400" w:lineRule="exact"/>
              <w:jc w:val="left"/>
              <w:rPr>
                <w:rFonts w:ascii="宋体" w:cs="宋体"/>
                <w:b/>
                <w:color w:val="auto"/>
                <w:szCs w:val="21"/>
                <w:highlight w:val="none"/>
              </w:rPr>
            </w:pPr>
            <w:r>
              <w:rPr>
                <w:rFonts w:hint="eastAsia" w:ascii="宋体" w:cs="宋体"/>
                <w:color w:val="auto"/>
                <w:szCs w:val="21"/>
                <w:highlight w:val="none"/>
              </w:rPr>
              <w:t>4</w:t>
            </w:r>
            <w:r>
              <w:rPr>
                <w:rFonts w:hint="eastAsia" w:ascii="宋体" w:cs="宋体"/>
                <w:color w:val="auto"/>
                <w:szCs w:val="21"/>
                <w:highlight w:val="none"/>
                <w:lang w:val="en-US" w:eastAsia="zh-CN"/>
              </w:rPr>
              <w:t>.</w:t>
            </w:r>
            <w:r>
              <w:rPr>
                <w:rFonts w:hint="eastAsia" w:ascii="宋体" w:cs="宋体"/>
                <w:color w:val="auto"/>
                <w:szCs w:val="21"/>
                <w:highlight w:val="none"/>
              </w:rPr>
              <w:t>投标保证金提交凭证；</w:t>
            </w:r>
            <w:r>
              <w:rPr>
                <w:rFonts w:hint="eastAsia" w:ascii="宋体" w:cs="宋体"/>
                <w:b/>
                <w:color w:val="auto"/>
                <w:szCs w:val="21"/>
                <w:highlight w:val="none"/>
              </w:rPr>
              <w:t>（必须提供，否则作无效投标处理）</w:t>
            </w:r>
          </w:p>
          <w:p w14:paraId="35EE231A">
            <w:pPr>
              <w:snapToGrid w:val="0"/>
              <w:spacing w:line="400" w:lineRule="exact"/>
              <w:jc w:val="left"/>
              <w:rPr>
                <w:rFonts w:ascii="宋体" w:cs="宋体"/>
                <w:color w:val="auto"/>
                <w:szCs w:val="21"/>
                <w:highlight w:val="none"/>
              </w:rPr>
            </w:pPr>
            <w:r>
              <w:rPr>
                <w:rFonts w:hint="eastAsia" w:ascii="宋体" w:cs="宋体"/>
                <w:color w:val="auto"/>
                <w:szCs w:val="21"/>
                <w:highlight w:val="none"/>
              </w:rPr>
              <w:t>5</w:t>
            </w:r>
            <w:r>
              <w:rPr>
                <w:rFonts w:hint="eastAsia" w:ascii="宋体" w:cs="宋体"/>
                <w:color w:val="auto"/>
                <w:szCs w:val="21"/>
                <w:highlight w:val="none"/>
                <w:lang w:val="en-US" w:eastAsia="zh-CN"/>
              </w:rPr>
              <w:t>.</w:t>
            </w:r>
            <w:r>
              <w:rPr>
                <w:rFonts w:hint="eastAsia" w:ascii="宋体" w:cs="宋体"/>
                <w:color w:val="auto"/>
                <w:szCs w:val="21"/>
                <w:highlight w:val="none"/>
              </w:rPr>
              <w:t>商务条款偏离表（格式后附）；（</w:t>
            </w:r>
            <w:r>
              <w:rPr>
                <w:rFonts w:hint="eastAsia" w:ascii="宋体" w:cs="宋体"/>
                <w:b/>
                <w:color w:val="auto"/>
                <w:szCs w:val="21"/>
                <w:highlight w:val="none"/>
              </w:rPr>
              <w:t>必须提供，否则作无效投标处理</w:t>
            </w:r>
            <w:r>
              <w:rPr>
                <w:rFonts w:hint="eastAsia" w:ascii="宋体" w:cs="宋体"/>
                <w:color w:val="auto"/>
                <w:szCs w:val="21"/>
                <w:highlight w:val="none"/>
              </w:rPr>
              <w:t>）</w:t>
            </w:r>
          </w:p>
          <w:p w14:paraId="55B812D3">
            <w:pPr>
              <w:snapToGrid w:val="0"/>
              <w:spacing w:line="400" w:lineRule="exact"/>
              <w:jc w:val="left"/>
              <w:rPr>
                <w:rFonts w:ascii="宋体" w:cs="宋体"/>
                <w:color w:val="auto"/>
                <w:szCs w:val="21"/>
                <w:highlight w:val="none"/>
              </w:rPr>
            </w:pPr>
            <w:r>
              <w:rPr>
                <w:rFonts w:hint="eastAsia" w:ascii="宋体" w:cs="宋体"/>
                <w:color w:val="auto"/>
                <w:szCs w:val="21"/>
                <w:highlight w:val="none"/>
              </w:rPr>
              <w:t>6</w:t>
            </w:r>
            <w:r>
              <w:rPr>
                <w:rFonts w:hint="eastAsia" w:ascii="宋体" w:cs="宋体"/>
                <w:color w:val="auto"/>
                <w:szCs w:val="21"/>
                <w:highlight w:val="none"/>
                <w:lang w:val="en-US" w:eastAsia="zh-CN"/>
              </w:rPr>
              <w:t>.</w:t>
            </w:r>
            <w:r>
              <w:rPr>
                <w:rFonts w:hint="eastAsia" w:ascii="宋体" w:cs="宋体"/>
                <w:color w:val="auto"/>
                <w:szCs w:val="21"/>
                <w:highlight w:val="none"/>
              </w:rPr>
              <w:t>投标人情况介绍；（</w:t>
            </w:r>
            <w:r>
              <w:rPr>
                <w:rFonts w:hint="eastAsia" w:ascii="宋体" w:cs="宋体"/>
                <w:b/>
                <w:bCs/>
                <w:color w:val="auto"/>
                <w:szCs w:val="21"/>
                <w:highlight w:val="none"/>
              </w:rPr>
              <w:t>格式自拟，如有，请提供</w:t>
            </w:r>
            <w:r>
              <w:rPr>
                <w:rFonts w:hint="eastAsia" w:ascii="宋体" w:cs="宋体"/>
                <w:color w:val="auto"/>
                <w:szCs w:val="21"/>
                <w:highlight w:val="none"/>
              </w:rPr>
              <w:t>）</w:t>
            </w:r>
          </w:p>
          <w:p w14:paraId="0F2336D2">
            <w:pPr>
              <w:snapToGrid w:val="0"/>
              <w:spacing w:line="400" w:lineRule="exact"/>
              <w:jc w:val="left"/>
              <w:rPr>
                <w:rFonts w:ascii="宋体" w:cs="宋体"/>
                <w:color w:val="auto"/>
                <w:szCs w:val="21"/>
                <w:highlight w:val="none"/>
              </w:rPr>
            </w:pPr>
            <w:r>
              <w:rPr>
                <w:rFonts w:hint="eastAsia" w:ascii="宋体" w:cs="宋体"/>
                <w:color w:val="auto"/>
                <w:szCs w:val="21"/>
                <w:highlight w:val="none"/>
              </w:rPr>
              <w:t>7</w:t>
            </w:r>
            <w:r>
              <w:rPr>
                <w:rFonts w:hint="eastAsia" w:ascii="宋体" w:cs="宋体"/>
                <w:color w:val="auto"/>
                <w:szCs w:val="21"/>
                <w:highlight w:val="none"/>
                <w:lang w:val="en-US" w:eastAsia="zh-CN"/>
              </w:rPr>
              <w:t>.</w:t>
            </w:r>
            <w:r>
              <w:rPr>
                <w:rFonts w:hint="eastAsia" w:ascii="宋体" w:cs="宋体"/>
                <w:color w:val="auto"/>
                <w:szCs w:val="21"/>
                <w:highlight w:val="none"/>
              </w:rPr>
              <w:t>除招标文件规定必须提供以外，投标人认为需要提供的其他证明材料（</w:t>
            </w:r>
            <w:r>
              <w:rPr>
                <w:rFonts w:hint="eastAsia" w:ascii="宋体" w:cs="宋体"/>
                <w:b/>
                <w:bCs/>
                <w:color w:val="auto"/>
                <w:szCs w:val="21"/>
                <w:highlight w:val="none"/>
              </w:rPr>
              <w:t>格式自拟，如有，请提供</w:t>
            </w:r>
            <w:r>
              <w:rPr>
                <w:rFonts w:hint="eastAsia" w:ascii="宋体" w:cs="宋体"/>
                <w:color w:val="auto"/>
                <w:szCs w:val="21"/>
                <w:highlight w:val="none"/>
              </w:rPr>
              <w:t>）。（投标人根据“第二章 采购需求”及“第四章 评标方法和评标标准”提供有关证明材料）。</w:t>
            </w:r>
          </w:p>
          <w:p w14:paraId="45B26B4A">
            <w:pPr>
              <w:snapToGrid w:val="0"/>
              <w:spacing w:line="400" w:lineRule="exact"/>
              <w:jc w:val="left"/>
              <w:rPr>
                <w:rFonts w:ascii="宋体" w:cs="宋体"/>
                <w:b/>
                <w:bCs/>
                <w:color w:val="auto"/>
                <w:szCs w:val="21"/>
                <w:highlight w:val="none"/>
              </w:rPr>
            </w:pPr>
            <w:r>
              <w:rPr>
                <w:rFonts w:hint="eastAsia" w:ascii="宋体" w:cs="宋体"/>
                <w:b/>
                <w:bCs/>
                <w:color w:val="auto"/>
                <w:szCs w:val="21"/>
                <w:highlight w:val="none"/>
              </w:rPr>
              <w:t>注：1</w:t>
            </w:r>
            <w:r>
              <w:rPr>
                <w:rFonts w:hint="eastAsia" w:ascii="宋体" w:cs="宋体"/>
                <w:b/>
                <w:bCs/>
                <w:color w:val="auto"/>
                <w:szCs w:val="21"/>
                <w:highlight w:val="none"/>
                <w:lang w:val="en-US" w:eastAsia="zh-CN"/>
              </w:rPr>
              <w:t>.</w:t>
            </w:r>
            <w:r>
              <w:rPr>
                <w:rFonts w:hint="eastAsia" w:ascii="宋体" w:cs="宋体"/>
                <w:b/>
                <w:bCs/>
                <w:color w:val="auto"/>
                <w:szCs w:val="21"/>
                <w:highlight w:val="none"/>
              </w:rPr>
              <w:t>法定代表人授权委托书必须由法定代表人及委托代理人签字，并加盖投标人公章，否则作无效投标处理。</w:t>
            </w:r>
          </w:p>
          <w:p w14:paraId="4905FB5D">
            <w:pPr>
              <w:snapToGrid w:val="0"/>
              <w:spacing w:line="400" w:lineRule="exact"/>
              <w:ind w:firstLine="422" w:firstLineChars="200"/>
              <w:jc w:val="left"/>
              <w:rPr>
                <w:rFonts w:ascii="宋体" w:cs="宋体"/>
                <w:b/>
                <w:color w:val="auto"/>
                <w:szCs w:val="21"/>
                <w:highlight w:val="none"/>
              </w:rPr>
            </w:pPr>
            <w:r>
              <w:rPr>
                <w:rFonts w:hint="eastAsia" w:ascii="宋体" w:cs="宋体"/>
                <w:b/>
                <w:bCs/>
                <w:color w:val="auto"/>
                <w:szCs w:val="21"/>
                <w:highlight w:val="none"/>
              </w:rPr>
              <w:t>2</w:t>
            </w:r>
            <w:r>
              <w:rPr>
                <w:rFonts w:hint="eastAsia" w:ascii="宋体" w:cs="宋体"/>
                <w:b/>
                <w:bCs/>
                <w:color w:val="auto"/>
                <w:szCs w:val="21"/>
                <w:highlight w:val="none"/>
                <w:lang w:val="en-US" w:eastAsia="zh-CN"/>
              </w:rPr>
              <w:t>.</w:t>
            </w:r>
            <w:r>
              <w:rPr>
                <w:rFonts w:hint="eastAsia" w:ascii="宋体" w:cs="宋体"/>
                <w:b/>
                <w:bCs/>
                <w:color w:val="auto"/>
                <w:szCs w:val="21"/>
                <w:highlight w:val="none"/>
              </w:rPr>
              <w:t>以上标明“必须提供”的材料</w:t>
            </w:r>
            <w:r>
              <w:rPr>
                <w:rFonts w:hint="eastAsia" w:ascii="宋体" w:cs="宋体"/>
                <w:b/>
                <w:color w:val="auto"/>
                <w:szCs w:val="21"/>
                <w:highlight w:val="none"/>
              </w:rPr>
              <w:t>属于复印件的扫描件的</w:t>
            </w:r>
            <w:r>
              <w:rPr>
                <w:rFonts w:hint="eastAsia" w:ascii="宋体" w:cs="宋体"/>
                <w:b/>
                <w:bCs/>
                <w:color w:val="auto"/>
                <w:szCs w:val="21"/>
                <w:highlight w:val="none"/>
              </w:rPr>
              <w:t>，必须加盖投标人公章，否则</w:t>
            </w:r>
            <w:r>
              <w:rPr>
                <w:rFonts w:hint="eastAsia" w:ascii="宋体" w:cs="宋体"/>
                <w:b/>
                <w:color w:val="auto"/>
                <w:szCs w:val="21"/>
                <w:highlight w:val="none"/>
              </w:rPr>
              <w:t>作无效投标处理</w:t>
            </w:r>
            <w:r>
              <w:rPr>
                <w:rFonts w:hint="eastAsia" w:ascii="宋体" w:cs="宋体"/>
                <w:b/>
                <w:bCs/>
                <w:color w:val="auto"/>
                <w:szCs w:val="21"/>
                <w:highlight w:val="none"/>
              </w:rPr>
              <w:t>。</w:t>
            </w:r>
          </w:p>
        </w:tc>
      </w:tr>
      <w:tr w14:paraId="4FC2CD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vMerge w:val="restart"/>
            <w:tcBorders>
              <w:top w:val="nil"/>
              <w:left w:val="single" w:color="auto" w:sz="4" w:space="0"/>
              <w:bottom w:val="single" w:color="auto" w:sz="4" w:space="0"/>
              <w:right w:val="single" w:color="auto" w:sz="4" w:space="0"/>
            </w:tcBorders>
            <w:vAlign w:val="center"/>
          </w:tcPr>
          <w:p w14:paraId="14E1000F">
            <w:pPr>
              <w:spacing w:line="400" w:lineRule="exact"/>
              <w:rPr>
                <w:rFonts w:ascii="宋体" w:cs="宋体"/>
                <w:color w:val="auto"/>
                <w:szCs w:val="21"/>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48352448">
            <w:pPr>
              <w:snapToGrid w:val="0"/>
              <w:spacing w:line="400" w:lineRule="exact"/>
              <w:jc w:val="left"/>
              <w:rPr>
                <w:rFonts w:ascii="宋体" w:cs="宋体"/>
                <w:color w:val="auto"/>
                <w:szCs w:val="21"/>
                <w:highlight w:val="none"/>
              </w:rPr>
            </w:pPr>
            <w:bookmarkStart w:id="87" w:name="_13.4"/>
            <w:bookmarkEnd w:id="87"/>
            <w:r>
              <w:rPr>
                <w:rFonts w:hint="eastAsia" w:ascii="宋体" w:cs="宋体"/>
                <w:color w:val="auto"/>
                <w:szCs w:val="21"/>
                <w:highlight w:val="none"/>
              </w:rPr>
              <w:t>技术文件组成</w:t>
            </w:r>
          </w:p>
          <w:p w14:paraId="41025AD8">
            <w:pPr>
              <w:spacing w:line="400" w:lineRule="exact"/>
              <w:rPr>
                <w:rFonts w:ascii="宋体" w:cs="宋体"/>
                <w:color w:val="auto"/>
                <w:szCs w:val="21"/>
                <w:highlight w:val="none"/>
              </w:rPr>
            </w:pPr>
          </w:p>
        </w:tc>
        <w:tc>
          <w:tcPr>
            <w:tcW w:w="7297" w:type="dxa"/>
            <w:tcBorders>
              <w:top w:val="single" w:color="auto" w:sz="4" w:space="0"/>
              <w:left w:val="single" w:color="auto" w:sz="4" w:space="0"/>
              <w:bottom w:val="single" w:color="auto" w:sz="4" w:space="0"/>
              <w:right w:val="single" w:color="auto" w:sz="4" w:space="0"/>
            </w:tcBorders>
            <w:vAlign w:val="center"/>
          </w:tcPr>
          <w:p w14:paraId="41DB365A">
            <w:pPr>
              <w:snapToGrid w:val="0"/>
              <w:spacing w:line="400" w:lineRule="exact"/>
              <w:jc w:val="left"/>
              <w:rPr>
                <w:rFonts w:ascii="宋体" w:cs="宋体"/>
                <w:color w:val="auto"/>
                <w:szCs w:val="21"/>
                <w:highlight w:val="none"/>
              </w:rPr>
            </w:pPr>
            <w:r>
              <w:rPr>
                <w:rFonts w:hint="eastAsia" w:ascii="宋体" w:cs="宋体"/>
                <w:color w:val="auto"/>
                <w:szCs w:val="21"/>
                <w:highlight w:val="none"/>
              </w:rPr>
              <w:t>1</w:t>
            </w:r>
            <w:r>
              <w:rPr>
                <w:rFonts w:hint="eastAsia" w:ascii="宋体" w:cs="宋体"/>
                <w:color w:val="auto"/>
                <w:szCs w:val="21"/>
                <w:highlight w:val="none"/>
                <w:lang w:val="en-US" w:eastAsia="zh-CN"/>
              </w:rPr>
              <w:t>.</w:t>
            </w:r>
            <w:r>
              <w:rPr>
                <w:rFonts w:hint="eastAsia" w:ascii="宋体" w:cs="宋体"/>
                <w:color w:val="auto"/>
                <w:szCs w:val="21"/>
                <w:highlight w:val="none"/>
              </w:rPr>
              <w:t>技术需求偏离表（格式后附）；（</w:t>
            </w:r>
            <w:r>
              <w:rPr>
                <w:rFonts w:hint="eastAsia" w:ascii="宋体" w:cs="宋体"/>
                <w:b/>
                <w:color w:val="auto"/>
                <w:szCs w:val="21"/>
                <w:highlight w:val="none"/>
              </w:rPr>
              <w:t>必须提供，否则作无效投标处理</w:t>
            </w:r>
            <w:r>
              <w:rPr>
                <w:rFonts w:hint="eastAsia" w:ascii="宋体" w:cs="宋体"/>
                <w:color w:val="auto"/>
                <w:szCs w:val="21"/>
                <w:highlight w:val="none"/>
              </w:rPr>
              <w:t>）</w:t>
            </w:r>
          </w:p>
          <w:p w14:paraId="26EB1B07">
            <w:pPr>
              <w:snapToGrid w:val="0"/>
              <w:spacing w:line="400" w:lineRule="exact"/>
              <w:jc w:val="left"/>
              <w:rPr>
                <w:rFonts w:ascii="宋体" w:cs="宋体"/>
                <w:b/>
                <w:i/>
                <w:iCs/>
                <w:color w:val="auto"/>
                <w:szCs w:val="21"/>
                <w:highlight w:val="none"/>
              </w:rPr>
            </w:pPr>
            <w:r>
              <w:rPr>
                <w:rFonts w:hint="eastAsia" w:ascii="宋体" w:cs="宋体"/>
                <w:color w:val="auto"/>
                <w:szCs w:val="21"/>
                <w:highlight w:val="none"/>
              </w:rPr>
              <w:t>2</w:t>
            </w:r>
            <w:r>
              <w:rPr>
                <w:rFonts w:hint="eastAsia" w:ascii="宋体" w:cs="宋体"/>
                <w:color w:val="auto"/>
                <w:szCs w:val="21"/>
                <w:highlight w:val="none"/>
                <w:lang w:val="en-US" w:eastAsia="zh-CN"/>
              </w:rPr>
              <w:t>.</w:t>
            </w:r>
            <w:r>
              <w:rPr>
                <w:rFonts w:hint="eastAsia" w:ascii="宋体" w:cs="宋体"/>
                <w:color w:val="auto"/>
                <w:szCs w:val="21"/>
                <w:highlight w:val="none"/>
              </w:rPr>
              <w:t>项目实施方案（包括但不限于拟投入实施人员、售后服务承诺、技术培训等）；（</w:t>
            </w:r>
            <w:r>
              <w:rPr>
                <w:rFonts w:hint="eastAsia" w:ascii="宋体" w:cs="宋体"/>
                <w:b/>
                <w:bCs/>
                <w:color w:val="auto"/>
                <w:szCs w:val="21"/>
                <w:highlight w:val="none"/>
              </w:rPr>
              <w:t>格式自拟，如有，请提供</w:t>
            </w:r>
            <w:r>
              <w:rPr>
                <w:rFonts w:hint="eastAsia" w:ascii="宋体" w:cs="宋体"/>
                <w:color w:val="auto"/>
                <w:szCs w:val="21"/>
                <w:highlight w:val="none"/>
              </w:rPr>
              <w:t>）</w:t>
            </w:r>
          </w:p>
          <w:p w14:paraId="3FD7DF28">
            <w:pPr>
              <w:snapToGrid w:val="0"/>
              <w:spacing w:line="400" w:lineRule="exact"/>
              <w:jc w:val="left"/>
              <w:rPr>
                <w:rFonts w:ascii="宋体" w:cs="宋体"/>
                <w:color w:val="auto"/>
                <w:szCs w:val="21"/>
                <w:highlight w:val="none"/>
              </w:rPr>
            </w:pPr>
            <w:r>
              <w:rPr>
                <w:rFonts w:hint="eastAsia" w:ascii="宋体" w:cs="宋体"/>
                <w:color w:val="auto"/>
                <w:szCs w:val="21"/>
                <w:highlight w:val="none"/>
              </w:rPr>
              <w:t>3</w:t>
            </w:r>
            <w:r>
              <w:rPr>
                <w:rFonts w:hint="eastAsia" w:ascii="宋体" w:cs="宋体"/>
                <w:color w:val="auto"/>
                <w:szCs w:val="21"/>
                <w:highlight w:val="none"/>
                <w:lang w:val="en-US" w:eastAsia="zh-CN"/>
              </w:rPr>
              <w:t>.</w:t>
            </w:r>
            <w:r>
              <w:rPr>
                <w:rFonts w:hint="eastAsia" w:ascii="宋体" w:cs="宋体"/>
                <w:color w:val="auto"/>
                <w:szCs w:val="21"/>
                <w:highlight w:val="none"/>
              </w:rPr>
              <w:t>投标产品技术证明资料（包括但不限于投标产品说明书、出厂标准、质量检测报告等）；（</w:t>
            </w:r>
            <w:r>
              <w:rPr>
                <w:rFonts w:hint="eastAsia" w:ascii="宋体" w:cs="宋体"/>
                <w:b/>
                <w:bCs/>
                <w:color w:val="auto"/>
                <w:szCs w:val="21"/>
                <w:highlight w:val="none"/>
              </w:rPr>
              <w:t>格式自拟，如有，请提供</w:t>
            </w:r>
            <w:r>
              <w:rPr>
                <w:rFonts w:hint="eastAsia" w:ascii="宋体" w:cs="宋体"/>
                <w:color w:val="auto"/>
                <w:szCs w:val="21"/>
                <w:highlight w:val="none"/>
              </w:rPr>
              <w:t>）</w:t>
            </w:r>
          </w:p>
          <w:p w14:paraId="67EFFFE4">
            <w:pPr>
              <w:tabs>
                <w:tab w:val="center" w:pos="4153"/>
                <w:tab w:val="right" w:pos="8306"/>
              </w:tabs>
              <w:spacing w:line="400" w:lineRule="exact"/>
              <w:rPr>
                <w:rFonts w:ascii="宋体" w:cs="宋体"/>
                <w:color w:val="auto"/>
                <w:szCs w:val="21"/>
                <w:highlight w:val="none"/>
              </w:rPr>
            </w:pPr>
            <w:r>
              <w:rPr>
                <w:rFonts w:hint="eastAsia" w:ascii="宋体" w:cs="宋体"/>
                <w:color w:val="auto"/>
                <w:szCs w:val="21"/>
                <w:highlight w:val="none"/>
              </w:rPr>
              <w:t>4</w:t>
            </w:r>
            <w:r>
              <w:rPr>
                <w:rFonts w:hint="eastAsia" w:ascii="宋体" w:cs="宋体"/>
                <w:color w:val="auto"/>
                <w:szCs w:val="21"/>
                <w:highlight w:val="none"/>
                <w:lang w:val="en-US" w:eastAsia="zh-CN"/>
              </w:rPr>
              <w:t>.</w:t>
            </w:r>
            <w:r>
              <w:rPr>
                <w:rFonts w:hint="eastAsia" w:ascii="宋体" w:cs="宋体"/>
                <w:color w:val="auto"/>
                <w:szCs w:val="21"/>
                <w:highlight w:val="none"/>
              </w:rPr>
              <w:t>投标产品销售业绩或使用情况及证明资料；（</w:t>
            </w:r>
            <w:r>
              <w:rPr>
                <w:rFonts w:hint="eastAsia" w:ascii="宋体" w:cs="宋体"/>
                <w:b/>
                <w:bCs/>
                <w:color w:val="auto"/>
                <w:szCs w:val="21"/>
                <w:highlight w:val="none"/>
              </w:rPr>
              <w:t>格式自拟，如有，请提供</w:t>
            </w:r>
            <w:r>
              <w:rPr>
                <w:rFonts w:hint="eastAsia" w:ascii="宋体" w:cs="宋体"/>
                <w:color w:val="auto"/>
                <w:szCs w:val="21"/>
                <w:highlight w:val="none"/>
              </w:rPr>
              <w:t>）</w:t>
            </w:r>
          </w:p>
          <w:p w14:paraId="5497BB21">
            <w:pPr>
              <w:snapToGrid w:val="0"/>
              <w:spacing w:line="400" w:lineRule="exact"/>
              <w:jc w:val="left"/>
              <w:rPr>
                <w:rFonts w:ascii="宋体" w:cs="宋体"/>
                <w:color w:val="auto"/>
                <w:szCs w:val="21"/>
                <w:highlight w:val="none"/>
              </w:rPr>
            </w:pPr>
            <w:r>
              <w:rPr>
                <w:rFonts w:hint="eastAsia" w:ascii="宋体" w:cs="宋体"/>
                <w:color w:val="auto"/>
                <w:szCs w:val="21"/>
                <w:highlight w:val="none"/>
              </w:rPr>
              <w:t>5</w:t>
            </w:r>
            <w:r>
              <w:rPr>
                <w:rFonts w:hint="eastAsia" w:ascii="宋体" w:cs="宋体"/>
                <w:color w:val="auto"/>
                <w:szCs w:val="21"/>
                <w:highlight w:val="none"/>
                <w:lang w:val="en-US" w:eastAsia="zh-CN"/>
              </w:rPr>
              <w:t>.</w:t>
            </w:r>
            <w:r>
              <w:rPr>
                <w:rFonts w:hint="eastAsia" w:ascii="宋体" w:cs="宋体"/>
                <w:color w:val="auto"/>
                <w:szCs w:val="21"/>
                <w:highlight w:val="none"/>
              </w:rPr>
              <w:t>优惠条件：投标人承诺给予采购人的各种优惠条件，包括售后服务、备品备件、专用耗材等方面的优惠；投标人不得给予赠品或者与采购无关的其他商品、服务；（</w:t>
            </w:r>
            <w:r>
              <w:rPr>
                <w:rFonts w:hint="eastAsia" w:ascii="宋体" w:cs="宋体"/>
                <w:b/>
                <w:bCs/>
                <w:color w:val="auto"/>
                <w:szCs w:val="21"/>
                <w:highlight w:val="none"/>
              </w:rPr>
              <w:t>格式自拟，如有，请提供</w:t>
            </w:r>
            <w:r>
              <w:rPr>
                <w:rFonts w:hint="eastAsia" w:ascii="宋体" w:cs="宋体"/>
                <w:color w:val="auto"/>
                <w:szCs w:val="21"/>
                <w:highlight w:val="none"/>
              </w:rPr>
              <w:t>）</w:t>
            </w:r>
          </w:p>
          <w:p w14:paraId="31D84E90">
            <w:pPr>
              <w:snapToGrid w:val="0"/>
              <w:spacing w:line="400" w:lineRule="exact"/>
              <w:jc w:val="left"/>
              <w:rPr>
                <w:rFonts w:ascii="宋体" w:cs="宋体"/>
                <w:color w:val="auto"/>
                <w:szCs w:val="21"/>
                <w:highlight w:val="none"/>
              </w:rPr>
            </w:pPr>
            <w:r>
              <w:rPr>
                <w:rFonts w:hint="eastAsia" w:ascii="宋体" w:cs="宋体"/>
                <w:color w:val="auto"/>
                <w:szCs w:val="21"/>
                <w:highlight w:val="none"/>
              </w:rPr>
              <w:t>6</w:t>
            </w:r>
            <w:r>
              <w:rPr>
                <w:rFonts w:hint="eastAsia" w:ascii="宋体" w:cs="宋体"/>
                <w:color w:val="auto"/>
                <w:szCs w:val="21"/>
                <w:highlight w:val="none"/>
                <w:lang w:val="en-US" w:eastAsia="zh-CN"/>
              </w:rPr>
              <w:t>.</w:t>
            </w:r>
            <w:r>
              <w:rPr>
                <w:rFonts w:hint="eastAsia" w:ascii="宋体" w:cs="宋体"/>
                <w:color w:val="auto"/>
                <w:szCs w:val="21"/>
                <w:highlight w:val="none"/>
              </w:rPr>
              <w:t>投标人对本项目的合理化建议；（</w:t>
            </w:r>
            <w:r>
              <w:rPr>
                <w:rFonts w:hint="eastAsia" w:ascii="宋体" w:cs="宋体"/>
                <w:b/>
                <w:bCs/>
                <w:color w:val="auto"/>
                <w:szCs w:val="21"/>
                <w:highlight w:val="none"/>
              </w:rPr>
              <w:t>格式自拟，如有，请提供</w:t>
            </w:r>
            <w:r>
              <w:rPr>
                <w:rFonts w:hint="eastAsia" w:ascii="宋体" w:cs="宋体"/>
                <w:color w:val="auto"/>
                <w:szCs w:val="21"/>
                <w:highlight w:val="none"/>
              </w:rPr>
              <w:t>）</w:t>
            </w:r>
          </w:p>
          <w:p w14:paraId="65EB2817">
            <w:pPr>
              <w:snapToGrid w:val="0"/>
              <w:spacing w:line="400" w:lineRule="exact"/>
              <w:jc w:val="left"/>
              <w:rPr>
                <w:rFonts w:ascii="宋体" w:cs="宋体"/>
                <w:bCs/>
                <w:color w:val="auto"/>
                <w:szCs w:val="21"/>
                <w:highlight w:val="none"/>
              </w:rPr>
            </w:pPr>
            <w:r>
              <w:rPr>
                <w:rFonts w:hint="eastAsia" w:ascii="宋体" w:cs="宋体"/>
                <w:color w:val="auto"/>
                <w:szCs w:val="21"/>
                <w:highlight w:val="none"/>
              </w:rPr>
              <w:t>7</w:t>
            </w:r>
            <w:r>
              <w:rPr>
                <w:rFonts w:hint="eastAsia" w:ascii="宋体" w:cs="宋体"/>
                <w:color w:val="auto"/>
                <w:szCs w:val="21"/>
                <w:highlight w:val="none"/>
                <w:lang w:val="en-US" w:eastAsia="zh-CN"/>
              </w:rPr>
              <w:t>.</w:t>
            </w:r>
            <w:r>
              <w:rPr>
                <w:rFonts w:hint="eastAsia" w:ascii="宋体" w:cs="宋体"/>
                <w:color w:val="auto"/>
                <w:szCs w:val="21"/>
                <w:highlight w:val="none"/>
              </w:rPr>
              <w:t>除招标文件规定必须提供以外，投标人需要说明的其他文件和说明。（</w:t>
            </w:r>
            <w:r>
              <w:rPr>
                <w:rFonts w:hint="eastAsia" w:ascii="宋体" w:cs="宋体"/>
                <w:b/>
                <w:bCs/>
                <w:color w:val="auto"/>
                <w:szCs w:val="21"/>
                <w:highlight w:val="none"/>
              </w:rPr>
              <w:t>格式自拟，如有，请提供</w:t>
            </w:r>
            <w:r>
              <w:rPr>
                <w:rFonts w:hint="eastAsia" w:ascii="宋体" w:cs="宋体"/>
                <w:color w:val="auto"/>
                <w:szCs w:val="21"/>
                <w:highlight w:val="none"/>
              </w:rPr>
              <w:t>）</w:t>
            </w:r>
          </w:p>
          <w:p w14:paraId="12160BE2">
            <w:pPr>
              <w:snapToGrid w:val="0"/>
              <w:spacing w:line="400" w:lineRule="exact"/>
              <w:jc w:val="left"/>
              <w:rPr>
                <w:rFonts w:ascii="宋体" w:cs="宋体"/>
                <w:b/>
                <w:bCs/>
                <w:color w:val="auto"/>
                <w:szCs w:val="21"/>
                <w:highlight w:val="none"/>
              </w:rPr>
            </w:pPr>
            <w:r>
              <w:rPr>
                <w:rFonts w:hint="eastAsia" w:ascii="宋体" w:cs="宋体"/>
                <w:b/>
                <w:bCs/>
                <w:color w:val="auto"/>
                <w:szCs w:val="21"/>
                <w:highlight w:val="none"/>
              </w:rPr>
              <w:t>注：以上标明“必须提供”的材料</w:t>
            </w:r>
            <w:r>
              <w:rPr>
                <w:rFonts w:hint="eastAsia" w:ascii="宋体" w:cs="宋体"/>
                <w:b/>
                <w:color w:val="auto"/>
                <w:szCs w:val="21"/>
                <w:highlight w:val="none"/>
              </w:rPr>
              <w:t>属于复印件的扫描件的</w:t>
            </w:r>
            <w:r>
              <w:rPr>
                <w:rFonts w:hint="eastAsia" w:ascii="宋体" w:cs="宋体"/>
                <w:b/>
                <w:bCs/>
                <w:color w:val="auto"/>
                <w:szCs w:val="21"/>
                <w:highlight w:val="none"/>
              </w:rPr>
              <w:t>，必须加盖投标人公章，否则</w:t>
            </w:r>
            <w:r>
              <w:rPr>
                <w:rFonts w:hint="eastAsia" w:ascii="宋体" w:cs="宋体"/>
                <w:b/>
                <w:color w:val="auto"/>
                <w:szCs w:val="21"/>
                <w:highlight w:val="none"/>
              </w:rPr>
              <w:t>作无效投标处理</w:t>
            </w:r>
            <w:r>
              <w:rPr>
                <w:rFonts w:hint="eastAsia" w:ascii="宋体" w:cs="宋体"/>
                <w:b/>
                <w:bCs/>
                <w:color w:val="auto"/>
                <w:szCs w:val="21"/>
                <w:highlight w:val="none"/>
              </w:rPr>
              <w:t>。</w:t>
            </w:r>
          </w:p>
        </w:tc>
      </w:tr>
      <w:tr w14:paraId="75CF2C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vMerge w:val="continue"/>
            <w:tcBorders>
              <w:top w:val="nil"/>
              <w:left w:val="single" w:color="auto" w:sz="4" w:space="0"/>
              <w:bottom w:val="single" w:color="auto" w:sz="4" w:space="0"/>
              <w:right w:val="single" w:color="auto" w:sz="4" w:space="0"/>
            </w:tcBorders>
            <w:vAlign w:val="center"/>
          </w:tcPr>
          <w:p w14:paraId="2F1589C2">
            <w:pPr>
              <w:rPr>
                <w:color w:val="auto"/>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1455B7C7">
            <w:pPr>
              <w:snapToGrid w:val="0"/>
              <w:spacing w:line="400" w:lineRule="exact"/>
              <w:jc w:val="left"/>
              <w:rPr>
                <w:rFonts w:ascii="宋体" w:cs="宋体"/>
                <w:color w:val="auto"/>
                <w:szCs w:val="21"/>
                <w:highlight w:val="none"/>
              </w:rPr>
            </w:pPr>
            <w:r>
              <w:rPr>
                <w:rFonts w:hint="eastAsia" w:ascii="宋体" w:cs="宋体"/>
                <w:color w:val="auto"/>
                <w:szCs w:val="21"/>
                <w:highlight w:val="none"/>
              </w:rPr>
              <w:t>报价文件组成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3A5D8E02">
            <w:pPr>
              <w:tabs>
                <w:tab w:val="left" w:pos="459"/>
              </w:tabs>
              <w:snapToGrid w:val="0"/>
              <w:spacing w:line="400" w:lineRule="exact"/>
              <w:jc w:val="left"/>
              <w:rPr>
                <w:rFonts w:ascii="宋体" w:cs="宋体"/>
                <w:color w:val="auto"/>
                <w:szCs w:val="21"/>
                <w:highlight w:val="none"/>
              </w:rPr>
            </w:pPr>
            <w:r>
              <w:rPr>
                <w:rFonts w:hint="eastAsia" w:ascii="宋体" w:cs="宋体"/>
                <w:color w:val="auto"/>
                <w:szCs w:val="21"/>
                <w:highlight w:val="none"/>
              </w:rPr>
              <w:t>1</w:t>
            </w:r>
            <w:r>
              <w:rPr>
                <w:rFonts w:hint="eastAsia" w:ascii="宋体" w:cs="宋体"/>
                <w:color w:val="auto"/>
                <w:szCs w:val="21"/>
                <w:highlight w:val="none"/>
                <w:lang w:val="en-US" w:eastAsia="zh-CN"/>
              </w:rPr>
              <w:t>.</w:t>
            </w:r>
            <w:r>
              <w:rPr>
                <w:rFonts w:hint="eastAsia" w:ascii="宋体" w:cs="宋体"/>
                <w:color w:val="auto"/>
                <w:szCs w:val="21"/>
                <w:highlight w:val="none"/>
              </w:rPr>
              <w:t>投标函（格式后附）；</w:t>
            </w:r>
            <w:r>
              <w:rPr>
                <w:rFonts w:hint="eastAsia" w:ascii="宋体" w:cs="宋体"/>
                <w:b/>
                <w:color w:val="auto"/>
                <w:szCs w:val="21"/>
                <w:highlight w:val="none"/>
              </w:rPr>
              <w:t>（必须提供，否则作无效投标处理）</w:t>
            </w:r>
          </w:p>
          <w:p w14:paraId="74F18260">
            <w:pPr>
              <w:tabs>
                <w:tab w:val="left" w:pos="459"/>
              </w:tabs>
              <w:snapToGrid w:val="0"/>
              <w:spacing w:line="400" w:lineRule="exact"/>
              <w:jc w:val="left"/>
              <w:rPr>
                <w:rFonts w:ascii="宋体" w:cs="宋体"/>
                <w:color w:val="auto"/>
                <w:szCs w:val="21"/>
                <w:highlight w:val="none"/>
              </w:rPr>
            </w:pPr>
            <w:r>
              <w:rPr>
                <w:rFonts w:hint="eastAsia" w:ascii="宋体" w:cs="宋体"/>
                <w:color w:val="auto"/>
                <w:szCs w:val="21"/>
                <w:highlight w:val="none"/>
              </w:rPr>
              <w:t>2</w:t>
            </w:r>
            <w:r>
              <w:rPr>
                <w:rFonts w:hint="eastAsia" w:ascii="宋体" w:cs="宋体"/>
                <w:color w:val="auto"/>
                <w:szCs w:val="21"/>
                <w:highlight w:val="none"/>
                <w:lang w:val="en-US" w:eastAsia="zh-CN"/>
              </w:rPr>
              <w:t>.</w:t>
            </w:r>
            <w:r>
              <w:rPr>
                <w:rFonts w:hint="eastAsia" w:ascii="宋体" w:cs="宋体"/>
                <w:color w:val="auto"/>
                <w:szCs w:val="21"/>
                <w:highlight w:val="none"/>
              </w:rPr>
              <w:t>开标一览表（格式后附）；（</w:t>
            </w:r>
            <w:r>
              <w:rPr>
                <w:rFonts w:hint="eastAsia" w:ascii="宋体" w:cs="宋体"/>
                <w:b/>
                <w:color w:val="auto"/>
                <w:szCs w:val="21"/>
                <w:highlight w:val="none"/>
              </w:rPr>
              <w:t>必须提供，否则作无效投标处理</w:t>
            </w:r>
            <w:r>
              <w:rPr>
                <w:rFonts w:hint="eastAsia" w:ascii="宋体" w:cs="宋体"/>
                <w:color w:val="auto"/>
                <w:szCs w:val="21"/>
                <w:highlight w:val="none"/>
              </w:rPr>
              <w:t>）</w:t>
            </w:r>
          </w:p>
          <w:p w14:paraId="4F1E09FC">
            <w:pPr>
              <w:tabs>
                <w:tab w:val="left" w:pos="459"/>
              </w:tabs>
              <w:snapToGrid w:val="0"/>
              <w:spacing w:line="400" w:lineRule="exact"/>
              <w:jc w:val="left"/>
              <w:rPr>
                <w:rFonts w:ascii="宋体" w:cs="宋体"/>
                <w:color w:val="auto"/>
                <w:szCs w:val="21"/>
                <w:highlight w:val="none"/>
              </w:rPr>
            </w:pPr>
            <w:r>
              <w:rPr>
                <w:rFonts w:hint="eastAsia" w:ascii="宋体" w:cs="宋体"/>
                <w:color w:val="auto"/>
                <w:szCs w:val="21"/>
                <w:highlight w:val="none"/>
              </w:rPr>
              <w:t>3</w:t>
            </w:r>
            <w:r>
              <w:rPr>
                <w:rFonts w:hint="eastAsia" w:ascii="宋体" w:cs="宋体"/>
                <w:color w:val="auto"/>
                <w:szCs w:val="21"/>
                <w:highlight w:val="none"/>
                <w:lang w:val="en-US" w:eastAsia="zh-CN"/>
              </w:rPr>
              <w:t>.</w:t>
            </w:r>
            <w:r>
              <w:rPr>
                <w:rFonts w:hint="eastAsia" w:ascii="宋体" w:cs="宋体"/>
                <w:color w:val="auto"/>
                <w:szCs w:val="21"/>
                <w:highlight w:val="none"/>
              </w:rPr>
              <w:t>中小企业声明函或者残疾人福利性单位声明函（格式后附）或者供应商属于监狱企业的，提供由省级以上监狱管理局、戒毒管理局（含新疆生产建设兵团）出具的属于监狱企业的证明文件；</w:t>
            </w:r>
            <w:r>
              <w:rPr>
                <w:rFonts w:hint="eastAsia" w:ascii="宋体" w:cs="宋体"/>
                <w:b/>
                <w:bCs/>
                <w:color w:val="auto"/>
                <w:szCs w:val="21"/>
                <w:highlight w:val="none"/>
              </w:rPr>
              <w:t>（如有，请提供）</w:t>
            </w:r>
          </w:p>
          <w:p w14:paraId="411B3D75">
            <w:pPr>
              <w:tabs>
                <w:tab w:val="left" w:pos="459"/>
              </w:tabs>
              <w:snapToGrid w:val="0"/>
              <w:spacing w:line="400" w:lineRule="exact"/>
              <w:jc w:val="left"/>
              <w:rPr>
                <w:rFonts w:hint="eastAsia" w:ascii="宋体" w:cs="宋体"/>
                <w:color w:val="auto"/>
                <w:szCs w:val="21"/>
                <w:highlight w:val="none"/>
                <w:lang w:val="en-US" w:eastAsia="zh-CN"/>
              </w:rPr>
            </w:pPr>
            <w:r>
              <w:rPr>
                <w:rFonts w:hint="eastAsia" w:ascii="宋体" w:cs="宋体"/>
                <w:color w:val="auto"/>
                <w:szCs w:val="21"/>
                <w:highlight w:val="none"/>
              </w:rPr>
              <w:t>4</w:t>
            </w:r>
            <w:r>
              <w:rPr>
                <w:rFonts w:hint="eastAsia" w:ascii="宋体" w:cs="宋体"/>
                <w:color w:val="auto"/>
                <w:szCs w:val="21"/>
                <w:highlight w:val="none"/>
                <w:lang w:val="en-US" w:eastAsia="zh-CN"/>
              </w:rPr>
              <w:t>.关于符合本国产品标准的声明函（格式后附）或财政部会同有关部门规定的有关证明文件；（</w:t>
            </w:r>
            <w:r>
              <w:rPr>
                <w:rFonts w:hint="eastAsia" w:ascii="宋体" w:cs="宋体"/>
                <w:b/>
                <w:bCs/>
                <w:color w:val="auto"/>
                <w:szCs w:val="21"/>
                <w:highlight w:val="none"/>
                <w:lang w:val="en-US" w:eastAsia="zh-CN"/>
              </w:rPr>
              <w:t>如有，请提供</w:t>
            </w:r>
            <w:r>
              <w:rPr>
                <w:rFonts w:hint="eastAsia" w:ascii="宋体" w:cs="宋体"/>
                <w:color w:val="auto"/>
                <w:szCs w:val="21"/>
                <w:highlight w:val="none"/>
                <w:lang w:val="en-US" w:eastAsia="zh-CN"/>
              </w:rPr>
              <w:t>）</w:t>
            </w:r>
          </w:p>
          <w:p w14:paraId="1C306D58">
            <w:pPr>
              <w:tabs>
                <w:tab w:val="left" w:pos="459"/>
              </w:tabs>
              <w:snapToGrid w:val="0"/>
              <w:spacing w:line="400" w:lineRule="exact"/>
              <w:jc w:val="left"/>
              <w:rPr>
                <w:rFonts w:ascii="宋体" w:cs="宋体"/>
                <w:color w:val="auto"/>
                <w:szCs w:val="21"/>
                <w:highlight w:val="none"/>
              </w:rPr>
            </w:pPr>
            <w:r>
              <w:rPr>
                <w:rFonts w:hint="eastAsia" w:ascii="宋体" w:cs="宋体"/>
                <w:color w:val="auto"/>
                <w:szCs w:val="21"/>
                <w:highlight w:val="none"/>
                <w:lang w:val="en-US" w:eastAsia="zh-CN"/>
              </w:rPr>
              <w:t>5.</w:t>
            </w:r>
            <w:r>
              <w:rPr>
                <w:rFonts w:hint="eastAsia" w:ascii="宋体" w:cs="宋体"/>
                <w:color w:val="auto"/>
                <w:szCs w:val="21"/>
                <w:highlight w:val="none"/>
              </w:rPr>
              <w:t>投标人针对报价需要说明的其他文件和说明。（</w:t>
            </w:r>
            <w:r>
              <w:rPr>
                <w:rFonts w:hint="eastAsia" w:ascii="宋体" w:cs="宋体"/>
                <w:b/>
                <w:bCs/>
                <w:color w:val="auto"/>
                <w:szCs w:val="21"/>
                <w:highlight w:val="none"/>
              </w:rPr>
              <w:t>格式自拟，如有，请提供</w:t>
            </w:r>
            <w:r>
              <w:rPr>
                <w:rFonts w:hint="eastAsia" w:ascii="宋体" w:cs="宋体"/>
                <w:color w:val="auto"/>
                <w:szCs w:val="21"/>
                <w:highlight w:val="none"/>
              </w:rPr>
              <w:t>）</w:t>
            </w:r>
          </w:p>
        </w:tc>
      </w:tr>
      <w:tr w14:paraId="127042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1045B481">
            <w:pPr>
              <w:spacing w:line="400" w:lineRule="exact"/>
              <w:rPr>
                <w:rFonts w:ascii="宋体" w:cs="宋体"/>
                <w:color w:val="auto"/>
                <w:szCs w:val="21"/>
                <w:highlight w:val="none"/>
              </w:rPr>
            </w:pPr>
            <w:r>
              <w:rPr>
                <w:rFonts w:hint="eastAsia" w:ascii="宋体" w:cs="宋体"/>
                <w:color w:val="auto"/>
                <w:szCs w:val="21"/>
                <w:highlight w:val="none"/>
              </w:rPr>
              <w:t>16.2</w:t>
            </w:r>
          </w:p>
        </w:tc>
        <w:tc>
          <w:tcPr>
            <w:tcW w:w="2083" w:type="dxa"/>
            <w:tcBorders>
              <w:top w:val="single" w:color="auto" w:sz="4" w:space="0"/>
              <w:left w:val="single" w:color="auto" w:sz="4" w:space="0"/>
              <w:bottom w:val="single" w:color="auto" w:sz="4" w:space="0"/>
              <w:right w:val="single" w:color="auto" w:sz="4" w:space="0"/>
            </w:tcBorders>
            <w:vAlign w:val="center"/>
          </w:tcPr>
          <w:p w14:paraId="38E81647">
            <w:pPr>
              <w:spacing w:line="400" w:lineRule="exact"/>
              <w:rPr>
                <w:rFonts w:ascii="宋体" w:cs="宋体"/>
                <w:color w:val="auto"/>
                <w:szCs w:val="21"/>
                <w:highlight w:val="none"/>
              </w:rPr>
            </w:pPr>
            <w:bookmarkStart w:id="88" w:name="_16.2"/>
            <w:bookmarkEnd w:id="88"/>
            <w:r>
              <w:rPr>
                <w:rFonts w:hint="eastAsia" w:ascii="宋体" w:cs="宋体"/>
                <w:color w:val="auto"/>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vAlign w:val="center"/>
          </w:tcPr>
          <w:p w14:paraId="51FC69C2">
            <w:pPr>
              <w:snapToGrid w:val="0"/>
              <w:spacing w:line="400" w:lineRule="exact"/>
              <w:rPr>
                <w:rFonts w:ascii="宋体" w:cs="宋体"/>
                <w:i/>
                <w:iCs/>
                <w:color w:val="auto"/>
                <w:szCs w:val="21"/>
                <w:highlight w:val="none"/>
              </w:rPr>
            </w:pPr>
            <w:r>
              <w:rPr>
                <w:rFonts w:hint="eastAsia" w:ascii="宋体" w:cs="宋体"/>
                <w:color w:val="auto"/>
                <w:szCs w:val="21"/>
                <w:highlight w:val="none"/>
              </w:rPr>
              <w:t>投标报价是履行合同的最终价格，必须包含投标货物（包括备品备件、专用工具等）的价格（包括已在中国境内的进口货物完税后的仓库交货价、展室交货价或者货架交货价）及其运输（含保险）、安装（如有）、调试、检验、技术服务、培训和招标文件要求提供的所有伴随服务、工程等费用和税费。（采购需求另有约定的，从其约定）</w:t>
            </w:r>
          </w:p>
          <w:p w14:paraId="4B0F8737">
            <w:pPr>
              <w:snapToGrid w:val="0"/>
              <w:spacing w:line="400" w:lineRule="exact"/>
              <w:rPr>
                <w:rFonts w:ascii="宋体" w:cs="宋体"/>
                <w:b/>
                <w:color w:val="auto"/>
                <w:szCs w:val="21"/>
                <w:highlight w:val="none"/>
              </w:rPr>
            </w:pPr>
            <w:r>
              <w:rPr>
                <w:rFonts w:hint="eastAsia" w:ascii="宋体" w:cs="宋体"/>
                <w:b/>
                <w:color w:val="auto"/>
                <w:szCs w:val="21"/>
                <w:highlight w:val="none"/>
              </w:rPr>
              <w:t>☑ 投标报价包含验收费用</w:t>
            </w:r>
          </w:p>
          <w:p w14:paraId="01BCD64F">
            <w:pPr>
              <w:pStyle w:val="17"/>
              <w:spacing w:line="400" w:lineRule="exact"/>
              <w:rPr>
                <w:rFonts w:ascii="宋体" w:cs="宋体"/>
                <w:color w:val="auto"/>
                <w:sz w:val="21"/>
                <w:szCs w:val="21"/>
                <w:highlight w:val="none"/>
              </w:rPr>
            </w:pPr>
            <w:r>
              <w:rPr>
                <w:rFonts w:hint="eastAsia" w:ascii="宋体" w:cs="宋体"/>
                <w:b/>
                <w:color w:val="auto"/>
                <w:sz w:val="21"/>
                <w:szCs w:val="21"/>
                <w:highlight w:val="none"/>
              </w:rPr>
              <w:t>□</w:t>
            </w:r>
            <w:r>
              <w:rPr>
                <w:rFonts w:hint="eastAsia" w:ascii="宋体" w:cs="宋体"/>
                <w:b/>
                <w:color w:val="auto"/>
                <w:sz w:val="21"/>
                <w:szCs w:val="21"/>
                <w:highlight w:val="none"/>
                <w:lang w:val="en-US" w:eastAsia="zh-CN"/>
              </w:rPr>
              <w:t xml:space="preserve"> </w:t>
            </w:r>
            <w:r>
              <w:rPr>
                <w:rFonts w:hint="eastAsia" w:ascii="宋体" w:cs="宋体"/>
                <w:b/>
                <w:color w:val="auto"/>
                <w:sz w:val="21"/>
                <w:szCs w:val="21"/>
                <w:highlight w:val="none"/>
              </w:rPr>
              <w:t>投标报价不包含验收费用</w:t>
            </w:r>
          </w:p>
        </w:tc>
      </w:tr>
      <w:tr w14:paraId="4EFFC7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52A09DFC">
            <w:pPr>
              <w:spacing w:line="400" w:lineRule="exact"/>
              <w:rPr>
                <w:rFonts w:ascii="宋体" w:cs="宋体"/>
                <w:color w:val="auto"/>
                <w:szCs w:val="21"/>
                <w:highlight w:val="none"/>
              </w:rPr>
            </w:pPr>
            <w:r>
              <w:rPr>
                <w:rFonts w:hint="eastAsia" w:ascii="宋体" w:cs="宋体"/>
                <w:color w:val="auto"/>
                <w:szCs w:val="21"/>
                <w:highlight w:val="none"/>
              </w:rPr>
              <w:t>17.2</w:t>
            </w:r>
          </w:p>
        </w:tc>
        <w:tc>
          <w:tcPr>
            <w:tcW w:w="2083" w:type="dxa"/>
            <w:tcBorders>
              <w:top w:val="single" w:color="auto" w:sz="4" w:space="0"/>
              <w:left w:val="single" w:color="auto" w:sz="4" w:space="0"/>
              <w:bottom w:val="single" w:color="auto" w:sz="4" w:space="0"/>
              <w:right w:val="single" w:color="auto" w:sz="4" w:space="0"/>
            </w:tcBorders>
            <w:vAlign w:val="center"/>
          </w:tcPr>
          <w:p w14:paraId="6B95C982">
            <w:pPr>
              <w:spacing w:line="400" w:lineRule="exact"/>
              <w:rPr>
                <w:rFonts w:ascii="宋体" w:cs="宋体"/>
                <w:color w:val="auto"/>
                <w:szCs w:val="21"/>
                <w:highlight w:val="none"/>
              </w:rPr>
            </w:pPr>
            <w:bookmarkStart w:id="89" w:name="_17.1"/>
            <w:bookmarkEnd w:id="89"/>
            <w:r>
              <w:rPr>
                <w:rFonts w:hint="eastAsia" w:ascii="宋体" w:cs="宋体"/>
                <w:color w:val="auto"/>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vAlign w:val="center"/>
          </w:tcPr>
          <w:p w14:paraId="49DBF3F9">
            <w:pPr>
              <w:snapToGrid w:val="0"/>
              <w:spacing w:line="400" w:lineRule="exact"/>
              <w:rPr>
                <w:rFonts w:ascii="宋体" w:cs="宋体"/>
                <w:color w:val="auto"/>
                <w:szCs w:val="21"/>
                <w:highlight w:val="none"/>
              </w:rPr>
            </w:pPr>
            <w:r>
              <w:rPr>
                <w:rFonts w:hint="eastAsia" w:ascii="宋体" w:cs="宋体"/>
                <w:color w:val="auto"/>
                <w:szCs w:val="21"/>
                <w:highlight w:val="none"/>
              </w:rPr>
              <w:t>自投标截止之日起</w:t>
            </w:r>
            <w:r>
              <w:rPr>
                <w:rFonts w:hint="eastAsia" w:ascii="宋体" w:cs="宋体"/>
                <w:color w:val="auto"/>
                <w:szCs w:val="21"/>
                <w:highlight w:val="none"/>
                <w:u w:val="single"/>
              </w:rPr>
              <w:t>90</w:t>
            </w:r>
            <w:r>
              <w:rPr>
                <w:rFonts w:hint="eastAsia" w:ascii="宋体" w:cs="宋体"/>
                <w:color w:val="auto"/>
                <w:szCs w:val="21"/>
                <w:highlight w:val="none"/>
              </w:rPr>
              <w:t>日。</w:t>
            </w:r>
          </w:p>
        </w:tc>
      </w:tr>
      <w:tr w14:paraId="3BB4C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4FB427AC">
            <w:pPr>
              <w:spacing w:line="400" w:lineRule="exact"/>
              <w:rPr>
                <w:rFonts w:ascii="宋体" w:cs="宋体"/>
                <w:color w:val="auto"/>
                <w:szCs w:val="21"/>
                <w:highlight w:val="none"/>
              </w:rPr>
            </w:pPr>
            <w:r>
              <w:rPr>
                <w:rFonts w:hint="eastAsia" w:ascii="宋体" w:cs="宋体"/>
                <w:color w:val="auto"/>
                <w:szCs w:val="21"/>
                <w:highlight w:val="none"/>
              </w:rPr>
              <w:t>18</w:t>
            </w:r>
          </w:p>
        </w:tc>
        <w:tc>
          <w:tcPr>
            <w:tcW w:w="2083" w:type="dxa"/>
            <w:tcBorders>
              <w:top w:val="single" w:color="auto" w:sz="4" w:space="0"/>
              <w:left w:val="single" w:color="auto" w:sz="4" w:space="0"/>
              <w:bottom w:val="single" w:color="auto" w:sz="4" w:space="0"/>
              <w:right w:val="single" w:color="auto" w:sz="4" w:space="0"/>
            </w:tcBorders>
            <w:vAlign w:val="center"/>
          </w:tcPr>
          <w:p w14:paraId="01D696F2">
            <w:pPr>
              <w:spacing w:line="400" w:lineRule="exact"/>
              <w:rPr>
                <w:rFonts w:ascii="宋体" w:cs="宋体"/>
                <w:color w:val="auto"/>
                <w:szCs w:val="21"/>
                <w:highlight w:val="none"/>
              </w:rPr>
            </w:pPr>
            <w:bookmarkStart w:id="90" w:name="_18"/>
            <w:bookmarkEnd w:id="90"/>
            <w:r>
              <w:rPr>
                <w:rFonts w:hint="eastAsia" w:ascii="宋体" w:cs="宋体"/>
                <w:color w:val="auto"/>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vAlign w:val="center"/>
          </w:tcPr>
          <w:p w14:paraId="6F6DDB6A">
            <w:pPr>
              <w:autoSpaceDE w:val="0"/>
              <w:autoSpaceDN w:val="0"/>
              <w:snapToGrid w:val="0"/>
              <w:spacing w:line="400" w:lineRule="exact"/>
              <w:textAlignment w:val="bottom"/>
              <w:rPr>
                <w:rFonts w:ascii="宋体" w:cs="宋体"/>
                <w:b/>
                <w:bCs/>
                <w:color w:val="auto"/>
                <w:szCs w:val="21"/>
                <w:highlight w:val="none"/>
              </w:rPr>
            </w:pPr>
            <w:r>
              <w:rPr>
                <w:rFonts w:hint="eastAsia" w:ascii="宋体" w:cs="宋体"/>
                <w:b/>
                <w:bCs/>
                <w:color w:val="auto"/>
                <w:szCs w:val="21"/>
                <w:highlight w:val="none"/>
              </w:rPr>
              <w:t>□</w:t>
            </w:r>
            <w:r>
              <w:rPr>
                <w:rFonts w:hint="eastAsia" w:ascii="宋体" w:cs="宋体"/>
                <w:b/>
                <w:bCs/>
                <w:color w:val="auto"/>
                <w:szCs w:val="21"/>
                <w:highlight w:val="none"/>
                <w:lang w:val="en-US" w:eastAsia="zh-CN"/>
              </w:rPr>
              <w:t xml:space="preserve"> </w:t>
            </w:r>
            <w:r>
              <w:rPr>
                <w:rFonts w:hint="eastAsia" w:ascii="宋体" w:cs="宋体"/>
                <w:b/>
                <w:bCs/>
                <w:color w:val="auto"/>
                <w:szCs w:val="21"/>
                <w:highlight w:val="none"/>
              </w:rPr>
              <w:t>本项目不需要缴纳投标保证金。</w:t>
            </w:r>
          </w:p>
          <w:p w14:paraId="58EEBE0A">
            <w:pPr>
              <w:snapToGrid w:val="0"/>
              <w:spacing w:line="400" w:lineRule="exact"/>
              <w:rPr>
                <w:rFonts w:ascii="宋体" w:cs="宋体"/>
                <w:b/>
                <w:bCs/>
                <w:color w:val="auto"/>
                <w:szCs w:val="21"/>
                <w:highlight w:val="none"/>
              </w:rPr>
            </w:pPr>
            <w:r>
              <w:rPr>
                <w:rFonts w:hint="eastAsia" w:ascii="宋体" w:cs="宋体"/>
                <w:b/>
                <w:bCs/>
                <w:color w:val="auto"/>
                <w:szCs w:val="21"/>
                <w:highlight w:val="none"/>
              </w:rPr>
              <w:t>☑ 本项目需要缴纳投标保证金，相关要求如下：</w:t>
            </w:r>
          </w:p>
          <w:p w14:paraId="7B3F0A70">
            <w:pPr>
              <w:snapToGrid w:val="0"/>
              <w:spacing w:line="400" w:lineRule="exact"/>
              <w:rPr>
                <w:rFonts w:ascii="宋体" w:cs="宋体"/>
                <w:color w:val="auto"/>
                <w:szCs w:val="21"/>
                <w:highlight w:val="none"/>
              </w:rPr>
            </w:pPr>
            <w:r>
              <w:rPr>
                <w:rFonts w:hint="eastAsia" w:ascii="宋体" w:cs="宋体"/>
                <w:color w:val="auto"/>
                <w:szCs w:val="21"/>
                <w:highlight w:val="none"/>
              </w:rPr>
              <w:t>1、投标保证金的缴纳方式：详见招标公告</w:t>
            </w:r>
          </w:p>
          <w:p w14:paraId="3BF8CC35">
            <w:pPr>
              <w:snapToGrid w:val="0"/>
              <w:spacing w:line="400" w:lineRule="exact"/>
              <w:rPr>
                <w:rFonts w:ascii="宋体" w:cs="宋体"/>
                <w:color w:val="auto"/>
                <w:szCs w:val="21"/>
                <w:highlight w:val="none"/>
              </w:rPr>
            </w:pPr>
            <w:r>
              <w:rPr>
                <w:rFonts w:hint="eastAsia" w:ascii="宋体" w:cs="宋体"/>
                <w:color w:val="auto"/>
                <w:szCs w:val="21"/>
                <w:highlight w:val="none"/>
              </w:rPr>
              <w:t>2、投标保证金的金额：详见招标公告</w:t>
            </w:r>
          </w:p>
          <w:p w14:paraId="57313521">
            <w:pPr>
              <w:pStyle w:val="9"/>
              <w:spacing w:line="400" w:lineRule="exact"/>
              <w:rPr>
                <w:rFonts w:ascii="宋体" w:cs="宋体"/>
                <w:color w:val="auto"/>
                <w:szCs w:val="21"/>
                <w:highlight w:val="none"/>
              </w:rPr>
            </w:pPr>
            <w:r>
              <w:rPr>
                <w:rFonts w:hint="eastAsia" w:ascii="宋体" w:cs="宋体"/>
                <w:color w:val="auto"/>
                <w:szCs w:val="21"/>
                <w:highlight w:val="none"/>
              </w:rPr>
              <w:t>3、投标保证金采用银行转账缴纳方式的，在投标截止时间前交至采购代理机构指定账户并且到账，投标人应将银行转账底单的复印件作为投标保证金提交凭证，放置于商务文件中，</w:t>
            </w:r>
            <w:r>
              <w:rPr>
                <w:rFonts w:hint="eastAsia" w:ascii="宋体" w:cs="宋体"/>
                <w:b/>
                <w:color w:val="auto"/>
                <w:szCs w:val="21"/>
                <w:highlight w:val="none"/>
              </w:rPr>
              <w:t>否则作无效投标处理</w:t>
            </w:r>
            <w:r>
              <w:rPr>
                <w:rFonts w:hint="eastAsia" w:ascii="宋体" w:cs="宋体"/>
                <w:color w:val="auto"/>
                <w:szCs w:val="21"/>
                <w:highlight w:val="none"/>
              </w:rPr>
              <w:t>。</w:t>
            </w:r>
          </w:p>
          <w:p w14:paraId="24E6F629">
            <w:pPr>
              <w:snapToGrid w:val="0"/>
              <w:spacing w:line="400" w:lineRule="exact"/>
              <w:rPr>
                <w:rFonts w:ascii="宋体" w:cs="宋体"/>
                <w:color w:val="auto"/>
                <w:szCs w:val="21"/>
                <w:highlight w:val="none"/>
              </w:rPr>
            </w:pPr>
            <w:r>
              <w:rPr>
                <w:rFonts w:hint="eastAsia" w:ascii="宋体" w:cs="宋体"/>
                <w:color w:val="auto"/>
                <w:szCs w:val="21"/>
                <w:highlight w:val="none"/>
              </w:rPr>
              <w:t>4、投标保证金采用支票、汇票、本票或者金融机构、担保机构出具的保函等缴纳方式的，投标人应将支票、汇票、本票或者金融机构、担保机构出具的保函等的复印件或者金融机构、担保机构出具的电子保函作为投标保证金提交凭证，放置于商务文件中，</w:t>
            </w:r>
            <w:r>
              <w:rPr>
                <w:rFonts w:hint="eastAsia" w:ascii="宋体" w:cs="宋体"/>
                <w:b/>
                <w:color w:val="auto"/>
                <w:szCs w:val="21"/>
                <w:highlight w:val="none"/>
              </w:rPr>
              <w:t>否则作无效投标处理</w:t>
            </w:r>
            <w:r>
              <w:rPr>
                <w:rFonts w:hint="eastAsia" w:ascii="宋体" w:cs="宋体"/>
                <w:color w:val="auto"/>
                <w:szCs w:val="21"/>
                <w:highlight w:val="none"/>
              </w:rPr>
              <w:t>。投标人必须</w:t>
            </w:r>
            <w:r>
              <w:rPr>
                <w:rFonts w:hint="eastAsia" w:ascii="宋体" w:cs="宋体"/>
                <w:color w:val="auto"/>
                <w:kern w:val="0"/>
                <w:szCs w:val="21"/>
                <w:highlight w:val="none"/>
              </w:rPr>
              <w:t>在投标截止时间前</w:t>
            </w:r>
            <w:r>
              <w:rPr>
                <w:rFonts w:hint="eastAsia" w:ascii="宋体" w:cs="宋体"/>
                <w:color w:val="auto"/>
                <w:szCs w:val="21"/>
                <w:highlight w:val="none"/>
              </w:rPr>
              <w:t>将支票、汇票、本票或者金融、担保机构出具的保函（电子保函除外）等原件提交给采购代理机构，由采购代理机构向投标人出具回执，并妥善保管。</w:t>
            </w:r>
          </w:p>
          <w:p w14:paraId="40B02F7D">
            <w:pPr>
              <w:snapToGrid w:val="0"/>
              <w:spacing w:line="400" w:lineRule="exact"/>
              <w:rPr>
                <w:rFonts w:ascii="宋体" w:cs="宋体"/>
                <w:color w:val="auto"/>
                <w:szCs w:val="21"/>
                <w:highlight w:val="none"/>
              </w:rPr>
            </w:pPr>
            <w:r>
              <w:rPr>
                <w:rFonts w:hint="eastAsia" w:ascii="宋体" w:cs="宋体"/>
                <w:color w:val="auto"/>
                <w:szCs w:val="21"/>
                <w:highlight w:val="none"/>
              </w:rPr>
              <w:t>5、缴纳投标保证金指定账户：详见招标公告。</w:t>
            </w:r>
          </w:p>
          <w:p w14:paraId="1516AF75">
            <w:pPr>
              <w:snapToGrid w:val="0"/>
              <w:spacing w:line="400" w:lineRule="exact"/>
              <w:rPr>
                <w:rFonts w:ascii="宋体" w:cs="宋体"/>
                <w:color w:val="auto"/>
                <w:szCs w:val="21"/>
                <w:highlight w:val="none"/>
              </w:rPr>
            </w:pPr>
            <w:r>
              <w:rPr>
                <w:rFonts w:hint="eastAsia" w:ascii="宋体" w:cs="宋体"/>
                <w:color w:val="auto"/>
                <w:szCs w:val="21"/>
                <w:highlight w:val="none"/>
              </w:rPr>
              <w:t>6、投标人为联合体的，可以由联合体中的一方或者多方共同缴纳投标保证金，其缴纳的投标保证金对联合体各方均具有约束力。</w:t>
            </w:r>
          </w:p>
          <w:p w14:paraId="06C2892C">
            <w:pPr>
              <w:snapToGrid w:val="0"/>
              <w:spacing w:line="400" w:lineRule="exact"/>
              <w:rPr>
                <w:rFonts w:ascii="宋体" w:cs="宋体"/>
                <w:b/>
                <w:color w:val="auto"/>
                <w:szCs w:val="21"/>
                <w:highlight w:val="none"/>
              </w:rPr>
            </w:pPr>
            <w:r>
              <w:rPr>
                <w:rFonts w:hint="eastAsia" w:ascii="宋体" w:cs="宋体"/>
                <w:b/>
                <w:color w:val="auto"/>
                <w:szCs w:val="21"/>
                <w:highlight w:val="none"/>
              </w:rPr>
              <w:t xml:space="preserve">备注： </w:t>
            </w:r>
          </w:p>
          <w:p w14:paraId="427F30D7">
            <w:pPr>
              <w:snapToGrid w:val="0"/>
              <w:spacing w:line="400" w:lineRule="exact"/>
              <w:rPr>
                <w:rFonts w:ascii="宋体" w:cs="宋体"/>
                <w:b/>
                <w:color w:val="auto"/>
                <w:szCs w:val="21"/>
                <w:highlight w:val="none"/>
              </w:rPr>
            </w:pPr>
            <w:r>
              <w:rPr>
                <w:rFonts w:hint="eastAsia" w:ascii="宋体" w:cs="宋体"/>
                <w:b/>
                <w:color w:val="auto"/>
                <w:szCs w:val="21"/>
                <w:highlight w:val="none"/>
              </w:rPr>
              <w:t>1、投标保证金在投标截止时间后提交的，或者不按规定缴纳方式缴纳的，或者未足额缴纳的（包含保函额度不足的），视为无效投标保证金。</w:t>
            </w:r>
          </w:p>
          <w:p w14:paraId="4AB8F19C">
            <w:pPr>
              <w:snapToGrid w:val="0"/>
              <w:spacing w:line="400" w:lineRule="exact"/>
              <w:rPr>
                <w:rFonts w:ascii="宋体" w:cs="宋体"/>
                <w:b/>
                <w:color w:val="auto"/>
                <w:szCs w:val="21"/>
                <w:highlight w:val="none"/>
              </w:rPr>
            </w:pPr>
            <w:r>
              <w:rPr>
                <w:rFonts w:hint="eastAsia" w:ascii="宋体" w:cs="宋体"/>
                <w:b/>
                <w:color w:val="auto"/>
                <w:szCs w:val="21"/>
                <w:highlight w:val="none"/>
              </w:rPr>
              <w:t>2、投标人采用现金方式或者从个人账户（自然人投标除外）转出的投标保证金，视为无效投标保证金。</w:t>
            </w:r>
          </w:p>
          <w:p w14:paraId="6667BA22">
            <w:pPr>
              <w:snapToGrid w:val="0"/>
              <w:spacing w:line="400" w:lineRule="exact"/>
              <w:rPr>
                <w:rFonts w:ascii="宋体" w:cs="宋体"/>
                <w:b/>
                <w:color w:val="auto"/>
                <w:szCs w:val="21"/>
                <w:highlight w:val="none"/>
              </w:rPr>
            </w:pPr>
            <w:r>
              <w:rPr>
                <w:rFonts w:hint="eastAsia" w:ascii="宋体" w:cs="宋体"/>
                <w:b/>
                <w:color w:val="auto"/>
                <w:szCs w:val="21"/>
                <w:highlight w:val="none"/>
              </w:rPr>
              <w:t>3、支票、汇票或者本票出现无效或者背书情形的，视为无效投标保证金。</w:t>
            </w:r>
          </w:p>
          <w:p w14:paraId="5F53AA1D">
            <w:pPr>
              <w:snapToGrid w:val="0"/>
              <w:spacing w:line="400" w:lineRule="exact"/>
              <w:rPr>
                <w:rFonts w:ascii="宋体" w:cs="宋体"/>
                <w:b/>
                <w:color w:val="auto"/>
                <w:szCs w:val="21"/>
                <w:highlight w:val="none"/>
              </w:rPr>
            </w:pPr>
            <w:r>
              <w:rPr>
                <w:rFonts w:hint="eastAsia" w:ascii="宋体" w:cs="宋体"/>
                <w:b/>
                <w:color w:val="auto"/>
                <w:szCs w:val="21"/>
                <w:highlight w:val="none"/>
              </w:rPr>
              <w:t>4、保函有效期低于投标有效期的，视为无效投标保证金。</w:t>
            </w:r>
          </w:p>
          <w:p w14:paraId="0BB0D410">
            <w:pPr>
              <w:autoSpaceDE w:val="0"/>
              <w:autoSpaceDN w:val="0"/>
              <w:snapToGrid w:val="0"/>
              <w:spacing w:line="400" w:lineRule="exact"/>
              <w:textAlignment w:val="bottom"/>
              <w:rPr>
                <w:rFonts w:ascii="宋体" w:cs="宋体"/>
                <w:color w:val="auto"/>
                <w:szCs w:val="21"/>
                <w:highlight w:val="none"/>
              </w:rPr>
            </w:pPr>
            <w:r>
              <w:rPr>
                <w:rFonts w:hint="eastAsia" w:ascii="宋体" w:cs="宋体"/>
                <w:b/>
                <w:color w:val="auto"/>
                <w:szCs w:val="21"/>
                <w:highlight w:val="none"/>
              </w:rPr>
              <w:t>5、采用金融、担保机构出具保函的，必须为无条件保函，否则视为无效投标保证金</w:t>
            </w:r>
            <w:r>
              <w:rPr>
                <w:rFonts w:hint="eastAsia" w:ascii="宋体" w:cs="宋体"/>
                <w:b/>
                <w:bCs/>
                <w:color w:val="auto"/>
                <w:szCs w:val="21"/>
                <w:highlight w:val="none"/>
              </w:rPr>
              <w:t>。</w:t>
            </w:r>
          </w:p>
        </w:tc>
      </w:tr>
      <w:tr w14:paraId="536A8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1BE90875">
            <w:pPr>
              <w:spacing w:line="400" w:lineRule="exact"/>
              <w:rPr>
                <w:rFonts w:ascii="宋体" w:cs="宋体"/>
                <w:color w:val="auto"/>
                <w:szCs w:val="21"/>
                <w:highlight w:val="none"/>
              </w:rPr>
            </w:pPr>
            <w:r>
              <w:rPr>
                <w:rFonts w:hint="eastAsia" w:ascii="宋体" w:cs="宋体"/>
                <w:color w:val="auto"/>
                <w:szCs w:val="21"/>
                <w:highlight w:val="none"/>
              </w:rPr>
              <w:t>19.1</w:t>
            </w:r>
          </w:p>
        </w:tc>
        <w:tc>
          <w:tcPr>
            <w:tcW w:w="2083" w:type="dxa"/>
            <w:tcBorders>
              <w:top w:val="single" w:color="auto" w:sz="4" w:space="0"/>
              <w:left w:val="single" w:color="auto" w:sz="4" w:space="0"/>
              <w:bottom w:val="single" w:color="auto" w:sz="4" w:space="0"/>
              <w:right w:val="single" w:color="auto" w:sz="4" w:space="0"/>
            </w:tcBorders>
            <w:vAlign w:val="center"/>
          </w:tcPr>
          <w:p w14:paraId="07326925">
            <w:pPr>
              <w:spacing w:line="400" w:lineRule="exact"/>
              <w:rPr>
                <w:rFonts w:ascii="宋体" w:cs="宋体"/>
                <w:color w:val="auto"/>
                <w:szCs w:val="21"/>
                <w:highlight w:val="none"/>
              </w:rPr>
            </w:pPr>
            <w:r>
              <w:rPr>
                <w:rFonts w:hint="eastAsia" w:ascii="宋体" w:cs="宋体"/>
                <w:color w:val="auto"/>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vAlign w:val="center"/>
          </w:tcPr>
          <w:p w14:paraId="5B1C5650">
            <w:pPr>
              <w:spacing w:line="400" w:lineRule="exact"/>
              <w:rPr>
                <w:rFonts w:ascii="宋体" w:cs="宋体"/>
                <w:b/>
                <w:color w:val="auto"/>
                <w:szCs w:val="21"/>
                <w:highlight w:val="none"/>
                <w:u w:val="single"/>
              </w:rPr>
            </w:pPr>
            <w:r>
              <w:rPr>
                <w:rFonts w:hint="eastAsia" w:ascii="宋体" w:cs="宋体"/>
                <w:color w:val="auto"/>
                <w:szCs w:val="21"/>
                <w:highlight w:val="none"/>
              </w:rPr>
              <w:t>投标文件应按报价文件、资格文件、商务文件、技术文件分别编制，报价文件、资格文件分别生成电子文件，商务文件和技术文件按顺序合并生成电子文件。</w:t>
            </w:r>
            <w:r>
              <w:rPr>
                <w:rFonts w:hint="eastAsia" w:ascii="宋体" w:cs="宋体"/>
                <w:b/>
                <w:bCs/>
                <w:color w:val="auto"/>
                <w:szCs w:val="21"/>
                <w:highlight w:val="none"/>
              </w:rPr>
              <w:t>（注：按照本招标文件“第六章 投标文件格式”编写，第六章未附格式的，由投标人自行拟定。）</w:t>
            </w:r>
          </w:p>
        </w:tc>
      </w:tr>
      <w:tr w14:paraId="662748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64D4E116">
            <w:pPr>
              <w:spacing w:line="400" w:lineRule="exact"/>
              <w:rPr>
                <w:rFonts w:ascii="宋体" w:cs="宋体"/>
                <w:color w:val="auto"/>
                <w:szCs w:val="21"/>
                <w:highlight w:val="none"/>
              </w:rPr>
            </w:pPr>
            <w:r>
              <w:rPr>
                <w:rFonts w:hint="eastAsia" w:ascii="宋体" w:cs="宋体"/>
                <w:color w:val="auto"/>
                <w:szCs w:val="21"/>
                <w:highlight w:val="none"/>
              </w:rPr>
              <w:t>20</w:t>
            </w:r>
          </w:p>
        </w:tc>
        <w:tc>
          <w:tcPr>
            <w:tcW w:w="2083" w:type="dxa"/>
            <w:tcBorders>
              <w:top w:val="single" w:color="auto" w:sz="4" w:space="0"/>
              <w:left w:val="single" w:color="auto" w:sz="4" w:space="0"/>
              <w:bottom w:val="single" w:color="auto" w:sz="4" w:space="0"/>
              <w:right w:val="single" w:color="auto" w:sz="4" w:space="0"/>
            </w:tcBorders>
            <w:vAlign w:val="center"/>
          </w:tcPr>
          <w:p w14:paraId="5FD0EB9F">
            <w:pPr>
              <w:spacing w:line="400" w:lineRule="exact"/>
              <w:rPr>
                <w:rFonts w:ascii="宋体" w:cs="宋体"/>
                <w:color w:val="auto"/>
                <w:szCs w:val="21"/>
                <w:highlight w:val="none"/>
              </w:rPr>
            </w:pPr>
            <w:r>
              <w:rPr>
                <w:rFonts w:hint="eastAsia" w:ascii="宋体" w:cs="宋体"/>
                <w:color w:val="auto"/>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vAlign w:val="center"/>
          </w:tcPr>
          <w:p w14:paraId="6E78F860">
            <w:pPr>
              <w:autoSpaceDE w:val="0"/>
              <w:autoSpaceDN w:val="0"/>
              <w:snapToGrid w:val="0"/>
              <w:spacing w:line="400" w:lineRule="exact"/>
              <w:textAlignment w:val="bottom"/>
              <w:rPr>
                <w:rFonts w:ascii="宋体" w:cs="宋体"/>
                <w:color w:val="auto"/>
                <w:szCs w:val="21"/>
                <w:highlight w:val="none"/>
              </w:rPr>
            </w:pPr>
            <w:r>
              <w:rPr>
                <w:rFonts w:hint="eastAsia" w:ascii="宋体" w:cs="宋体"/>
                <w:color w:val="auto"/>
                <w:szCs w:val="21"/>
                <w:highlight w:val="none"/>
              </w:rPr>
              <w:t>本项目不接受备份投标文件。</w:t>
            </w:r>
          </w:p>
        </w:tc>
      </w:tr>
      <w:tr w14:paraId="327226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60" w:type="dxa"/>
            <w:vMerge w:val="restart"/>
            <w:tcBorders>
              <w:top w:val="single" w:color="auto" w:sz="4" w:space="0"/>
              <w:left w:val="single" w:color="auto" w:sz="4" w:space="0"/>
              <w:bottom w:val="nil"/>
              <w:right w:val="single" w:color="auto" w:sz="4" w:space="0"/>
            </w:tcBorders>
            <w:vAlign w:val="center"/>
          </w:tcPr>
          <w:p w14:paraId="017F235B">
            <w:pPr>
              <w:spacing w:line="400" w:lineRule="exact"/>
              <w:rPr>
                <w:rFonts w:ascii="宋体" w:cs="宋体"/>
                <w:color w:val="auto"/>
                <w:szCs w:val="21"/>
                <w:highlight w:val="none"/>
              </w:rPr>
            </w:pPr>
            <w:r>
              <w:rPr>
                <w:rFonts w:hint="eastAsia" w:ascii="宋体" w:cs="宋体"/>
                <w:color w:val="auto"/>
                <w:szCs w:val="21"/>
                <w:highlight w:val="none"/>
              </w:rPr>
              <w:t>21.1</w:t>
            </w:r>
          </w:p>
        </w:tc>
        <w:tc>
          <w:tcPr>
            <w:tcW w:w="2083" w:type="dxa"/>
            <w:tcBorders>
              <w:top w:val="single" w:color="auto" w:sz="4" w:space="0"/>
              <w:left w:val="single" w:color="auto" w:sz="4" w:space="0"/>
              <w:bottom w:val="single" w:color="auto" w:sz="4" w:space="0"/>
              <w:right w:val="single" w:color="auto" w:sz="4" w:space="0"/>
            </w:tcBorders>
            <w:vAlign w:val="center"/>
          </w:tcPr>
          <w:p w14:paraId="67F9AAA8">
            <w:pPr>
              <w:spacing w:line="400" w:lineRule="exact"/>
              <w:rPr>
                <w:rFonts w:ascii="宋体" w:cs="宋体"/>
                <w:color w:val="auto"/>
                <w:szCs w:val="21"/>
                <w:highlight w:val="none"/>
              </w:rPr>
            </w:pPr>
            <w:bookmarkStart w:id="91" w:name="_21.1"/>
            <w:bookmarkEnd w:id="91"/>
            <w:r>
              <w:rPr>
                <w:rFonts w:hint="eastAsia" w:ascii="宋体" w:cs="宋体"/>
                <w:color w:val="auto"/>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vAlign w:val="center"/>
          </w:tcPr>
          <w:p w14:paraId="5753E261">
            <w:pPr>
              <w:snapToGrid w:val="0"/>
              <w:spacing w:line="400" w:lineRule="exact"/>
              <w:rPr>
                <w:rFonts w:ascii="宋体" w:cs="宋体"/>
                <w:color w:val="auto"/>
                <w:szCs w:val="21"/>
                <w:highlight w:val="none"/>
                <w:u w:val="single"/>
              </w:rPr>
            </w:pPr>
            <w:r>
              <w:rPr>
                <w:rFonts w:hint="eastAsia" w:ascii="宋体" w:cs="宋体"/>
                <w:color w:val="auto"/>
                <w:szCs w:val="21"/>
                <w:highlight w:val="none"/>
              </w:rPr>
              <w:t>详见招标公告</w:t>
            </w:r>
          </w:p>
        </w:tc>
      </w:tr>
      <w:tr w14:paraId="1DFF63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60" w:type="dxa"/>
            <w:vMerge w:val="continue"/>
            <w:tcBorders>
              <w:top w:val="single" w:color="auto" w:sz="4" w:space="0"/>
              <w:left w:val="single" w:color="auto" w:sz="4" w:space="0"/>
              <w:bottom w:val="nil"/>
              <w:right w:val="single" w:color="auto" w:sz="4" w:space="0"/>
            </w:tcBorders>
            <w:vAlign w:val="center"/>
          </w:tcPr>
          <w:p w14:paraId="19E2CBC4">
            <w:pPr>
              <w:rPr>
                <w:color w:val="auto"/>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6DE5A8DC">
            <w:pPr>
              <w:spacing w:line="400" w:lineRule="exact"/>
              <w:rPr>
                <w:rFonts w:ascii="宋体" w:cs="宋体"/>
                <w:color w:val="auto"/>
                <w:szCs w:val="21"/>
                <w:highlight w:val="none"/>
              </w:rPr>
            </w:pPr>
            <w:r>
              <w:rPr>
                <w:rFonts w:hint="eastAsia" w:ascii="宋体" w:cs="宋体"/>
                <w:color w:val="auto"/>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vAlign w:val="center"/>
          </w:tcPr>
          <w:p w14:paraId="490D5931">
            <w:pPr>
              <w:snapToGrid w:val="0"/>
              <w:spacing w:line="400" w:lineRule="exact"/>
              <w:rPr>
                <w:rFonts w:ascii="宋体" w:cs="宋体"/>
                <w:color w:val="auto"/>
                <w:szCs w:val="21"/>
                <w:highlight w:val="none"/>
              </w:rPr>
            </w:pPr>
            <w:r>
              <w:rPr>
                <w:rFonts w:hint="eastAsia" w:ascii="宋体" w:cs="宋体"/>
                <w:color w:val="auto"/>
                <w:szCs w:val="21"/>
                <w:highlight w:val="none"/>
              </w:rPr>
              <w:t>详见招标公告</w:t>
            </w:r>
          </w:p>
        </w:tc>
      </w:tr>
      <w:tr w14:paraId="350B29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60" w:type="dxa"/>
            <w:vMerge w:val="continue"/>
            <w:tcBorders>
              <w:top w:val="single" w:color="auto" w:sz="4" w:space="0"/>
              <w:left w:val="single" w:color="auto" w:sz="4" w:space="0"/>
              <w:bottom w:val="nil"/>
              <w:right w:val="single" w:color="auto" w:sz="4" w:space="0"/>
            </w:tcBorders>
            <w:vAlign w:val="center"/>
          </w:tcPr>
          <w:p w14:paraId="053665D0">
            <w:pPr>
              <w:rPr>
                <w:color w:val="auto"/>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4A3F7F4A">
            <w:pPr>
              <w:spacing w:line="400" w:lineRule="exact"/>
              <w:rPr>
                <w:rFonts w:ascii="宋体" w:cs="宋体"/>
                <w:color w:val="auto"/>
                <w:szCs w:val="21"/>
                <w:highlight w:val="none"/>
              </w:rPr>
            </w:pPr>
            <w:r>
              <w:rPr>
                <w:rFonts w:hint="eastAsia" w:ascii="宋体" w:cs="宋体"/>
                <w:color w:val="auto"/>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vAlign w:val="center"/>
          </w:tcPr>
          <w:p w14:paraId="5140B83C">
            <w:pPr>
              <w:snapToGrid w:val="0"/>
              <w:spacing w:line="400" w:lineRule="exact"/>
              <w:rPr>
                <w:rFonts w:ascii="宋体" w:cs="宋体"/>
                <w:color w:val="auto"/>
                <w:szCs w:val="21"/>
                <w:highlight w:val="none"/>
              </w:rPr>
            </w:pPr>
            <w:r>
              <w:rPr>
                <w:rFonts w:hint="eastAsia" w:ascii="宋体" w:cs="宋体"/>
                <w:bCs/>
                <w:color w:val="auto"/>
                <w:szCs w:val="21"/>
                <w:highlight w:val="none"/>
              </w:rPr>
              <w:t>无</w:t>
            </w:r>
          </w:p>
        </w:tc>
      </w:tr>
      <w:tr w14:paraId="2FD23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256FB7B6">
            <w:pPr>
              <w:spacing w:line="400" w:lineRule="exact"/>
              <w:rPr>
                <w:rFonts w:ascii="宋体" w:cs="宋体"/>
                <w:color w:val="auto"/>
                <w:szCs w:val="21"/>
                <w:highlight w:val="none"/>
              </w:rPr>
            </w:pPr>
            <w:r>
              <w:rPr>
                <w:rFonts w:hint="eastAsia" w:ascii="宋体" w:cs="宋体"/>
                <w:color w:val="auto"/>
                <w:szCs w:val="21"/>
                <w:highlight w:val="none"/>
              </w:rPr>
              <w:t>23</w:t>
            </w:r>
          </w:p>
        </w:tc>
        <w:tc>
          <w:tcPr>
            <w:tcW w:w="2083" w:type="dxa"/>
            <w:tcBorders>
              <w:top w:val="single" w:color="auto" w:sz="4" w:space="0"/>
              <w:left w:val="single" w:color="auto" w:sz="4" w:space="0"/>
              <w:bottom w:val="single" w:color="auto" w:sz="4" w:space="0"/>
              <w:right w:val="single" w:color="auto" w:sz="4" w:space="0"/>
            </w:tcBorders>
            <w:vAlign w:val="center"/>
          </w:tcPr>
          <w:p w14:paraId="4D4DE4AC">
            <w:pPr>
              <w:spacing w:line="400" w:lineRule="exact"/>
              <w:rPr>
                <w:rFonts w:ascii="宋体" w:cs="宋体"/>
                <w:color w:val="auto"/>
                <w:szCs w:val="21"/>
                <w:highlight w:val="none"/>
              </w:rPr>
            </w:pPr>
            <w:bookmarkStart w:id="92" w:name="_23"/>
            <w:bookmarkEnd w:id="92"/>
            <w:r>
              <w:rPr>
                <w:rFonts w:hint="eastAsia" w:ascii="宋体" w:cs="宋体"/>
                <w:color w:val="auto"/>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vAlign w:val="center"/>
          </w:tcPr>
          <w:p w14:paraId="6569E03D">
            <w:pPr>
              <w:snapToGrid w:val="0"/>
              <w:spacing w:line="400" w:lineRule="exact"/>
              <w:rPr>
                <w:rFonts w:ascii="宋体" w:cs="宋体"/>
                <w:color w:val="auto"/>
                <w:szCs w:val="21"/>
                <w:highlight w:val="none"/>
              </w:rPr>
            </w:pPr>
            <w:r>
              <w:rPr>
                <w:rFonts w:hint="eastAsia" w:ascii="宋体" w:cs="宋体"/>
                <w:color w:val="auto"/>
                <w:szCs w:val="21"/>
                <w:highlight w:val="none"/>
              </w:rPr>
              <w:t xml:space="preserve">详见招标公告 </w:t>
            </w:r>
          </w:p>
        </w:tc>
      </w:tr>
      <w:tr w14:paraId="266846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860" w:type="dxa"/>
            <w:vMerge w:val="restart"/>
            <w:tcBorders>
              <w:top w:val="single" w:color="auto" w:sz="4" w:space="0"/>
              <w:left w:val="single" w:color="auto" w:sz="4" w:space="0"/>
              <w:bottom w:val="single" w:color="auto" w:sz="4" w:space="0"/>
              <w:right w:val="single" w:color="auto" w:sz="4" w:space="0"/>
            </w:tcBorders>
            <w:vAlign w:val="center"/>
          </w:tcPr>
          <w:p w14:paraId="1BE32F8A">
            <w:pPr>
              <w:spacing w:line="400" w:lineRule="exact"/>
              <w:rPr>
                <w:rFonts w:ascii="宋体" w:cs="宋体"/>
                <w:color w:val="auto"/>
                <w:szCs w:val="21"/>
                <w:highlight w:val="none"/>
              </w:rPr>
            </w:pPr>
            <w:r>
              <w:rPr>
                <w:rFonts w:hint="eastAsia" w:ascii="宋体" w:cs="宋体"/>
                <w:color w:val="auto"/>
                <w:szCs w:val="21"/>
                <w:highlight w:val="none"/>
              </w:rPr>
              <w:t>25.3（</w:t>
            </w:r>
            <w:r>
              <w:rPr>
                <w:rFonts w:hint="eastAsia" w:ascii="宋体" w:cs="宋体"/>
                <w:color w:val="auto"/>
                <w:szCs w:val="21"/>
                <w:highlight w:val="none"/>
                <w:lang w:val="en-US" w:eastAsia="zh-CN"/>
              </w:rPr>
              <w:t>1</w:t>
            </w:r>
            <w:r>
              <w:rPr>
                <w:rFonts w:hint="eastAsia" w:ascii="宋体" w:cs="宋体"/>
                <w:color w:val="auto"/>
                <w:szCs w:val="21"/>
                <w:highlight w:val="none"/>
              </w:rPr>
              <w:t>）</w:t>
            </w:r>
          </w:p>
        </w:tc>
        <w:tc>
          <w:tcPr>
            <w:tcW w:w="2083" w:type="dxa"/>
            <w:tcBorders>
              <w:top w:val="single" w:color="auto" w:sz="4" w:space="0"/>
              <w:left w:val="single" w:color="auto" w:sz="4" w:space="0"/>
              <w:bottom w:val="single" w:color="auto" w:sz="4" w:space="0"/>
              <w:right w:val="single" w:color="auto" w:sz="4" w:space="0"/>
            </w:tcBorders>
            <w:vAlign w:val="center"/>
          </w:tcPr>
          <w:p w14:paraId="0B46BC9E">
            <w:pPr>
              <w:spacing w:line="400" w:lineRule="exact"/>
              <w:rPr>
                <w:rFonts w:ascii="宋体" w:cs="宋体"/>
                <w:color w:val="auto"/>
                <w:szCs w:val="21"/>
                <w:highlight w:val="none"/>
              </w:rPr>
            </w:pPr>
            <w:bookmarkStart w:id="93" w:name="_25.3"/>
            <w:bookmarkEnd w:id="93"/>
            <w:r>
              <w:rPr>
                <w:rFonts w:hint="eastAsia" w:ascii="宋体" w:cs="宋体"/>
                <w:color w:val="auto"/>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vAlign w:val="center"/>
          </w:tcPr>
          <w:p w14:paraId="5D05EFFF">
            <w:pPr>
              <w:snapToGrid w:val="0"/>
              <w:spacing w:line="400" w:lineRule="exact"/>
              <w:rPr>
                <w:rFonts w:ascii="宋体" w:cs="宋体"/>
                <w:color w:val="auto"/>
                <w:szCs w:val="21"/>
                <w:highlight w:val="none"/>
              </w:rPr>
            </w:pPr>
            <w:r>
              <w:rPr>
                <w:rFonts w:hint="eastAsia" w:ascii="宋体" w:cs="宋体"/>
                <w:color w:val="auto"/>
                <w:szCs w:val="21"/>
                <w:highlight w:val="none"/>
              </w:rPr>
              <w:t>采购人或者采购代理机构在资格审查结束前，对投标人进行信用查询。</w:t>
            </w:r>
          </w:p>
          <w:p w14:paraId="4A24A540">
            <w:pPr>
              <w:snapToGrid w:val="0"/>
              <w:spacing w:line="400" w:lineRule="exact"/>
              <w:rPr>
                <w:rFonts w:ascii="宋体" w:cs="宋体"/>
                <w:color w:val="auto"/>
                <w:szCs w:val="21"/>
                <w:highlight w:val="none"/>
              </w:rPr>
            </w:pPr>
            <w:r>
              <w:rPr>
                <w:rFonts w:hint="eastAsia" w:ascii="宋体" w:cs="宋体"/>
                <w:color w:val="auto"/>
                <w:szCs w:val="21"/>
                <w:highlight w:val="none"/>
              </w:rPr>
              <w:t>查询渠道：“信用中国”网站(www.creditchina.gov.cn) 、中国政府采购网(www.ccgp.gov.cn)。</w:t>
            </w:r>
          </w:p>
        </w:tc>
      </w:tr>
      <w:tr w14:paraId="3549FF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2D7AD365">
            <w:pPr>
              <w:rPr>
                <w:color w:val="auto"/>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21090D40">
            <w:pPr>
              <w:spacing w:line="400" w:lineRule="exact"/>
              <w:rPr>
                <w:rFonts w:ascii="宋体" w:cs="宋体"/>
                <w:color w:val="auto"/>
                <w:szCs w:val="21"/>
                <w:highlight w:val="none"/>
              </w:rPr>
            </w:pPr>
            <w:r>
              <w:rPr>
                <w:rFonts w:hint="eastAsia" w:ascii="宋体" w:cs="宋体"/>
                <w:color w:val="auto"/>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vAlign w:val="center"/>
          </w:tcPr>
          <w:p w14:paraId="44111F58">
            <w:pPr>
              <w:snapToGrid w:val="0"/>
              <w:spacing w:line="400" w:lineRule="exact"/>
              <w:rPr>
                <w:rFonts w:ascii="宋体" w:cs="宋体"/>
                <w:color w:val="auto"/>
                <w:szCs w:val="21"/>
                <w:highlight w:val="none"/>
              </w:rPr>
            </w:pPr>
            <w:r>
              <w:rPr>
                <w:rFonts w:hint="eastAsia" w:ascii="宋体" w:cs="宋体"/>
                <w:color w:val="auto"/>
                <w:szCs w:val="21"/>
                <w:highlight w:val="none"/>
              </w:rPr>
              <w:t>资格审查结束前</w:t>
            </w:r>
          </w:p>
        </w:tc>
      </w:tr>
      <w:tr w14:paraId="47E024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79DCC84D">
            <w:pPr>
              <w:rPr>
                <w:color w:val="auto"/>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1C7591C5">
            <w:pPr>
              <w:spacing w:line="400" w:lineRule="exact"/>
              <w:rPr>
                <w:rFonts w:ascii="宋体" w:cs="宋体"/>
                <w:color w:val="auto"/>
                <w:szCs w:val="21"/>
                <w:highlight w:val="none"/>
              </w:rPr>
            </w:pPr>
            <w:r>
              <w:rPr>
                <w:rFonts w:hint="eastAsia" w:ascii="宋体" w:cs="宋体"/>
                <w:color w:val="auto"/>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vAlign w:val="center"/>
          </w:tcPr>
          <w:p w14:paraId="5D51153A">
            <w:pPr>
              <w:snapToGrid w:val="0"/>
              <w:spacing w:line="400" w:lineRule="exact"/>
              <w:rPr>
                <w:rFonts w:ascii="宋体" w:cs="宋体"/>
                <w:color w:val="auto"/>
                <w:szCs w:val="21"/>
                <w:highlight w:val="none"/>
              </w:rPr>
            </w:pPr>
            <w:r>
              <w:rPr>
                <w:rFonts w:hint="eastAsia" w:ascii="宋体" w:cs="宋体"/>
                <w:color w:val="auto"/>
                <w:szCs w:val="21"/>
                <w:highlight w:val="none"/>
              </w:rPr>
              <w:t>在查询网站中直接截图查询记录，截图作为附件在广西政府采购云平台上传保存。</w:t>
            </w:r>
          </w:p>
        </w:tc>
      </w:tr>
      <w:tr w14:paraId="28F01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7CF443A4">
            <w:pPr>
              <w:rPr>
                <w:color w:val="auto"/>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389503F0">
            <w:pPr>
              <w:spacing w:line="400" w:lineRule="exact"/>
              <w:rPr>
                <w:rFonts w:ascii="宋体" w:cs="宋体"/>
                <w:color w:val="auto"/>
                <w:szCs w:val="21"/>
                <w:highlight w:val="none"/>
              </w:rPr>
            </w:pPr>
            <w:r>
              <w:rPr>
                <w:rFonts w:hint="eastAsia" w:ascii="宋体" w:cs="宋体"/>
                <w:color w:val="auto"/>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vAlign w:val="center"/>
          </w:tcPr>
          <w:p w14:paraId="5774DCF8">
            <w:pPr>
              <w:snapToGrid w:val="0"/>
              <w:spacing w:line="400" w:lineRule="exact"/>
              <w:rPr>
                <w:rFonts w:ascii="宋体" w:cs="宋体"/>
                <w:color w:val="auto"/>
                <w:szCs w:val="21"/>
                <w:highlight w:val="none"/>
              </w:rPr>
            </w:pPr>
            <w:r>
              <w:rPr>
                <w:rFonts w:hint="eastAsia" w:ascii="宋体" w:cs="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60D822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69E675D8">
            <w:pPr>
              <w:spacing w:line="400" w:lineRule="exact"/>
              <w:rPr>
                <w:rFonts w:ascii="宋体" w:cs="宋体"/>
                <w:color w:val="auto"/>
                <w:szCs w:val="21"/>
                <w:highlight w:val="none"/>
              </w:rPr>
            </w:pPr>
            <w:r>
              <w:rPr>
                <w:rFonts w:hint="eastAsia" w:ascii="宋体" w:cs="宋体"/>
                <w:color w:val="auto"/>
                <w:szCs w:val="21"/>
                <w:highlight w:val="none"/>
              </w:rPr>
              <w:t>29.1</w:t>
            </w:r>
          </w:p>
        </w:tc>
        <w:tc>
          <w:tcPr>
            <w:tcW w:w="2083" w:type="dxa"/>
            <w:tcBorders>
              <w:top w:val="single" w:color="auto" w:sz="4" w:space="0"/>
              <w:left w:val="single" w:color="auto" w:sz="4" w:space="0"/>
              <w:bottom w:val="single" w:color="auto" w:sz="4" w:space="0"/>
              <w:right w:val="single" w:color="auto" w:sz="4" w:space="0"/>
            </w:tcBorders>
            <w:vAlign w:val="center"/>
          </w:tcPr>
          <w:p w14:paraId="2A17A8E4">
            <w:pPr>
              <w:spacing w:line="400" w:lineRule="exact"/>
              <w:rPr>
                <w:rFonts w:ascii="宋体" w:cs="宋体"/>
                <w:color w:val="auto"/>
                <w:szCs w:val="21"/>
                <w:highlight w:val="none"/>
              </w:rPr>
            </w:pPr>
            <w:bookmarkStart w:id="94" w:name="_28.3"/>
            <w:bookmarkEnd w:id="94"/>
            <w:bookmarkStart w:id="95" w:name="_26"/>
            <w:bookmarkEnd w:id="95"/>
            <w:r>
              <w:rPr>
                <w:rFonts w:hint="eastAsia" w:ascii="宋体" w:cs="宋体"/>
                <w:color w:val="auto"/>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vAlign w:val="center"/>
          </w:tcPr>
          <w:p w14:paraId="058BACF3">
            <w:pPr>
              <w:autoSpaceDE w:val="0"/>
              <w:autoSpaceDN w:val="0"/>
              <w:snapToGrid w:val="0"/>
              <w:spacing w:line="400" w:lineRule="exact"/>
              <w:textAlignment w:val="bottom"/>
              <w:rPr>
                <w:rFonts w:ascii="宋体" w:cs="宋体"/>
                <w:color w:val="auto"/>
                <w:szCs w:val="21"/>
                <w:highlight w:val="none"/>
              </w:rPr>
            </w:pPr>
            <w:r>
              <w:rPr>
                <w:rFonts w:hint="eastAsia" w:ascii="宋体" w:cs="宋体"/>
                <w:color w:val="auto"/>
                <w:szCs w:val="21"/>
                <w:highlight w:val="none"/>
              </w:rPr>
              <w:t>☑ 综合评分法</w:t>
            </w:r>
          </w:p>
          <w:p w14:paraId="4FEE247E">
            <w:pPr>
              <w:autoSpaceDE w:val="0"/>
              <w:autoSpaceDN w:val="0"/>
              <w:snapToGrid w:val="0"/>
              <w:spacing w:line="400" w:lineRule="exact"/>
              <w:textAlignment w:val="bottom"/>
              <w:rPr>
                <w:rFonts w:ascii="宋体" w:cs="宋体"/>
                <w:color w:val="auto"/>
                <w:szCs w:val="21"/>
                <w:highlight w:val="none"/>
              </w:rPr>
            </w:pPr>
            <w:r>
              <w:rPr>
                <w:rFonts w:hint="eastAsia" w:ascii="宋体" w:cs="宋体"/>
                <w:color w:val="auto"/>
                <w:szCs w:val="21"/>
                <w:highlight w:val="none"/>
              </w:rPr>
              <w:t>□最低评标价法</w:t>
            </w:r>
          </w:p>
        </w:tc>
      </w:tr>
      <w:tr w14:paraId="0B2FB0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1349F0B2">
            <w:pPr>
              <w:spacing w:line="400" w:lineRule="exact"/>
              <w:rPr>
                <w:rFonts w:ascii="宋体" w:cs="宋体"/>
                <w:color w:val="auto"/>
                <w:szCs w:val="21"/>
                <w:highlight w:val="none"/>
              </w:rPr>
            </w:pPr>
            <w:r>
              <w:rPr>
                <w:rFonts w:hint="eastAsia" w:ascii="宋体" w:cs="宋体"/>
                <w:color w:val="auto"/>
                <w:szCs w:val="21"/>
                <w:highlight w:val="none"/>
              </w:rPr>
              <w:t>30.1</w:t>
            </w:r>
          </w:p>
        </w:tc>
        <w:tc>
          <w:tcPr>
            <w:tcW w:w="2083" w:type="dxa"/>
            <w:tcBorders>
              <w:top w:val="single" w:color="auto" w:sz="4" w:space="0"/>
              <w:left w:val="single" w:color="auto" w:sz="4" w:space="0"/>
              <w:bottom w:val="single" w:color="auto" w:sz="4" w:space="0"/>
              <w:right w:val="single" w:color="auto" w:sz="4" w:space="0"/>
            </w:tcBorders>
            <w:vAlign w:val="center"/>
          </w:tcPr>
          <w:p w14:paraId="3BB5920C">
            <w:pPr>
              <w:autoSpaceDE w:val="0"/>
              <w:autoSpaceDN w:val="0"/>
              <w:snapToGrid w:val="0"/>
              <w:spacing w:line="400" w:lineRule="exact"/>
              <w:textAlignment w:val="bottom"/>
              <w:rPr>
                <w:rFonts w:ascii="宋体" w:cs="宋体"/>
                <w:color w:val="auto"/>
                <w:szCs w:val="21"/>
                <w:highlight w:val="none"/>
              </w:rPr>
            </w:pPr>
            <w:r>
              <w:rPr>
                <w:rFonts w:hint="eastAsia" w:ascii="宋体" w:cs="宋体"/>
                <w:color w:val="auto"/>
                <w:szCs w:val="21"/>
                <w:highlight w:val="none"/>
              </w:rPr>
              <w:t xml:space="preserve">中标候选人排名并列时，确定中标人的方式 </w:t>
            </w:r>
          </w:p>
        </w:tc>
        <w:tc>
          <w:tcPr>
            <w:tcW w:w="7297" w:type="dxa"/>
            <w:tcBorders>
              <w:top w:val="single" w:color="auto" w:sz="4" w:space="0"/>
              <w:left w:val="single" w:color="auto" w:sz="4" w:space="0"/>
              <w:bottom w:val="single" w:color="auto" w:sz="4" w:space="0"/>
              <w:right w:val="single" w:color="auto" w:sz="4" w:space="0"/>
            </w:tcBorders>
            <w:vAlign w:val="center"/>
          </w:tcPr>
          <w:p w14:paraId="18806F44">
            <w:pPr>
              <w:autoSpaceDE w:val="0"/>
              <w:autoSpaceDN w:val="0"/>
              <w:snapToGrid w:val="0"/>
              <w:spacing w:line="400" w:lineRule="exact"/>
              <w:textAlignment w:val="bottom"/>
              <w:rPr>
                <w:rFonts w:hint="eastAsia" w:ascii="宋体" w:cs="宋体"/>
                <w:color w:val="auto"/>
                <w:szCs w:val="21"/>
                <w:highlight w:val="none"/>
              </w:rPr>
            </w:pPr>
            <w:r>
              <w:rPr>
                <w:rFonts w:hint="eastAsia" w:ascii="宋体" w:cs="宋体"/>
                <w:color w:val="auto"/>
                <w:szCs w:val="21"/>
                <w:highlight w:val="none"/>
              </w:rPr>
              <w:t>中标候选人并列的，采购人按以下方式确定中标人：</w:t>
            </w:r>
          </w:p>
          <w:p w14:paraId="6B4FB251">
            <w:pPr>
              <w:autoSpaceDE w:val="0"/>
              <w:autoSpaceDN w:val="0"/>
              <w:snapToGrid w:val="0"/>
              <w:spacing w:line="400" w:lineRule="exact"/>
              <w:textAlignment w:val="bottom"/>
              <w:rPr>
                <w:rFonts w:hint="eastAsia" w:ascii="宋体" w:cs="宋体"/>
                <w:color w:val="auto"/>
                <w:szCs w:val="21"/>
                <w:highlight w:val="none"/>
              </w:rPr>
            </w:pPr>
            <w:r>
              <w:rPr>
                <w:rFonts w:hint="eastAsia" w:ascii="宋体" w:cs="宋体"/>
                <w:color w:val="auto"/>
                <w:szCs w:val="21"/>
                <w:highlight w:val="none"/>
              </w:rPr>
              <w:t>1.综合评分法</w:t>
            </w:r>
          </w:p>
          <w:p w14:paraId="1640C37A">
            <w:pPr>
              <w:autoSpaceDE w:val="0"/>
              <w:autoSpaceDN w:val="0"/>
              <w:snapToGrid w:val="0"/>
              <w:spacing w:line="400" w:lineRule="exact"/>
              <w:textAlignment w:val="bottom"/>
              <w:rPr>
                <w:rFonts w:hint="eastAsia" w:ascii="宋体" w:cs="宋体"/>
                <w:color w:val="auto"/>
                <w:szCs w:val="21"/>
                <w:highlight w:val="none"/>
              </w:rPr>
            </w:pPr>
            <w:r>
              <w:rPr>
                <w:rFonts w:hint="eastAsia" w:ascii="宋体" w:cs="宋体"/>
                <w:color w:val="auto"/>
                <w:szCs w:val="21"/>
                <w:highlight w:val="none"/>
                <w:lang w:eastAsia="zh-CN"/>
              </w:rPr>
              <w:t>☑</w:t>
            </w:r>
            <w:r>
              <w:rPr>
                <w:rFonts w:hint="eastAsia" w:ascii="宋体" w:cs="宋体"/>
                <w:color w:val="auto"/>
                <w:szCs w:val="21"/>
                <w:highlight w:val="none"/>
              </w:rPr>
              <w:t>以技术分得分由高到低顺序确定中标人。</w:t>
            </w:r>
          </w:p>
          <w:p w14:paraId="494851D5">
            <w:pPr>
              <w:autoSpaceDE w:val="0"/>
              <w:autoSpaceDN w:val="0"/>
              <w:snapToGrid w:val="0"/>
              <w:spacing w:line="400" w:lineRule="exact"/>
              <w:textAlignment w:val="bottom"/>
              <w:rPr>
                <w:rFonts w:hint="eastAsia" w:ascii="宋体" w:cs="宋体"/>
                <w:color w:val="auto"/>
                <w:szCs w:val="21"/>
                <w:highlight w:val="none"/>
              </w:rPr>
            </w:pPr>
            <w:r>
              <w:rPr>
                <w:rFonts w:hint="eastAsia" w:ascii="宋体" w:cs="宋体"/>
                <w:color w:val="auto"/>
                <w:szCs w:val="21"/>
                <w:highlight w:val="none"/>
              </w:rPr>
              <w:t>□采取随机抽取的方式确定。</w:t>
            </w:r>
          </w:p>
          <w:p w14:paraId="471B1AE1">
            <w:pPr>
              <w:autoSpaceDE w:val="0"/>
              <w:autoSpaceDN w:val="0"/>
              <w:snapToGrid w:val="0"/>
              <w:spacing w:line="400" w:lineRule="exact"/>
              <w:textAlignment w:val="bottom"/>
              <w:rPr>
                <w:rFonts w:hint="eastAsia" w:ascii="宋体" w:cs="宋体"/>
                <w:color w:val="auto"/>
                <w:szCs w:val="21"/>
                <w:highlight w:val="none"/>
              </w:rPr>
            </w:pPr>
            <w:r>
              <w:rPr>
                <w:rFonts w:hint="eastAsia" w:ascii="宋体" w:cs="宋体"/>
                <w:color w:val="auto"/>
                <w:szCs w:val="21"/>
                <w:highlight w:val="none"/>
              </w:rPr>
              <w:t>2.最低评标价法</w:t>
            </w:r>
          </w:p>
          <w:p w14:paraId="63CE1D04">
            <w:pPr>
              <w:autoSpaceDE w:val="0"/>
              <w:autoSpaceDN w:val="0"/>
              <w:snapToGrid w:val="0"/>
              <w:spacing w:line="400" w:lineRule="exact"/>
              <w:textAlignment w:val="bottom"/>
              <w:rPr>
                <w:rFonts w:hint="eastAsia" w:ascii="宋体" w:cs="宋体"/>
                <w:color w:val="auto"/>
                <w:szCs w:val="21"/>
                <w:highlight w:val="none"/>
              </w:rPr>
            </w:pPr>
            <w:r>
              <w:rPr>
                <w:rFonts w:hint="eastAsia" w:ascii="宋体" w:cs="宋体"/>
                <w:color w:val="auto"/>
                <w:szCs w:val="21"/>
                <w:highlight w:val="none"/>
              </w:rPr>
              <w:t>□以投标报价由低到高顺序确定中标人。</w:t>
            </w:r>
          </w:p>
          <w:p w14:paraId="47101DB4">
            <w:pPr>
              <w:autoSpaceDE w:val="0"/>
              <w:autoSpaceDN w:val="0"/>
              <w:snapToGrid w:val="0"/>
              <w:spacing w:line="400" w:lineRule="exact"/>
              <w:textAlignment w:val="bottom"/>
              <w:rPr>
                <w:rFonts w:ascii="宋体" w:cs="宋体"/>
                <w:b/>
                <w:color w:val="auto"/>
                <w:szCs w:val="21"/>
                <w:highlight w:val="none"/>
              </w:rPr>
            </w:pPr>
            <w:r>
              <w:rPr>
                <w:rFonts w:hint="eastAsia" w:ascii="宋体" w:cs="宋体"/>
                <w:color w:val="auto"/>
                <w:szCs w:val="21"/>
                <w:highlight w:val="none"/>
              </w:rPr>
              <w:t>□采取随机抽取的方式确定。</w:t>
            </w:r>
          </w:p>
        </w:tc>
      </w:tr>
      <w:tr w14:paraId="18908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60" w:type="dxa"/>
            <w:tcBorders>
              <w:top w:val="single" w:color="auto" w:sz="4" w:space="0"/>
              <w:left w:val="single" w:color="auto" w:sz="4" w:space="0"/>
              <w:bottom w:val="single" w:color="auto" w:sz="4" w:space="0"/>
              <w:right w:val="single" w:color="auto" w:sz="4" w:space="0"/>
            </w:tcBorders>
            <w:vAlign w:val="center"/>
          </w:tcPr>
          <w:p w14:paraId="5791D6B4">
            <w:pPr>
              <w:spacing w:line="400" w:lineRule="exact"/>
              <w:rPr>
                <w:rFonts w:hint="default" w:ascii="宋体" w:eastAsia="宋体" w:cs="宋体"/>
                <w:color w:val="auto"/>
                <w:szCs w:val="21"/>
                <w:highlight w:val="none"/>
                <w:lang w:val="en-US" w:eastAsia="zh-CN"/>
              </w:rPr>
            </w:pPr>
            <w:r>
              <w:rPr>
                <w:rFonts w:hint="eastAsia" w:ascii="宋体" w:cs="宋体"/>
                <w:color w:val="auto"/>
                <w:szCs w:val="21"/>
                <w:highlight w:val="none"/>
              </w:rPr>
              <w:t>35</w:t>
            </w:r>
            <w:r>
              <w:rPr>
                <w:rFonts w:hint="eastAsia" w:ascii="宋体" w:cs="宋体"/>
                <w:color w:val="auto"/>
                <w:szCs w:val="21"/>
                <w:highlight w:val="none"/>
                <w:lang w:val="en-US" w:eastAsia="zh-CN"/>
              </w:rPr>
              <w:t>.1</w:t>
            </w:r>
          </w:p>
        </w:tc>
        <w:tc>
          <w:tcPr>
            <w:tcW w:w="2083" w:type="dxa"/>
            <w:tcBorders>
              <w:top w:val="single" w:color="auto" w:sz="4" w:space="0"/>
              <w:left w:val="single" w:color="auto" w:sz="4" w:space="0"/>
              <w:bottom w:val="single" w:color="auto" w:sz="4" w:space="0"/>
              <w:right w:val="single" w:color="auto" w:sz="4" w:space="0"/>
            </w:tcBorders>
            <w:vAlign w:val="center"/>
          </w:tcPr>
          <w:p w14:paraId="33B8C952">
            <w:pPr>
              <w:spacing w:line="400" w:lineRule="exact"/>
              <w:rPr>
                <w:rFonts w:ascii="宋体" w:cs="宋体"/>
                <w:color w:val="auto"/>
                <w:szCs w:val="21"/>
                <w:highlight w:val="none"/>
              </w:rPr>
            </w:pPr>
            <w:bookmarkStart w:id="96" w:name="_39.1"/>
            <w:bookmarkEnd w:id="96"/>
            <w:r>
              <w:rPr>
                <w:rFonts w:hint="eastAsia" w:ascii="宋体" w:cs="宋体"/>
                <w:color w:val="auto"/>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vAlign w:val="bottom"/>
          </w:tcPr>
          <w:p w14:paraId="56C2CF2F">
            <w:pPr>
              <w:spacing w:line="400" w:lineRule="exact"/>
              <w:rPr>
                <w:rFonts w:ascii="宋体" w:cs="宋体"/>
                <w:b/>
                <w:bCs/>
                <w:color w:val="auto"/>
                <w:szCs w:val="21"/>
                <w:highlight w:val="none"/>
              </w:rPr>
            </w:pPr>
            <w:r>
              <w:rPr>
                <w:rFonts w:hint="eastAsia" w:ascii="宋体" w:cs="宋体"/>
                <w:color w:val="auto"/>
                <w:szCs w:val="21"/>
                <w:highlight w:val="none"/>
                <w:lang w:eastAsia="zh-CN"/>
              </w:rPr>
              <w:t>□</w:t>
            </w:r>
            <w:r>
              <w:rPr>
                <w:rFonts w:hint="eastAsia" w:ascii="宋体" w:cs="宋体"/>
                <w:b/>
                <w:bCs/>
                <w:color w:val="auto"/>
                <w:szCs w:val="21"/>
                <w:highlight w:val="none"/>
              </w:rPr>
              <w:t>本项目不需要缴</w:t>
            </w:r>
            <w:r>
              <w:rPr>
                <w:rFonts w:hint="eastAsia" w:ascii="宋体" w:cs="宋体"/>
                <w:b/>
                <w:bCs/>
                <w:color w:val="auto"/>
                <w:kern w:val="0"/>
                <w:szCs w:val="21"/>
                <w:highlight w:val="none"/>
              </w:rPr>
              <w:t>纳</w:t>
            </w:r>
            <w:r>
              <w:rPr>
                <w:rFonts w:hint="eastAsia" w:ascii="宋体" w:cs="宋体"/>
                <w:b/>
                <w:bCs/>
                <w:color w:val="auto"/>
                <w:szCs w:val="21"/>
                <w:highlight w:val="none"/>
              </w:rPr>
              <w:t>履约保证金。</w:t>
            </w:r>
          </w:p>
          <w:p w14:paraId="2952EC3E">
            <w:pPr>
              <w:spacing w:line="400" w:lineRule="exact"/>
              <w:rPr>
                <w:rFonts w:ascii="宋体" w:cs="宋体"/>
                <w:b/>
                <w:bCs/>
                <w:color w:val="auto"/>
                <w:szCs w:val="21"/>
                <w:highlight w:val="none"/>
              </w:rPr>
            </w:pPr>
            <w:r>
              <w:rPr>
                <w:rFonts w:hint="eastAsia" w:ascii="宋体" w:cs="宋体"/>
                <w:b/>
                <w:bCs/>
                <w:color w:val="auto"/>
                <w:szCs w:val="21"/>
                <w:highlight w:val="none"/>
                <w:lang w:eastAsia="zh-CN"/>
              </w:rPr>
              <w:t>☑</w:t>
            </w:r>
            <w:r>
              <w:rPr>
                <w:rFonts w:hint="eastAsia" w:ascii="宋体" w:cs="宋体"/>
                <w:b/>
                <w:bCs/>
                <w:color w:val="auto"/>
                <w:szCs w:val="21"/>
                <w:highlight w:val="none"/>
              </w:rPr>
              <w:t>本项目需要缴</w:t>
            </w:r>
            <w:r>
              <w:rPr>
                <w:rFonts w:hint="eastAsia" w:ascii="宋体" w:cs="宋体"/>
                <w:b/>
                <w:bCs/>
                <w:color w:val="auto"/>
                <w:kern w:val="0"/>
                <w:szCs w:val="21"/>
                <w:highlight w:val="none"/>
              </w:rPr>
              <w:t>纳</w:t>
            </w:r>
            <w:r>
              <w:rPr>
                <w:rFonts w:hint="eastAsia" w:ascii="宋体" w:cs="宋体"/>
                <w:b/>
                <w:bCs/>
                <w:color w:val="auto"/>
                <w:szCs w:val="21"/>
                <w:highlight w:val="none"/>
              </w:rPr>
              <w:t>履约保证金，相关要求如下：</w:t>
            </w:r>
          </w:p>
          <w:p w14:paraId="0779C11F">
            <w:pPr>
              <w:autoSpaceDE w:val="0"/>
              <w:autoSpaceDN w:val="0"/>
              <w:snapToGrid w:val="0"/>
              <w:spacing w:line="400" w:lineRule="exact"/>
              <w:textAlignment w:val="bottom"/>
              <w:rPr>
                <w:rFonts w:ascii="宋体" w:cs="宋体"/>
                <w:color w:val="auto"/>
                <w:szCs w:val="21"/>
                <w:highlight w:val="none"/>
              </w:rPr>
            </w:pPr>
            <w:r>
              <w:rPr>
                <w:rFonts w:ascii="宋体" w:cs="宋体"/>
                <w:color w:val="auto"/>
                <w:szCs w:val="21"/>
                <w:highlight w:val="none"/>
              </w:rPr>
              <w:t>1.</w:t>
            </w:r>
            <w:r>
              <w:rPr>
                <w:rFonts w:hint="eastAsia" w:ascii="宋体" w:cs="宋体"/>
                <w:color w:val="auto"/>
                <w:szCs w:val="21"/>
                <w:highlight w:val="none"/>
              </w:rPr>
              <w:t>履约保证金金额：中标人为中小微企业的，履约保证金为合同金额的2%，大型企业的履约保证金为合同金额的5%（以投标文件中提交的中小企业声明函为依据）；签订合同前交至指定账户，否则不予签订合同。</w:t>
            </w:r>
          </w:p>
          <w:p w14:paraId="4941CB43">
            <w:pPr>
              <w:autoSpaceDE w:val="0"/>
              <w:autoSpaceDN w:val="0"/>
              <w:snapToGrid w:val="0"/>
              <w:spacing w:line="400" w:lineRule="exact"/>
              <w:textAlignment w:val="bottom"/>
              <w:rPr>
                <w:rFonts w:ascii="宋体" w:cs="宋体"/>
                <w:color w:val="auto"/>
                <w:szCs w:val="21"/>
                <w:highlight w:val="none"/>
              </w:rPr>
            </w:pPr>
            <w:r>
              <w:rPr>
                <w:rFonts w:hint="eastAsia" w:ascii="宋体" w:cs="宋体"/>
                <w:color w:val="auto"/>
                <w:szCs w:val="21"/>
                <w:highlight w:val="none"/>
              </w:rPr>
              <w:t>2.履约保证金递交方式：中标人在</w:t>
            </w:r>
            <w:r>
              <w:rPr>
                <w:rFonts w:hint="eastAsia" w:ascii="宋体" w:cs="宋体"/>
                <w:color w:val="auto"/>
                <w:kern w:val="0"/>
                <w:szCs w:val="21"/>
                <w:highlight w:val="none"/>
                <w:u w:val="single"/>
              </w:rPr>
              <w:t>签订合同</w:t>
            </w:r>
            <w:r>
              <w:rPr>
                <w:rFonts w:hint="eastAsia" w:ascii="宋体" w:cs="宋体"/>
                <w:color w:val="auto"/>
                <w:szCs w:val="21"/>
                <w:highlight w:val="none"/>
                <w:u w:val="single"/>
              </w:rPr>
              <w:t>前</w:t>
            </w:r>
            <w:r>
              <w:rPr>
                <w:rFonts w:hint="eastAsia" w:ascii="宋体" w:cs="宋体"/>
                <w:color w:val="auto"/>
                <w:szCs w:val="21"/>
                <w:highlight w:val="none"/>
              </w:rPr>
              <w:t>以银行转账、支票、汇票、本票或者金融机构、担保机构出具的保函等非现金方式向</w:t>
            </w:r>
            <w:r>
              <w:rPr>
                <w:rFonts w:hint="eastAsia" w:ascii="宋体" w:cs="宋体"/>
                <w:color w:val="auto"/>
                <w:szCs w:val="21"/>
                <w:highlight w:val="none"/>
                <w:u w:val="single"/>
              </w:rPr>
              <w:t>采购人</w:t>
            </w:r>
            <w:r>
              <w:rPr>
                <w:rFonts w:hint="eastAsia" w:ascii="宋体" w:cs="宋体"/>
                <w:color w:val="auto"/>
                <w:szCs w:val="21"/>
                <w:highlight w:val="none"/>
              </w:rPr>
              <w:t>提交。</w:t>
            </w:r>
          </w:p>
          <w:p w14:paraId="7D047D8C">
            <w:pPr>
              <w:autoSpaceDE w:val="0"/>
              <w:autoSpaceDN w:val="0"/>
              <w:snapToGrid w:val="0"/>
              <w:spacing w:line="400" w:lineRule="exact"/>
              <w:textAlignment w:val="bottom"/>
              <w:rPr>
                <w:rFonts w:ascii="宋体" w:cs="宋体"/>
                <w:color w:val="auto"/>
                <w:szCs w:val="21"/>
                <w:highlight w:val="none"/>
                <w:u w:val="single"/>
              </w:rPr>
            </w:pPr>
            <w:r>
              <w:rPr>
                <w:rFonts w:hint="eastAsia" w:ascii="宋体" w:cs="宋体"/>
                <w:color w:val="auto"/>
                <w:szCs w:val="21"/>
                <w:highlight w:val="none"/>
              </w:rPr>
              <w:t>3.履约保证金退付方式、时间及条件：项目验收合格后，中标人提供《政府采购项目履约保证金退付意见书》及《政府采购项目合同验收报告》，向采购人提出书面申请退还，采购人在5个工作日内办理履约保证金退还手续（不计利息）。</w:t>
            </w:r>
          </w:p>
          <w:p w14:paraId="6FE229E3">
            <w:pPr>
              <w:autoSpaceDE w:val="0"/>
              <w:autoSpaceDN w:val="0"/>
              <w:snapToGrid w:val="0"/>
              <w:spacing w:line="400" w:lineRule="exact"/>
              <w:textAlignment w:val="bottom"/>
              <w:rPr>
                <w:rFonts w:ascii="宋体" w:cs="宋体"/>
                <w:color w:val="auto"/>
                <w:szCs w:val="21"/>
                <w:highlight w:val="none"/>
              </w:rPr>
            </w:pPr>
            <w:r>
              <w:rPr>
                <w:rFonts w:hint="eastAsia" w:ascii="宋体" w:cs="宋体"/>
                <w:color w:val="auto"/>
                <w:szCs w:val="21"/>
                <w:highlight w:val="none"/>
              </w:rPr>
              <w:t>4.缴纳履约保证金的指定账户：</w:t>
            </w:r>
          </w:p>
          <w:p w14:paraId="3FDB93C4">
            <w:pPr>
              <w:autoSpaceDE w:val="0"/>
              <w:autoSpaceDN w:val="0"/>
              <w:snapToGrid w:val="0"/>
              <w:spacing w:line="400" w:lineRule="exact"/>
              <w:textAlignment w:val="bottom"/>
              <w:rPr>
                <w:rFonts w:hint="eastAsia" w:ascii="宋体" w:hAnsi="宋体" w:eastAsia="宋体" w:cs="宋体"/>
                <w:color w:val="auto"/>
                <w:highlight w:val="none"/>
                <w:lang w:eastAsia="zh-CN"/>
              </w:rPr>
            </w:pPr>
            <w:r>
              <w:rPr>
                <w:rFonts w:hint="eastAsia" w:ascii="宋体" w:cs="宋体"/>
                <w:color w:val="auto"/>
                <w:szCs w:val="21"/>
                <w:highlight w:val="none"/>
              </w:rPr>
              <w:t>开户名称：</w:t>
            </w:r>
            <w:r>
              <w:rPr>
                <w:rFonts w:hint="eastAsia" w:ascii="宋体" w:cs="宋体"/>
                <w:color w:val="auto"/>
                <w:szCs w:val="21"/>
                <w:highlight w:val="none"/>
                <w:lang w:eastAsia="zh-CN"/>
              </w:rPr>
              <w:t>广西医科大学附属口腔医院</w:t>
            </w:r>
          </w:p>
          <w:p w14:paraId="0ACC9831">
            <w:pPr>
              <w:autoSpaceDE w:val="0"/>
              <w:autoSpaceDN w:val="0"/>
              <w:snapToGrid w:val="0"/>
              <w:spacing w:line="400" w:lineRule="exact"/>
              <w:jc w:val="left"/>
              <w:textAlignment w:val="bottom"/>
              <w:rPr>
                <w:rFonts w:hint="eastAsia" w:ascii="宋体" w:hAnsi="宋体" w:cs="宋体"/>
                <w:color w:val="auto"/>
                <w:highlight w:val="none"/>
              </w:rPr>
            </w:pPr>
            <w:r>
              <w:rPr>
                <w:rFonts w:hint="eastAsia" w:ascii="宋体" w:hAnsi="宋体" w:cs="宋体"/>
                <w:color w:val="auto"/>
                <w:highlight w:val="none"/>
              </w:rPr>
              <w:t>开户银行：交通银行南宁市桃源支行</w:t>
            </w:r>
          </w:p>
          <w:p w14:paraId="6C3C2DF9">
            <w:pPr>
              <w:autoSpaceDE w:val="0"/>
              <w:autoSpaceDN w:val="0"/>
              <w:snapToGrid w:val="0"/>
              <w:spacing w:line="400" w:lineRule="exact"/>
              <w:jc w:val="left"/>
              <w:textAlignment w:val="bottom"/>
              <w:rPr>
                <w:rFonts w:ascii="宋体" w:cs="宋体"/>
                <w:color w:val="auto"/>
                <w:szCs w:val="21"/>
                <w:highlight w:val="none"/>
              </w:rPr>
            </w:pPr>
            <w:r>
              <w:rPr>
                <w:rFonts w:hint="eastAsia" w:ascii="宋体" w:hAnsi="宋体" w:cs="宋体"/>
                <w:color w:val="auto"/>
                <w:highlight w:val="none"/>
              </w:rPr>
              <w:t xml:space="preserve">银行账号：451060505018010029090 </w:t>
            </w:r>
          </w:p>
          <w:p w14:paraId="0D3048EB">
            <w:pPr>
              <w:spacing w:line="400" w:lineRule="exact"/>
              <w:jc w:val="left"/>
              <w:rPr>
                <w:rFonts w:ascii="宋体" w:cs="宋体"/>
                <w:color w:val="auto"/>
                <w:szCs w:val="21"/>
                <w:highlight w:val="none"/>
              </w:rPr>
            </w:pPr>
            <w:r>
              <w:rPr>
                <w:rFonts w:hint="eastAsia" w:ascii="宋体" w:cs="宋体"/>
                <w:color w:val="auto"/>
                <w:szCs w:val="21"/>
                <w:highlight w:val="none"/>
              </w:rPr>
              <w:t>备注：</w:t>
            </w:r>
          </w:p>
          <w:p w14:paraId="6AA073DB">
            <w:pPr>
              <w:spacing w:line="400" w:lineRule="exact"/>
              <w:jc w:val="left"/>
              <w:rPr>
                <w:rFonts w:ascii="宋体" w:cs="宋体"/>
                <w:b/>
                <w:color w:val="auto"/>
                <w:szCs w:val="21"/>
                <w:highlight w:val="none"/>
              </w:rPr>
            </w:pPr>
            <w:r>
              <w:rPr>
                <w:rFonts w:hint="eastAsia" w:ascii="宋体" w:cs="宋体"/>
                <w:b/>
                <w:color w:val="auto"/>
                <w:szCs w:val="21"/>
                <w:highlight w:val="none"/>
              </w:rPr>
              <w:t>1</w:t>
            </w:r>
            <w:bookmarkStart w:id="97" w:name="_Hlk54170335"/>
            <w:r>
              <w:rPr>
                <w:rFonts w:hint="eastAsia" w:ascii="宋体" w:cs="宋体"/>
                <w:b/>
                <w:color w:val="auto"/>
                <w:szCs w:val="21"/>
                <w:highlight w:val="none"/>
              </w:rPr>
              <w:t>、根据</w:t>
            </w:r>
            <w:r>
              <w:rPr>
                <w:rFonts w:hint="eastAsia" w:ascii="宋体"/>
                <w:b/>
                <w:color w:val="auto"/>
                <w:szCs w:val="21"/>
                <w:highlight w:val="none"/>
              </w:rPr>
              <w:t>《广西壮族自治区财政厅关于贯彻落实政府采购优化营商环境百日攻坚行动方案的通知》（桂财采〔2020〕49号）和</w:t>
            </w:r>
            <w:r>
              <w:rPr>
                <w:rFonts w:hint="eastAsia" w:ascii="宋体" w:cs="宋体"/>
                <w:b/>
                <w:color w:val="auto"/>
                <w:szCs w:val="21"/>
                <w:highlight w:val="none"/>
              </w:rPr>
              <w:t>《广西壮族自治区财政厅关于规范政府采购货物和服务项目保证金管理的通知》（桂财规〔2022〕8号）规定，鼓励采购人在与中小微企业签订政府采购合同时，减少或免于收取履约保证金，有必要收取履约保证金的，收取的履约保证金不得超过政府采购合同金额的5%，对中小企业收取的履约保证金数额不得超过政府采购合同金额的2%。</w:t>
            </w:r>
            <w:bookmarkEnd w:id="97"/>
          </w:p>
          <w:p w14:paraId="493ECD8D">
            <w:pPr>
              <w:spacing w:line="400" w:lineRule="exact"/>
              <w:jc w:val="left"/>
              <w:rPr>
                <w:rFonts w:ascii="宋体" w:cs="宋体"/>
                <w:b/>
                <w:color w:val="auto"/>
                <w:szCs w:val="21"/>
                <w:highlight w:val="none"/>
              </w:rPr>
            </w:pPr>
            <w:r>
              <w:rPr>
                <w:rFonts w:hint="eastAsia" w:ascii="宋体" w:cs="宋体"/>
                <w:b/>
                <w:color w:val="auto"/>
                <w:szCs w:val="21"/>
                <w:highlight w:val="none"/>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5FA2683F">
            <w:pPr>
              <w:spacing w:line="400" w:lineRule="exact"/>
              <w:jc w:val="left"/>
              <w:rPr>
                <w:rFonts w:ascii="宋体" w:cs="宋体"/>
                <w:b/>
                <w:color w:val="auto"/>
                <w:szCs w:val="21"/>
                <w:highlight w:val="none"/>
              </w:rPr>
            </w:pPr>
            <w:r>
              <w:rPr>
                <w:rFonts w:hint="eastAsia" w:ascii="宋体" w:cs="宋体"/>
                <w:b/>
                <w:color w:val="auto"/>
                <w:szCs w:val="21"/>
                <w:highlight w:val="none"/>
              </w:rPr>
              <w:t>3、采用金融、担保机构出具的保函的，必须为无条件保函，否则不予签订合同。</w:t>
            </w:r>
          </w:p>
          <w:p w14:paraId="006DA018">
            <w:pPr>
              <w:autoSpaceDE w:val="0"/>
              <w:autoSpaceDN w:val="0"/>
              <w:snapToGrid w:val="0"/>
              <w:spacing w:line="400" w:lineRule="exact"/>
              <w:jc w:val="left"/>
              <w:textAlignment w:val="bottom"/>
              <w:rPr>
                <w:rFonts w:ascii="宋体" w:cs="宋体"/>
                <w:color w:val="auto"/>
                <w:szCs w:val="21"/>
                <w:highlight w:val="none"/>
              </w:rPr>
            </w:pPr>
            <w:r>
              <w:rPr>
                <w:rFonts w:hint="eastAsia" w:ascii="宋体" w:cs="宋体"/>
                <w:b/>
                <w:color w:val="auto"/>
                <w:szCs w:val="21"/>
                <w:highlight w:val="none"/>
              </w:rPr>
              <w:t>4、投标人为联合体的，由联合体其中一方按规定提交的履约保证金，视为有效履约保证金。</w:t>
            </w:r>
          </w:p>
        </w:tc>
      </w:tr>
      <w:tr w14:paraId="6565DC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6705DDE8">
            <w:pPr>
              <w:spacing w:line="400" w:lineRule="exact"/>
              <w:rPr>
                <w:rFonts w:ascii="宋体" w:cs="宋体"/>
                <w:color w:val="auto"/>
                <w:szCs w:val="21"/>
                <w:highlight w:val="none"/>
              </w:rPr>
            </w:pPr>
            <w:r>
              <w:rPr>
                <w:rFonts w:hint="eastAsia" w:ascii="宋体" w:cs="宋体"/>
                <w:color w:val="auto"/>
                <w:szCs w:val="21"/>
                <w:highlight w:val="none"/>
              </w:rPr>
              <w:t>36.1</w:t>
            </w:r>
          </w:p>
        </w:tc>
        <w:tc>
          <w:tcPr>
            <w:tcW w:w="2083" w:type="dxa"/>
            <w:tcBorders>
              <w:top w:val="single" w:color="auto" w:sz="4" w:space="0"/>
              <w:left w:val="single" w:color="auto" w:sz="4" w:space="0"/>
              <w:bottom w:val="single" w:color="auto" w:sz="4" w:space="0"/>
              <w:right w:val="single" w:color="auto" w:sz="4" w:space="0"/>
            </w:tcBorders>
            <w:vAlign w:val="center"/>
          </w:tcPr>
          <w:p w14:paraId="345C727A">
            <w:pPr>
              <w:spacing w:line="400" w:lineRule="exact"/>
              <w:rPr>
                <w:rFonts w:ascii="宋体" w:cs="宋体"/>
                <w:color w:val="auto"/>
                <w:szCs w:val="21"/>
                <w:highlight w:val="none"/>
              </w:rPr>
            </w:pPr>
            <w:bookmarkStart w:id="98" w:name="_40.1"/>
            <w:bookmarkEnd w:id="98"/>
            <w:r>
              <w:rPr>
                <w:rFonts w:hint="eastAsia" w:ascii="宋体" w:cs="宋体"/>
                <w:color w:val="auto"/>
                <w:szCs w:val="21"/>
                <w:highlight w:val="none"/>
              </w:rPr>
              <w:t>签订合同携带的材料</w:t>
            </w:r>
          </w:p>
        </w:tc>
        <w:tc>
          <w:tcPr>
            <w:tcW w:w="7297" w:type="dxa"/>
            <w:tcBorders>
              <w:top w:val="single" w:color="auto" w:sz="4" w:space="0"/>
              <w:left w:val="single" w:color="auto" w:sz="4" w:space="0"/>
              <w:bottom w:val="single" w:color="auto" w:sz="4" w:space="0"/>
              <w:right w:val="single" w:color="auto" w:sz="4" w:space="0"/>
            </w:tcBorders>
            <w:vAlign w:val="center"/>
          </w:tcPr>
          <w:p w14:paraId="234C0DF9">
            <w:pPr>
              <w:autoSpaceDE w:val="0"/>
              <w:autoSpaceDN w:val="0"/>
              <w:snapToGrid w:val="0"/>
              <w:spacing w:line="400" w:lineRule="exact"/>
              <w:textAlignment w:val="bottom"/>
              <w:rPr>
                <w:rFonts w:ascii="宋体" w:cs="宋体"/>
                <w:color w:val="auto"/>
                <w:szCs w:val="21"/>
                <w:highlight w:val="none"/>
              </w:rPr>
            </w:pPr>
            <w:r>
              <w:rPr>
                <w:rFonts w:hint="eastAsia" w:ascii="宋体" w:cs="宋体"/>
                <w:color w:val="auto"/>
                <w:szCs w:val="21"/>
                <w:highlight w:val="none"/>
              </w:rPr>
              <w:t>委托代理人负责签订合同的，须携带有效的法定代表人授权委托书及其委托代理人身份证原件等其他资格证件。</w:t>
            </w:r>
          </w:p>
          <w:p w14:paraId="68AFAE1B">
            <w:pPr>
              <w:pStyle w:val="17"/>
              <w:spacing w:line="400" w:lineRule="exact"/>
              <w:rPr>
                <w:rFonts w:ascii="宋体" w:cs="宋体"/>
                <w:color w:val="auto"/>
                <w:sz w:val="21"/>
                <w:szCs w:val="21"/>
                <w:highlight w:val="none"/>
              </w:rPr>
            </w:pPr>
            <w:r>
              <w:rPr>
                <w:rFonts w:hint="eastAsia" w:ascii="宋体" w:cs="宋体"/>
                <w:color w:val="auto"/>
                <w:sz w:val="21"/>
                <w:szCs w:val="21"/>
                <w:highlight w:val="none"/>
              </w:rPr>
              <w:t>法定代表人负责签订合同的，须携带法定代表人身份证明原件及身份证原件等其他证明材料。</w:t>
            </w:r>
          </w:p>
        </w:tc>
      </w:tr>
      <w:tr w14:paraId="48760F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60" w:type="dxa"/>
            <w:vMerge w:val="restart"/>
            <w:tcBorders>
              <w:top w:val="single" w:color="auto" w:sz="4" w:space="0"/>
              <w:left w:val="single" w:color="auto" w:sz="4" w:space="0"/>
              <w:bottom w:val="single" w:color="auto" w:sz="4" w:space="0"/>
              <w:right w:val="single" w:color="auto" w:sz="4" w:space="0"/>
            </w:tcBorders>
            <w:vAlign w:val="center"/>
          </w:tcPr>
          <w:p w14:paraId="01430DD9">
            <w:pPr>
              <w:spacing w:line="400" w:lineRule="exact"/>
              <w:rPr>
                <w:rFonts w:ascii="宋体" w:cs="宋体"/>
                <w:color w:val="auto"/>
                <w:szCs w:val="21"/>
                <w:highlight w:val="none"/>
              </w:rPr>
            </w:pPr>
            <w:r>
              <w:rPr>
                <w:rFonts w:hint="eastAsia" w:ascii="宋体" w:cs="宋体"/>
                <w:color w:val="auto"/>
                <w:szCs w:val="21"/>
                <w:highlight w:val="none"/>
              </w:rPr>
              <w:t>38.2.1</w:t>
            </w:r>
          </w:p>
        </w:tc>
        <w:tc>
          <w:tcPr>
            <w:tcW w:w="2083" w:type="dxa"/>
            <w:tcBorders>
              <w:top w:val="single" w:color="auto" w:sz="4" w:space="0"/>
              <w:left w:val="single" w:color="auto" w:sz="4" w:space="0"/>
              <w:bottom w:val="single" w:color="auto" w:sz="4" w:space="0"/>
              <w:right w:val="single" w:color="auto" w:sz="4" w:space="0"/>
            </w:tcBorders>
            <w:vAlign w:val="center"/>
          </w:tcPr>
          <w:p w14:paraId="284AAD5F">
            <w:pPr>
              <w:spacing w:line="400" w:lineRule="exact"/>
              <w:rPr>
                <w:rFonts w:ascii="宋体" w:cs="宋体"/>
                <w:color w:val="auto"/>
                <w:szCs w:val="21"/>
                <w:highlight w:val="none"/>
              </w:rPr>
            </w:pPr>
            <w:r>
              <w:rPr>
                <w:rFonts w:hint="eastAsia" w:ascii="宋体" w:cs="宋体"/>
                <w:color w:val="auto"/>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vAlign w:val="center"/>
          </w:tcPr>
          <w:p w14:paraId="58F7AA02">
            <w:pPr>
              <w:snapToGrid w:val="0"/>
              <w:spacing w:line="400" w:lineRule="exact"/>
              <w:rPr>
                <w:rFonts w:ascii="宋体" w:cs="宋体"/>
                <w:color w:val="auto"/>
                <w:szCs w:val="21"/>
                <w:highlight w:val="none"/>
              </w:rPr>
            </w:pPr>
            <w:r>
              <w:rPr>
                <w:rFonts w:hint="eastAsia" w:ascii="宋体" w:cs="宋体"/>
                <w:color w:val="auto"/>
                <w:szCs w:val="21"/>
                <w:highlight w:val="none"/>
              </w:rPr>
              <w:t>以书面形式</w:t>
            </w:r>
          </w:p>
        </w:tc>
      </w:tr>
      <w:tr w14:paraId="07D636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3721AD93">
            <w:pPr>
              <w:rPr>
                <w:color w:val="auto"/>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63B0C682">
            <w:pPr>
              <w:spacing w:line="400" w:lineRule="exact"/>
              <w:rPr>
                <w:rFonts w:ascii="宋体" w:cs="宋体"/>
                <w:color w:val="auto"/>
                <w:szCs w:val="21"/>
                <w:highlight w:val="none"/>
              </w:rPr>
            </w:pPr>
            <w:r>
              <w:rPr>
                <w:rFonts w:hint="eastAsia" w:ascii="宋体" w:cs="宋体"/>
                <w:color w:val="auto"/>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vAlign w:val="center"/>
          </w:tcPr>
          <w:p w14:paraId="2942ABEF">
            <w:pPr>
              <w:snapToGrid w:val="0"/>
              <w:spacing w:line="400" w:lineRule="exact"/>
              <w:rPr>
                <w:rFonts w:hint="eastAsia" w:ascii="宋体" w:eastAsia="宋体" w:cs="宋体"/>
                <w:color w:val="auto"/>
                <w:szCs w:val="21"/>
                <w:highlight w:val="none"/>
                <w:lang w:eastAsia="zh-CN"/>
              </w:rPr>
            </w:pPr>
            <w:r>
              <w:rPr>
                <w:rFonts w:hint="eastAsia" w:ascii="宋体" w:cs="宋体"/>
                <w:color w:val="auto"/>
                <w:szCs w:val="21"/>
                <w:highlight w:val="none"/>
              </w:rPr>
              <w:t>（1）名称：</w:t>
            </w:r>
            <w:r>
              <w:rPr>
                <w:rFonts w:hint="eastAsia" w:ascii="宋体" w:cs="宋体"/>
                <w:color w:val="auto"/>
                <w:szCs w:val="21"/>
                <w:highlight w:val="none"/>
                <w:lang w:eastAsia="zh-CN"/>
              </w:rPr>
              <w:t>广西医科大学附属口腔医院</w:t>
            </w:r>
          </w:p>
          <w:p w14:paraId="4E9E5EC3">
            <w:pPr>
              <w:snapToGrid w:val="0"/>
              <w:spacing w:line="400" w:lineRule="exact"/>
              <w:rPr>
                <w:rFonts w:hint="eastAsia" w:ascii="宋体" w:cs="宋体"/>
                <w:color w:val="auto"/>
                <w:szCs w:val="21"/>
                <w:highlight w:val="none"/>
              </w:rPr>
            </w:pPr>
            <w:r>
              <w:rPr>
                <w:rFonts w:hint="eastAsia" w:ascii="宋体" w:cs="宋体"/>
                <w:color w:val="auto"/>
                <w:szCs w:val="21"/>
                <w:highlight w:val="none"/>
              </w:rPr>
              <w:t>联系电话：</w:t>
            </w:r>
          </w:p>
          <w:p w14:paraId="4416BBE6">
            <w:pPr>
              <w:snapToGrid w:val="0"/>
              <w:spacing w:line="400" w:lineRule="exact"/>
              <w:rPr>
                <w:rFonts w:ascii="宋体" w:cs="宋体"/>
                <w:color w:val="auto"/>
                <w:szCs w:val="21"/>
                <w:highlight w:val="none"/>
              </w:rPr>
            </w:pPr>
            <w:r>
              <w:rPr>
                <w:rFonts w:hint="eastAsia" w:ascii="宋体" w:cs="宋体"/>
                <w:color w:val="auto"/>
                <w:szCs w:val="21"/>
                <w:highlight w:val="none"/>
              </w:rPr>
              <w:t>接收质疑材料地址：</w:t>
            </w:r>
          </w:p>
          <w:p w14:paraId="1602F5AF">
            <w:pPr>
              <w:snapToGrid w:val="0"/>
              <w:spacing w:line="400" w:lineRule="exact"/>
              <w:rPr>
                <w:rFonts w:ascii="宋体" w:cs="宋体"/>
                <w:color w:val="auto"/>
                <w:szCs w:val="21"/>
                <w:highlight w:val="none"/>
              </w:rPr>
            </w:pPr>
            <w:r>
              <w:rPr>
                <w:rFonts w:hint="eastAsia" w:ascii="宋体" w:cs="宋体"/>
                <w:color w:val="auto"/>
                <w:szCs w:val="21"/>
                <w:highlight w:val="none"/>
              </w:rPr>
              <w:t>（2）名称：广西科联招标中心有限公司</w:t>
            </w:r>
          </w:p>
          <w:p w14:paraId="6DDD3CB6">
            <w:pPr>
              <w:snapToGrid w:val="0"/>
              <w:spacing w:line="400" w:lineRule="exact"/>
              <w:rPr>
                <w:rFonts w:ascii="宋体" w:cs="宋体"/>
                <w:color w:val="auto"/>
                <w:szCs w:val="21"/>
                <w:highlight w:val="none"/>
              </w:rPr>
            </w:pPr>
            <w:r>
              <w:rPr>
                <w:rFonts w:hint="eastAsia" w:ascii="宋体" w:cs="宋体"/>
                <w:color w:val="auto"/>
                <w:szCs w:val="21"/>
                <w:highlight w:val="none"/>
              </w:rPr>
              <w:t>联系电话：0771-3486228</w:t>
            </w:r>
          </w:p>
          <w:p w14:paraId="2A25F114">
            <w:pPr>
              <w:snapToGrid w:val="0"/>
              <w:spacing w:line="400" w:lineRule="exact"/>
              <w:rPr>
                <w:rFonts w:ascii="宋体" w:cs="宋体"/>
                <w:color w:val="auto"/>
                <w:szCs w:val="21"/>
                <w:highlight w:val="none"/>
              </w:rPr>
            </w:pPr>
            <w:r>
              <w:rPr>
                <w:rFonts w:hint="eastAsia" w:ascii="宋体" w:cs="宋体"/>
                <w:color w:val="auto"/>
                <w:szCs w:val="21"/>
                <w:highlight w:val="none"/>
              </w:rPr>
              <w:t>通讯地址：广西南宁市大学东路170号广西科联招标中心有限公司（采购代理机构）一楼10</w:t>
            </w:r>
            <w:r>
              <w:rPr>
                <w:rFonts w:hint="eastAsia" w:ascii="宋体" w:cs="宋体"/>
                <w:color w:val="auto"/>
                <w:szCs w:val="21"/>
                <w:highlight w:val="none"/>
                <w:lang w:val="en-US" w:eastAsia="zh-CN"/>
              </w:rPr>
              <w:t>2</w:t>
            </w:r>
            <w:r>
              <w:rPr>
                <w:rFonts w:hint="eastAsia" w:ascii="宋体" w:cs="宋体"/>
                <w:color w:val="auto"/>
                <w:szCs w:val="21"/>
                <w:highlight w:val="none"/>
              </w:rPr>
              <w:t>室</w:t>
            </w:r>
          </w:p>
        </w:tc>
      </w:tr>
      <w:tr w14:paraId="37DEBE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7D0B1C7A">
            <w:pPr>
              <w:rPr>
                <w:color w:val="auto"/>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652CF951">
            <w:pPr>
              <w:spacing w:line="400" w:lineRule="exact"/>
              <w:rPr>
                <w:rFonts w:ascii="宋体" w:cs="宋体"/>
                <w:color w:val="auto"/>
                <w:szCs w:val="21"/>
                <w:highlight w:val="none"/>
              </w:rPr>
            </w:pPr>
            <w:r>
              <w:rPr>
                <w:rFonts w:hint="eastAsia" w:ascii="宋体" w:cs="宋体"/>
                <w:color w:val="auto"/>
                <w:szCs w:val="21"/>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vAlign w:val="center"/>
          </w:tcPr>
          <w:p w14:paraId="0DC44D6E">
            <w:pPr>
              <w:snapToGrid w:val="0"/>
              <w:spacing w:line="400" w:lineRule="exact"/>
              <w:rPr>
                <w:rFonts w:ascii="宋体" w:cs="宋体"/>
                <w:color w:val="auto"/>
                <w:szCs w:val="21"/>
                <w:highlight w:val="none"/>
              </w:rPr>
            </w:pPr>
            <w:r>
              <w:rPr>
                <w:rFonts w:hint="eastAsia" w:ascii="宋体" w:cs="宋体"/>
                <w:color w:val="auto"/>
                <w:szCs w:val="21"/>
                <w:highlight w:val="none"/>
              </w:rPr>
              <w:t>质疑期内每个工作日（北京时间）上午</w:t>
            </w:r>
            <w:r>
              <w:rPr>
                <w:rFonts w:hint="eastAsia" w:ascii="宋体" w:cs="宋体"/>
                <w:color w:val="auto"/>
                <w:szCs w:val="21"/>
                <w:highlight w:val="none"/>
                <w:u w:val="single"/>
              </w:rPr>
              <w:t>8</w:t>
            </w:r>
            <w:r>
              <w:rPr>
                <w:rFonts w:hint="eastAsia" w:ascii="宋体" w:cs="宋体"/>
                <w:color w:val="auto"/>
                <w:szCs w:val="21"/>
                <w:highlight w:val="none"/>
              </w:rPr>
              <w:t>时</w:t>
            </w:r>
            <w:r>
              <w:rPr>
                <w:rFonts w:hint="eastAsia" w:ascii="宋体" w:cs="宋体"/>
                <w:color w:val="auto"/>
                <w:szCs w:val="21"/>
                <w:highlight w:val="none"/>
                <w:u w:val="single"/>
              </w:rPr>
              <w:t>00</w:t>
            </w:r>
            <w:r>
              <w:rPr>
                <w:rFonts w:hint="eastAsia" w:ascii="宋体" w:cs="宋体"/>
                <w:color w:val="auto"/>
                <w:szCs w:val="21"/>
                <w:highlight w:val="none"/>
              </w:rPr>
              <w:t>分到</w:t>
            </w:r>
            <w:r>
              <w:rPr>
                <w:rFonts w:hint="eastAsia" w:ascii="宋体" w:cs="宋体"/>
                <w:color w:val="auto"/>
                <w:szCs w:val="21"/>
                <w:highlight w:val="none"/>
                <w:u w:val="single"/>
              </w:rPr>
              <w:t>12</w:t>
            </w:r>
            <w:r>
              <w:rPr>
                <w:rFonts w:hint="eastAsia" w:ascii="宋体" w:cs="宋体"/>
                <w:color w:val="auto"/>
                <w:szCs w:val="21"/>
                <w:highlight w:val="none"/>
              </w:rPr>
              <w:t>时</w:t>
            </w:r>
            <w:r>
              <w:rPr>
                <w:rFonts w:hint="eastAsia" w:ascii="宋体" w:cs="宋体"/>
                <w:color w:val="auto"/>
                <w:szCs w:val="21"/>
                <w:highlight w:val="none"/>
                <w:u w:val="single"/>
              </w:rPr>
              <w:t>00</w:t>
            </w:r>
            <w:r>
              <w:rPr>
                <w:rFonts w:hint="eastAsia" w:ascii="宋体" w:cs="宋体"/>
                <w:color w:val="auto"/>
                <w:szCs w:val="21"/>
                <w:highlight w:val="none"/>
              </w:rPr>
              <w:t>分，下午</w:t>
            </w:r>
            <w:r>
              <w:rPr>
                <w:rFonts w:hint="eastAsia" w:ascii="宋体" w:cs="宋体"/>
                <w:color w:val="auto"/>
                <w:szCs w:val="21"/>
                <w:highlight w:val="none"/>
                <w:u w:val="single"/>
              </w:rPr>
              <w:t>15</w:t>
            </w:r>
            <w:r>
              <w:rPr>
                <w:rFonts w:hint="eastAsia" w:ascii="宋体" w:cs="宋体"/>
                <w:color w:val="auto"/>
                <w:szCs w:val="21"/>
                <w:highlight w:val="none"/>
              </w:rPr>
              <w:t>时</w:t>
            </w:r>
            <w:r>
              <w:rPr>
                <w:rFonts w:hint="eastAsia" w:ascii="宋体" w:cs="宋体"/>
                <w:color w:val="auto"/>
                <w:szCs w:val="21"/>
                <w:highlight w:val="none"/>
                <w:u w:val="single"/>
              </w:rPr>
              <w:t>00</w:t>
            </w:r>
            <w:r>
              <w:rPr>
                <w:rFonts w:hint="eastAsia" w:ascii="宋体" w:cs="宋体"/>
                <w:color w:val="auto"/>
                <w:szCs w:val="21"/>
                <w:highlight w:val="none"/>
              </w:rPr>
              <w:t>分到</w:t>
            </w:r>
            <w:r>
              <w:rPr>
                <w:rFonts w:hint="eastAsia" w:ascii="宋体" w:cs="宋体"/>
                <w:color w:val="auto"/>
                <w:szCs w:val="21"/>
                <w:highlight w:val="none"/>
                <w:u w:val="single"/>
              </w:rPr>
              <w:t>18</w:t>
            </w:r>
            <w:r>
              <w:rPr>
                <w:rFonts w:hint="eastAsia" w:ascii="宋体" w:cs="宋体"/>
                <w:color w:val="auto"/>
                <w:szCs w:val="21"/>
                <w:highlight w:val="none"/>
              </w:rPr>
              <w:t>时</w:t>
            </w:r>
            <w:r>
              <w:rPr>
                <w:rFonts w:hint="eastAsia" w:ascii="宋体" w:cs="宋体"/>
                <w:color w:val="auto"/>
                <w:szCs w:val="21"/>
                <w:highlight w:val="none"/>
                <w:u w:val="single"/>
              </w:rPr>
              <w:t>00</w:t>
            </w:r>
            <w:r>
              <w:rPr>
                <w:rFonts w:hint="eastAsia" w:ascii="宋体" w:cs="宋体"/>
                <w:color w:val="auto"/>
                <w:szCs w:val="21"/>
                <w:highlight w:val="none"/>
              </w:rPr>
              <w:t>分。</w:t>
            </w:r>
          </w:p>
        </w:tc>
      </w:tr>
      <w:tr w14:paraId="7C4699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60" w:type="dxa"/>
            <w:tcBorders>
              <w:top w:val="nil"/>
              <w:left w:val="single" w:color="auto" w:sz="4" w:space="0"/>
              <w:bottom w:val="single" w:color="auto" w:sz="4" w:space="0"/>
              <w:right w:val="single" w:color="auto" w:sz="4" w:space="0"/>
            </w:tcBorders>
            <w:vAlign w:val="center"/>
          </w:tcPr>
          <w:p w14:paraId="759DFE51">
            <w:pPr>
              <w:spacing w:line="400" w:lineRule="exact"/>
              <w:rPr>
                <w:rFonts w:ascii="宋体" w:cs="宋体"/>
                <w:color w:val="auto"/>
                <w:szCs w:val="21"/>
                <w:highlight w:val="none"/>
              </w:rPr>
            </w:pPr>
            <w:r>
              <w:rPr>
                <w:rFonts w:hint="eastAsia" w:ascii="宋体" w:cs="宋体"/>
                <w:color w:val="auto"/>
                <w:szCs w:val="21"/>
                <w:highlight w:val="none"/>
              </w:rPr>
              <w:t>38.3.1</w:t>
            </w:r>
          </w:p>
        </w:tc>
        <w:tc>
          <w:tcPr>
            <w:tcW w:w="2083" w:type="dxa"/>
            <w:tcBorders>
              <w:top w:val="single" w:color="auto" w:sz="4" w:space="0"/>
              <w:left w:val="single" w:color="auto" w:sz="4" w:space="0"/>
              <w:bottom w:val="single" w:color="auto" w:sz="4" w:space="0"/>
              <w:right w:val="single" w:color="auto" w:sz="4" w:space="0"/>
            </w:tcBorders>
            <w:vAlign w:val="center"/>
          </w:tcPr>
          <w:p w14:paraId="681B64DD">
            <w:pPr>
              <w:spacing w:line="400" w:lineRule="exact"/>
              <w:rPr>
                <w:rFonts w:ascii="宋体" w:cs="宋体"/>
                <w:color w:val="auto"/>
                <w:szCs w:val="21"/>
                <w:highlight w:val="none"/>
              </w:rPr>
            </w:pPr>
            <w:r>
              <w:rPr>
                <w:rFonts w:hint="eastAsia" w:ascii="宋体" w:cs="宋体"/>
                <w:color w:val="auto"/>
                <w:szCs w:val="21"/>
                <w:highlight w:val="none"/>
              </w:rPr>
              <w:t>投诉受理方式</w:t>
            </w:r>
          </w:p>
        </w:tc>
        <w:tc>
          <w:tcPr>
            <w:tcW w:w="7297" w:type="dxa"/>
            <w:tcBorders>
              <w:top w:val="single" w:color="auto" w:sz="4" w:space="0"/>
              <w:left w:val="single" w:color="auto" w:sz="4" w:space="0"/>
              <w:bottom w:val="single" w:color="auto" w:sz="4" w:space="0"/>
              <w:right w:val="single" w:color="auto" w:sz="4" w:space="0"/>
            </w:tcBorders>
            <w:vAlign w:val="center"/>
          </w:tcPr>
          <w:p w14:paraId="3EE13051">
            <w:pPr>
              <w:snapToGrid w:val="0"/>
              <w:spacing w:line="400" w:lineRule="exact"/>
              <w:rPr>
                <w:rFonts w:ascii="宋体" w:cs="宋体"/>
                <w:color w:val="auto"/>
                <w:szCs w:val="21"/>
                <w:highlight w:val="none"/>
              </w:rPr>
            </w:pPr>
            <w:r>
              <w:rPr>
                <w:rFonts w:hint="eastAsia" w:ascii="宋体" w:cs="宋体"/>
                <w:color w:val="auto"/>
                <w:szCs w:val="21"/>
                <w:highlight w:val="none"/>
              </w:rPr>
              <w:t>1、受理方式：纸质方式受理，投诉书正、副本（经过质疑的事项才可投诉）。</w:t>
            </w:r>
          </w:p>
          <w:p w14:paraId="689B24EB">
            <w:pPr>
              <w:snapToGrid w:val="0"/>
              <w:spacing w:line="400" w:lineRule="exact"/>
              <w:rPr>
                <w:rFonts w:ascii="宋体" w:cs="宋体"/>
                <w:color w:val="auto"/>
                <w:szCs w:val="21"/>
                <w:highlight w:val="none"/>
              </w:rPr>
            </w:pPr>
            <w:r>
              <w:rPr>
                <w:rFonts w:hint="eastAsia" w:ascii="宋体" w:cs="宋体"/>
                <w:color w:val="auto"/>
                <w:szCs w:val="21"/>
                <w:highlight w:val="none"/>
              </w:rPr>
              <w:t>2、通讯方式</w:t>
            </w:r>
          </w:p>
          <w:p w14:paraId="58803F22">
            <w:pPr>
              <w:snapToGrid w:val="0"/>
              <w:spacing w:line="400" w:lineRule="exact"/>
              <w:rPr>
                <w:rFonts w:ascii="宋体" w:cs="宋体"/>
                <w:color w:val="auto"/>
                <w:szCs w:val="21"/>
                <w:highlight w:val="none"/>
              </w:rPr>
            </w:pPr>
            <w:r>
              <w:rPr>
                <w:rFonts w:hint="eastAsia" w:ascii="宋体" w:cs="宋体"/>
                <w:color w:val="auto"/>
                <w:szCs w:val="21"/>
                <w:highlight w:val="none"/>
              </w:rPr>
              <w:t>名称：</w:t>
            </w:r>
            <w:bookmarkStart w:id="99" w:name="PO_3000001867_PM036"/>
            <w:r>
              <w:rPr>
                <w:rFonts w:hint="eastAsia" w:ascii="宋体" w:cs="宋体"/>
                <w:color w:val="auto"/>
                <w:szCs w:val="21"/>
                <w:highlight w:val="none"/>
              </w:rPr>
              <w:t>广西壮族自治区财政厅政府采购监督管理</w:t>
            </w:r>
            <w:bookmarkEnd w:id="99"/>
            <w:r>
              <w:rPr>
                <w:rFonts w:hint="eastAsia" w:ascii="宋体" w:cs="宋体"/>
                <w:color w:val="auto"/>
                <w:szCs w:val="21"/>
                <w:highlight w:val="none"/>
              </w:rPr>
              <w:t>处</w:t>
            </w:r>
          </w:p>
          <w:p w14:paraId="0C58EC29">
            <w:pPr>
              <w:snapToGrid w:val="0"/>
              <w:spacing w:line="400" w:lineRule="exact"/>
              <w:rPr>
                <w:rFonts w:ascii="宋体" w:cs="宋体"/>
                <w:color w:val="auto"/>
                <w:szCs w:val="21"/>
                <w:highlight w:val="none"/>
              </w:rPr>
            </w:pPr>
            <w:r>
              <w:rPr>
                <w:rFonts w:hint="eastAsia" w:ascii="宋体" w:cs="宋体"/>
                <w:color w:val="auto"/>
                <w:szCs w:val="21"/>
                <w:highlight w:val="none"/>
              </w:rPr>
              <w:t>地址：南宁市桃源路69号广西财政大厦7楼</w:t>
            </w:r>
            <w:r>
              <w:rPr>
                <w:rFonts w:hint="eastAsia" w:ascii="宋体" w:cs="宋体"/>
                <w:color w:val="auto"/>
                <w:szCs w:val="21"/>
                <w:highlight w:val="none"/>
                <w:lang w:val="en-US" w:eastAsia="zh-CN"/>
              </w:rPr>
              <w:t xml:space="preserve">  </w:t>
            </w:r>
            <w:r>
              <w:rPr>
                <w:rFonts w:hint="eastAsia" w:ascii="宋体" w:cs="宋体"/>
                <w:color w:val="auto"/>
                <w:szCs w:val="21"/>
                <w:highlight w:val="none"/>
              </w:rPr>
              <w:t>联系电话：</w:t>
            </w:r>
            <w:bookmarkStart w:id="100" w:name="PO_3000001867_PM038"/>
            <w:r>
              <w:rPr>
                <w:rFonts w:hint="eastAsia" w:ascii="宋体" w:cs="宋体"/>
                <w:color w:val="auto"/>
                <w:szCs w:val="21"/>
                <w:highlight w:val="none"/>
              </w:rPr>
              <w:t>0771-</w:t>
            </w:r>
            <w:bookmarkEnd w:id="100"/>
            <w:r>
              <w:rPr>
                <w:rFonts w:hint="eastAsia" w:ascii="宋体" w:cs="宋体"/>
                <w:color w:val="auto"/>
                <w:szCs w:val="21"/>
                <w:highlight w:val="none"/>
              </w:rPr>
              <w:t>5331544</w:t>
            </w:r>
          </w:p>
        </w:tc>
      </w:tr>
      <w:tr w14:paraId="595869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860" w:type="dxa"/>
            <w:vMerge w:val="restart"/>
            <w:tcBorders>
              <w:top w:val="single" w:color="auto" w:sz="4" w:space="0"/>
              <w:left w:val="single" w:color="auto" w:sz="4" w:space="0"/>
              <w:bottom w:val="single" w:color="auto" w:sz="4" w:space="0"/>
              <w:right w:val="single" w:color="auto" w:sz="4" w:space="0"/>
            </w:tcBorders>
            <w:vAlign w:val="center"/>
          </w:tcPr>
          <w:p w14:paraId="14C50B8F">
            <w:pPr>
              <w:spacing w:line="400" w:lineRule="exact"/>
              <w:rPr>
                <w:rFonts w:ascii="宋体" w:cs="宋体"/>
                <w:color w:val="auto"/>
                <w:szCs w:val="21"/>
                <w:highlight w:val="none"/>
              </w:rPr>
            </w:pPr>
            <w:r>
              <w:rPr>
                <w:rFonts w:hint="eastAsia" w:ascii="宋体" w:cs="宋体"/>
                <w:color w:val="auto"/>
                <w:szCs w:val="21"/>
                <w:highlight w:val="none"/>
              </w:rPr>
              <w:t>40</w:t>
            </w:r>
          </w:p>
        </w:tc>
        <w:tc>
          <w:tcPr>
            <w:tcW w:w="2083" w:type="dxa"/>
            <w:tcBorders>
              <w:top w:val="single" w:color="auto" w:sz="4" w:space="0"/>
              <w:left w:val="single" w:color="auto" w:sz="4" w:space="0"/>
              <w:bottom w:val="single" w:color="auto" w:sz="4" w:space="0"/>
              <w:right w:val="single" w:color="auto" w:sz="4" w:space="0"/>
            </w:tcBorders>
            <w:vAlign w:val="center"/>
          </w:tcPr>
          <w:p w14:paraId="4B3A4F3A">
            <w:pPr>
              <w:spacing w:line="400" w:lineRule="exact"/>
              <w:rPr>
                <w:rFonts w:ascii="宋体" w:cs="宋体"/>
                <w:color w:val="auto"/>
                <w:szCs w:val="21"/>
                <w:highlight w:val="none"/>
              </w:rPr>
            </w:pPr>
            <w:bookmarkStart w:id="101" w:name="_42"/>
            <w:bookmarkEnd w:id="101"/>
            <w:bookmarkStart w:id="102" w:name="_41"/>
            <w:bookmarkEnd w:id="102"/>
            <w:r>
              <w:rPr>
                <w:rFonts w:hint="eastAsia" w:ascii="宋体" w:cs="宋体"/>
                <w:color w:val="auto"/>
                <w:szCs w:val="21"/>
                <w:highlight w:val="none"/>
              </w:rPr>
              <w:t>采购代理服务费支付方式</w:t>
            </w:r>
          </w:p>
        </w:tc>
        <w:tc>
          <w:tcPr>
            <w:tcW w:w="7297" w:type="dxa"/>
            <w:tcBorders>
              <w:top w:val="single" w:color="auto" w:sz="4" w:space="0"/>
              <w:left w:val="single" w:color="auto" w:sz="4" w:space="0"/>
              <w:bottom w:val="single" w:color="auto" w:sz="4" w:space="0"/>
              <w:right w:val="single" w:color="auto" w:sz="4" w:space="0"/>
            </w:tcBorders>
            <w:vAlign w:val="center"/>
          </w:tcPr>
          <w:p w14:paraId="03681CC1">
            <w:pPr>
              <w:pStyle w:val="14"/>
              <w:snapToGrid w:val="0"/>
              <w:spacing w:line="400" w:lineRule="exact"/>
              <w:rPr>
                <w:rFonts w:cs="宋体"/>
                <w:color w:val="auto"/>
                <w:szCs w:val="21"/>
                <w:highlight w:val="none"/>
              </w:rPr>
            </w:pPr>
            <w:r>
              <w:rPr>
                <w:rFonts w:hint="eastAsia" w:cs="宋体"/>
                <w:color w:val="auto"/>
                <w:szCs w:val="21"/>
                <w:highlight w:val="none"/>
              </w:rPr>
              <w:t>☑ 本项目采购代理服务费由</w:t>
            </w:r>
            <w:r>
              <w:rPr>
                <w:rFonts w:hint="eastAsia" w:cs="宋体"/>
                <w:color w:val="auto"/>
                <w:szCs w:val="21"/>
                <w:highlight w:val="none"/>
                <w:u w:val="single"/>
              </w:rPr>
              <w:t>中标人</w:t>
            </w:r>
            <w:r>
              <w:rPr>
                <w:rFonts w:hint="eastAsia" w:cs="宋体"/>
                <w:color w:val="auto"/>
                <w:szCs w:val="21"/>
                <w:highlight w:val="none"/>
              </w:rPr>
              <w:t>在签订合同前，以银行转账、电汇等方式一次性向采购代理机构支付。</w:t>
            </w:r>
          </w:p>
          <w:p w14:paraId="0F330AC0">
            <w:pPr>
              <w:pStyle w:val="14"/>
              <w:snapToGrid w:val="0"/>
              <w:spacing w:line="400" w:lineRule="exact"/>
              <w:rPr>
                <w:rFonts w:cs="宋体"/>
                <w:color w:val="auto"/>
                <w:szCs w:val="21"/>
                <w:highlight w:val="none"/>
                <w:u w:val="single"/>
              </w:rPr>
            </w:pPr>
            <w:r>
              <w:rPr>
                <w:rFonts w:hint="eastAsia" w:cs="宋体"/>
                <w:color w:val="auto"/>
                <w:szCs w:val="21"/>
                <w:highlight w:val="none"/>
              </w:rPr>
              <w:t>□采购人支付：</w:t>
            </w:r>
            <w:r>
              <w:rPr>
                <w:rFonts w:hint="eastAsia" w:cs="宋体"/>
                <w:i/>
                <w:iCs/>
                <w:color w:val="auto"/>
                <w:szCs w:val="21"/>
                <w:highlight w:val="none"/>
                <w:u w:val="single"/>
              </w:rPr>
              <w:t xml:space="preserve">          </w:t>
            </w:r>
          </w:p>
          <w:p w14:paraId="479F6797">
            <w:pPr>
              <w:pStyle w:val="14"/>
              <w:snapToGrid w:val="0"/>
              <w:spacing w:line="400" w:lineRule="exact"/>
              <w:rPr>
                <w:rFonts w:cs="宋体"/>
                <w:color w:val="auto"/>
                <w:szCs w:val="21"/>
                <w:highlight w:val="none"/>
              </w:rPr>
            </w:pPr>
            <w:r>
              <w:rPr>
                <w:rFonts w:hint="eastAsia" w:cs="宋体"/>
                <w:color w:val="auto"/>
                <w:szCs w:val="21"/>
                <w:highlight w:val="none"/>
              </w:rPr>
              <w:t>□本项目不收取采购代理服务费。</w:t>
            </w:r>
          </w:p>
        </w:tc>
      </w:tr>
      <w:tr w14:paraId="5CFD1C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1"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2D9683EF">
            <w:pPr>
              <w:rPr>
                <w:color w:val="auto"/>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6927E49E">
            <w:pPr>
              <w:spacing w:line="400" w:lineRule="exact"/>
              <w:rPr>
                <w:rFonts w:ascii="宋体" w:cs="宋体"/>
                <w:color w:val="auto"/>
                <w:szCs w:val="21"/>
                <w:highlight w:val="none"/>
              </w:rPr>
            </w:pPr>
            <w:r>
              <w:rPr>
                <w:rFonts w:hint="eastAsia" w:ascii="宋体" w:cs="宋体"/>
                <w:color w:val="auto"/>
                <w:szCs w:val="21"/>
                <w:highlight w:val="none"/>
              </w:rPr>
              <w:t>采购代理服务费收取标准</w:t>
            </w:r>
          </w:p>
        </w:tc>
        <w:tc>
          <w:tcPr>
            <w:tcW w:w="7297" w:type="dxa"/>
            <w:tcBorders>
              <w:top w:val="single" w:color="auto" w:sz="4" w:space="0"/>
              <w:left w:val="single" w:color="auto" w:sz="4" w:space="0"/>
              <w:bottom w:val="single" w:color="auto" w:sz="4" w:space="0"/>
              <w:right w:val="single" w:color="auto" w:sz="4" w:space="0"/>
            </w:tcBorders>
            <w:vAlign w:val="center"/>
          </w:tcPr>
          <w:p w14:paraId="4552B3AE">
            <w:pPr>
              <w:pStyle w:val="14"/>
              <w:snapToGrid w:val="0"/>
              <w:spacing w:line="400" w:lineRule="exact"/>
              <w:rPr>
                <w:rFonts w:cs="宋体"/>
                <w:color w:val="auto"/>
                <w:szCs w:val="21"/>
                <w:highlight w:val="none"/>
              </w:rPr>
            </w:pPr>
            <w:bookmarkStart w:id="103" w:name="PO_3000001867_PM025"/>
            <w:r>
              <w:rPr>
                <w:rFonts w:hint="eastAsia" w:cs="宋体"/>
                <w:color w:val="auto"/>
                <w:szCs w:val="21"/>
                <w:highlight w:val="none"/>
              </w:rPr>
              <w:t>☑ 以</w:t>
            </w:r>
            <w:r>
              <w:rPr>
                <w:rFonts w:hint="eastAsia" w:cs="宋体"/>
                <w:color w:val="auto"/>
                <w:kern w:val="0"/>
                <w:szCs w:val="21"/>
                <w:highlight w:val="none"/>
              </w:rPr>
              <w:t>项目</w:t>
            </w:r>
            <w:r>
              <w:rPr>
                <w:rFonts w:hint="eastAsia" w:cs="宋体"/>
                <w:color w:val="auto"/>
                <w:szCs w:val="21"/>
                <w:highlight w:val="none"/>
              </w:rPr>
              <w:t>（☑ 中标金额/□采购预算/□暂定中标金额/□其他</w:t>
            </w:r>
            <w:r>
              <w:rPr>
                <w:rFonts w:hint="eastAsia" w:cs="宋体"/>
                <w:color w:val="auto"/>
                <w:szCs w:val="21"/>
                <w:highlight w:val="none"/>
                <w:u w:val="single"/>
              </w:rPr>
              <w:t xml:space="preserve">   </w:t>
            </w:r>
            <w:r>
              <w:rPr>
                <w:rFonts w:hint="eastAsia" w:cs="宋体"/>
                <w:color w:val="auto"/>
                <w:szCs w:val="21"/>
                <w:highlight w:val="none"/>
              </w:rPr>
              <w:t>）为计费额，按本须知正文第40.2条规定的收费计算标准（</w:t>
            </w:r>
            <w:r>
              <w:rPr>
                <w:rFonts w:hint="eastAsia" w:cs="宋体"/>
                <w:b/>
                <w:bCs/>
                <w:color w:val="auto"/>
                <w:szCs w:val="21"/>
                <w:highlight w:val="none"/>
              </w:rPr>
              <w:t>货物类</w:t>
            </w:r>
            <w:r>
              <w:rPr>
                <w:rFonts w:hint="eastAsia" w:cs="宋体"/>
                <w:color w:val="auto"/>
                <w:szCs w:val="21"/>
                <w:highlight w:val="none"/>
              </w:rPr>
              <w:t>）采用差额定率累进法计算出收费基准价格，采购代理收费以（</w:t>
            </w:r>
            <w:r>
              <w:rPr>
                <w:rFonts w:hint="eastAsia" w:cs="宋体"/>
                <w:color w:val="auto"/>
                <w:szCs w:val="21"/>
                <w:highlight w:val="none"/>
                <w:lang w:eastAsia="zh-CN"/>
              </w:rPr>
              <w:t>□</w:t>
            </w:r>
            <w:r>
              <w:rPr>
                <w:rFonts w:hint="eastAsia" w:cs="宋体"/>
                <w:color w:val="auto"/>
                <w:szCs w:val="21"/>
                <w:highlight w:val="none"/>
              </w:rPr>
              <w:t xml:space="preserve"> 收费基准价格/</w:t>
            </w:r>
            <w:r>
              <w:rPr>
                <w:rFonts w:hint="eastAsia" w:cs="宋体"/>
                <w:color w:val="auto"/>
                <w:szCs w:val="21"/>
                <w:highlight w:val="none"/>
                <w:lang w:eastAsia="zh-CN"/>
              </w:rPr>
              <w:t>☑</w:t>
            </w:r>
            <w:r>
              <w:rPr>
                <w:rFonts w:hint="eastAsia" w:cs="宋体"/>
                <w:color w:val="auto"/>
                <w:szCs w:val="21"/>
                <w:highlight w:val="none"/>
              </w:rPr>
              <w:t>收费基准价格下浮</w:t>
            </w:r>
            <w:r>
              <w:rPr>
                <w:rFonts w:hint="eastAsia" w:cs="宋体"/>
                <w:color w:val="auto"/>
                <w:szCs w:val="21"/>
                <w:highlight w:val="none"/>
                <w:u w:val="single"/>
              </w:rPr>
              <w:t xml:space="preserve"> </w:t>
            </w:r>
            <w:r>
              <w:rPr>
                <w:rFonts w:hint="eastAsia" w:cs="宋体"/>
                <w:color w:val="auto"/>
                <w:szCs w:val="21"/>
                <w:highlight w:val="none"/>
                <w:u w:val="single"/>
                <w:lang w:val="en-US" w:eastAsia="zh-CN"/>
              </w:rPr>
              <w:t>20</w:t>
            </w:r>
            <w:r>
              <w:rPr>
                <w:rFonts w:hint="eastAsia" w:cs="宋体"/>
                <w:color w:val="auto"/>
                <w:szCs w:val="21"/>
                <w:highlight w:val="none"/>
                <w:u w:val="single"/>
              </w:rPr>
              <w:t xml:space="preserve"> %</w:t>
            </w:r>
            <w:r>
              <w:rPr>
                <w:rFonts w:hint="eastAsia" w:cs="宋体"/>
                <w:color w:val="auto"/>
                <w:szCs w:val="21"/>
                <w:highlight w:val="none"/>
              </w:rPr>
              <w:t>/□收费基准价格上浮</w:t>
            </w:r>
            <w:r>
              <w:rPr>
                <w:rFonts w:hint="eastAsia"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cs="宋体"/>
                <w:color w:val="auto"/>
                <w:szCs w:val="21"/>
                <w:highlight w:val="none"/>
                <w:u w:val="single"/>
              </w:rPr>
              <w:t xml:space="preserve">  %</w:t>
            </w:r>
            <w:r>
              <w:rPr>
                <w:rFonts w:hint="eastAsia" w:cs="宋体"/>
                <w:color w:val="auto"/>
                <w:szCs w:val="21"/>
                <w:highlight w:val="none"/>
              </w:rPr>
              <w:t>）收取。</w:t>
            </w:r>
          </w:p>
          <w:p w14:paraId="6098ED8F">
            <w:pPr>
              <w:pStyle w:val="14"/>
              <w:snapToGrid w:val="0"/>
              <w:spacing w:line="400" w:lineRule="exact"/>
              <w:rPr>
                <w:rFonts w:cs="宋体"/>
                <w:color w:val="auto"/>
                <w:szCs w:val="21"/>
                <w:highlight w:val="none"/>
                <w:u w:val="single"/>
              </w:rPr>
            </w:pPr>
            <w:r>
              <w:rPr>
                <w:rFonts w:hint="eastAsia" w:cs="宋体"/>
                <w:color w:val="auto"/>
                <w:szCs w:val="21"/>
                <w:highlight w:val="none"/>
              </w:rPr>
              <w:t>□固定采购代理收费：</w:t>
            </w:r>
            <w:r>
              <w:rPr>
                <w:rFonts w:hint="eastAsia" w:cs="宋体"/>
                <w:color w:val="auto"/>
                <w:szCs w:val="21"/>
                <w:highlight w:val="none"/>
                <w:u w:val="single"/>
              </w:rPr>
              <w:t xml:space="preserve">              。</w:t>
            </w:r>
            <w:bookmarkEnd w:id="103"/>
          </w:p>
        </w:tc>
      </w:tr>
      <w:tr w14:paraId="41D48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860" w:type="dxa"/>
            <w:vMerge w:val="continue"/>
            <w:tcBorders>
              <w:top w:val="single" w:color="auto" w:sz="4" w:space="0"/>
              <w:left w:val="single" w:color="auto" w:sz="4" w:space="0"/>
              <w:bottom w:val="single" w:color="auto" w:sz="4" w:space="0"/>
              <w:right w:val="single" w:color="auto" w:sz="4" w:space="0"/>
            </w:tcBorders>
            <w:vAlign w:val="center"/>
          </w:tcPr>
          <w:p w14:paraId="5977D701">
            <w:pPr>
              <w:rPr>
                <w:color w:val="auto"/>
                <w:highlight w:val="none"/>
              </w:rPr>
            </w:pPr>
          </w:p>
        </w:tc>
        <w:tc>
          <w:tcPr>
            <w:tcW w:w="2083" w:type="dxa"/>
            <w:tcBorders>
              <w:top w:val="single" w:color="auto" w:sz="4" w:space="0"/>
              <w:left w:val="single" w:color="auto" w:sz="4" w:space="0"/>
              <w:bottom w:val="single" w:color="auto" w:sz="4" w:space="0"/>
              <w:right w:val="single" w:color="auto" w:sz="4" w:space="0"/>
            </w:tcBorders>
            <w:vAlign w:val="center"/>
          </w:tcPr>
          <w:p w14:paraId="7610BBA7">
            <w:pPr>
              <w:spacing w:line="400" w:lineRule="exact"/>
              <w:rPr>
                <w:rFonts w:ascii="宋体" w:cs="宋体"/>
                <w:color w:val="auto"/>
                <w:szCs w:val="21"/>
                <w:highlight w:val="none"/>
              </w:rPr>
            </w:pPr>
            <w:r>
              <w:rPr>
                <w:rFonts w:hint="eastAsia" w:ascii="宋体" w:cs="宋体"/>
                <w:color w:val="auto"/>
                <w:szCs w:val="21"/>
                <w:highlight w:val="none"/>
              </w:rPr>
              <w:t>采购代理服务费收款账户信息</w:t>
            </w:r>
          </w:p>
        </w:tc>
        <w:tc>
          <w:tcPr>
            <w:tcW w:w="7297" w:type="dxa"/>
            <w:tcBorders>
              <w:top w:val="single" w:color="auto" w:sz="4" w:space="0"/>
              <w:left w:val="single" w:color="auto" w:sz="4" w:space="0"/>
              <w:bottom w:val="single" w:color="auto" w:sz="4" w:space="0"/>
              <w:right w:val="single" w:color="auto" w:sz="4" w:space="0"/>
            </w:tcBorders>
            <w:vAlign w:val="center"/>
          </w:tcPr>
          <w:p w14:paraId="2DB02E05">
            <w:pPr>
              <w:pStyle w:val="14"/>
              <w:snapToGrid w:val="0"/>
              <w:spacing w:line="400" w:lineRule="exact"/>
              <w:rPr>
                <w:rFonts w:cs="宋体"/>
                <w:color w:val="auto"/>
                <w:szCs w:val="21"/>
                <w:highlight w:val="none"/>
              </w:rPr>
            </w:pPr>
            <w:r>
              <w:rPr>
                <w:rFonts w:hint="eastAsia" w:cs="宋体"/>
                <w:color w:val="auto"/>
                <w:szCs w:val="21"/>
                <w:highlight w:val="none"/>
              </w:rPr>
              <w:t>开户名称：广西科联招标中心有限公司</w:t>
            </w:r>
          </w:p>
          <w:p w14:paraId="72FEA707">
            <w:pPr>
              <w:pStyle w:val="14"/>
              <w:snapToGrid w:val="0"/>
              <w:spacing w:line="400" w:lineRule="exact"/>
              <w:rPr>
                <w:rFonts w:cs="宋体"/>
                <w:color w:val="auto"/>
                <w:szCs w:val="21"/>
                <w:highlight w:val="none"/>
              </w:rPr>
            </w:pPr>
            <w:r>
              <w:rPr>
                <w:rFonts w:hint="eastAsia" w:cs="宋体"/>
                <w:color w:val="auto"/>
                <w:szCs w:val="21"/>
                <w:highlight w:val="none"/>
              </w:rPr>
              <w:t>开户银行：中国工商银行南宁市高新科技支行</w:t>
            </w:r>
          </w:p>
          <w:p w14:paraId="1E989B0D">
            <w:pPr>
              <w:pStyle w:val="14"/>
              <w:snapToGrid w:val="0"/>
              <w:spacing w:line="400" w:lineRule="exact"/>
              <w:rPr>
                <w:rFonts w:cs="宋体"/>
                <w:color w:val="auto"/>
                <w:szCs w:val="21"/>
                <w:highlight w:val="none"/>
              </w:rPr>
            </w:pPr>
            <w:r>
              <w:rPr>
                <w:rFonts w:hint="eastAsia" w:cs="宋体"/>
                <w:color w:val="auto"/>
                <w:szCs w:val="21"/>
                <w:highlight w:val="none"/>
              </w:rPr>
              <w:t>银行账号：2102111229300032105</w:t>
            </w:r>
          </w:p>
          <w:p w14:paraId="007A7612">
            <w:pPr>
              <w:pStyle w:val="14"/>
              <w:snapToGrid w:val="0"/>
              <w:spacing w:line="400" w:lineRule="exact"/>
              <w:rPr>
                <w:rFonts w:cs="宋体"/>
                <w:color w:val="auto"/>
                <w:szCs w:val="21"/>
                <w:highlight w:val="none"/>
              </w:rPr>
            </w:pPr>
            <w:r>
              <w:rPr>
                <w:rFonts w:hint="eastAsia" w:cs="宋体"/>
                <w:color w:val="auto"/>
                <w:szCs w:val="21"/>
                <w:highlight w:val="none"/>
              </w:rPr>
              <w:t>开户行行号：102611011101</w:t>
            </w:r>
          </w:p>
        </w:tc>
      </w:tr>
      <w:tr w14:paraId="440804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75051418">
            <w:pPr>
              <w:snapToGrid w:val="0"/>
              <w:spacing w:line="400" w:lineRule="exact"/>
              <w:jc w:val="center"/>
              <w:rPr>
                <w:rFonts w:ascii="宋体" w:cs="宋体"/>
                <w:color w:val="auto"/>
                <w:szCs w:val="21"/>
                <w:highlight w:val="none"/>
              </w:rPr>
            </w:pPr>
            <w:r>
              <w:rPr>
                <w:rFonts w:hint="eastAsia" w:ascii="宋体" w:cs="宋体"/>
                <w:color w:val="auto"/>
                <w:szCs w:val="21"/>
                <w:highlight w:val="none"/>
              </w:rPr>
              <w:t>41.1</w:t>
            </w:r>
          </w:p>
        </w:tc>
        <w:tc>
          <w:tcPr>
            <w:tcW w:w="2083" w:type="dxa"/>
            <w:tcBorders>
              <w:top w:val="single" w:color="auto" w:sz="4" w:space="0"/>
              <w:left w:val="single" w:color="auto" w:sz="4" w:space="0"/>
              <w:bottom w:val="single" w:color="auto" w:sz="4" w:space="0"/>
              <w:right w:val="single" w:color="auto" w:sz="4" w:space="0"/>
            </w:tcBorders>
            <w:vAlign w:val="center"/>
          </w:tcPr>
          <w:p w14:paraId="5A2C7962">
            <w:pPr>
              <w:snapToGrid w:val="0"/>
              <w:spacing w:line="400" w:lineRule="exact"/>
              <w:rPr>
                <w:rFonts w:ascii="宋体" w:cs="宋体"/>
                <w:color w:val="auto"/>
                <w:szCs w:val="21"/>
                <w:highlight w:val="none"/>
              </w:rPr>
            </w:pPr>
            <w:r>
              <w:rPr>
                <w:rFonts w:hint="eastAsia" w:ascii="宋体" w:cs="宋体"/>
                <w:color w:val="auto"/>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vAlign w:val="center"/>
          </w:tcPr>
          <w:p w14:paraId="50EE101E">
            <w:pPr>
              <w:snapToGrid w:val="0"/>
              <w:spacing w:line="400" w:lineRule="exact"/>
              <w:rPr>
                <w:rFonts w:ascii="宋体" w:cs="宋体"/>
                <w:b/>
                <w:color w:val="auto"/>
                <w:szCs w:val="21"/>
                <w:highlight w:val="none"/>
              </w:rPr>
            </w:pPr>
            <w:r>
              <w:rPr>
                <w:rFonts w:hint="eastAsia" w:ascii="宋体" w:cs="宋体"/>
                <w:b/>
                <w:color w:val="auto"/>
                <w:szCs w:val="21"/>
                <w:highlight w:val="none"/>
              </w:rPr>
              <w:t>解释：</w:t>
            </w:r>
            <w:r>
              <w:rPr>
                <w:rFonts w:hint="eastAsia" w:ascii="宋体" w:cs="宋体"/>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和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cs="宋体"/>
                <w:b/>
                <w:color w:val="auto"/>
                <w:szCs w:val="21"/>
                <w:highlight w:val="none"/>
              </w:rPr>
              <w:t>，由采购人或者采购代理机构负责解释。</w:t>
            </w:r>
          </w:p>
          <w:p w14:paraId="7F3FD20A">
            <w:pPr>
              <w:snapToGrid w:val="0"/>
              <w:spacing w:line="400" w:lineRule="exact"/>
              <w:rPr>
                <w:rFonts w:ascii="宋体" w:cs="宋体"/>
                <w:b/>
                <w:color w:val="auto"/>
                <w:szCs w:val="21"/>
                <w:highlight w:val="none"/>
              </w:rPr>
            </w:pPr>
            <w:r>
              <w:rPr>
                <w:rFonts w:hint="eastAsia" w:ascii="宋体" w:cs="宋体"/>
                <w:b/>
                <w:color w:val="auto"/>
                <w:szCs w:val="21"/>
                <w:highlight w:val="none"/>
              </w:rPr>
              <w:t>法律责任：</w:t>
            </w:r>
          </w:p>
          <w:p w14:paraId="3F074348">
            <w:pPr>
              <w:snapToGrid w:val="0"/>
              <w:spacing w:line="400" w:lineRule="exact"/>
              <w:rPr>
                <w:rFonts w:ascii="宋体" w:cs="宋体"/>
                <w:color w:val="auto"/>
                <w:szCs w:val="21"/>
                <w:highlight w:val="none"/>
              </w:rPr>
            </w:pPr>
            <w:r>
              <w:rPr>
                <w:rFonts w:hint="eastAsia" w:ascii="宋体" w:cs="宋体"/>
                <w:color w:val="auto"/>
                <w:szCs w:val="21"/>
                <w:highlight w:val="none"/>
              </w:rPr>
              <w:t>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tc>
      </w:tr>
      <w:tr w14:paraId="14F175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vAlign w:val="center"/>
          </w:tcPr>
          <w:p w14:paraId="7A6AF588">
            <w:pPr>
              <w:snapToGrid w:val="0"/>
              <w:spacing w:line="400" w:lineRule="exact"/>
              <w:jc w:val="center"/>
              <w:rPr>
                <w:rFonts w:ascii="宋体" w:cs="宋体"/>
                <w:color w:val="auto"/>
                <w:szCs w:val="21"/>
                <w:highlight w:val="none"/>
              </w:rPr>
            </w:pPr>
            <w:r>
              <w:rPr>
                <w:rFonts w:hint="eastAsia" w:ascii="宋体" w:cs="宋体"/>
                <w:color w:val="auto"/>
                <w:szCs w:val="21"/>
                <w:highlight w:val="none"/>
              </w:rPr>
              <w:t>41.2</w:t>
            </w:r>
          </w:p>
        </w:tc>
        <w:tc>
          <w:tcPr>
            <w:tcW w:w="2083" w:type="dxa"/>
            <w:tcBorders>
              <w:top w:val="single" w:color="auto" w:sz="4" w:space="0"/>
              <w:left w:val="single" w:color="auto" w:sz="4" w:space="0"/>
              <w:bottom w:val="single" w:color="auto" w:sz="4" w:space="0"/>
              <w:right w:val="single" w:color="auto" w:sz="4" w:space="0"/>
            </w:tcBorders>
            <w:vAlign w:val="center"/>
          </w:tcPr>
          <w:p w14:paraId="1597067C">
            <w:pPr>
              <w:snapToGrid w:val="0"/>
              <w:spacing w:line="400" w:lineRule="exact"/>
              <w:rPr>
                <w:rFonts w:ascii="宋体" w:cs="宋体"/>
                <w:color w:val="auto"/>
                <w:szCs w:val="21"/>
                <w:highlight w:val="none"/>
              </w:rPr>
            </w:pPr>
            <w:r>
              <w:rPr>
                <w:rFonts w:hint="eastAsia" w:ascii="宋体" w:cs="宋体"/>
                <w:color w:val="auto"/>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vAlign w:val="center"/>
          </w:tcPr>
          <w:p w14:paraId="72E94E88">
            <w:pPr>
              <w:pStyle w:val="9"/>
              <w:spacing w:line="400" w:lineRule="exact"/>
              <w:ind w:firstLine="420" w:firstLineChars="200"/>
              <w:rPr>
                <w:rFonts w:ascii="宋体" w:cs="宋体"/>
                <w:color w:val="auto"/>
                <w:szCs w:val="21"/>
                <w:highlight w:val="none"/>
              </w:rPr>
            </w:pPr>
            <w:r>
              <w:rPr>
                <w:rFonts w:hint="eastAsia" w:ascii="宋体" w:cs="宋体"/>
                <w:color w:val="auto"/>
                <w:szCs w:val="21"/>
                <w:highlight w:val="none"/>
              </w:rPr>
              <w:t>1、本招标文件中描述投标人的“公章”是指根据我国对公章的管理规定，用投标人法定主体行为名称制作的实物印章或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35392DD5">
            <w:pPr>
              <w:pStyle w:val="9"/>
              <w:spacing w:line="400" w:lineRule="exact"/>
              <w:ind w:firstLine="420" w:firstLineChars="200"/>
              <w:rPr>
                <w:rFonts w:ascii="宋体" w:cs="宋体"/>
                <w:color w:val="auto"/>
                <w:szCs w:val="21"/>
                <w:highlight w:val="none"/>
              </w:rPr>
            </w:pPr>
            <w:r>
              <w:rPr>
                <w:rFonts w:hint="eastAsia" w:ascii="宋体" w:cs="宋体"/>
                <w:color w:val="auto"/>
                <w:szCs w:val="21"/>
                <w:highlight w:val="none"/>
              </w:rPr>
              <w:t>2、本招标文件中描述投标人的“签字”是指投标人通过指定电子化政府采购平台办理数字证书（CA认证）获得的以投标人法定代表人或者委托代理人姓名制作的电子印章或手写签字。</w:t>
            </w:r>
          </w:p>
          <w:p w14:paraId="1A8A67BD">
            <w:pPr>
              <w:pStyle w:val="9"/>
              <w:tabs>
                <w:tab w:val="center" w:pos="4153"/>
                <w:tab w:val="right" w:pos="8306"/>
              </w:tabs>
              <w:spacing w:line="400" w:lineRule="exact"/>
              <w:ind w:firstLine="420" w:firstLineChars="200"/>
              <w:rPr>
                <w:rFonts w:ascii="宋体" w:cs="宋体"/>
                <w:color w:val="auto"/>
                <w:szCs w:val="21"/>
                <w:highlight w:val="none"/>
              </w:rPr>
            </w:pPr>
            <w:r>
              <w:rPr>
                <w:rFonts w:hint="eastAsia" w:ascii="宋体" w:cs="宋体"/>
                <w:color w:val="auto"/>
                <w:szCs w:val="21"/>
                <w:highlight w:val="none"/>
              </w:rPr>
              <w:t>3、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14:paraId="41F32E1C">
            <w:pPr>
              <w:pStyle w:val="9"/>
              <w:spacing w:line="400" w:lineRule="exact"/>
              <w:ind w:firstLine="420" w:firstLineChars="200"/>
              <w:rPr>
                <w:rFonts w:ascii="宋体" w:cs="宋体"/>
                <w:color w:val="auto"/>
                <w:szCs w:val="21"/>
                <w:highlight w:val="none"/>
              </w:rPr>
            </w:pPr>
            <w:r>
              <w:rPr>
                <w:rFonts w:hint="eastAsia" w:ascii="宋体" w:cs="宋体"/>
                <w:color w:val="auto"/>
                <w:szCs w:val="21"/>
                <w:highlight w:val="none"/>
              </w:rPr>
              <w:t>4、投标人为其他组织或者自然人时，本招标文件规定的法定代表人指负责人或者自然人。本招标文件所称负责人是指参加投标的其他组织营业执照上的负责人，本招标文件所称自然人指参与投标的自然人本人。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3C7852AD">
            <w:pPr>
              <w:pStyle w:val="9"/>
              <w:spacing w:line="400" w:lineRule="exact"/>
              <w:ind w:firstLine="420" w:firstLineChars="200"/>
              <w:rPr>
                <w:rFonts w:ascii="宋体" w:cs="宋体"/>
                <w:color w:val="auto"/>
                <w:szCs w:val="21"/>
                <w:highlight w:val="none"/>
              </w:rPr>
            </w:pPr>
            <w:r>
              <w:rPr>
                <w:rFonts w:hint="eastAsia" w:ascii="宋体" w:cs="宋体"/>
                <w:color w:val="auto"/>
                <w:szCs w:val="21"/>
                <w:highlight w:val="none"/>
              </w:rPr>
              <w:t>5、自然人投标的，招标文件规定盖公章处由自然人摁手指指印。</w:t>
            </w:r>
          </w:p>
          <w:p w14:paraId="2E7389AF">
            <w:pPr>
              <w:pStyle w:val="9"/>
              <w:spacing w:line="400" w:lineRule="exact"/>
              <w:rPr>
                <w:rFonts w:ascii="宋体" w:cs="宋体"/>
                <w:color w:val="auto"/>
                <w:szCs w:val="21"/>
                <w:highlight w:val="none"/>
              </w:rPr>
            </w:pPr>
            <w:r>
              <w:rPr>
                <w:rFonts w:hint="eastAsia" w:ascii="宋体" w:cs="宋体"/>
                <w:color w:val="auto"/>
                <w:szCs w:val="21"/>
                <w:highlight w:val="none"/>
              </w:rPr>
              <w:t xml:space="preserve">    6、本招标文件所称的“以上”“以下”“以内”“届满”，包括本数；所称的“不满”“超过”“以外”，不包括本数。</w:t>
            </w:r>
          </w:p>
        </w:tc>
      </w:tr>
    </w:tbl>
    <w:p w14:paraId="6D69A92A">
      <w:pPr>
        <w:widowControl/>
        <w:spacing w:line="413" w:lineRule="auto"/>
        <w:jc w:val="left"/>
        <w:rPr>
          <w:rFonts w:ascii="宋体" w:cs="宋体"/>
          <w:b/>
          <w:bCs/>
          <w:color w:val="auto"/>
          <w:sz w:val="32"/>
          <w:szCs w:val="32"/>
          <w:highlight w:val="none"/>
        </w:rPr>
        <w:sectPr>
          <w:footerReference r:id="rId3" w:type="default"/>
          <w:pgSz w:w="11906" w:h="16838"/>
          <w:pgMar w:top="1134" w:right="1134" w:bottom="1134" w:left="1134" w:header="720" w:footer="720" w:gutter="0"/>
          <w:pgNumType w:start="0"/>
          <w:cols w:space="720" w:num="1"/>
          <w:docGrid w:type="lines" w:linePitch="331" w:charSpace="0"/>
        </w:sectPr>
      </w:pPr>
    </w:p>
    <w:p w14:paraId="40087C30">
      <w:pPr>
        <w:pStyle w:val="3"/>
        <w:jc w:val="center"/>
        <w:rPr>
          <w:rFonts w:ascii="宋体" w:eastAsia="宋体" w:cs="宋体"/>
          <w:color w:val="auto"/>
          <w:highlight w:val="none"/>
        </w:rPr>
      </w:pPr>
      <w:bookmarkStart w:id="104" w:name="_Toc29181"/>
      <w:bookmarkStart w:id="105" w:name="_Toc21704"/>
      <w:bookmarkStart w:id="106" w:name="_Toc32224"/>
      <w:bookmarkStart w:id="107" w:name="_Toc9224"/>
      <w:bookmarkStart w:id="108" w:name="_Toc21899"/>
      <w:r>
        <w:rPr>
          <w:rFonts w:hint="eastAsia" w:ascii="宋体" w:eastAsia="宋体" w:cs="宋体"/>
          <w:color w:val="auto"/>
          <w:highlight w:val="none"/>
        </w:rPr>
        <w:t>第二节 投标人须知正文</w:t>
      </w:r>
      <w:bookmarkEnd w:id="104"/>
      <w:bookmarkEnd w:id="105"/>
      <w:bookmarkEnd w:id="106"/>
      <w:bookmarkEnd w:id="107"/>
      <w:bookmarkEnd w:id="108"/>
    </w:p>
    <w:p w14:paraId="234D801C">
      <w:pPr>
        <w:pStyle w:val="4"/>
        <w:rPr>
          <w:color w:val="auto"/>
          <w:highlight w:val="none"/>
        </w:rPr>
      </w:pPr>
      <w:bookmarkStart w:id="109" w:name="_Toc7223"/>
      <w:bookmarkStart w:id="110" w:name="_Toc2156"/>
      <w:bookmarkStart w:id="111" w:name="_Toc5656"/>
      <w:bookmarkStart w:id="112" w:name="_Toc9192"/>
      <w:bookmarkStart w:id="113" w:name="_Toc13703"/>
      <w:r>
        <w:rPr>
          <w:rFonts w:hint="eastAsia"/>
          <w:color w:val="auto"/>
          <w:highlight w:val="none"/>
        </w:rPr>
        <w:t>一、总  则</w:t>
      </w:r>
      <w:bookmarkEnd w:id="109"/>
      <w:bookmarkEnd w:id="110"/>
      <w:bookmarkEnd w:id="111"/>
      <w:bookmarkEnd w:id="112"/>
      <w:bookmarkEnd w:id="113"/>
    </w:p>
    <w:p w14:paraId="5D5A599E">
      <w:pPr>
        <w:spacing w:line="360" w:lineRule="auto"/>
        <w:ind w:firstLine="480" w:firstLineChars="200"/>
        <w:rPr>
          <w:rFonts w:ascii="宋体" w:cs="宋体"/>
          <w:color w:val="auto"/>
          <w:sz w:val="24"/>
          <w:highlight w:val="none"/>
        </w:rPr>
      </w:pPr>
      <w:bookmarkStart w:id="114" w:name="_Toc254970668"/>
      <w:bookmarkStart w:id="115" w:name="_Toc254970527"/>
      <w:r>
        <w:rPr>
          <w:rFonts w:hint="eastAsia" w:ascii="宋体" w:cs="宋体"/>
          <w:color w:val="auto"/>
          <w:sz w:val="24"/>
          <w:highlight w:val="none"/>
        </w:rPr>
        <w:t>1.适用范围</w:t>
      </w:r>
      <w:bookmarkEnd w:id="114"/>
      <w:bookmarkEnd w:id="115"/>
    </w:p>
    <w:p w14:paraId="67F36A8B">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1.1适用法律：本项目采购人、采购代理机构、投标人、评标委员会的相关行为均受《中华人民共和国政府采购法》、《中华人民共和国政府采购法实施条例》、《</w:t>
      </w:r>
      <w:r>
        <w:rPr>
          <w:rFonts w:ascii="宋体" w:cs="宋体"/>
          <w:color w:val="auto"/>
          <w:kern w:val="0"/>
          <w:szCs w:val="21"/>
          <w:highlight w:val="none"/>
        </w:rPr>
        <w:t>政府采购货物和服务招标投标管理办法</w:t>
      </w:r>
      <w:r>
        <w:rPr>
          <w:rFonts w:hint="eastAsia" w:ascii="宋体" w:cs="宋体"/>
          <w:color w:val="auto"/>
          <w:szCs w:val="21"/>
          <w:highlight w:val="none"/>
        </w:rPr>
        <w:t>》及本项目本级和上级财政部门政府采购有关规定的约束和保护。</w:t>
      </w:r>
    </w:p>
    <w:p w14:paraId="61DF45D9">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1.2本招标文件</w:t>
      </w:r>
      <w:r>
        <w:rPr>
          <w:rFonts w:hint="eastAsia" w:ascii="宋体" w:cs="宋体"/>
          <w:color w:val="auto"/>
          <w:spacing w:val="-6"/>
          <w:szCs w:val="21"/>
          <w:highlight w:val="none"/>
        </w:rPr>
        <w:t>适用于本项目的所有采购程序和环节（法律、法规另有规定的，从其规定）。</w:t>
      </w:r>
    </w:p>
    <w:p w14:paraId="7EEEE049">
      <w:pPr>
        <w:spacing w:line="360" w:lineRule="auto"/>
        <w:ind w:firstLine="480" w:firstLineChars="200"/>
        <w:rPr>
          <w:rFonts w:ascii="宋体" w:cs="宋体"/>
          <w:color w:val="auto"/>
          <w:sz w:val="24"/>
          <w:highlight w:val="none"/>
        </w:rPr>
      </w:pPr>
      <w:bookmarkStart w:id="116" w:name="_Toc254970528"/>
      <w:bookmarkStart w:id="117" w:name="_Toc254970669"/>
      <w:r>
        <w:rPr>
          <w:rFonts w:hint="eastAsia" w:ascii="宋体" w:cs="宋体"/>
          <w:color w:val="auto"/>
          <w:sz w:val="24"/>
          <w:highlight w:val="none"/>
        </w:rPr>
        <w:t>2.定义</w:t>
      </w:r>
      <w:bookmarkEnd w:id="116"/>
      <w:bookmarkEnd w:id="117"/>
    </w:p>
    <w:p w14:paraId="2C8EA518">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2.1“采购人”是指依法进行政府采购的国家机关、事业单位、团体组织。</w:t>
      </w:r>
    </w:p>
    <w:p w14:paraId="34136397">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2.2“采购代理机构” 指政府采购集中采购机构和集中采购机构以外的采购代理机构。</w:t>
      </w:r>
    </w:p>
    <w:p w14:paraId="1BFC30B0">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2.3“供应商”是指向采购人提供货物、工程或者服务的法人、其他组织或者自然人。</w:t>
      </w:r>
    </w:p>
    <w:p w14:paraId="1F8E69C2">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2.4“投标人”是指响应招标、参加投标竞争的法人、非法人组织或者自然人。</w:t>
      </w:r>
    </w:p>
    <w:p w14:paraId="38FE1BF6">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2.5“货物”是指各种形态和种类的物品，包括原材料、燃料、设备、产品等。</w:t>
      </w:r>
    </w:p>
    <w:p w14:paraId="39DBE0D2">
      <w:pPr>
        <w:pStyle w:val="5"/>
        <w:keepNext w:val="0"/>
        <w:keepLines w:val="0"/>
        <w:spacing w:before="0" w:after="0" w:line="360" w:lineRule="auto"/>
        <w:ind w:firstLine="420" w:firstLineChars="200"/>
        <w:rPr>
          <w:rFonts w:ascii="宋体" w:cs="宋体"/>
          <w:b w:val="0"/>
          <w:color w:val="auto"/>
          <w:sz w:val="21"/>
          <w:szCs w:val="21"/>
          <w:highlight w:val="none"/>
        </w:rPr>
      </w:pPr>
      <w:r>
        <w:rPr>
          <w:rFonts w:hint="eastAsia" w:ascii="宋体" w:cs="宋体"/>
          <w:b w:val="0"/>
          <w:color w:val="auto"/>
          <w:sz w:val="21"/>
          <w:szCs w:val="21"/>
          <w:highlight w:val="none"/>
        </w:rPr>
        <w:t>2.6“售后服务” 是指商品出售以后所提供的各种服务，包含但不限于投标人须承担的备品备件、包装、运输、装卸、保险、货到就位以及安装、调试、培训、保修以及其他各种服务。</w:t>
      </w:r>
    </w:p>
    <w:p w14:paraId="42C5B821">
      <w:pPr>
        <w:pStyle w:val="5"/>
        <w:keepNext w:val="0"/>
        <w:keepLines w:val="0"/>
        <w:spacing w:before="0" w:after="0" w:line="360" w:lineRule="auto"/>
        <w:rPr>
          <w:rFonts w:ascii="宋体" w:cs="宋体"/>
          <w:b w:val="0"/>
          <w:color w:val="auto"/>
          <w:sz w:val="21"/>
          <w:szCs w:val="21"/>
          <w:highlight w:val="none"/>
        </w:rPr>
      </w:pPr>
      <w:r>
        <w:rPr>
          <w:rFonts w:hint="eastAsia" w:ascii="宋体" w:cs="宋体"/>
          <w:b w:val="0"/>
          <w:color w:val="auto"/>
          <w:sz w:val="21"/>
          <w:szCs w:val="21"/>
          <w:highlight w:val="none"/>
        </w:rPr>
        <w:t xml:space="preserve">    2.7“书面形式”是指合同书、信件和数据电文（包括电报、电传、传真、电子数据交换和电子邮件）等可以有形地表现所载内容的形式。</w:t>
      </w:r>
    </w:p>
    <w:p w14:paraId="66AA8E75">
      <w:pPr>
        <w:pStyle w:val="5"/>
        <w:keepNext w:val="0"/>
        <w:keepLines w:val="0"/>
        <w:spacing w:before="0" w:after="0" w:line="360" w:lineRule="auto"/>
        <w:ind w:firstLine="420" w:firstLineChars="200"/>
        <w:rPr>
          <w:rFonts w:ascii="宋体" w:cs="宋体"/>
          <w:b w:val="0"/>
          <w:color w:val="auto"/>
          <w:sz w:val="21"/>
          <w:szCs w:val="21"/>
          <w:highlight w:val="none"/>
        </w:rPr>
      </w:pPr>
      <w:r>
        <w:rPr>
          <w:rFonts w:hint="eastAsia" w:ascii="宋体" w:cs="宋体"/>
          <w:b w:val="0"/>
          <w:color w:val="auto"/>
          <w:sz w:val="21"/>
          <w:szCs w:val="21"/>
          <w:highlight w:val="none"/>
        </w:rPr>
        <w:t>2.8“实质性要求”详见“投标人须知前附表”。</w:t>
      </w:r>
    </w:p>
    <w:p w14:paraId="35DAE43A">
      <w:pPr>
        <w:snapToGrid w:val="0"/>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2.9 “正偏离”是指投标文件对招标文件“采购需求”中有关条款作出的响应优于条款要求并有利于采购人的情形。</w:t>
      </w:r>
    </w:p>
    <w:p w14:paraId="33190492">
      <w:pPr>
        <w:snapToGrid w:val="0"/>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2.10“负偏离”是指投标文件对招标文件“采购需求”中有关条款作出的响应不满足条款要求，导致采购人要求不能得到满足的情形。</w:t>
      </w:r>
    </w:p>
    <w:p w14:paraId="0B975883">
      <w:pPr>
        <w:snapToGrid w:val="0"/>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2.11“允许负偏离的条款”是指采购需求中的不属于“实质性要求”的条款。</w:t>
      </w:r>
    </w:p>
    <w:p w14:paraId="7C9D6302">
      <w:pPr>
        <w:spacing w:line="360" w:lineRule="auto"/>
        <w:ind w:firstLine="480" w:firstLineChars="200"/>
        <w:rPr>
          <w:rFonts w:ascii="宋体" w:cs="宋体"/>
          <w:color w:val="auto"/>
          <w:sz w:val="24"/>
          <w:highlight w:val="none"/>
        </w:rPr>
      </w:pPr>
      <w:bookmarkStart w:id="118" w:name="_Toc254970670"/>
      <w:bookmarkStart w:id="119" w:name="_Toc254970529"/>
      <w:r>
        <w:rPr>
          <w:rFonts w:hint="eastAsia" w:ascii="宋体" w:cs="宋体"/>
          <w:color w:val="auto"/>
          <w:sz w:val="24"/>
          <w:highlight w:val="none"/>
        </w:rPr>
        <w:t>3.</w:t>
      </w:r>
      <w:bookmarkEnd w:id="118"/>
      <w:bookmarkEnd w:id="119"/>
      <w:r>
        <w:rPr>
          <w:rFonts w:hint="eastAsia" w:ascii="宋体" w:cs="宋体"/>
          <w:color w:val="auto"/>
          <w:sz w:val="24"/>
          <w:highlight w:val="none"/>
        </w:rPr>
        <w:t>投标人的资格要求</w:t>
      </w:r>
    </w:p>
    <w:p w14:paraId="2A0450B1">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投标人的资格要求详见“招标公告”。</w:t>
      </w:r>
    </w:p>
    <w:p w14:paraId="6F39DB1E">
      <w:pPr>
        <w:spacing w:line="360" w:lineRule="auto"/>
        <w:ind w:firstLine="480" w:firstLineChars="200"/>
        <w:rPr>
          <w:rFonts w:ascii="宋体" w:cs="宋体"/>
          <w:color w:val="auto"/>
          <w:sz w:val="24"/>
          <w:highlight w:val="none"/>
        </w:rPr>
      </w:pPr>
      <w:bookmarkStart w:id="120" w:name="_Toc254970671"/>
      <w:bookmarkStart w:id="121" w:name="_Toc254970530"/>
      <w:r>
        <w:rPr>
          <w:rFonts w:hint="eastAsia" w:ascii="宋体" w:cs="宋体"/>
          <w:color w:val="auto"/>
          <w:sz w:val="24"/>
          <w:highlight w:val="none"/>
        </w:rPr>
        <w:t>4.投标委托</w:t>
      </w:r>
      <w:bookmarkEnd w:id="120"/>
      <w:bookmarkEnd w:id="121"/>
    </w:p>
    <w:p w14:paraId="40801813">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投标人代表参加投标活动过程中必须携带个人有效身份证件。如投标人代表不是法定代表人，须持有法定代表人授权委托书（按第六章要求格式填写）。</w:t>
      </w:r>
    </w:p>
    <w:p w14:paraId="652ACA7C">
      <w:pPr>
        <w:spacing w:line="360" w:lineRule="auto"/>
        <w:ind w:firstLine="480" w:firstLineChars="200"/>
        <w:rPr>
          <w:rFonts w:ascii="宋体" w:cs="宋体"/>
          <w:color w:val="auto"/>
          <w:sz w:val="24"/>
          <w:highlight w:val="none"/>
        </w:rPr>
      </w:pPr>
      <w:bookmarkStart w:id="122" w:name="_5.投标费用"/>
      <w:bookmarkEnd w:id="122"/>
      <w:bookmarkStart w:id="123" w:name="_Toc254970531"/>
      <w:bookmarkStart w:id="124" w:name="_Toc254970672"/>
      <w:r>
        <w:rPr>
          <w:rFonts w:hint="eastAsia" w:ascii="宋体" w:cs="宋体"/>
          <w:color w:val="auto"/>
          <w:sz w:val="24"/>
          <w:highlight w:val="none"/>
        </w:rPr>
        <w:t>5.投标费用</w:t>
      </w:r>
      <w:bookmarkEnd w:id="123"/>
      <w:bookmarkEnd w:id="124"/>
    </w:p>
    <w:p w14:paraId="02C0AF76">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54AA1885">
      <w:pPr>
        <w:spacing w:line="360" w:lineRule="auto"/>
        <w:ind w:firstLine="480" w:firstLineChars="200"/>
        <w:rPr>
          <w:rFonts w:ascii="宋体" w:cs="宋体"/>
          <w:color w:val="auto"/>
          <w:sz w:val="24"/>
          <w:highlight w:val="none"/>
        </w:rPr>
      </w:pPr>
      <w:r>
        <w:rPr>
          <w:rFonts w:hint="eastAsia" w:ascii="宋体" w:cs="宋体"/>
          <w:color w:val="auto"/>
          <w:sz w:val="24"/>
          <w:highlight w:val="none"/>
        </w:rPr>
        <w:t>6.联合体投标</w:t>
      </w:r>
    </w:p>
    <w:p w14:paraId="24AFF9E1">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6.1本项目是否接受联合体投标，详见“投标人须知前附表”。</w:t>
      </w:r>
    </w:p>
    <w:p w14:paraId="78DBE50C">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6.2如接受联合体投标，联合体投标要求详见“投标人须知前附表”。</w:t>
      </w:r>
    </w:p>
    <w:p w14:paraId="2AC2BD4A">
      <w:pPr>
        <w:spacing w:line="360" w:lineRule="auto"/>
        <w:ind w:firstLine="480" w:firstLineChars="200"/>
        <w:rPr>
          <w:rFonts w:ascii="宋体" w:cs="宋体"/>
          <w:color w:val="auto"/>
          <w:sz w:val="24"/>
          <w:highlight w:val="none"/>
        </w:rPr>
      </w:pPr>
      <w:r>
        <w:rPr>
          <w:rFonts w:hint="eastAsia" w:ascii="宋体" w:cs="宋体"/>
          <w:color w:val="auto"/>
          <w:sz w:val="24"/>
          <w:highlight w:val="none"/>
        </w:rPr>
        <w:t xml:space="preserve">7.转包与分包             </w:t>
      </w:r>
    </w:p>
    <w:p w14:paraId="47BCB2D9">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7.1 本项目不允许转包。</w:t>
      </w:r>
    </w:p>
    <w:p w14:paraId="7F73F577">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7.2本项目是否允许分包详见“投标人须知前附表”，本项目不允许违法分包。</w:t>
      </w:r>
    </w:p>
    <w:p w14:paraId="17269CC1">
      <w:pPr>
        <w:spacing w:line="360" w:lineRule="auto"/>
        <w:ind w:firstLine="480" w:firstLineChars="200"/>
        <w:rPr>
          <w:rFonts w:ascii="宋体" w:cs="宋体"/>
          <w:color w:val="auto"/>
          <w:sz w:val="24"/>
          <w:highlight w:val="none"/>
        </w:rPr>
      </w:pPr>
      <w:bookmarkStart w:id="125" w:name="_Toc254970532"/>
      <w:bookmarkStart w:id="126" w:name="_Toc254970673"/>
      <w:r>
        <w:rPr>
          <w:rFonts w:hint="eastAsia" w:ascii="宋体" w:cs="宋体"/>
          <w:color w:val="auto"/>
          <w:sz w:val="24"/>
          <w:highlight w:val="none"/>
        </w:rPr>
        <w:t>8.特别说明：</w:t>
      </w:r>
      <w:bookmarkEnd w:id="125"/>
      <w:bookmarkEnd w:id="126"/>
      <w:bookmarkStart w:id="127" w:name="_8.1提供相同品牌产品且通过资格审查、符合性审查的不同投标人参加同一合"/>
      <w:bookmarkEnd w:id="127"/>
    </w:p>
    <w:p w14:paraId="0C494680">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8.1如果本招标文件要求投标人提供资格、信誉、荣誉、业绩与企业认证等材料的，则投标人所提供的以上材料必须为该投标人所拥有。</w:t>
      </w:r>
    </w:p>
    <w:p w14:paraId="7BFFC3E6">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8.2投标人应仔细阅读招标文件的所有内容，按照招标文件的要求提交投标文件，并对所提供的全部资料的真实性承担法律责任。</w:t>
      </w:r>
    </w:p>
    <w:p w14:paraId="42F7A625">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8.3投标人在投标活动中提供任何虚假材料，将报监管部门查处；中标后发现的，中标人须依照《中华人民共和国</w:t>
      </w:r>
      <w:r>
        <w:rPr>
          <w:rFonts w:hint="eastAsia" w:ascii="宋体" w:cs="宋体"/>
          <w:b/>
          <w:color w:val="auto"/>
          <w:szCs w:val="21"/>
          <w:highlight w:val="none"/>
          <w:lang w:val="en-US" w:eastAsia="zh-CN"/>
        </w:rPr>
        <w:t>民法典</w:t>
      </w:r>
      <w:r>
        <w:rPr>
          <w:rFonts w:hint="eastAsia" w:ascii="宋体" w:cs="宋体"/>
          <w:b/>
          <w:color w:val="auto"/>
          <w:szCs w:val="21"/>
          <w:highlight w:val="none"/>
        </w:rPr>
        <w:t>》规定赔偿采购人，且民事赔偿并不免除违法投标人的行政与刑事责任。</w:t>
      </w:r>
    </w:p>
    <w:p w14:paraId="7514959F">
      <w:pPr>
        <w:widowControl/>
        <w:spacing w:line="360" w:lineRule="auto"/>
        <w:ind w:firstLine="422" w:firstLineChars="200"/>
        <w:jc w:val="left"/>
        <w:rPr>
          <w:rFonts w:ascii="宋体" w:cs="宋体"/>
          <w:b/>
          <w:color w:val="auto"/>
          <w:szCs w:val="21"/>
          <w:highlight w:val="none"/>
        </w:rPr>
      </w:pPr>
      <w:r>
        <w:rPr>
          <w:rFonts w:hint="eastAsia" w:ascii="宋体" w:cs="宋体"/>
          <w:b/>
          <w:color w:val="auto"/>
          <w:szCs w:val="21"/>
          <w:highlight w:val="none"/>
        </w:rPr>
        <w:t>8.4采用最低评标价法的采购项目，提供相同品牌产品的不同投标人参加同一合同项下投标的，以其中通过资格审查、符合性审查且报价最低的参加评标；报价相同的，由采购人或者采购人委托评标委员会按照招标文件“投标人须知前附表”规定的方式确定一个参加评标的投标人，招标文件未规定的采取随机抽取方式确定，其他投标无效。</w:t>
      </w:r>
    </w:p>
    <w:p w14:paraId="18A84294">
      <w:pPr>
        <w:widowControl/>
        <w:spacing w:line="360" w:lineRule="auto"/>
        <w:ind w:firstLine="422" w:firstLineChars="200"/>
        <w:jc w:val="left"/>
        <w:rPr>
          <w:rFonts w:ascii="宋体" w:cs="宋体"/>
          <w:b/>
          <w:color w:val="auto"/>
          <w:szCs w:val="21"/>
          <w:highlight w:val="none"/>
        </w:rPr>
      </w:pPr>
      <w:r>
        <w:rPr>
          <w:rFonts w:hint="eastAsia" w:ascii="宋体" w:cs="宋体"/>
          <w:b/>
          <w:color w:val="auto"/>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投标人须知前附表”规定的方式确定一个投标人获得中标人推荐资格，招标文件未规定的采取随机抽取方式确定，其他同品牌投标人不作为中标候选人。</w:t>
      </w:r>
    </w:p>
    <w:p w14:paraId="143B8DE0">
      <w:pPr>
        <w:widowControl/>
        <w:spacing w:line="360" w:lineRule="auto"/>
        <w:ind w:firstLine="422" w:firstLineChars="200"/>
        <w:jc w:val="left"/>
        <w:rPr>
          <w:rFonts w:ascii="宋体" w:cs="宋体"/>
          <w:b/>
          <w:color w:val="auto"/>
          <w:szCs w:val="21"/>
          <w:highlight w:val="none"/>
        </w:rPr>
      </w:pPr>
      <w:r>
        <w:rPr>
          <w:rFonts w:hint="eastAsia" w:ascii="宋体" w:cs="宋体"/>
          <w:b/>
          <w:color w:val="auto"/>
          <w:szCs w:val="21"/>
          <w:highlight w:val="none"/>
        </w:rPr>
        <w:t>非单一产品采购项目，采购人应当根据采购项目技术构成、产品价格比重等合理确定核心产品，并在招标文件中载明。多家投标人提供的核心产品品牌相同的，按前两款规定处理。</w:t>
      </w:r>
    </w:p>
    <w:p w14:paraId="7847B60B">
      <w:pPr>
        <w:spacing w:line="360" w:lineRule="auto"/>
        <w:ind w:firstLine="480" w:firstLineChars="200"/>
        <w:rPr>
          <w:rFonts w:ascii="宋体" w:cs="宋体"/>
          <w:color w:val="auto"/>
          <w:sz w:val="24"/>
          <w:highlight w:val="none"/>
        </w:rPr>
      </w:pPr>
      <w:r>
        <w:rPr>
          <w:rFonts w:hint="eastAsia" w:ascii="宋体" w:cs="宋体"/>
          <w:color w:val="auto"/>
          <w:sz w:val="24"/>
          <w:highlight w:val="none"/>
        </w:rPr>
        <w:t>9.回避与串通投标</w:t>
      </w:r>
    </w:p>
    <w:p w14:paraId="41D2F5CE">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9.1在政府采购活动中，采购人员及相关人员与供应商有下列利害关系之一的，应当回避：</w:t>
      </w:r>
    </w:p>
    <w:p w14:paraId="65E9676E">
      <w:pPr>
        <w:spacing w:line="360" w:lineRule="auto"/>
        <w:ind w:firstLine="422" w:firstLineChars="200"/>
        <w:rPr>
          <w:rFonts w:ascii="宋体" w:cs="宋体"/>
          <w:b/>
          <w:bCs/>
          <w:color w:val="auto"/>
          <w:highlight w:val="none"/>
        </w:rPr>
      </w:pPr>
      <w:r>
        <w:rPr>
          <w:rFonts w:hint="eastAsia" w:ascii="宋体" w:cs="宋体"/>
          <w:b/>
          <w:bCs/>
          <w:color w:val="auto"/>
          <w:highlight w:val="none"/>
        </w:rPr>
        <w:t>（1）参加采购活动前3年内与供应商存在劳动关系；</w:t>
      </w:r>
    </w:p>
    <w:p w14:paraId="4239E276">
      <w:pPr>
        <w:spacing w:line="360" w:lineRule="auto"/>
        <w:ind w:firstLine="422" w:firstLineChars="200"/>
        <w:rPr>
          <w:rFonts w:ascii="宋体" w:cs="宋体"/>
          <w:b/>
          <w:bCs/>
          <w:color w:val="auto"/>
          <w:highlight w:val="none"/>
        </w:rPr>
      </w:pPr>
      <w:r>
        <w:rPr>
          <w:rFonts w:hint="eastAsia" w:ascii="宋体" w:cs="宋体"/>
          <w:b/>
          <w:bCs/>
          <w:color w:val="auto"/>
          <w:highlight w:val="none"/>
        </w:rPr>
        <w:t>（2）参加采购活动前3年内担任供应商的董事、监事；</w:t>
      </w:r>
    </w:p>
    <w:p w14:paraId="3CB72FF1">
      <w:pPr>
        <w:spacing w:line="360" w:lineRule="auto"/>
        <w:ind w:firstLine="422" w:firstLineChars="200"/>
        <w:rPr>
          <w:rFonts w:ascii="宋体" w:cs="宋体"/>
          <w:b/>
          <w:bCs/>
          <w:color w:val="auto"/>
          <w:highlight w:val="none"/>
        </w:rPr>
      </w:pPr>
      <w:r>
        <w:rPr>
          <w:rFonts w:hint="eastAsia" w:ascii="宋体" w:cs="宋体"/>
          <w:b/>
          <w:bCs/>
          <w:color w:val="auto"/>
          <w:highlight w:val="none"/>
        </w:rPr>
        <w:t>（3）参加采购活动前3年内是供应商的控股股东或者实际控制人；</w:t>
      </w:r>
    </w:p>
    <w:p w14:paraId="578BA129">
      <w:pPr>
        <w:spacing w:line="360" w:lineRule="auto"/>
        <w:ind w:firstLine="422" w:firstLineChars="200"/>
        <w:rPr>
          <w:rFonts w:ascii="宋体" w:cs="宋体"/>
          <w:b/>
          <w:bCs/>
          <w:color w:val="auto"/>
          <w:highlight w:val="none"/>
        </w:rPr>
      </w:pPr>
      <w:r>
        <w:rPr>
          <w:rFonts w:hint="eastAsia" w:ascii="宋体" w:cs="宋体"/>
          <w:b/>
          <w:bCs/>
          <w:color w:val="auto"/>
          <w:highlight w:val="none"/>
        </w:rPr>
        <w:t>（4）与供应商的法定代表人或者负责人有夫妻、直系血亲、三代以内旁系血亲或者近姻亲关系；</w:t>
      </w:r>
    </w:p>
    <w:p w14:paraId="48FA40B2">
      <w:pPr>
        <w:spacing w:line="360" w:lineRule="auto"/>
        <w:ind w:firstLine="422" w:firstLineChars="200"/>
        <w:rPr>
          <w:rFonts w:ascii="宋体" w:cs="宋体"/>
          <w:b/>
          <w:bCs/>
          <w:color w:val="auto"/>
          <w:highlight w:val="none"/>
        </w:rPr>
      </w:pPr>
      <w:r>
        <w:rPr>
          <w:rFonts w:hint="eastAsia" w:ascii="宋体" w:cs="宋体"/>
          <w:b/>
          <w:bCs/>
          <w:color w:val="auto"/>
          <w:highlight w:val="none"/>
        </w:rPr>
        <w:t>（5）与供应商有其他可能影响政府采购活动公平、公正进行的关系。</w:t>
      </w:r>
    </w:p>
    <w:p w14:paraId="6BFB378E">
      <w:pPr>
        <w:spacing w:line="360" w:lineRule="auto"/>
        <w:ind w:firstLine="422" w:firstLineChars="200"/>
        <w:rPr>
          <w:rFonts w:ascii="宋体" w:cs="宋体"/>
          <w:b/>
          <w:bCs/>
          <w:color w:val="auto"/>
          <w:highlight w:val="none"/>
        </w:rPr>
      </w:pPr>
      <w:r>
        <w:rPr>
          <w:rFonts w:hint="eastAsia" w:ascii="宋体" w:cs="宋体"/>
          <w:b/>
          <w:bCs/>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6228B8D">
      <w:pPr>
        <w:spacing w:line="360" w:lineRule="auto"/>
        <w:ind w:firstLine="422" w:firstLineChars="200"/>
        <w:rPr>
          <w:rFonts w:ascii="宋体" w:cs="宋体"/>
          <w:b/>
          <w:bCs/>
          <w:color w:val="auto"/>
          <w:szCs w:val="21"/>
          <w:highlight w:val="none"/>
        </w:rPr>
      </w:pPr>
      <w:r>
        <w:rPr>
          <w:rFonts w:hint="eastAsia" w:ascii="宋体" w:cs="宋体"/>
          <w:b/>
          <w:bCs/>
          <w:color w:val="auto"/>
          <w:szCs w:val="21"/>
          <w:highlight w:val="none"/>
        </w:rPr>
        <w:t>9.2有下列情形之一的视为投标人相互串通投标，投标文件将被视为无效：</w:t>
      </w:r>
    </w:p>
    <w:p w14:paraId="48EA303C">
      <w:pPr>
        <w:spacing w:line="360" w:lineRule="auto"/>
        <w:ind w:firstLine="422" w:firstLineChars="200"/>
        <w:rPr>
          <w:rFonts w:ascii="宋体" w:cs="宋体"/>
          <w:b/>
          <w:color w:val="auto"/>
          <w:highlight w:val="none"/>
        </w:rPr>
      </w:pPr>
      <w:r>
        <w:rPr>
          <w:rFonts w:hint="eastAsia" w:ascii="宋体" w:cs="宋体"/>
          <w:b/>
          <w:color w:val="auto"/>
          <w:highlight w:val="none"/>
        </w:rPr>
        <w:t>（1）不同投标人的投标文件由同一单位或者个人编制；或者不同投标人报名的IP地址一致的；</w:t>
      </w:r>
    </w:p>
    <w:p w14:paraId="341F8539">
      <w:pPr>
        <w:spacing w:line="360" w:lineRule="auto"/>
        <w:ind w:firstLine="422" w:firstLineChars="200"/>
        <w:rPr>
          <w:rFonts w:ascii="宋体" w:cs="宋体"/>
          <w:b/>
          <w:color w:val="auto"/>
          <w:highlight w:val="none"/>
        </w:rPr>
      </w:pPr>
      <w:r>
        <w:rPr>
          <w:rFonts w:hint="eastAsia" w:ascii="宋体" w:cs="宋体"/>
          <w:b/>
          <w:color w:val="auto"/>
          <w:highlight w:val="none"/>
        </w:rPr>
        <w:t>（2）不同投标人委托同一单位或者个人办理投标事宜；</w:t>
      </w:r>
    </w:p>
    <w:p w14:paraId="4D429613">
      <w:pPr>
        <w:spacing w:line="360" w:lineRule="auto"/>
        <w:ind w:firstLine="422" w:firstLineChars="200"/>
        <w:rPr>
          <w:rFonts w:ascii="宋体" w:cs="宋体"/>
          <w:b/>
          <w:color w:val="auto"/>
          <w:highlight w:val="none"/>
        </w:rPr>
      </w:pPr>
      <w:r>
        <w:rPr>
          <w:rFonts w:hint="eastAsia" w:ascii="宋体" w:cs="宋体"/>
          <w:b/>
          <w:color w:val="auto"/>
          <w:highlight w:val="none"/>
        </w:rPr>
        <w:t>（3）不同的投标人的投标文件载明的项目管理员为同一个人；</w:t>
      </w:r>
    </w:p>
    <w:p w14:paraId="61CEF175">
      <w:pPr>
        <w:spacing w:line="360" w:lineRule="auto"/>
        <w:ind w:firstLine="422" w:firstLineChars="200"/>
        <w:rPr>
          <w:rFonts w:ascii="宋体" w:cs="宋体"/>
          <w:b/>
          <w:color w:val="auto"/>
          <w:highlight w:val="none"/>
        </w:rPr>
      </w:pPr>
      <w:r>
        <w:rPr>
          <w:rFonts w:hint="eastAsia" w:ascii="宋体" w:cs="宋体"/>
          <w:b/>
          <w:color w:val="auto"/>
          <w:highlight w:val="none"/>
        </w:rPr>
        <w:t>（4）不同投标人的电子投标文件异常一致或者投标报价呈规律性差异；</w:t>
      </w:r>
    </w:p>
    <w:p w14:paraId="5C46EC2E">
      <w:pPr>
        <w:spacing w:line="360" w:lineRule="auto"/>
        <w:ind w:firstLine="422" w:firstLineChars="200"/>
        <w:rPr>
          <w:color w:val="auto"/>
          <w:highlight w:val="none"/>
        </w:rPr>
      </w:pPr>
      <w:r>
        <w:rPr>
          <w:rFonts w:hint="eastAsia" w:ascii="宋体" w:cs="宋体"/>
          <w:b/>
          <w:color w:val="auto"/>
          <w:szCs w:val="21"/>
          <w:highlight w:val="none"/>
        </w:rPr>
        <w:t>（5）</w:t>
      </w:r>
      <w:r>
        <w:rPr>
          <w:rFonts w:hint="eastAsia" w:ascii="宋体" w:cs="宋体"/>
          <w:b/>
          <w:color w:val="auto"/>
          <w:highlight w:val="none"/>
        </w:rPr>
        <w:t>不同投标人的投标文件相互混装；</w:t>
      </w:r>
    </w:p>
    <w:p w14:paraId="275026B6">
      <w:pPr>
        <w:tabs>
          <w:tab w:val="center" w:pos="4153"/>
          <w:tab w:val="right" w:pos="8306"/>
        </w:tabs>
        <w:spacing w:line="360" w:lineRule="auto"/>
        <w:ind w:firstLine="422" w:firstLineChars="200"/>
        <w:rPr>
          <w:rFonts w:ascii="宋体" w:cs="宋体"/>
          <w:b/>
          <w:color w:val="auto"/>
          <w:highlight w:val="none"/>
        </w:rPr>
      </w:pPr>
      <w:r>
        <w:rPr>
          <w:rFonts w:hint="eastAsia" w:ascii="宋体" w:cs="宋体"/>
          <w:b/>
          <w:color w:val="auto"/>
          <w:highlight w:val="none"/>
        </w:rPr>
        <w:t>（6）不同投标人的投标保证金从同一单位或者个人账户转出。</w:t>
      </w:r>
    </w:p>
    <w:p w14:paraId="589762A7">
      <w:pPr>
        <w:spacing w:line="360" w:lineRule="auto"/>
        <w:ind w:firstLine="422" w:firstLineChars="200"/>
        <w:rPr>
          <w:rFonts w:ascii="宋体" w:cs="宋体"/>
          <w:b/>
          <w:bCs/>
          <w:color w:val="auto"/>
          <w:szCs w:val="21"/>
          <w:highlight w:val="none"/>
        </w:rPr>
      </w:pPr>
      <w:r>
        <w:rPr>
          <w:rFonts w:hint="eastAsia" w:ascii="宋体" w:cs="宋体"/>
          <w:b/>
          <w:color w:val="auto"/>
          <w:highlight w:val="none"/>
        </w:rPr>
        <w:t>9.3供应商有下列情形之一的，属于恶意串通</w:t>
      </w:r>
      <w:r>
        <w:rPr>
          <w:rFonts w:hint="eastAsia" w:ascii="宋体" w:cs="宋体"/>
          <w:b/>
          <w:bCs/>
          <w:color w:val="auto"/>
          <w:szCs w:val="21"/>
          <w:highlight w:val="none"/>
        </w:rPr>
        <w:t>行为，将报同级监督管理部门：</w:t>
      </w:r>
    </w:p>
    <w:p w14:paraId="75C26E88">
      <w:pPr>
        <w:spacing w:line="360" w:lineRule="auto"/>
        <w:ind w:firstLine="422" w:firstLineChars="200"/>
        <w:rPr>
          <w:rFonts w:ascii="宋体" w:cs="宋体"/>
          <w:b/>
          <w:bCs/>
          <w:color w:val="auto"/>
          <w:highlight w:val="none"/>
        </w:rPr>
      </w:pPr>
      <w:r>
        <w:rPr>
          <w:rFonts w:hint="eastAsia" w:ascii="宋体" w:cs="宋体"/>
          <w:b/>
          <w:bCs/>
          <w:color w:val="auto"/>
          <w:highlight w:val="none"/>
        </w:rPr>
        <w:t>（1）供应商直接或者间接从采购人或者采购代理机构处获得其他供应商的相关信息并修改其投标文件；</w:t>
      </w:r>
    </w:p>
    <w:p w14:paraId="4D9F64CC">
      <w:pPr>
        <w:spacing w:line="360" w:lineRule="auto"/>
        <w:ind w:firstLine="422" w:firstLineChars="200"/>
        <w:rPr>
          <w:rFonts w:ascii="宋体" w:cs="宋体"/>
          <w:b/>
          <w:bCs/>
          <w:color w:val="auto"/>
          <w:highlight w:val="none"/>
        </w:rPr>
      </w:pPr>
      <w:r>
        <w:rPr>
          <w:rFonts w:hint="eastAsia" w:ascii="宋体" w:cs="宋体"/>
          <w:b/>
          <w:bCs/>
          <w:color w:val="auto"/>
          <w:highlight w:val="none"/>
        </w:rPr>
        <w:t>（2）供应商按照采购人或者采购代理机构的授意撤换、修改投标文件；</w:t>
      </w:r>
    </w:p>
    <w:p w14:paraId="5CFD0F5B">
      <w:pPr>
        <w:spacing w:line="360" w:lineRule="auto"/>
        <w:ind w:firstLine="422" w:firstLineChars="200"/>
        <w:rPr>
          <w:rFonts w:ascii="宋体" w:cs="宋体"/>
          <w:b/>
          <w:bCs/>
          <w:color w:val="auto"/>
          <w:highlight w:val="none"/>
        </w:rPr>
      </w:pPr>
      <w:r>
        <w:rPr>
          <w:rFonts w:hint="eastAsia" w:ascii="宋体" w:cs="宋体"/>
          <w:b/>
          <w:bCs/>
          <w:color w:val="auto"/>
          <w:highlight w:val="none"/>
        </w:rPr>
        <w:t>（3）供应商之间协商报价、技术方案等投标文件的实质性内容；</w:t>
      </w:r>
    </w:p>
    <w:p w14:paraId="5B0D47FF">
      <w:pPr>
        <w:spacing w:line="360" w:lineRule="auto"/>
        <w:ind w:firstLine="422" w:firstLineChars="200"/>
        <w:rPr>
          <w:rFonts w:ascii="宋体" w:cs="宋体"/>
          <w:b/>
          <w:bCs/>
          <w:color w:val="auto"/>
          <w:highlight w:val="none"/>
        </w:rPr>
      </w:pPr>
      <w:r>
        <w:rPr>
          <w:rFonts w:hint="eastAsia" w:ascii="宋体" w:cs="宋体"/>
          <w:b/>
          <w:bCs/>
          <w:color w:val="auto"/>
          <w:highlight w:val="none"/>
        </w:rPr>
        <w:t>（4）属于同一集团、协会、商会等组织成员的供应商按照该组织要求协同参加政府采购活动；</w:t>
      </w:r>
    </w:p>
    <w:p w14:paraId="546961C0">
      <w:pPr>
        <w:spacing w:line="360" w:lineRule="auto"/>
        <w:ind w:firstLine="422" w:firstLineChars="200"/>
        <w:rPr>
          <w:rFonts w:ascii="宋体" w:cs="宋体"/>
          <w:b/>
          <w:bCs/>
          <w:color w:val="auto"/>
          <w:highlight w:val="none"/>
        </w:rPr>
      </w:pPr>
      <w:r>
        <w:rPr>
          <w:rFonts w:hint="eastAsia" w:ascii="宋体" w:cs="宋体"/>
          <w:b/>
          <w:bCs/>
          <w:color w:val="auto"/>
          <w:highlight w:val="none"/>
        </w:rPr>
        <w:t>（5）供应商之间事先约定一致抬高或者压低投标报价，或者在招标项目中事先约定轮流以高价位或者低价位中标，或者事先约定由某一特定供应商中标，然后再参加投标；</w:t>
      </w:r>
    </w:p>
    <w:p w14:paraId="12A5A5E5">
      <w:pPr>
        <w:spacing w:line="360" w:lineRule="auto"/>
        <w:ind w:firstLine="422" w:firstLineChars="200"/>
        <w:rPr>
          <w:rFonts w:ascii="宋体" w:cs="宋体"/>
          <w:b/>
          <w:bCs/>
          <w:color w:val="auto"/>
          <w:highlight w:val="none"/>
        </w:rPr>
      </w:pPr>
      <w:r>
        <w:rPr>
          <w:rFonts w:hint="eastAsia" w:ascii="宋体" w:cs="宋体"/>
          <w:b/>
          <w:bCs/>
          <w:color w:val="auto"/>
          <w:highlight w:val="none"/>
        </w:rPr>
        <w:t>（6）供应商之间商定部分供应商放弃参加政府采购活动或者放弃中标；</w:t>
      </w:r>
    </w:p>
    <w:p w14:paraId="4B9FB2D9">
      <w:pPr>
        <w:spacing w:line="360" w:lineRule="auto"/>
        <w:ind w:firstLine="422" w:firstLineChars="200"/>
        <w:rPr>
          <w:rFonts w:ascii="宋体" w:cs="宋体"/>
          <w:b/>
          <w:bCs/>
          <w:color w:val="auto"/>
          <w:highlight w:val="none"/>
        </w:rPr>
      </w:pPr>
      <w:r>
        <w:rPr>
          <w:rFonts w:hint="eastAsia" w:ascii="宋体" w:cs="宋体"/>
          <w:b/>
          <w:bCs/>
          <w:color w:val="auto"/>
          <w:highlight w:val="none"/>
        </w:rPr>
        <w:t>（7）供应商与采购人或者采购代理机构之间、供应商相互之间，为谋求特定供应商中标或者排斥其他供应商的其他串通行为。</w:t>
      </w:r>
    </w:p>
    <w:p w14:paraId="351E5050">
      <w:pPr>
        <w:pStyle w:val="14"/>
        <w:snapToGrid w:val="0"/>
        <w:spacing w:line="360" w:lineRule="auto"/>
        <w:ind w:left="2" w:leftChars="1" w:firstLine="422" w:firstLineChars="200"/>
        <w:rPr>
          <w:rFonts w:cs="宋体"/>
          <w:b/>
          <w:color w:val="auto"/>
          <w:highlight w:val="none"/>
        </w:rPr>
      </w:pPr>
    </w:p>
    <w:p w14:paraId="33492A00">
      <w:pPr>
        <w:pStyle w:val="4"/>
        <w:rPr>
          <w:color w:val="auto"/>
          <w:highlight w:val="none"/>
        </w:rPr>
      </w:pPr>
      <w:bookmarkStart w:id="128" w:name="_Toc19385"/>
      <w:bookmarkStart w:id="129" w:name="_Toc22070"/>
      <w:bookmarkStart w:id="130" w:name="_Toc4100"/>
      <w:bookmarkStart w:id="131" w:name="_Toc25441"/>
      <w:bookmarkStart w:id="132" w:name="_Toc254970675"/>
      <w:bookmarkStart w:id="133" w:name="_Toc22960"/>
      <w:bookmarkStart w:id="134" w:name="_Toc254970534"/>
      <w:r>
        <w:rPr>
          <w:rFonts w:hint="eastAsia"/>
          <w:color w:val="auto"/>
          <w:highlight w:val="none"/>
        </w:rPr>
        <w:t>二、招标文件</w:t>
      </w:r>
      <w:bookmarkEnd w:id="128"/>
      <w:bookmarkEnd w:id="129"/>
      <w:bookmarkEnd w:id="130"/>
      <w:bookmarkEnd w:id="131"/>
      <w:bookmarkEnd w:id="132"/>
      <w:bookmarkEnd w:id="133"/>
      <w:bookmarkEnd w:id="134"/>
    </w:p>
    <w:p w14:paraId="5791D9A9">
      <w:pPr>
        <w:spacing w:line="360" w:lineRule="auto"/>
        <w:ind w:firstLine="480" w:firstLineChars="200"/>
        <w:rPr>
          <w:rFonts w:ascii="宋体" w:cs="宋体"/>
          <w:color w:val="auto"/>
          <w:sz w:val="24"/>
          <w:highlight w:val="none"/>
        </w:rPr>
      </w:pPr>
      <w:r>
        <w:rPr>
          <w:rFonts w:hint="eastAsia" w:ascii="宋体" w:cs="宋体"/>
          <w:color w:val="auto"/>
          <w:sz w:val="24"/>
          <w:highlight w:val="none"/>
        </w:rPr>
        <w:t>10.招标文件的组成</w:t>
      </w:r>
    </w:p>
    <w:p w14:paraId="2D49C296">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第一章 招标公告；</w:t>
      </w:r>
    </w:p>
    <w:p w14:paraId="50CEB7CB">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 xml:space="preserve">第二章 采购需求； </w:t>
      </w:r>
    </w:p>
    <w:p w14:paraId="64A2FAE2">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第三章 投标人须知；</w:t>
      </w:r>
    </w:p>
    <w:p w14:paraId="7931A830">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第四章 评标方法和评标标准；</w:t>
      </w:r>
    </w:p>
    <w:p w14:paraId="3DE36E82">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第五章 拟签订的合同文本；</w:t>
      </w:r>
    </w:p>
    <w:p w14:paraId="19724628">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第六章 投标文件格式；</w:t>
      </w:r>
    </w:p>
    <w:p w14:paraId="5B6F7067">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第七章 质疑、投诉材料格式</w:t>
      </w:r>
    </w:p>
    <w:p w14:paraId="7D4E37CC">
      <w:pPr>
        <w:spacing w:line="360" w:lineRule="auto"/>
        <w:ind w:firstLine="420" w:firstLineChars="200"/>
        <w:rPr>
          <w:rFonts w:ascii="宋体" w:cs="宋体"/>
          <w:color w:val="auto"/>
          <w:highlight w:val="none"/>
        </w:rPr>
      </w:pPr>
      <w:r>
        <w:rPr>
          <w:rFonts w:hint="eastAsia" w:ascii="宋体" w:cs="宋体"/>
          <w:color w:val="auto"/>
          <w:highlight w:val="none"/>
        </w:rPr>
        <w:t>根据本章第11.1项的规定对招标文件所做的澄清、修改，构成招标文件的组成部分。当招标文件与招标文件的澄清和修改就同一内容的表述不一致时，以最后澄清或修改公告为准。</w:t>
      </w:r>
    </w:p>
    <w:p w14:paraId="756C0C46">
      <w:pPr>
        <w:spacing w:line="360" w:lineRule="auto"/>
        <w:ind w:firstLine="480" w:firstLineChars="200"/>
        <w:rPr>
          <w:rFonts w:ascii="宋体" w:cs="宋体"/>
          <w:color w:val="auto"/>
          <w:sz w:val="24"/>
          <w:highlight w:val="none"/>
        </w:rPr>
      </w:pPr>
      <w:r>
        <w:rPr>
          <w:rFonts w:hint="eastAsia" w:ascii="宋体" w:cs="宋体"/>
          <w:color w:val="auto"/>
          <w:sz w:val="24"/>
          <w:highlight w:val="none"/>
        </w:rPr>
        <w:t>11.招标文件的澄清、修改 、现场考察和答疑会</w:t>
      </w:r>
    </w:p>
    <w:p w14:paraId="130FC3B6">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 xml:space="preserve"> 11.1采购人或者采购代理机构可以对已发出的招标文件进行必要的澄清或者修改，但不得改变采购标的和资格条件。澄清或者修改应当在原招标公告发布媒体上发布澄清公告。澄清或者修改的内容为招标文件的组成部分。</w:t>
      </w:r>
    </w:p>
    <w:p w14:paraId="5F5E003F">
      <w:pPr>
        <w:spacing w:line="360" w:lineRule="auto"/>
        <w:ind w:firstLine="420" w:firstLineChars="200"/>
        <w:rPr>
          <w:rFonts w:ascii="宋体" w:cs="宋体"/>
          <w:color w:val="auto"/>
          <w:highlight w:val="none"/>
        </w:rPr>
      </w:pPr>
      <w:r>
        <w:rPr>
          <w:rFonts w:hint="eastAsia" w:ascii="宋体" w:cs="宋体"/>
          <w:color w:val="auto"/>
          <w:highlight w:val="none"/>
        </w:rPr>
        <w:t>11.2 投标人应认真审阅本招标文件，如有疑问，或发现其中有误或有要求不合理的，应在投标人须知前附表规定的</w:t>
      </w:r>
      <w:r>
        <w:rPr>
          <w:rFonts w:hint="eastAsia" w:ascii="宋体" w:cs="宋体"/>
          <w:color w:val="auto"/>
          <w:kern w:val="0"/>
          <w:szCs w:val="21"/>
          <w:highlight w:val="none"/>
        </w:rPr>
        <w:t>投标截止时间</w:t>
      </w:r>
      <w:r>
        <w:rPr>
          <w:rFonts w:hint="eastAsia" w:ascii="宋体" w:cs="宋体"/>
          <w:color w:val="auto"/>
          <w:highlight w:val="none"/>
        </w:rPr>
        <w:t>前以书面形式要求采购人或采购代理机构对招标文件予以澄清；否则，由此产生的后果由投标人自行负责。</w:t>
      </w:r>
    </w:p>
    <w:p w14:paraId="73999DB2">
      <w:pPr>
        <w:spacing w:line="360" w:lineRule="auto"/>
        <w:ind w:firstLine="420" w:firstLineChars="200"/>
        <w:rPr>
          <w:rFonts w:ascii="宋体" w:cs="宋体"/>
          <w:color w:val="auto"/>
          <w:highlight w:val="none"/>
        </w:rPr>
      </w:pPr>
      <w:r>
        <w:rPr>
          <w:rFonts w:hint="eastAsia" w:ascii="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cs="宋体"/>
          <w:color w:val="auto"/>
          <w:szCs w:val="21"/>
          <w:highlight w:val="none"/>
        </w:rPr>
        <w:t>投标人须知前附表”</w:t>
      </w:r>
      <w:r>
        <w:rPr>
          <w:rFonts w:hint="eastAsia" w:ascii="宋体" w:cs="宋体"/>
          <w:color w:val="auto"/>
          <w:highlight w:val="none"/>
        </w:rPr>
        <w:t>规定的政府采购信息发布媒体上发布更正公告及平台短信通知)所有获取招标文件的潜在投标人；不足15日的，采购人或者采购代理机构应当顺延提交投标文件的截止时间。</w:t>
      </w:r>
    </w:p>
    <w:p w14:paraId="202F5C8A">
      <w:pPr>
        <w:spacing w:line="360" w:lineRule="auto"/>
        <w:ind w:firstLine="420" w:firstLineChars="200"/>
        <w:rPr>
          <w:rFonts w:ascii="宋体" w:cs="宋体"/>
          <w:color w:val="auto"/>
          <w:highlight w:val="none"/>
        </w:rPr>
      </w:pPr>
      <w:r>
        <w:rPr>
          <w:rFonts w:hint="eastAsia" w:ascii="宋体" w:cs="宋体"/>
          <w:color w:val="auto"/>
          <w:highlight w:val="none"/>
        </w:rPr>
        <w:t>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0D006F2A">
      <w:pPr>
        <w:spacing w:line="360" w:lineRule="auto"/>
        <w:ind w:firstLine="420" w:firstLineChars="200"/>
        <w:rPr>
          <w:rFonts w:ascii="宋体" w:cs="宋体"/>
          <w:color w:val="auto"/>
          <w:highlight w:val="none"/>
        </w:rPr>
      </w:pPr>
      <w:r>
        <w:rPr>
          <w:rFonts w:hint="eastAsia" w:ascii="宋体" w:cs="宋体"/>
          <w:color w:val="auto"/>
          <w:highlight w:val="none"/>
        </w:rPr>
        <w:t>11.4 采购人和采购代理机构可以视采购具体情况，变更投标截止时间和开标时间，将变更时间将在“</w:t>
      </w:r>
      <w:r>
        <w:rPr>
          <w:rFonts w:hint="eastAsia" w:ascii="宋体" w:cs="宋体"/>
          <w:color w:val="auto"/>
          <w:szCs w:val="21"/>
          <w:highlight w:val="none"/>
        </w:rPr>
        <w:t>投标人须知前附表”</w:t>
      </w:r>
      <w:r>
        <w:rPr>
          <w:rFonts w:hint="eastAsia" w:ascii="宋体" w:cs="宋体"/>
          <w:color w:val="auto"/>
          <w:kern w:val="0"/>
          <w:szCs w:val="21"/>
          <w:highlight w:val="none"/>
        </w:rPr>
        <w:t>规定的政府采购信息发布媒体上</w:t>
      </w:r>
      <w:r>
        <w:rPr>
          <w:rFonts w:hint="eastAsia" w:ascii="宋体" w:cs="宋体"/>
          <w:color w:val="auto"/>
          <w:highlight w:val="none"/>
        </w:rPr>
        <w:t>发布更正公告。</w:t>
      </w:r>
    </w:p>
    <w:p w14:paraId="213A3CE6">
      <w:pPr>
        <w:spacing w:line="360" w:lineRule="auto"/>
        <w:ind w:firstLine="420" w:firstLineChars="200"/>
        <w:rPr>
          <w:rFonts w:ascii="宋体" w:cs="宋体"/>
          <w:color w:val="auto"/>
          <w:highlight w:val="none"/>
        </w:rPr>
      </w:pPr>
      <w:r>
        <w:rPr>
          <w:rFonts w:hint="eastAsia" w:ascii="宋体" w:cs="宋体"/>
          <w:color w:val="auto"/>
          <w:highlight w:val="none"/>
        </w:rPr>
        <w:t>11.</w:t>
      </w:r>
      <w:bookmarkStart w:id="135" w:name="_Hlk53134511"/>
      <w:r>
        <w:rPr>
          <w:rFonts w:hint="eastAsia" w:ascii="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135"/>
    <w:p w14:paraId="5613F918">
      <w:pPr>
        <w:pStyle w:val="4"/>
        <w:rPr>
          <w:color w:val="auto"/>
          <w:highlight w:val="none"/>
        </w:rPr>
      </w:pPr>
      <w:bookmarkStart w:id="136" w:name="_Toc32490"/>
      <w:bookmarkStart w:id="137" w:name="_Toc23467"/>
      <w:bookmarkStart w:id="138" w:name="_Toc254970676"/>
      <w:bookmarkStart w:id="139" w:name="_Toc254970535"/>
    </w:p>
    <w:p w14:paraId="398225F2">
      <w:pPr>
        <w:pStyle w:val="4"/>
        <w:rPr>
          <w:color w:val="auto"/>
          <w:highlight w:val="none"/>
        </w:rPr>
      </w:pPr>
      <w:bookmarkStart w:id="140" w:name="_Toc7612"/>
      <w:bookmarkStart w:id="141" w:name="_Toc31820"/>
      <w:bookmarkStart w:id="142" w:name="_Toc13166"/>
      <w:r>
        <w:rPr>
          <w:rFonts w:hint="eastAsia"/>
          <w:color w:val="auto"/>
          <w:highlight w:val="none"/>
        </w:rPr>
        <w:t>三、投标文件的编制</w:t>
      </w:r>
      <w:bookmarkEnd w:id="136"/>
      <w:bookmarkEnd w:id="137"/>
      <w:bookmarkEnd w:id="138"/>
      <w:bookmarkEnd w:id="139"/>
      <w:bookmarkEnd w:id="140"/>
      <w:bookmarkEnd w:id="141"/>
      <w:bookmarkEnd w:id="142"/>
    </w:p>
    <w:p w14:paraId="3C6D462A">
      <w:pPr>
        <w:spacing w:line="360" w:lineRule="auto"/>
        <w:ind w:firstLine="480" w:firstLineChars="200"/>
        <w:rPr>
          <w:rFonts w:ascii="宋体" w:cs="宋体"/>
          <w:color w:val="auto"/>
          <w:sz w:val="24"/>
          <w:highlight w:val="none"/>
        </w:rPr>
      </w:pPr>
      <w:bookmarkStart w:id="143" w:name="_Toc254970536"/>
      <w:bookmarkStart w:id="144" w:name="_Toc254970677"/>
      <w:r>
        <w:rPr>
          <w:rFonts w:hint="eastAsia" w:ascii="宋体" w:cs="宋体"/>
          <w:color w:val="auto"/>
          <w:sz w:val="24"/>
          <w:highlight w:val="none"/>
        </w:rPr>
        <w:t>12.投标文件的编制原则</w:t>
      </w:r>
    </w:p>
    <w:p w14:paraId="43AF20C9">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投标人必须按照招标文件的要求编制投标文件。投标文件必须对招标文件提出的要求和条件作出明确响应。</w:t>
      </w:r>
    </w:p>
    <w:p w14:paraId="628A6D31">
      <w:pPr>
        <w:spacing w:line="360" w:lineRule="auto"/>
        <w:ind w:firstLine="480" w:firstLineChars="200"/>
        <w:rPr>
          <w:rFonts w:ascii="宋体" w:cs="宋体"/>
          <w:color w:val="auto"/>
          <w:sz w:val="24"/>
          <w:highlight w:val="none"/>
        </w:rPr>
      </w:pPr>
      <w:r>
        <w:rPr>
          <w:rFonts w:hint="eastAsia" w:ascii="宋体" w:cs="宋体"/>
          <w:color w:val="auto"/>
          <w:sz w:val="24"/>
          <w:highlight w:val="none"/>
        </w:rPr>
        <w:t>13.投标文件的组成</w:t>
      </w:r>
      <w:bookmarkEnd w:id="143"/>
      <w:bookmarkEnd w:id="144"/>
    </w:p>
    <w:p w14:paraId="3A1FFC84">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13.1投标文件由报价文件、资格文件、商务技术文件</w:t>
      </w:r>
      <w:r>
        <w:rPr>
          <w:rFonts w:hint="eastAsia" w:ascii="宋体" w:cs="宋体"/>
          <w:color w:val="auto"/>
          <w:szCs w:val="21"/>
          <w:highlight w:val="none"/>
          <w:lang w:val="en-US" w:eastAsia="zh-CN"/>
        </w:rPr>
        <w:t>三</w:t>
      </w:r>
      <w:r>
        <w:rPr>
          <w:rFonts w:hint="eastAsia" w:ascii="宋体" w:cs="宋体"/>
          <w:color w:val="auto"/>
          <w:szCs w:val="21"/>
          <w:highlight w:val="none"/>
        </w:rPr>
        <w:t>部分组成。</w:t>
      </w:r>
    </w:p>
    <w:p w14:paraId="03619ED7">
      <w:pPr>
        <w:spacing w:line="360" w:lineRule="auto"/>
        <w:ind w:firstLine="420" w:firstLineChars="200"/>
        <w:rPr>
          <w:rFonts w:ascii="宋体" w:cs="宋体"/>
          <w:bCs/>
          <w:color w:val="auto"/>
          <w:szCs w:val="21"/>
          <w:highlight w:val="none"/>
        </w:rPr>
      </w:pPr>
      <w:bookmarkStart w:id="145" w:name="_13.2资格证明文件：具体材料见“投标人须知前附表”。"/>
      <w:bookmarkEnd w:id="145"/>
      <w:bookmarkStart w:id="146" w:name="_13.1报价文件:_具体材料见“投标人须知前附表”。"/>
      <w:bookmarkEnd w:id="146"/>
      <w:r>
        <w:rPr>
          <w:rFonts w:hint="eastAsia" w:ascii="宋体" w:cs="宋体"/>
          <w:bCs/>
          <w:color w:val="auto"/>
          <w:szCs w:val="21"/>
          <w:highlight w:val="none"/>
        </w:rPr>
        <w:t>（1）资格文件：具体材料见“投标人须知前附表”。</w:t>
      </w:r>
    </w:p>
    <w:p w14:paraId="25D06201">
      <w:pPr>
        <w:spacing w:line="360" w:lineRule="auto"/>
        <w:ind w:firstLine="420" w:firstLineChars="200"/>
        <w:rPr>
          <w:rFonts w:ascii="宋体" w:cs="宋体"/>
          <w:bCs/>
          <w:color w:val="auto"/>
          <w:szCs w:val="21"/>
          <w:highlight w:val="none"/>
        </w:rPr>
      </w:pPr>
      <w:bookmarkStart w:id="147" w:name="_13.3商务文件:_具体材料见“投标人须知前附表”。"/>
      <w:bookmarkEnd w:id="147"/>
      <w:r>
        <w:rPr>
          <w:rFonts w:hint="eastAsia" w:ascii="宋体" w:cs="宋体"/>
          <w:bCs/>
          <w:color w:val="auto"/>
          <w:szCs w:val="21"/>
          <w:highlight w:val="none"/>
        </w:rPr>
        <w:t>（2）商务</w:t>
      </w:r>
      <w:r>
        <w:rPr>
          <w:rFonts w:hint="eastAsia" w:ascii="宋体" w:cs="宋体"/>
          <w:bCs/>
          <w:color w:val="auto"/>
          <w:szCs w:val="21"/>
          <w:highlight w:val="none"/>
          <w:lang w:val="en-US" w:eastAsia="zh-CN"/>
        </w:rPr>
        <w:t>技术文件</w:t>
      </w:r>
      <w:r>
        <w:rPr>
          <w:rFonts w:hint="eastAsia" w:ascii="宋体" w:cs="宋体"/>
          <w:bCs/>
          <w:color w:val="auto"/>
          <w:szCs w:val="21"/>
          <w:highlight w:val="none"/>
        </w:rPr>
        <w:t>：具体材料见“投标人须知前附表”。</w:t>
      </w:r>
    </w:p>
    <w:p w14:paraId="726284CD">
      <w:pPr>
        <w:spacing w:line="360" w:lineRule="auto"/>
        <w:ind w:firstLine="420" w:firstLineChars="200"/>
        <w:rPr>
          <w:rFonts w:ascii="宋体" w:cs="宋体"/>
          <w:bCs/>
          <w:color w:val="auto"/>
          <w:szCs w:val="21"/>
          <w:highlight w:val="none"/>
        </w:rPr>
      </w:pPr>
      <w:bookmarkStart w:id="148" w:name="_13.4技术文件：具体材料见“投标人须知前附表”。"/>
      <w:bookmarkEnd w:id="148"/>
      <w:r>
        <w:rPr>
          <w:rFonts w:hint="eastAsia" w:ascii="宋体" w:cs="宋体"/>
          <w:bCs/>
          <w:color w:val="auto"/>
          <w:szCs w:val="21"/>
          <w:highlight w:val="none"/>
        </w:rPr>
        <w:t>（</w:t>
      </w:r>
      <w:r>
        <w:rPr>
          <w:rFonts w:hint="eastAsia" w:ascii="宋体" w:cs="宋体"/>
          <w:bCs/>
          <w:color w:val="auto"/>
          <w:szCs w:val="21"/>
          <w:highlight w:val="none"/>
          <w:lang w:val="en-US" w:eastAsia="zh-CN"/>
        </w:rPr>
        <w:t>3</w:t>
      </w:r>
      <w:r>
        <w:rPr>
          <w:rFonts w:hint="eastAsia" w:ascii="宋体" w:cs="宋体"/>
          <w:bCs/>
          <w:color w:val="auto"/>
          <w:szCs w:val="21"/>
          <w:highlight w:val="none"/>
        </w:rPr>
        <w:t>）报价文件： 具体材料见“投标人须知前附表”。</w:t>
      </w:r>
    </w:p>
    <w:p w14:paraId="4FBC54D3">
      <w:pPr>
        <w:spacing w:line="360" w:lineRule="auto"/>
        <w:ind w:firstLine="420" w:firstLineChars="200"/>
        <w:rPr>
          <w:rFonts w:ascii="宋体" w:cs="宋体"/>
          <w:bCs/>
          <w:color w:val="auto"/>
          <w:szCs w:val="21"/>
          <w:highlight w:val="none"/>
        </w:rPr>
      </w:pPr>
      <w:bookmarkStart w:id="149" w:name="_13.5投标文件电子版：具体材料见“投标人须知前附表”。"/>
      <w:bookmarkEnd w:id="149"/>
      <w:r>
        <w:rPr>
          <w:rFonts w:hint="eastAsia" w:ascii="宋体" w:cs="宋体"/>
          <w:bCs/>
          <w:color w:val="auto"/>
          <w:szCs w:val="21"/>
          <w:highlight w:val="none"/>
        </w:rPr>
        <w:t>13.2投标文件电子版：具体要求见本节19.投标文件编制。</w:t>
      </w:r>
    </w:p>
    <w:p w14:paraId="5147453D">
      <w:pPr>
        <w:spacing w:line="360" w:lineRule="auto"/>
        <w:ind w:firstLine="480" w:firstLineChars="200"/>
        <w:rPr>
          <w:rFonts w:ascii="宋体" w:cs="宋体"/>
          <w:color w:val="auto"/>
          <w:sz w:val="24"/>
          <w:highlight w:val="none"/>
        </w:rPr>
      </w:pPr>
      <w:bookmarkStart w:id="150" w:name="_Toc254970537"/>
      <w:bookmarkStart w:id="151" w:name="_Toc254970678"/>
      <w:r>
        <w:rPr>
          <w:rFonts w:hint="eastAsia" w:ascii="宋体" w:cs="宋体"/>
          <w:color w:val="auto"/>
          <w:sz w:val="24"/>
          <w:highlight w:val="none"/>
        </w:rPr>
        <w:t>14.投标文件的语言及计量</w:t>
      </w:r>
      <w:bookmarkEnd w:id="150"/>
      <w:bookmarkEnd w:id="151"/>
    </w:p>
    <w:p w14:paraId="56CD1B03">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14.1语言文字</w:t>
      </w:r>
    </w:p>
    <w:p w14:paraId="1D0063C2">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2913A34">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14.2投标计量单位</w:t>
      </w:r>
    </w:p>
    <w:p w14:paraId="4791615A">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招标文件已有明确规定的，使用招标文件规定的计量单位；招标文件没有规定的，应采用中华人民共和国法定计量单位，货币种类为人民币，</w:t>
      </w:r>
      <w:r>
        <w:rPr>
          <w:rFonts w:hint="eastAsia" w:ascii="宋体" w:cs="宋体"/>
          <w:b/>
          <w:color w:val="auto"/>
          <w:szCs w:val="21"/>
          <w:highlight w:val="none"/>
        </w:rPr>
        <w:t>否则视同未响应</w:t>
      </w:r>
      <w:r>
        <w:rPr>
          <w:rFonts w:hint="eastAsia" w:ascii="宋体" w:cs="宋体"/>
          <w:bCs/>
          <w:color w:val="auto"/>
          <w:szCs w:val="21"/>
          <w:highlight w:val="none"/>
        </w:rPr>
        <w:t>。</w:t>
      </w:r>
    </w:p>
    <w:p w14:paraId="28C2BC49">
      <w:pPr>
        <w:spacing w:line="360" w:lineRule="auto"/>
        <w:ind w:firstLine="480" w:firstLineChars="200"/>
        <w:rPr>
          <w:rFonts w:ascii="宋体" w:cs="宋体"/>
          <w:color w:val="auto"/>
          <w:sz w:val="24"/>
          <w:highlight w:val="none"/>
        </w:rPr>
      </w:pPr>
      <w:r>
        <w:rPr>
          <w:rFonts w:hint="eastAsia" w:ascii="宋体" w:cs="宋体"/>
          <w:color w:val="auto"/>
          <w:sz w:val="24"/>
          <w:highlight w:val="none"/>
        </w:rPr>
        <w:t>15.投标的风险</w:t>
      </w:r>
    </w:p>
    <w:p w14:paraId="7A8D23CD">
      <w:pPr>
        <w:pStyle w:val="9"/>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投标文件分为资格文件、商务</w:t>
      </w:r>
      <w:r>
        <w:rPr>
          <w:rFonts w:hint="eastAsia" w:ascii="宋体" w:cs="宋体"/>
          <w:bCs/>
          <w:color w:val="auto"/>
          <w:szCs w:val="21"/>
          <w:highlight w:val="none"/>
          <w:lang w:val="en-US" w:eastAsia="zh-CN"/>
        </w:rPr>
        <w:t>技术</w:t>
      </w:r>
      <w:r>
        <w:rPr>
          <w:rFonts w:hint="eastAsia" w:ascii="宋体" w:cs="宋体"/>
          <w:bCs/>
          <w:color w:val="auto"/>
          <w:szCs w:val="21"/>
          <w:highlight w:val="none"/>
        </w:rPr>
        <w:t>文件、报价文件</w:t>
      </w:r>
      <w:r>
        <w:rPr>
          <w:rFonts w:hint="eastAsia" w:ascii="宋体" w:cs="宋体"/>
          <w:bCs/>
          <w:color w:val="auto"/>
          <w:szCs w:val="21"/>
          <w:highlight w:val="none"/>
          <w:lang w:val="en-US" w:eastAsia="zh-CN"/>
        </w:rPr>
        <w:t>三</w:t>
      </w:r>
      <w:r>
        <w:rPr>
          <w:rFonts w:hint="eastAsia" w:ascii="宋体" w:cs="宋体"/>
          <w:bCs/>
          <w:color w:val="auto"/>
          <w:szCs w:val="21"/>
          <w:highlight w:val="none"/>
        </w:rPr>
        <w:t>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14:paraId="3022FD4A">
      <w:pPr>
        <w:spacing w:line="360" w:lineRule="auto"/>
        <w:ind w:firstLine="480" w:firstLineChars="200"/>
        <w:rPr>
          <w:rFonts w:ascii="宋体" w:cs="宋体"/>
          <w:color w:val="auto"/>
          <w:sz w:val="24"/>
          <w:highlight w:val="none"/>
        </w:rPr>
      </w:pPr>
      <w:bookmarkStart w:id="152" w:name="_Toc254970538"/>
      <w:bookmarkStart w:id="153" w:name="_Toc254970679"/>
      <w:r>
        <w:rPr>
          <w:rFonts w:hint="eastAsia" w:ascii="宋体" w:cs="宋体"/>
          <w:color w:val="auto"/>
          <w:sz w:val="24"/>
          <w:highlight w:val="none"/>
        </w:rPr>
        <w:t>16.投标报价</w:t>
      </w:r>
      <w:bookmarkEnd w:id="152"/>
      <w:bookmarkEnd w:id="153"/>
    </w:p>
    <w:p w14:paraId="2E64F6A6">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16.1投标报价应</w:t>
      </w:r>
      <w:r>
        <w:rPr>
          <w:rFonts w:hint="eastAsia" w:ascii="宋体" w:cs="宋体"/>
          <w:bCs/>
          <w:color w:val="auto"/>
          <w:szCs w:val="20"/>
          <w:highlight w:val="none"/>
        </w:rPr>
        <w:t>按“第六章　投标文件格式”中“开标一览表”格式填写。</w:t>
      </w:r>
    </w:p>
    <w:p w14:paraId="03749781">
      <w:pPr>
        <w:spacing w:line="360" w:lineRule="auto"/>
        <w:ind w:firstLine="420" w:firstLineChars="200"/>
        <w:rPr>
          <w:rFonts w:ascii="宋体" w:cs="宋体"/>
          <w:bCs/>
          <w:color w:val="auto"/>
          <w:szCs w:val="21"/>
          <w:highlight w:val="none"/>
        </w:rPr>
      </w:pPr>
      <w:bookmarkStart w:id="154" w:name="_16.2投标报价具体定义见投标人须知前附表。"/>
      <w:bookmarkEnd w:id="154"/>
      <w:r>
        <w:rPr>
          <w:rFonts w:hint="eastAsia" w:ascii="宋体" w:cs="宋体"/>
          <w:bCs/>
          <w:color w:val="auto"/>
          <w:szCs w:val="21"/>
          <w:highlight w:val="none"/>
        </w:rPr>
        <w:t>16.2投标报价具体包括内容详见“投标人须知前附表”。</w:t>
      </w:r>
    </w:p>
    <w:p w14:paraId="79128144">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16.3投标人必须就所投</w:t>
      </w:r>
      <w:r>
        <w:rPr>
          <w:rFonts w:hint="eastAsia" w:cs="宋体"/>
          <w:color w:val="auto"/>
          <w:szCs w:val="21"/>
          <w:highlight w:val="none"/>
        </w:rPr>
        <w:t>项目</w:t>
      </w:r>
      <w:r>
        <w:rPr>
          <w:rFonts w:hint="eastAsia" w:ascii="宋体" w:cs="宋体"/>
          <w:color w:val="auto"/>
          <w:szCs w:val="21"/>
          <w:highlight w:val="none"/>
        </w:rPr>
        <w:t>/</w:t>
      </w:r>
      <w:r>
        <w:rPr>
          <w:rFonts w:hint="eastAsia" w:ascii="宋体" w:cs="宋体"/>
          <w:bCs/>
          <w:color w:val="auto"/>
          <w:szCs w:val="21"/>
          <w:highlight w:val="none"/>
        </w:rPr>
        <w:t>每个分标的全部内容分别作完整唯一总价报价，不得存在漏项报价；投标人必须就所投</w:t>
      </w:r>
      <w:r>
        <w:rPr>
          <w:rFonts w:hint="eastAsia" w:cs="宋体"/>
          <w:color w:val="auto"/>
          <w:szCs w:val="21"/>
          <w:highlight w:val="none"/>
        </w:rPr>
        <w:t>项目</w:t>
      </w:r>
      <w:r>
        <w:rPr>
          <w:rFonts w:hint="eastAsia" w:ascii="宋体" w:cs="宋体"/>
          <w:color w:val="auto"/>
          <w:szCs w:val="21"/>
          <w:highlight w:val="none"/>
        </w:rPr>
        <w:t>/</w:t>
      </w:r>
      <w:r>
        <w:rPr>
          <w:rFonts w:hint="eastAsia" w:ascii="宋体" w:cs="宋体"/>
          <w:bCs/>
          <w:color w:val="auto"/>
          <w:szCs w:val="21"/>
          <w:highlight w:val="none"/>
        </w:rPr>
        <w:t>分标的单项内容作唯一报价。</w:t>
      </w:r>
    </w:p>
    <w:p w14:paraId="5562AF09">
      <w:pPr>
        <w:spacing w:line="360" w:lineRule="auto"/>
        <w:ind w:firstLine="480" w:firstLineChars="200"/>
        <w:rPr>
          <w:rFonts w:ascii="宋体" w:cs="宋体"/>
          <w:color w:val="auto"/>
          <w:sz w:val="24"/>
          <w:highlight w:val="none"/>
        </w:rPr>
      </w:pPr>
      <w:r>
        <w:rPr>
          <w:rFonts w:hint="eastAsia" w:ascii="宋体" w:cs="宋体"/>
          <w:color w:val="auto"/>
          <w:sz w:val="24"/>
          <w:highlight w:val="none"/>
        </w:rPr>
        <w:t>17.投标有效期</w:t>
      </w:r>
    </w:p>
    <w:p w14:paraId="062515A0">
      <w:pPr>
        <w:spacing w:line="360" w:lineRule="auto"/>
        <w:ind w:firstLine="420" w:firstLineChars="200"/>
        <w:rPr>
          <w:rFonts w:ascii="宋体" w:cs="宋体"/>
          <w:bCs/>
          <w:color w:val="auto"/>
          <w:szCs w:val="21"/>
          <w:highlight w:val="none"/>
        </w:rPr>
      </w:pPr>
      <w:bookmarkStart w:id="155" w:name="_17.1投标有效期应按“投标人须知中的前附表”规定的期限。"/>
      <w:bookmarkEnd w:id="155"/>
      <w:r>
        <w:rPr>
          <w:rFonts w:hint="eastAsia" w:ascii="宋体" w:cs="宋体"/>
          <w:bCs/>
          <w:color w:val="auto"/>
          <w:szCs w:val="21"/>
          <w:highlight w:val="none"/>
        </w:rPr>
        <w:t>17.1投标有效期是指为保证采购人有足够的时间在开标后完成评标、定标、合同签订等工作而要求投标人提交的投标文件在一定时间内保持有效的期限。</w:t>
      </w:r>
    </w:p>
    <w:p w14:paraId="356DC391">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17.2</w:t>
      </w:r>
      <w:bookmarkStart w:id="156" w:name="_Toc254970540"/>
      <w:bookmarkStart w:id="157" w:name="_Toc254970681"/>
      <w:r>
        <w:rPr>
          <w:rFonts w:hint="eastAsia" w:ascii="宋体" w:cs="宋体"/>
          <w:bCs/>
          <w:color w:val="auto"/>
          <w:szCs w:val="21"/>
          <w:highlight w:val="none"/>
        </w:rPr>
        <w:t xml:space="preserve"> 投标有效期应按规定的期限作出承诺，具体详见“投标人须知前附表”。</w:t>
      </w:r>
    </w:p>
    <w:p w14:paraId="7D2FB871">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17.3投标人的投标文件在投标有效期内均保持有效。</w:t>
      </w:r>
      <w:bookmarkEnd w:id="156"/>
      <w:bookmarkEnd w:id="157"/>
    </w:p>
    <w:p w14:paraId="15908F35">
      <w:pPr>
        <w:spacing w:line="360" w:lineRule="auto"/>
        <w:ind w:firstLine="480" w:firstLineChars="200"/>
        <w:rPr>
          <w:rFonts w:ascii="宋体" w:cs="宋体"/>
          <w:color w:val="auto"/>
          <w:sz w:val="24"/>
          <w:highlight w:val="none"/>
        </w:rPr>
      </w:pPr>
      <w:bookmarkStart w:id="158" w:name="_18.投标保证金"/>
      <w:bookmarkEnd w:id="158"/>
      <w:bookmarkStart w:id="159" w:name="_Toc254970541"/>
      <w:bookmarkStart w:id="160" w:name="_Toc254970682"/>
      <w:r>
        <w:rPr>
          <w:rFonts w:hint="eastAsia" w:ascii="宋体" w:cs="宋体"/>
          <w:color w:val="auto"/>
          <w:sz w:val="24"/>
          <w:highlight w:val="none"/>
        </w:rPr>
        <w:t>18.投标保证金</w:t>
      </w:r>
      <w:bookmarkEnd w:id="159"/>
      <w:bookmarkEnd w:id="160"/>
    </w:p>
    <w:p w14:paraId="56F29815">
      <w:pPr>
        <w:pStyle w:val="5"/>
        <w:keepNext w:val="0"/>
        <w:keepLines w:val="0"/>
        <w:spacing w:before="0" w:after="0" w:line="360" w:lineRule="auto"/>
        <w:ind w:left="420" w:leftChars="200"/>
        <w:rPr>
          <w:rFonts w:ascii="宋体" w:cs="宋体"/>
          <w:b w:val="0"/>
          <w:color w:val="auto"/>
          <w:sz w:val="21"/>
          <w:szCs w:val="21"/>
          <w:highlight w:val="none"/>
        </w:rPr>
      </w:pPr>
      <w:bookmarkStart w:id="161" w:name="_Toc254970542"/>
      <w:bookmarkStart w:id="162" w:name="_Toc254970683"/>
      <w:r>
        <w:rPr>
          <w:rFonts w:hint="eastAsia" w:ascii="宋体" w:cs="宋体"/>
          <w:b w:val="0"/>
          <w:color w:val="auto"/>
          <w:sz w:val="21"/>
          <w:szCs w:val="21"/>
          <w:highlight w:val="none"/>
        </w:rPr>
        <w:t>18.1投标人须按“投标人须知前附表” 的规定提交投标保证金。</w:t>
      </w:r>
    </w:p>
    <w:p w14:paraId="60B8EAB4">
      <w:pPr>
        <w:pStyle w:val="5"/>
        <w:keepNext w:val="0"/>
        <w:keepLines w:val="0"/>
        <w:spacing w:before="0" w:after="0" w:line="360" w:lineRule="auto"/>
        <w:ind w:left="420" w:leftChars="200"/>
        <w:rPr>
          <w:rFonts w:ascii="宋体" w:cs="宋体"/>
          <w:b w:val="0"/>
          <w:color w:val="auto"/>
          <w:sz w:val="21"/>
          <w:szCs w:val="21"/>
          <w:highlight w:val="none"/>
        </w:rPr>
      </w:pPr>
      <w:r>
        <w:rPr>
          <w:rFonts w:hint="eastAsia" w:ascii="宋体" w:cs="宋体"/>
          <w:b w:val="0"/>
          <w:color w:val="auto"/>
          <w:sz w:val="21"/>
          <w:szCs w:val="21"/>
          <w:highlight w:val="none"/>
        </w:rPr>
        <w:t>18.2投标保证金的退还</w:t>
      </w:r>
    </w:p>
    <w:p w14:paraId="1E0068F4">
      <w:pPr>
        <w:pStyle w:val="5"/>
        <w:keepNext w:val="0"/>
        <w:keepLines w:val="0"/>
        <w:spacing w:before="0" w:after="0" w:line="360" w:lineRule="auto"/>
        <w:ind w:left="420" w:leftChars="200"/>
        <w:rPr>
          <w:rFonts w:ascii="宋体" w:cs="宋体"/>
          <w:b w:val="0"/>
          <w:color w:val="auto"/>
          <w:sz w:val="21"/>
          <w:szCs w:val="21"/>
          <w:highlight w:val="none"/>
        </w:rPr>
      </w:pPr>
      <w:r>
        <w:rPr>
          <w:rFonts w:hint="eastAsia" w:ascii="宋体" w:cs="宋体"/>
          <w:b w:val="0"/>
          <w:color w:val="auto"/>
          <w:sz w:val="21"/>
          <w:szCs w:val="21"/>
          <w:highlight w:val="none"/>
        </w:rPr>
        <w:t>18.2.1未中标人的投标保证金自中标通知书发出之日起5个工作日内退还，退还方式如下：</w:t>
      </w:r>
    </w:p>
    <w:p w14:paraId="522E1AEE">
      <w:pPr>
        <w:pStyle w:val="5"/>
        <w:keepNext w:val="0"/>
        <w:keepLines w:val="0"/>
        <w:spacing w:before="0" w:after="0" w:line="360" w:lineRule="auto"/>
        <w:ind w:firstLine="315" w:firstLineChars="150"/>
        <w:rPr>
          <w:rFonts w:ascii="宋体" w:cs="宋体"/>
          <w:b w:val="0"/>
          <w:color w:val="auto"/>
          <w:sz w:val="21"/>
          <w:szCs w:val="21"/>
          <w:highlight w:val="none"/>
        </w:rPr>
      </w:pPr>
      <w:r>
        <w:rPr>
          <w:rFonts w:hint="eastAsia" w:ascii="宋体" w:cs="宋体"/>
          <w:b w:val="0"/>
          <w:color w:val="auto"/>
          <w:sz w:val="21"/>
          <w:szCs w:val="21"/>
          <w:highlight w:val="none"/>
        </w:rPr>
        <w:t>（1）采用银行转账方式的，以转账方式退回到投标人银行账户。</w:t>
      </w:r>
    </w:p>
    <w:p w14:paraId="4209D461">
      <w:pPr>
        <w:pStyle w:val="6"/>
        <w:spacing w:line="360" w:lineRule="auto"/>
        <w:ind w:firstLine="315" w:firstLineChars="150"/>
        <w:rPr>
          <w:rFonts w:ascii="宋体" w:cs="宋体"/>
          <w:color w:val="auto"/>
          <w:szCs w:val="21"/>
          <w:highlight w:val="none"/>
        </w:rPr>
      </w:pPr>
      <w:r>
        <w:rPr>
          <w:rFonts w:hint="eastAsia" w:ascii="宋体" w:cs="宋体"/>
          <w:color w:val="auto"/>
          <w:szCs w:val="21"/>
          <w:highlight w:val="none"/>
        </w:rPr>
        <w:t xml:space="preserve">（2）采用支票、汇票、本票或者金融机构、担保机构出具的保函等方式的，由投标人代表持相关授权证明材料至采购代理机构办理支票、汇票、本票或者金融机构、担保机构出具的保函等原件退还手续。 </w:t>
      </w:r>
    </w:p>
    <w:p w14:paraId="7BE3072D">
      <w:pPr>
        <w:pStyle w:val="5"/>
        <w:keepNext w:val="0"/>
        <w:keepLines w:val="0"/>
        <w:spacing w:before="0" w:after="0" w:line="360" w:lineRule="auto"/>
        <w:ind w:firstLine="420" w:firstLineChars="200"/>
        <w:rPr>
          <w:rFonts w:ascii="宋体" w:cs="宋体"/>
          <w:b w:val="0"/>
          <w:color w:val="auto"/>
          <w:sz w:val="21"/>
          <w:szCs w:val="21"/>
          <w:highlight w:val="none"/>
        </w:rPr>
      </w:pPr>
      <w:r>
        <w:rPr>
          <w:rFonts w:hint="eastAsia" w:ascii="宋体" w:cs="宋体"/>
          <w:b w:val="0"/>
          <w:color w:val="auto"/>
          <w:sz w:val="21"/>
          <w:szCs w:val="21"/>
          <w:highlight w:val="none"/>
        </w:rPr>
        <w:t xml:space="preserve">18.2.2中标人的投标保证金自采购合同签订之日起5个工作日内退还，退还方式同本须知正文第18.2.1。 </w:t>
      </w:r>
    </w:p>
    <w:p w14:paraId="3A44B5FE">
      <w:pPr>
        <w:pStyle w:val="5"/>
        <w:keepNext w:val="0"/>
        <w:keepLines w:val="0"/>
        <w:spacing w:before="0" w:after="0" w:line="360" w:lineRule="auto"/>
        <w:ind w:left="420" w:leftChars="200"/>
        <w:rPr>
          <w:rFonts w:ascii="宋体" w:cs="宋体"/>
          <w:b w:val="0"/>
          <w:color w:val="auto"/>
          <w:sz w:val="21"/>
          <w:szCs w:val="21"/>
          <w:highlight w:val="none"/>
        </w:rPr>
      </w:pPr>
      <w:r>
        <w:rPr>
          <w:rFonts w:hint="eastAsia" w:ascii="宋体" w:cs="宋体"/>
          <w:b w:val="0"/>
          <w:color w:val="auto"/>
          <w:sz w:val="21"/>
          <w:szCs w:val="21"/>
          <w:highlight w:val="none"/>
        </w:rPr>
        <w:t>18.3除逾期退还投标保证金和终止招标的情形以外，投标保证金不计息。</w:t>
      </w:r>
    </w:p>
    <w:p w14:paraId="548D0DC2">
      <w:pPr>
        <w:pStyle w:val="5"/>
        <w:keepNext w:val="0"/>
        <w:keepLines w:val="0"/>
        <w:spacing w:before="0" w:after="0" w:line="360" w:lineRule="auto"/>
        <w:ind w:left="420" w:leftChars="200"/>
        <w:rPr>
          <w:rFonts w:ascii="宋体" w:cs="宋体"/>
          <w:b w:val="0"/>
          <w:color w:val="auto"/>
          <w:sz w:val="21"/>
          <w:szCs w:val="21"/>
          <w:highlight w:val="none"/>
        </w:rPr>
      </w:pPr>
      <w:r>
        <w:rPr>
          <w:rFonts w:hint="eastAsia" w:ascii="宋体" w:cs="宋体"/>
          <w:b w:val="0"/>
          <w:color w:val="auto"/>
          <w:sz w:val="21"/>
          <w:szCs w:val="21"/>
          <w:highlight w:val="none"/>
        </w:rPr>
        <w:t>18.4投标人有下列情形之一的，投标保证金将不予退还：</w:t>
      </w:r>
    </w:p>
    <w:p w14:paraId="1B389229">
      <w:pPr>
        <w:pStyle w:val="5"/>
        <w:keepNext w:val="0"/>
        <w:keepLines w:val="0"/>
        <w:spacing w:before="0" w:after="0" w:line="360" w:lineRule="auto"/>
        <w:ind w:firstLine="315" w:firstLineChars="150"/>
        <w:rPr>
          <w:rFonts w:ascii="宋体" w:cs="宋体"/>
          <w:b w:val="0"/>
          <w:color w:val="auto"/>
          <w:sz w:val="21"/>
          <w:szCs w:val="21"/>
          <w:highlight w:val="none"/>
        </w:rPr>
      </w:pPr>
      <w:r>
        <w:rPr>
          <w:rFonts w:hint="eastAsia" w:ascii="宋体" w:cs="宋体"/>
          <w:b w:val="0"/>
          <w:color w:val="auto"/>
          <w:sz w:val="21"/>
          <w:szCs w:val="21"/>
          <w:highlight w:val="none"/>
        </w:rPr>
        <w:t>（1）投标人在投标有效期内撤销投标文件的；</w:t>
      </w:r>
    </w:p>
    <w:p w14:paraId="504398AA">
      <w:pPr>
        <w:pStyle w:val="5"/>
        <w:keepNext w:val="0"/>
        <w:keepLines w:val="0"/>
        <w:spacing w:before="0" w:after="0" w:line="360" w:lineRule="auto"/>
        <w:ind w:firstLine="315" w:firstLineChars="150"/>
        <w:rPr>
          <w:rFonts w:ascii="宋体" w:cs="宋体"/>
          <w:b w:val="0"/>
          <w:color w:val="auto"/>
          <w:sz w:val="21"/>
          <w:szCs w:val="21"/>
          <w:highlight w:val="none"/>
        </w:rPr>
      </w:pPr>
      <w:r>
        <w:rPr>
          <w:rFonts w:hint="eastAsia" w:ascii="宋体" w:cs="宋体"/>
          <w:b w:val="0"/>
          <w:color w:val="auto"/>
          <w:sz w:val="21"/>
          <w:szCs w:val="21"/>
          <w:highlight w:val="none"/>
        </w:rPr>
        <w:t>（2）未按规定提交履约保证金的；</w:t>
      </w:r>
    </w:p>
    <w:p w14:paraId="5F674A37">
      <w:pPr>
        <w:pStyle w:val="5"/>
        <w:keepNext w:val="0"/>
        <w:keepLines w:val="0"/>
        <w:spacing w:before="0" w:after="0" w:line="360" w:lineRule="auto"/>
        <w:ind w:firstLine="315" w:firstLineChars="150"/>
        <w:rPr>
          <w:rFonts w:ascii="宋体" w:cs="宋体"/>
          <w:b w:val="0"/>
          <w:color w:val="auto"/>
          <w:sz w:val="21"/>
          <w:szCs w:val="21"/>
          <w:highlight w:val="none"/>
        </w:rPr>
      </w:pPr>
      <w:r>
        <w:rPr>
          <w:rFonts w:hint="eastAsia" w:ascii="宋体" w:cs="宋体"/>
          <w:b w:val="0"/>
          <w:color w:val="auto"/>
          <w:sz w:val="21"/>
          <w:szCs w:val="21"/>
          <w:highlight w:val="none"/>
        </w:rPr>
        <w:t>（3）投标人在投标过程中弄虚作假，提供虚假材料的；</w:t>
      </w:r>
    </w:p>
    <w:p w14:paraId="396C75AE">
      <w:pPr>
        <w:pStyle w:val="5"/>
        <w:keepNext w:val="0"/>
        <w:keepLines w:val="0"/>
        <w:spacing w:before="0" w:after="0" w:line="360" w:lineRule="auto"/>
        <w:ind w:firstLine="315" w:firstLineChars="150"/>
        <w:rPr>
          <w:rFonts w:ascii="宋体" w:cs="宋体"/>
          <w:b w:val="0"/>
          <w:color w:val="auto"/>
          <w:sz w:val="21"/>
          <w:szCs w:val="21"/>
          <w:highlight w:val="none"/>
        </w:rPr>
      </w:pPr>
      <w:r>
        <w:rPr>
          <w:rFonts w:hint="eastAsia" w:ascii="宋体" w:cs="宋体"/>
          <w:b w:val="0"/>
          <w:color w:val="auto"/>
          <w:sz w:val="21"/>
          <w:szCs w:val="21"/>
          <w:highlight w:val="none"/>
        </w:rPr>
        <w:t>（4）中标人无正当理由不与采购人签订合同的；</w:t>
      </w:r>
    </w:p>
    <w:p w14:paraId="40249C71">
      <w:pPr>
        <w:pStyle w:val="5"/>
        <w:keepNext w:val="0"/>
        <w:keepLines w:val="0"/>
        <w:spacing w:before="0" w:after="0" w:line="360" w:lineRule="auto"/>
        <w:ind w:firstLine="315" w:firstLineChars="150"/>
        <w:rPr>
          <w:rFonts w:ascii="宋体" w:cs="宋体"/>
          <w:b w:val="0"/>
          <w:color w:val="auto"/>
          <w:sz w:val="21"/>
          <w:szCs w:val="21"/>
          <w:highlight w:val="none"/>
        </w:rPr>
      </w:pPr>
      <w:r>
        <w:rPr>
          <w:rFonts w:hint="eastAsia" w:ascii="宋体" w:cs="宋体"/>
          <w:b w:val="0"/>
          <w:color w:val="auto"/>
          <w:sz w:val="21"/>
          <w:szCs w:val="21"/>
          <w:highlight w:val="none"/>
        </w:rPr>
        <w:t>（5）投标人出现本章第9.2、9.3情形的；</w:t>
      </w:r>
    </w:p>
    <w:p w14:paraId="114CDDC5">
      <w:pPr>
        <w:pStyle w:val="5"/>
        <w:keepNext w:val="0"/>
        <w:keepLines w:val="0"/>
        <w:spacing w:before="0" w:after="0" w:line="360" w:lineRule="auto"/>
        <w:ind w:firstLine="315" w:firstLineChars="150"/>
        <w:rPr>
          <w:rFonts w:ascii="宋体" w:cs="宋体"/>
          <w:b w:val="0"/>
          <w:color w:val="auto"/>
          <w:sz w:val="21"/>
          <w:szCs w:val="21"/>
          <w:highlight w:val="none"/>
        </w:rPr>
      </w:pPr>
      <w:r>
        <w:rPr>
          <w:rFonts w:hint="eastAsia" w:ascii="宋体" w:cs="宋体"/>
          <w:b w:val="0"/>
          <w:color w:val="auto"/>
          <w:sz w:val="21"/>
          <w:szCs w:val="21"/>
          <w:highlight w:val="none"/>
        </w:rPr>
        <w:t>（6）其他严重扰乱招投标程序的。</w:t>
      </w:r>
    </w:p>
    <w:p w14:paraId="5AF98353">
      <w:pPr>
        <w:spacing w:line="360" w:lineRule="auto"/>
        <w:ind w:firstLine="480" w:firstLineChars="200"/>
        <w:rPr>
          <w:rFonts w:ascii="宋体" w:cs="宋体"/>
          <w:color w:val="auto"/>
          <w:sz w:val="24"/>
          <w:highlight w:val="none"/>
        </w:rPr>
      </w:pPr>
      <w:r>
        <w:rPr>
          <w:rFonts w:hint="eastAsia" w:ascii="宋体" w:cs="宋体"/>
          <w:color w:val="auto"/>
          <w:sz w:val="24"/>
          <w:highlight w:val="none"/>
        </w:rPr>
        <w:t>19.投标文件的</w:t>
      </w:r>
      <w:bookmarkEnd w:id="161"/>
      <w:bookmarkEnd w:id="162"/>
      <w:r>
        <w:rPr>
          <w:rFonts w:hint="eastAsia" w:ascii="宋体" w:cs="宋体"/>
          <w:color w:val="auto"/>
          <w:sz w:val="24"/>
          <w:highlight w:val="none"/>
        </w:rPr>
        <w:t>编制</w:t>
      </w:r>
    </w:p>
    <w:p w14:paraId="0FDF93C9">
      <w:pPr>
        <w:spacing w:line="360" w:lineRule="auto"/>
        <w:ind w:firstLine="422" w:firstLineChars="200"/>
        <w:rPr>
          <w:rFonts w:ascii="宋体" w:cs="宋体"/>
          <w:color w:val="auto"/>
          <w:szCs w:val="21"/>
          <w:highlight w:val="none"/>
        </w:rPr>
      </w:pPr>
      <w:r>
        <w:rPr>
          <w:rFonts w:hint="eastAsia" w:ascii="宋体" w:cs="宋体"/>
          <w:b/>
          <w:color w:val="auto"/>
          <w:szCs w:val="21"/>
          <w:highlight w:val="none"/>
        </w:rPr>
        <w:t xml:space="preserve"> </w:t>
      </w:r>
      <w:r>
        <w:rPr>
          <w:rFonts w:hint="eastAsia" w:ascii="宋体" w:cs="宋体"/>
          <w:color w:val="auto"/>
          <w:szCs w:val="21"/>
          <w:highlight w:val="none"/>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63" w:name="_19.2投标文件应按报价文件、资格证明文件、商务文件、技术文件分别编制"/>
      <w:bookmarkEnd w:id="163"/>
    </w:p>
    <w:p w14:paraId="07D1275E">
      <w:pPr>
        <w:spacing w:line="360" w:lineRule="auto"/>
        <w:ind w:firstLine="420" w:firstLineChars="200"/>
        <w:rPr>
          <w:rFonts w:ascii="宋体" w:cs="宋体"/>
          <w:b/>
          <w:color w:val="auto"/>
          <w:szCs w:val="21"/>
          <w:highlight w:val="none"/>
        </w:rPr>
      </w:pPr>
      <w:r>
        <w:rPr>
          <w:rFonts w:hint="eastAsia" w:ascii="宋体" w:cs="宋体"/>
          <w:color w:val="auto"/>
          <w:szCs w:val="21"/>
          <w:highlight w:val="none"/>
        </w:rPr>
        <w:t>19.2投标文件按照招标文件第六章格式要求进行签署、盖章。投标人的投标文件未按照招标文件要求签署、盖章的，</w:t>
      </w:r>
      <w:r>
        <w:rPr>
          <w:rFonts w:hint="eastAsia" w:ascii="宋体" w:cs="宋体"/>
          <w:b/>
          <w:color w:val="auto"/>
          <w:szCs w:val="21"/>
          <w:highlight w:val="none"/>
        </w:rPr>
        <w:t>其投标无效。</w:t>
      </w:r>
    </w:p>
    <w:p w14:paraId="7FA9559D">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19.3为确保网上操作合法、有效和安全，投标人应当在投标截止时间前完成在广西政府采购云平台的身份认证，确保在电子投标过程中能够对相关数据电文进行加密和使用电子签名。</w:t>
      </w:r>
    </w:p>
    <w:p w14:paraId="79388684">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cs="宋体"/>
          <w:b/>
          <w:bCs/>
          <w:color w:val="auto"/>
          <w:szCs w:val="21"/>
          <w:highlight w:val="none"/>
        </w:rPr>
        <w:t>否则作无效投标处理</w:t>
      </w:r>
      <w:r>
        <w:rPr>
          <w:rFonts w:hint="eastAsia" w:ascii="宋体" w:cs="宋体"/>
          <w:b/>
          <w:color w:val="auto"/>
          <w:szCs w:val="21"/>
          <w:highlight w:val="none"/>
        </w:rPr>
        <w:t>。</w:t>
      </w:r>
    </w:p>
    <w:p w14:paraId="75BE7587">
      <w:pPr>
        <w:spacing w:line="360" w:lineRule="auto"/>
        <w:ind w:firstLine="420" w:firstLineChars="200"/>
        <w:rPr>
          <w:rFonts w:ascii="宋体" w:cs="宋体"/>
          <w:b/>
          <w:color w:val="auto"/>
          <w:szCs w:val="21"/>
          <w:highlight w:val="none"/>
        </w:rPr>
      </w:pPr>
      <w:r>
        <w:rPr>
          <w:rFonts w:hint="eastAsia" w:ascii="宋体" w:cs="宋体"/>
          <w:color w:val="auto"/>
          <w:szCs w:val="21"/>
          <w:highlight w:val="none"/>
        </w:rPr>
        <w:t xml:space="preserve"> 19.5投标文件应避免涂改、行间插字或者删除</w:t>
      </w:r>
      <w:r>
        <w:rPr>
          <w:rFonts w:hint="eastAsia" w:ascii="宋体" w:cs="宋体"/>
          <w:b/>
          <w:color w:val="auto"/>
          <w:szCs w:val="21"/>
          <w:highlight w:val="none"/>
        </w:rPr>
        <w:t>。</w:t>
      </w:r>
    </w:p>
    <w:p w14:paraId="2E595F88">
      <w:pPr>
        <w:spacing w:line="360" w:lineRule="auto"/>
        <w:ind w:firstLine="520" w:firstLineChars="248"/>
        <w:rPr>
          <w:rFonts w:ascii="宋体" w:cs="宋体"/>
          <w:color w:val="auto"/>
          <w:highlight w:val="none"/>
        </w:rPr>
      </w:pPr>
      <w:r>
        <w:rPr>
          <w:rFonts w:hint="eastAsia" w:ascii="宋体" w:cs="宋体"/>
          <w:color w:val="auto"/>
          <w:highlight w:val="none"/>
        </w:rPr>
        <w:t>19.6 对招标文件的实质性要求和条件作出响应是指投标人必须对招标文件中标注为实质性要求和条件的</w:t>
      </w:r>
      <w:r>
        <w:rPr>
          <w:rFonts w:hint="eastAsia" w:ascii="宋体" w:cs="宋体"/>
          <w:color w:val="auto"/>
          <w:szCs w:val="21"/>
          <w:highlight w:val="none"/>
        </w:rPr>
        <w:t>货物内容及要求</w:t>
      </w:r>
      <w:r>
        <w:rPr>
          <w:rFonts w:hint="eastAsia" w:ascii="宋体" w:cs="宋体"/>
          <w:color w:val="auto"/>
          <w:highlight w:val="none"/>
        </w:rPr>
        <w:t>、商务条款及其它内容</w:t>
      </w:r>
      <w:r>
        <w:rPr>
          <w:rFonts w:hint="eastAsia" w:ascii="宋体" w:cs="宋体"/>
          <w:b/>
          <w:color w:val="auto"/>
          <w:highlight w:val="none"/>
        </w:rPr>
        <w:t>作出满足或者优于原要求和条件的承诺</w:t>
      </w:r>
      <w:r>
        <w:rPr>
          <w:rFonts w:hint="eastAsia" w:ascii="宋体" w:cs="宋体"/>
          <w:color w:val="auto"/>
          <w:highlight w:val="none"/>
        </w:rPr>
        <w:t>。</w:t>
      </w:r>
    </w:p>
    <w:p w14:paraId="7EC05503">
      <w:pPr>
        <w:spacing w:line="360" w:lineRule="auto"/>
        <w:ind w:firstLine="523" w:firstLineChars="248"/>
        <w:rPr>
          <w:rFonts w:ascii="宋体" w:cs="宋体"/>
          <w:b/>
          <w:color w:val="auto"/>
          <w:szCs w:val="21"/>
          <w:highlight w:val="none"/>
          <w:u w:val="single"/>
        </w:rPr>
      </w:pPr>
      <w:r>
        <w:rPr>
          <w:rFonts w:hint="eastAsia" w:ascii="宋体" w:cs="宋体"/>
          <w:b/>
          <w:color w:val="auto"/>
          <w:szCs w:val="21"/>
          <w:highlight w:val="none"/>
          <w:u w:val="single"/>
        </w:rPr>
        <w:t>19.7本项目为全流程电子化项目，异常情况见“第二节 投标人须知正文”中“四、24.2开标程序”。</w:t>
      </w:r>
    </w:p>
    <w:p w14:paraId="48430049">
      <w:pPr>
        <w:spacing w:line="360" w:lineRule="auto"/>
        <w:ind w:firstLine="480" w:firstLineChars="200"/>
        <w:rPr>
          <w:rFonts w:ascii="宋体" w:cs="宋体"/>
          <w:color w:val="auto"/>
          <w:sz w:val="24"/>
          <w:highlight w:val="none"/>
        </w:rPr>
      </w:pPr>
      <w:r>
        <w:rPr>
          <w:rFonts w:hint="eastAsia" w:ascii="宋体" w:cs="宋体"/>
          <w:color w:val="auto"/>
          <w:sz w:val="24"/>
          <w:highlight w:val="none"/>
        </w:rPr>
        <w:t>20.备份投标文件</w:t>
      </w:r>
    </w:p>
    <w:p w14:paraId="5E54253B">
      <w:pPr>
        <w:spacing w:line="360" w:lineRule="auto"/>
        <w:ind w:firstLine="420" w:firstLineChars="200"/>
        <w:rPr>
          <w:rFonts w:ascii="宋体" w:cs="宋体"/>
          <w:color w:val="auto"/>
          <w:sz w:val="24"/>
          <w:highlight w:val="none"/>
        </w:rPr>
      </w:pPr>
      <w:r>
        <w:rPr>
          <w:rFonts w:hint="eastAsia" w:ascii="宋体" w:cs="宋体"/>
          <w:bCs/>
          <w:color w:val="auto"/>
          <w:szCs w:val="21"/>
          <w:highlight w:val="none"/>
        </w:rPr>
        <w:t>详见在“投标人须知前附表”。</w:t>
      </w:r>
    </w:p>
    <w:p w14:paraId="4C315C6E">
      <w:pPr>
        <w:spacing w:line="360" w:lineRule="auto"/>
        <w:ind w:firstLine="480" w:firstLineChars="200"/>
        <w:rPr>
          <w:rFonts w:ascii="宋体" w:cs="宋体"/>
          <w:color w:val="auto"/>
          <w:sz w:val="24"/>
          <w:highlight w:val="none"/>
        </w:rPr>
      </w:pPr>
      <w:r>
        <w:rPr>
          <w:rFonts w:hint="eastAsia" w:ascii="宋体" w:cs="宋体"/>
          <w:color w:val="auto"/>
          <w:sz w:val="24"/>
          <w:highlight w:val="none"/>
        </w:rPr>
        <w:t>21.投标文件的提交</w:t>
      </w:r>
    </w:p>
    <w:p w14:paraId="61B18E5A">
      <w:pPr>
        <w:spacing w:line="360" w:lineRule="auto"/>
        <w:ind w:firstLine="420" w:firstLineChars="200"/>
        <w:rPr>
          <w:rFonts w:ascii="宋体" w:cs="宋体"/>
          <w:b/>
          <w:color w:val="auto"/>
          <w:highlight w:val="none"/>
        </w:rPr>
      </w:pPr>
      <w:bookmarkStart w:id="164" w:name="_21.1投标人必须在“投标人须知中的前附表”规定的投标文件接收时间和投"/>
      <w:bookmarkEnd w:id="164"/>
      <w:r>
        <w:rPr>
          <w:rFonts w:hint="eastAsia" w:ascii="宋体" w:cs="宋体"/>
          <w:bCs/>
          <w:color w:val="auto"/>
          <w:szCs w:val="21"/>
          <w:highlight w:val="none"/>
        </w:rPr>
        <w:t xml:space="preserve">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广西政府采购云平台。 </w:t>
      </w:r>
      <w:r>
        <w:rPr>
          <w:rFonts w:hint="eastAsia" w:ascii="宋体" w:cs="宋体"/>
          <w:b/>
          <w:color w:val="auto"/>
          <w:highlight w:val="none"/>
        </w:rPr>
        <w:t xml:space="preserve"> </w:t>
      </w:r>
    </w:p>
    <w:p w14:paraId="29CAE0A4">
      <w:pPr>
        <w:spacing w:line="360" w:lineRule="auto"/>
        <w:ind w:firstLine="422" w:firstLineChars="200"/>
        <w:rPr>
          <w:rFonts w:ascii="宋体" w:cs="宋体"/>
          <w:b/>
          <w:color w:val="auto"/>
          <w:szCs w:val="20"/>
          <w:highlight w:val="none"/>
        </w:rPr>
      </w:pPr>
      <w:r>
        <w:rPr>
          <w:rFonts w:hint="eastAsia" w:ascii="宋体" w:cs="宋体"/>
          <w:b/>
          <w:color w:val="auto"/>
          <w:szCs w:val="21"/>
          <w:highlight w:val="none"/>
        </w:rPr>
        <w:t>21.2未在规定时间内提交或者未按照招标文件要求密封或者标记的电子投标文件，广西政府采购云平台将拒收。</w:t>
      </w:r>
    </w:p>
    <w:p w14:paraId="73481902">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21.3电子版投标文件提交方式见“招标公告”</w:t>
      </w:r>
      <w:r>
        <w:rPr>
          <w:rFonts w:hint="eastAsia" w:ascii="宋体" w:cs="宋体"/>
          <w:b/>
          <w:color w:val="auto"/>
          <w:szCs w:val="21"/>
          <w:highlight w:val="none"/>
        </w:rPr>
        <w:t xml:space="preserve"> 。</w:t>
      </w:r>
    </w:p>
    <w:p w14:paraId="522BD8B0">
      <w:pPr>
        <w:spacing w:line="360" w:lineRule="auto"/>
        <w:ind w:firstLine="480" w:firstLineChars="200"/>
        <w:rPr>
          <w:rFonts w:ascii="宋体" w:cs="宋体"/>
          <w:color w:val="auto"/>
          <w:sz w:val="24"/>
          <w:highlight w:val="none"/>
        </w:rPr>
      </w:pPr>
      <w:r>
        <w:rPr>
          <w:rFonts w:hint="eastAsia" w:ascii="宋体" w:cs="宋体"/>
          <w:color w:val="auto"/>
          <w:sz w:val="24"/>
          <w:highlight w:val="none"/>
        </w:rPr>
        <w:t>22. 投标文件的补充、修改、撤回</w:t>
      </w:r>
      <w:bookmarkStart w:id="165" w:name="_Toc254970543"/>
      <w:bookmarkStart w:id="166" w:name="_Toc254970684"/>
    </w:p>
    <w:p w14:paraId="72C198FF">
      <w:pPr>
        <w:spacing w:line="360" w:lineRule="auto"/>
        <w:ind w:firstLine="420" w:firstLineChars="200"/>
        <w:rPr>
          <w:rFonts w:ascii="宋体" w:cs="宋体"/>
          <w:color w:val="auto"/>
          <w:sz w:val="24"/>
          <w:highlight w:val="none"/>
        </w:rPr>
      </w:pPr>
      <w:r>
        <w:rPr>
          <w:rFonts w:hint="eastAsia" w:ascii="宋体" w:cs="宋体"/>
          <w:color w:val="auto"/>
          <w:szCs w:val="21"/>
          <w:highlight w:val="none"/>
        </w:rPr>
        <w:t>22.1 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提交的投标文件，广西政府采购云平台将拒收。</w:t>
      </w:r>
    </w:p>
    <w:p w14:paraId="408C1892">
      <w:pPr>
        <w:pStyle w:val="55"/>
        <w:spacing w:before="0"/>
        <w:ind w:firstLine="420"/>
        <w:rPr>
          <w:rFonts w:ascii="宋体" w:cs="宋体"/>
          <w:color w:val="auto"/>
          <w:szCs w:val="21"/>
          <w:highlight w:val="none"/>
        </w:rPr>
      </w:pPr>
      <w:r>
        <w:rPr>
          <w:rFonts w:hint="eastAsia" w:ascii="宋体" w:cs="宋体"/>
          <w:color w:val="auto"/>
          <w:sz w:val="21"/>
          <w:szCs w:val="21"/>
          <w:highlight w:val="none"/>
        </w:rPr>
        <w:t>22.2 广西政府采购云平台收到投标文件，将妥善保存并即时向投标人发出确认回执通知。在投标截止时间前，除投标人补充、修改或者撤回投标文件外，任何单位和个人不得解密或提取投标文件。</w:t>
      </w:r>
      <w:bookmarkEnd w:id="165"/>
      <w:bookmarkEnd w:id="166"/>
    </w:p>
    <w:p w14:paraId="52037D2A">
      <w:pPr>
        <w:pStyle w:val="17"/>
        <w:rPr>
          <w:color w:val="auto"/>
          <w:highlight w:val="none"/>
        </w:rPr>
      </w:pPr>
    </w:p>
    <w:p w14:paraId="71BC450F">
      <w:pPr>
        <w:pStyle w:val="11"/>
        <w:snapToGrid w:val="0"/>
        <w:spacing w:line="400" w:lineRule="exact"/>
        <w:ind w:firstLine="739"/>
        <w:rPr>
          <w:rFonts w:cs="宋体"/>
          <w:snapToGrid w:val="0"/>
          <w:color w:val="auto"/>
          <w:sz w:val="21"/>
          <w:szCs w:val="21"/>
          <w:highlight w:val="none"/>
        </w:rPr>
      </w:pPr>
    </w:p>
    <w:p w14:paraId="75583D5E">
      <w:pPr>
        <w:pStyle w:val="4"/>
        <w:rPr>
          <w:color w:val="auto"/>
          <w:highlight w:val="none"/>
        </w:rPr>
      </w:pPr>
      <w:bookmarkStart w:id="167" w:name="_Toc13173"/>
      <w:bookmarkStart w:id="168" w:name="_Toc6762"/>
      <w:bookmarkStart w:id="169" w:name="_Toc20797"/>
      <w:bookmarkStart w:id="170" w:name="_Toc254970544"/>
      <w:bookmarkStart w:id="171" w:name="_Toc20620"/>
      <w:bookmarkStart w:id="172" w:name="_Toc254970685"/>
      <w:bookmarkStart w:id="173" w:name="_Toc20871"/>
      <w:r>
        <w:rPr>
          <w:rFonts w:hint="eastAsia"/>
          <w:color w:val="auto"/>
          <w:highlight w:val="none"/>
        </w:rPr>
        <w:t>四、开    标</w:t>
      </w:r>
      <w:bookmarkEnd w:id="167"/>
      <w:bookmarkEnd w:id="168"/>
      <w:bookmarkEnd w:id="169"/>
      <w:bookmarkEnd w:id="170"/>
      <w:bookmarkEnd w:id="171"/>
      <w:bookmarkEnd w:id="172"/>
      <w:bookmarkEnd w:id="173"/>
    </w:p>
    <w:p w14:paraId="27DBA6D0">
      <w:pPr>
        <w:spacing w:line="360" w:lineRule="auto"/>
        <w:ind w:firstLine="480" w:firstLineChars="200"/>
        <w:rPr>
          <w:rFonts w:ascii="宋体" w:cs="宋体"/>
          <w:color w:val="auto"/>
          <w:sz w:val="24"/>
          <w:highlight w:val="none"/>
        </w:rPr>
      </w:pPr>
      <w:bookmarkStart w:id="174" w:name="_23.开标时间和地点"/>
      <w:bookmarkEnd w:id="174"/>
      <w:r>
        <w:rPr>
          <w:rFonts w:hint="eastAsia" w:ascii="宋体" w:cs="宋体"/>
          <w:color w:val="auto"/>
          <w:sz w:val="24"/>
          <w:highlight w:val="none"/>
        </w:rPr>
        <w:t>23.开标时间和地点</w:t>
      </w:r>
    </w:p>
    <w:p w14:paraId="1391F46B">
      <w:pPr>
        <w:spacing w:line="360" w:lineRule="auto"/>
        <w:ind w:firstLine="420" w:firstLineChars="200"/>
        <w:rPr>
          <w:rFonts w:ascii="宋体" w:cs="宋体"/>
          <w:bCs/>
          <w:color w:val="auto"/>
          <w:highlight w:val="none"/>
        </w:rPr>
      </w:pPr>
      <w:r>
        <w:rPr>
          <w:rFonts w:hint="eastAsia" w:ascii="宋体" w:cs="宋体"/>
          <w:bCs/>
          <w:color w:val="auto"/>
          <w:highlight w:val="none"/>
        </w:rPr>
        <w:t>23.1开标时间及地点详见“投标人须知前附表”</w:t>
      </w:r>
    </w:p>
    <w:p w14:paraId="016D21E1">
      <w:pPr>
        <w:spacing w:line="360" w:lineRule="auto"/>
        <w:ind w:firstLine="420" w:firstLineChars="200"/>
        <w:rPr>
          <w:rFonts w:ascii="宋体" w:cs="宋体"/>
          <w:color w:val="auto"/>
          <w:highlight w:val="none"/>
        </w:rPr>
      </w:pPr>
      <w:r>
        <w:rPr>
          <w:rFonts w:hint="eastAsia" w:ascii="宋体" w:cs="宋体"/>
          <w:color w:val="auto"/>
          <w:highlight w:val="none"/>
        </w:rPr>
        <w:t>23.2如</w:t>
      </w:r>
      <w:r>
        <w:rPr>
          <w:rFonts w:hint="eastAsia" w:ascii="宋体" w:cs="宋体"/>
          <w:bCs/>
          <w:color w:val="auto"/>
          <w:highlight w:val="none"/>
        </w:rPr>
        <w:t>投标人成功解密投标文件，但未在广西政府采购云电子开标大厅参加开标的，视同认可开标过程和结果，</w:t>
      </w:r>
      <w:r>
        <w:rPr>
          <w:rFonts w:hint="eastAsia" w:ascii="宋体" w:cs="宋体"/>
          <w:color w:val="auto"/>
          <w:highlight w:val="none"/>
        </w:rPr>
        <w:t>由此产生的后果由投标人自行负责。 投标人不足3家的，不得开标。</w:t>
      </w:r>
    </w:p>
    <w:p w14:paraId="4DAD9BE0">
      <w:pPr>
        <w:spacing w:line="360" w:lineRule="auto"/>
        <w:ind w:firstLine="480" w:firstLineChars="200"/>
        <w:rPr>
          <w:rFonts w:ascii="宋体" w:cs="宋体"/>
          <w:color w:val="auto"/>
          <w:sz w:val="24"/>
          <w:highlight w:val="none"/>
        </w:rPr>
      </w:pPr>
      <w:r>
        <w:rPr>
          <w:rFonts w:hint="eastAsia" w:ascii="宋体" w:cs="宋体"/>
          <w:color w:val="auto"/>
          <w:sz w:val="24"/>
          <w:highlight w:val="none"/>
        </w:rPr>
        <w:t>24.开标程序</w:t>
      </w:r>
    </w:p>
    <w:p w14:paraId="4B1C485B">
      <w:pPr>
        <w:autoSpaceDE w:val="0"/>
        <w:autoSpaceDN w:val="0"/>
        <w:adjustRightInd w:val="0"/>
        <w:spacing w:line="440" w:lineRule="exact"/>
        <w:ind w:firstLine="420" w:firstLineChars="200"/>
        <w:rPr>
          <w:rFonts w:ascii="宋体" w:cs="宋体"/>
          <w:color w:val="auto"/>
          <w:kern w:val="0"/>
          <w:szCs w:val="21"/>
          <w:highlight w:val="none"/>
        </w:rPr>
      </w:pPr>
      <w:r>
        <w:rPr>
          <w:rFonts w:hint="eastAsia" w:ascii="宋体" w:cs="宋体"/>
          <w:bCs/>
          <w:color w:val="auto"/>
          <w:szCs w:val="21"/>
          <w:highlight w:val="none"/>
        </w:rPr>
        <w:t>24.1</w:t>
      </w:r>
      <w:r>
        <w:rPr>
          <w:rFonts w:hint="eastAsia" w:ascii="宋体" w:cs="宋体"/>
          <w:color w:val="auto"/>
          <w:kern w:val="0"/>
          <w:szCs w:val="21"/>
          <w:highlight w:val="none"/>
        </w:rPr>
        <w:t>开标形式：</w:t>
      </w:r>
    </w:p>
    <w:p w14:paraId="740C46C3">
      <w:pPr>
        <w:autoSpaceDE w:val="0"/>
        <w:autoSpaceDN w:val="0"/>
        <w:adjustRightInd w:val="0"/>
        <w:spacing w:line="440" w:lineRule="exact"/>
        <w:ind w:firstLine="420" w:firstLineChars="200"/>
        <w:rPr>
          <w:rFonts w:ascii="宋体" w:cs="宋体"/>
          <w:bCs/>
          <w:color w:val="auto"/>
          <w:szCs w:val="21"/>
          <w:highlight w:val="none"/>
        </w:rPr>
      </w:pPr>
      <w:r>
        <w:rPr>
          <w:rFonts w:hint="eastAsia" w:ascii="宋体" w:cs="宋体"/>
          <w:color w:val="auto"/>
          <w:szCs w:val="21"/>
          <w:highlight w:val="none"/>
        </w:rPr>
        <w:t>（1）</w:t>
      </w:r>
      <w:r>
        <w:rPr>
          <w:rFonts w:hint="eastAsia" w:ascii="宋体" w:cs="宋体"/>
          <w:bCs/>
          <w:color w:val="auto"/>
          <w:szCs w:val="21"/>
          <w:highlight w:val="none"/>
        </w:rPr>
        <w:t>开标的准备工作由采购代理机构负责落实，采购代理机构必须基于广西政府采购云平台依法抽取评审专家，如采购代理机构未按规定抽取专家的，视为本次开评标无效，应当重新采购；</w:t>
      </w:r>
    </w:p>
    <w:p w14:paraId="1D1F0AD7">
      <w:pPr>
        <w:autoSpaceDE w:val="0"/>
        <w:autoSpaceDN w:val="0"/>
        <w:adjustRightInd w:val="0"/>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2）采购代理机构将按照招标文件规定的时间通过广西政府采购云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3D6D51EF">
      <w:pPr>
        <w:autoSpaceDE w:val="0"/>
        <w:autoSpaceDN w:val="0"/>
        <w:adjustRightInd w:val="0"/>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24.2开标程序：</w:t>
      </w:r>
    </w:p>
    <w:p w14:paraId="7DA7515C">
      <w:pPr>
        <w:pStyle w:val="9"/>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（1）</w:t>
      </w:r>
      <w:r>
        <w:rPr>
          <w:rFonts w:hint="eastAsia" w:cs="宋体"/>
          <w:b/>
          <w:color w:val="auto"/>
          <w:szCs w:val="21"/>
          <w:highlight w:val="none"/>
        </w:rPr>
        <w:t>解密电子投标文件。</w:t>
      </w:r>
      <w:r>
        <w:rPr>
          <w:rFonts w:hint="eastAsia" w:cs="宋体"/>
          <w:bCs/>
          <w:color w:val="auto"/>
          <w:szCs w:val="21"/>
          <w:highlight w:val="none"/>
        </w:rPr>
        <w:t>广西政府采购云</w:t>
      </w:r>
      <w:r>
        <w:rPr>
          <w:rFonts w:ascii="宋体" w:cs="仿宋"/>
          <w:color w:val="auto"/>
          <w:szCs w:val="21"/>
          <w:highlight w:val="none"/>
        </w:rPr>
        <w:t>平台按开标时间自动提取所有投标文件。采购代理机构依托</w:t>
      </w:r>
      <w:r>
        <w:rPr>
          <w:rFonts w:hint="eastAsia" w:ascii="宋体" w:cs="仿宋"/>
          <w:color w:val="auto"/>
          <w:szCs w:val="21"/>
          <w:highlight w:val="none"/>
        </w:rPr>
        <w:t>广西政府采购云</w:t>
      </w:r>
      <w:r>
        <w:rPr>
          <w:rFonts w:ascii="宋体" w:cs="仿宋"/>
          <w:color w:val="auto"/>
          <w:szCs w:val="21"/>
          <w:highlight w:val="none"/>
        </w:rPr>
        <w:t>平台</w:t>
      </w:r>
      <w:r>
        <w:rPr>
          <w:rFonts w:ascii="宋体" w:cs="宋体"/>
          <w:color w:val="auto"/>
          <w:szCs w:val="21"/>
          <w:highlight w:val="none"/>
        </w:rPr>
        <w:t>向各投标人发出电子加密投标文件【开始解密】通知，由投标人</w:t>
      </w:r>
      <w:r>
        <w:rPr>
          <w:rFonts w:hint="eastAsia" w:ascii="宋体" w:cs="宋体"/>
          <w:color w:val="auto"/>
          <w:szCs w:val="21"/>
          <w:highlight w:val="none"/>
        </w:rPr>
        <w:t>在</w:t>
      </w:r>
      <w:r>
        <w:rPr>
          <w:rFonts w:ascii="宋体" w:cs="宋体"/>
          <w:color w:val="auto"/>
          <w:szCs w:val="21"/>
          <w:highlight w:val="none"/>
        </w:rPr>
        <w:t>规定的时间内自行</w:t>
      </w:r>
      <w:r>
        <w:rPr>
          <w:rFonts w:hint="eastAsia" w:ascii="宋体" w:cs="宋体"/>
          <w:color w:val="auto"/>
          <w:szCs w:val="21"/>
          <w:highlight w:val="none"/>
        </w:rPr>
        <w:t>将</w:t>
      </w:r>
      <w:r>
        <w:rPr>
          <w:rFonts w:ascii="宋体" w:cs="宋体"/>
          <w:color w:val="auto"/>
          <w:szCs w:val="21"/>
          <w:highlight w:val="none"/>
        </w:rPr>
        <w:t>投标文件</w:t>
      </w:r>
      <w:r>
        <w:rPr>
          <w:rFonts w:hint="eastAsia" w:ascii="宋体" w:cs="宋体"/>
          <w:color w:val="auto"/>
          <w:szCs w:val="21"/>
          <w:highlight w:val="none"/>
        </w:rPr>
        <w:t>在线</w:t>
      </w:r>
      <w:r>
        <w:rPr>
          <w:rFonts w:ascii="宋体" w:cs="宋体"/>
          <w:color w:val="auto"/>
          <w:szCs w:val="21"/>
          <w:highlight w:val="none"/>
        </w:rPr>
        <w:t>解密。投标人的法定代表人或其委托代理人</w:t>
      </w:r>
      <w:r>
        <w:rPr>
          <w:rFonts w:ascii="宋体" w:cs="宋体"/>
          <w:b/>
          <w:color w:val="auto"/>
          <w:szCs w:val="21"/>
          <w:highlight w:val="none"/>
        </w:rPr>
        <w:t>须携带加密时所用的CA锁准时登录到</w:t>
      </w:r>
      <w:r>
        <w:rPr>
          <w:rFonts w:hint="eastAsia" w:ascii="宋体" w:cs="宋体"/>
          <w:b/>
          <w:color w:val="auto"/>
          <w:szCs w:val="21"/>
          <w:highlight w:val="none"/>
        </w:rPr>
        <w:t>广西政府采购云</w:t>
      </w:r>
      <w:r>
        <w:rPr>
          <w:rFonts w:ascii="宋体" w:cs="宋体"/>
          <w:b/>
          <w:color w:val="auto"/>
          <w:szCs w:val="21"/>
          <w:highlight w:val="none"/>
        </w:rPr>
        <w:t>平台电子开标大厅签到并对电子投标文件</w:t>
      </w:r>
      <w:r>
        <w:rPr>
          <w:rFonts w:hint="eastAsia" w:ascii="宋体" w:cs="宋体"/>
          <w:b/>
          <w:color w:val="auto"/>
          <w:szCs w:val="21"/>
          <w:highlight w:val="none"/>
        </w:rPr>
        <w:t>在线</w:t>
      </w:r>
      <w:r>
        <w:rPr>
          <w:rFonts w:ascii="宋体" w:cs="宋体"/>
          <w:b/>
          <w:color w:val="auto"/>
          <w:szCs w:val="21"/>
          <w:highlight w:val="none"/>
        </w:rPr>
        <w:t>解密</w:t>
      </w:r>
      <w:r>
        <w:rPr>
          <w:rFonts w:ascii="宋体" w:cs="宋体"/>
          <w:color w:val="auto"/>
          <w:szCs w:val="21"/>
          <w:highlight w:val="none"/>
        </w:rPr>
        <w:t>。</w:t>
      </w:r>
      <w:r>
        <w:rPr>
          <w:rFonts w:ascii="宋体" w:cs="仿宋"/>
          <w:color w:val="auto"/>
          <w:szCs w:val="21"/>
          <w:highlight w:val="none"/>
        </w:rPr>
        <w:t>投标文件未按时解密</w:t>
      </w:r>
      <w:r>
        <w:rPr>
          <w:rFonts w:ascii="宋体" w:cs="宋体"/>
          <w:color w:val="auto"/>
          <w:szCs w:val="21"/>
          <w:highlight w:val="none"/>
        </w:rPr>
        <w:t>的，</w:t>
      </w:r>
      <w:r>
        <w:rPr>
          <w:rFonts w:ascii="宋体" w:cs="宋体"/>
          <w:b/>
          <w:color w:val="auto"/>
          <w:szCs w:val="21"/>
          <w:highlight w:val="none"/>
        </w:rPr>
        <w:t>均视为无效投标。</w:t>
      </w:r>
    </w:p>
    <w:p w14:paraId="499241C7">
      <w:pPr>
        <w:pStyle w:val="9"/>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（解密</w:t>
      </w:r>
      <w:r>
        <w:rPr>
          <w:rFonts w:hint="eastAsia" w:ascii="宋体" w:hAnsi="宋体" w:eastAsia="宋体" w:cs="宋体"/>
          <w:bCs/>
          <w:color w:val="auto"/>
          <w:szCs w:val="21"/>
          <w:highlight w:val="none"/>
        </w:rPr>
        <w:t>异常情况处理：详见本章</w:t>
      </w:r>
      <w:r>
        <w:rPr>
          <w:rFonts w:hint="eastAsia" w:ascii="宋体" w:hAnsi="宋体" w:eastAsia="宋体" w:cs="宋体"/>
          <w:color w:val="auto"/>
          <w:highlight w:val="none"/>
        </w:rPr>
        <w:t>29.3电子交易活动的中止。</w:t>
      </w:r>
      <w:r>
        <w:rPr>
          <w:rFonts w:hint="eastAsia" w:ascii="宋体" w:hAnsi="宋体" w:eastAsia="宋体" w:cs="宋体"/>
          <w:color w:val="auto"/>
          <w:szCs w:val="21"/>
          <w:highlight w:val="none"/>
        </w:rPr>
        <w:t>）</w:t>
      </w:r>
    </w:p>
    <w:p w14:paraId="4BB2EB27">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（2）</w:t>
      </w:r>
      <w:r>
        <w:rPr>
          <w:rFonts w:hint="eastAsia" w:ascii="宋体" w:cs="宋体"/>
          <w:b/>
          <w:color w:val="auto"/>
          <w:szCs w:val="21"/>
          <w:highlight w:val="none"/>
        </w:rPr>
        <w:t>电子唱标。</w:t>
      </w:r>
      <w:r>
        <w:rPr>
          <w:rFonts w:hint="eastAsia" w:ascii="宋体" w:cs="宋体"/>
          <w:color w:val="auto"/>
          <w:szCs w:val="21"/>
          <w:highlight w:val="none"/>
        </w:rPr>
        <w:t>投标文件解密结束，各投标人报价均在广西政府采购云平台远程不见面开标大厅展示；</w:t>
      </w:r>
    </w:p>
    <w:p w14:paraId="00FF8873">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（3）开标过程由采购代理机构如实记录，并电子留痕，由参加电子开标的各投标人代表对电子开标记录在开标记录公布后15分钟内进行当场校核及勘误，并线上确认，未确认的视同认可开标结果。</w:t>
      </w:r>
    </w:p>
    <w:p w14:paraId="1C35D932">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6904FC90">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（5）开标结束。</w:t>
      </w:r>
    </w:p>
    <w:p w14:paraId="1AEFB798">
      <w:pPr>
        <w:spacing w:line="360" w:lineRule="auto"/>
        <w:ind w:firstLine="422" w:firstLineChars="200"/>
        <w:rPr>
          <w:rFonts w:cs="宋体"/>
          <w:color w:val="auto"/>
          <w:szCs w:val="21"/>
          <w:highlight w:val="none"/>
        </w:rPr>
      </w:pPr>
      <w:r>
        <w:rPr>
          <w:rFonts w:hint="eastAsia" w:cs="宋体"/>
          <w:b/>
          <w:bCs/>
          <w:color w:val="auto"/>
          <w:szCs w:val="21"/>
          <w:highlight w:val="none"/>
        </w:rPr>
        <w:t>特别说明：</w:t>
      </w:r>
      <w:r>
        <w:rPr>
          <w:rFonts w:hint="eastAsia" w:cs="宋体"/>
          <w:color w:val="auto"/>
          <w:szCs w:val="21"/>
          <w:highlight w:val="none"/>
        </w:rPr>
        <w:t>如遇广西政府采购云平台电子化开标或评审程序调整的，按调整后执行。</w:t>
      </w:r>
    </w:p>
    <w:p w14:paraId="3B2809CF">
      <w:pPr>
        <w:pStyle w:val="14"/>
        <w:snapToGrid w:val="0"/>
        <w:spacing w:line="400" w:lineRule="exact"/>
        <w:ind w:left="689" w:leftChars="228" w:hanging="210" w:hangingChars="100"/>
        <w:rPr>
          <w:rFonts w:cs="宋体"/>
          <w:color w:val="auto"/>
          <w:highlight w:val="none"/>
        </w:rPr>
      </w:pPr>
    </w:p>
    <w:p w14:paraId="114CE6CA">
      <w:pPr>
        <w:pStyle w:val="4"/>
        <w:rPr>
          <w:color w:val="auto"/>
          <w:highlight w:val="none"/>
        </w:rPr>
      </w:pPr>
      <w:bookmarkStart w:id="175" w:name="_Toc31687"/>
      <w:bookmarkStart w:id="176" w:name="_Toc29347"/>
      <w:bookmarkStart w:id="177" w:name="_Toc29757"/>
      <w:bookmarkStart w:id="178" w:name="_Toc10935"/>
      <w:bookmarkStart w:id="179" w:name="_Toc30961"/>
      <w:r>
        <w:rPr>
          <w:rFonts w:hint="eastAsia"/>
          <w:color w:val="auto"/>
          <w:highlight w:val="none"/>
        </w:rPr>
        <w:t>五、资格审查</w:t>
      </w:r>
      <w:bookmarkEnd w:id="175"/>
      <w:bookmarkEnd w:id="176"/>
      <w:bookmarkEnd w:id="177"/>
      <w:bookmarkEnd w:id="178"/>
      <w:bookmarkEnd w:id="179"/>
    </w:p>
    <w:p w14:paraId="243F766B">
      <w:pPr>
        <w:pStyle w:val="5"/>
        <w:keepNext w:val="0"/>
        <w:keepLines w:val="0"/>
        <w:spacing w:before="0" w:after="0" w:line="360" w:lineRule="auto"/>
        <w:ind w:firstLine="482" w:firstLineChars="200"/>
        <w:rPr>
          <w:rFonts w:ascii="宋体" w:cs="宋体"/>
          <w:color w:val="auto"/>
          <w:sz w:val="24"/>
          <w:highlight w:val="none"/>
        </w:rPr>
      </w:pPr>
      <w:r>
        <w:rPr>
          <w:rFonts w:hint="eastAsia" w:ascii="宋体" w:cs="宋体"/>
          <w:color w:val="auto"/>
          <w:sz w:val="24"/>
          <w:highlight w:val="none"/>
        </w:rPr>
        <w:t>25.资格审查</w:t>
      </w:r>
    </w:p>
    <w:p w14:paraId="338113BA">
      <w:pPr>
        <w:spacing w:line="360" w:lineRule="auto"/>
        <w:ind w:firstLine="422" w:firstLineChars="200"/>
        <w:rPr>
          <w:rFonts w:ascii="宋体" w:cs="宋体"/>
          <w:b/>
          <w:bCs/>
          <w:color w:val="auto"/>
          <w:szCs w:val="20"/>
          <w:highlight w:val="none"/>
        </w:rPr>
      </w:pPr>
      <w:r>
        <w:rPr>
          <w:rFonts w:hint="eastAsia" w:ascii="宋体" w:cs="宋体"/>
          <w:b/>
          <w:bCs/>
          <w:color w:val="auto"/>
          <w:szCs w:val="20"/>
          <w:highlight w:val="none"/>
        </w:rPr>
        <w:t>25.1开标结束后，采购人或采购代理机构依法通过电子投标文件对投标人的资格进行线上审查。</w:t>
      </w:r>
    </w:p>
    <w:p w14:paraId="76707272">
      <w:pPr>
        <w:spacing w:line="360" w:lineRule="auto"/>
        <w:ind w:firstLine="420" w:firstLineChars="200"/>
        <w:rPr>
          <w:rFonts w:ascii="宋体" w:cs="宋体"/>
          <w:color w:val="auto"/>
          <w:highlight w:val="none"/>
        </w:rPr>
      </w:pPr>
      <w:r>
        <w:rPr>
          <w:rFonts w:hint="eastAsia" w:ascii="宋体" w:cs="宋体"/>
          <w:color w:val="auto"/>
          <w:highlight w:val="none"/>
        </w:rPr>
        <w:t>25.2资格审查标准为本“招标文件”中“投标人须知前附表”13.1点载明对投标人资格要求的条件。本项目资格审查采用合格制，凡符合招标文件规定的投标人资格要求的投标人均通过资格审查。</w:t>
      </w:r>
    </w:p>
    <w:p w14:paraId="7BBD1220">
      <w:pPr>
        <w:spacing w:line="360" w:lineRule="auto"/>
        <w:ind w:firstLine="422" w:firstLineChars="200"/>
        <w:rPr>
          <w:rFonts w:ascii="宋体" w:cs="宋体"/>
          <w:b/>
          <w:bCs/>
          <w:color w:val="auto"/>
          <w:szCs w:val="20"/>
          <w:highlight w:val="none"/>
        </w:rPr>
      </w:pPr>
      <w:bookmarkStart w:id="180" w:name="_25.3_投标人有下列情形之一的，资格审查不通过而导致其投标无效："/>
      <w:bookmarkEnd w:id="180"/>
      <w:r>
        <w:rPr>
          <w:rFonts w:hint="eastAsia" w:ascii="宋体" w:cs="宋体"/>
          <w:b/>
          <w:bCs/>
          <w:color w:val="auto"/>
          <w:szCs w:val="20"/>
          <w:highlight w:val="none"/>
        </w:rPr>
        <w:t>25.3投标人有下列情形之一的，资格审查不通过，作无效投标处理：</w:t>
      </w:r>
    </w:p>
    <w:p w14:paraId="13DC6B5B">
      <w:pPr>
        <w:spacing w:line="360" w:lineRule="auto"/>
        <w:ind w:firstLine="420" w:firstLineChars="200"/>
        <w:rPr>
          <w:rFonts w:ascii="宋体" w:cs="宋体"/>
          <w:color w:val="auto"/>
          <w:highlight w:val="none"/>
        </w:rPr>
      </w:pPr>
      <w:r>
        <w:rPr>
          <w:rFonts w:hint="eastAsia"/>
          <w:color w:val="auto"/>
          <w:highlight w:val="none"/>
        </w:rPr>
        <w:t>（1）不具备招标文件中规定的资格要求的；（注：其中信用查询规则见“投标人须知前附表”，广西政府采购云平台已与“信用中国”平台做接口，</w:t>
      </w:r>
      <w:r>
        <w:rPr>
          <w:rFonts w:hint="eastAsia" w:ascii="宋体" w:cs="宋体"/>
          <w:color w:val="auto"/>
          <w:szCs w:val="20"/>
          <w:highlight w:val="none"/>
        </w:rPr>
        <w:t>采购人或者采购代理机构</w:t>
      </w:r>
      <w:r>
        <w:rPr>
          <w:rFonts w:hint="eastAsia" w:ascii="宋体" w:cs="宋体"/>
          <w:color w:val="auto"/>
          <w:highlight w:val="none"/>
        </w:rPr>
        <w:t>可直接在线查询）</w:t>
      </w:r>
    </w:p>
    <w:p w14:paraId="3613BECD">
      <w:pPr>
        <w:spacing w:line="360" w:lineRule="auto"/>
        <w:ind w:firstLine="420" w:firstLineChars="200"/>
        <w:rPr>
          <w:rFonts w:ascii="宋体" w:cs="宋体"/>
          <w:color w:val="auto"/>
          <w:highlight w:val="none"/>
        </w:rPr>
      </w:pPr>
      <w:r>
        <w:rPr>
          <w:rFonts w:hint="eastAsia" w:ascii="宋体" w:cs="宋体"/>
          <w:color w:val="auto"/>
          <w:highlight w:val="none"/>
        </w:rPr>
        <w:t>（2）投标文件未提供任一项“投标人须知前附表”资格文件规定的“必须提供”的文件资料的；</w:t>
      </w:r>
    </w:p>
    <w:p w14:paraId="7ADA4464">
      <w:pPr>
        <w:spacing w:line="360" w:lineRule="auto"/>
        <w:ind w:firstLine="420" w:firstLineChars="200"/>
        <w:rPr>
          <w:rFonts w:ascii="宋体" w:cs="宋体"/>
          <w:color w:val="auto"/>
          <w:highlight w:val="none"/>
        </w:rPr>
      </w:pPr>
      <w:r>
        <w:rPr>
          <w:rFonts w:hint="eastAsia" w:ascii="宋体" w:cs="宋体"/>
          <w:color w:val="auto"/>
          <w:highlight w:val="none"/>
        </w:rPr>
        <w:t>（3）投标文件提供的资格文件出现任一项不符合“投标人须知前附表”资格文件规定的“必须提供”的文件资料要求或者无效的。</w:t>
      </w:r>
    </w:p>
    <w:p w14:paraId="7108FF1E">
      <w:pPr>
        <w:spacing w:line="360" w:lineRule="auto"/>
        <w:ind w:firstLine="420" w:firstLineChars="200"/>
        <w:rPr>
          <w:rFonts w:ascii="宋体" w:cs="宋体"/>
          <w:color w:val="auto"/>
          <w:highlight w:val="none"/>
        </w:rPr>
      </w:pPr>
      <w:r>
        <w:rPr>
          <w:rFonts w:hint="eastAsia" w:ascii="宋体" w:cs="宋体"/>
          <w:color w:val="auto"/>
          <w:highlight w:val="none"/>
        </w:rPr>
        <w:t>（4）同一合同项下的不同供应商，单位负责人为同一人或者存在直接控股、管理关系的；为本项目提供过整体设计、规范编制或者项目管理、监理、检测等服务的。</w:t>
      </w:r>
    </w:p>
    <w:p w14:paraId="63538C7B">
      <w:pPr>
        <w:pStyle w:val="5"/>
        <w:keepNext w:val="0"/>
        <w:keepLines w:val="0"/>
        <w:spacing w:before="0" w:after="0" w:line="360" w:lineRule="auto"/>
        <w:ind w:firstLine="420" w:firstLineChars="200"/>
        <w:rPr>
          <w:rFonts w:ascii="宋体" w:cs="宋体"/>
          <w:b w:val="0"/>
          <w:bCs w:val="0"/>
          <w:color w:val="auto"/>
          <w:sz w:val="21"/>
          <w:szCs w:val="20"/>
          <w:highlight w:val="none"/>
        </w:rPr>
      </w:pPr>
      <w:r>
        <w:rPr>
          <w:rFonts w:hint="eastAsia" w:ascii="宋体" w:cs="宋体"/>
          <w:b w:val="0"/>
          <w:bCs w:val="0"/>
          <w:color w:val="auto"/>
          <w:sz w:val="21"/>
          <w:szCs w:val="20"/>
          <w:highlight w:val="none"/>
        </w:rPr>
        <w:t>25.4资格审查的合格投标人不足3家的，不得评标。</w:t>
      </w:r>
    </w:p>
    <w:p w14:paraId="2249485F">
      <w:pPr>
        <w:pStyle w:val="14"/>
        <w:snapToGrid w:val="0"/>
        <w:spacing w:line="400" w:lineRule="exact"/>
        <w:ind w:left="689" w:leftChars="228" w:hanging="210" w:hangingChars="100"/>
        <w:rPr>
          <w:rFonts w:cs="宋体"/>
          <w:color w:val="auto"/>
          <w:highlight w:val="none"/>
        </w:rPr>
      </w:pPr>
      <w:bookmarkStart w:id="181" w:name="_Toc17458"/>
      <w:bookmarkStart w:id="182" w:name="_Toc28977"/>
      <w:bookmarkStart w:id="183" w:name="_Toc10753"/>
      <w:bookmarkStart w:id="184" w:name="_Toc29675"/>
      <w:bookmarkStart w:id="185" w:name="_Toc23135"/>
    </w:p>
    <w:p w14:paraId="0FEC599A">
      <w:pPr>
        <w:pStyle w:val="4"/>
        <w:rPr>
          <w:color w:val="auto"/>
          <w:highlight w:val="none"/>
        </w:rPr>
      </w:pPr>
      <w:r>
        <w:rPr>
          <w:rFonts w:hint="eastAsia"/>
          <w:color w:val="auto"/>
          <w:highlight w:val="none"/>
        </w:rPr>
        <w:t>六、评   标</w:t>
      </w:r>
      <w:bookmarkEnd w:id="181"/>
      <w:bookmarkEnd w:id="182"/>
      <w:bookmarkEnd w:id="183"/>
      <w:bookmarkEnd w:id="184"/>
      <w:bookmarkEnd w:id="185"/>
    </w:p>
    <w:p w14:paraId="70F1F037">
      <w:pPr>
        <w:spacing w:line="360" w:lineRule="auto"/>
        <w:ind w:firstLine="480" w:firstLineChars="200"/>
        <w:rPr>
          <w:rFonts w:ascii="宋体" w:cs="宋体"/>
          <w:color w:val="auto"/>
          <w:sz w:val="24"/>
          <w:highlight w:val="none"/>
        </w:rPr>
      </w:pPr>
      <w:bookmarkStart w:id="186" w:name="_26.组建评标委员会"/>
      <w:bookmarkEnd w:id="186"/>
      <w:r>
        <w:rPr>
          <w:rFonts w:hint="eastAsia" w:ascii="宋体" w:cs="宋体"/>
          <w:color w:val="auto"/>
          <w:sz w:val="24"/>
          <w:highlight w:val="none"/>
        </w:rPr>
        <w:t>26.组建评标委员会</w:t>
      </w:r>
    </w:p>
    <w:p w14:paraId="5D0F440E">
      <w:pPr>
        <w:spacing w:line="360" w:lineRule="auto"/>
        <w:ind w:firstLine="420" w:firstLineChars="200"/>
        <w:rPr>
          <w:rFonts w:ascii="宋体" w:cs="宋体"/>
          <w:color w:val="auto"/>
          <w:highlight w:val="none"/>
        </w:rPr>
      </w:pPr>
      <w:r>
        <w:rPr>
          <w:rFonts w:hint="eastAsia" w:ascii="宋体" w:cs="宋体"/>
          <w:color w:val="auto"/>
          <w:highlight w:val="none"/>
        </w:rPr>
        <w:t>评标委员会由采购人代表和评审专家组成，人数为5人以上单数，其中评审专家不得少于成员总数的三分之二。</w:t>
      </w:r>
    </w:p>
    <w:p w14:paraId="624B7402">
      <w:pPr>
        <w:spacing w:line="360" w:lineRule="auto"/>
        <w:ind w:firstLine="420" w:firstLineChars="200"/>
        <w:rPr>
          <w:rFonts w:ascii="宋体" w:cs="宋体"/>
          <w:color w:val="auto"/>
          <w:highlight w:val="none"/>
        </w:rPr>
      </w:pPr>
      <w:r>
        <w:rPr>
          <w:rFonts w:hint="eastAsia" w:ascii="宋体" w:cs="宋体"/>
          <w:color w:val="auto"/>
          <w:highlight w:val="none"/>
        </w:rPr>
        <w:t>参加过采购项目前期咨询论证的专家，不得参加该采购项目的评审活动。</w:t>
      </w:r>
    </w:p>
    <w:p w14:paraId="41F99E31">
      <w:pPr>
        <w:spacing w:line="360" w:lineRule="auto"/>
        <w:ind w:firstLine="480" w:firstLineChars="200"/>
        <w:rPr>
          <w:rFonts w:ascii="宋体" w:cs="宋体"/>
          <w:color w:val="auto"/>
          <w:sz w:val="24"/>
          <w:highlight w:val="none"/>
        </w:rPr>
      </w:pPr>
      <w:r>
        <w:rPr>
          <w:rFonts w:hint="eastAsia" w:ascii="宋体" w:cs="宋体"/>
          <w:color w:val="auto"/>
          <w:sz w:val="24"/>
          <w:highlight w:val="none"/>
        </w:rPr>
        <w:t>27.评标的依据</w:t>
      </w:r>
    </w:p>
    <w:p w14:paraId="397E5B5E">
      <w:pPr>
        <w:spacing w:line="360" w:lineRule="auto"/>
        <w:ind w:firstLine="420" w:firstLineChars="200"/>
        <w:rPr>
          <w:rFonts w:ascii="宋体" w:cs="宋体"/>
          <w:color w:val="auto"/>
          <w:highlight w:val="none"/>
        </w:rPr>
      </w:pPr>
      <w:r>
        <w:rPr>
          <w:rFonts w:hint="eastAsia" w:ascii="宋体" w:cs="宋体"/>
          <w:color w:val="auto"/>
          <w:highlight w:val="none"/>
        </w:rPr>
        <w:t>评标委员会以招标文件为依据对投标文件进行评审，“第四章 评标方法和评标标准”没有规定的方法、评审因素和标准，不作为评标依据。</w:t>
      </w:r>
    </w:p>
    <w:p w14:paraId="3D0D87BA">
      <w:pPr>
        <w:spacing w:line="360" w:lineRule="auto"/>
        <w:ind w:firstLine="480" w:firstLineChars="200"/>
        <w:rPr>
          <w:rFonts w:ascii="宋体" w:cs="宋体"/>
          <w:color w:val="auto"/>
          <w:sz w:val="24"/>
          <w:highlight w:val="none"/>
        </w:rPr>
      </w:pPr>
      <w:r>
        <w:rPr>
          <w:rFonts w:hint="eastAsia" w:ascii="宋体" w:cs="宋体"/>
          <w:color w:val="auto"/>
          <w:sz w:val="24"/>
          <w:highlight w:val="none"/>
        </w:rPr>
        <w:t>28.评标原则</w:t>
      </w:r>
    </w:p>
    <w:p w14:paraId="193C96F4">
      <w:pPr>
        <w:spacing w:line="360" w:lineRule="auto"/>
        <w:ind w:firstLine="420" w:firstLineChars="200"/>
        <w:rPr>
          <w:rFonts w:ascii="宋体" w:cs="宋体"/>
          <w:color w:val="auto"/>
          <w:highlight w:val="none"/>
        </w:rPr>
      </w:pPr>
      <w:r>
        <w:rPr>
          <w:rFonts w:hint="eastAsia" w:ascii="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B593ECC">
      <w:pPr>
        <w:spacing w:line="360" w:lineRule="auto"/>
        <w:ind w:firstLine="420" w:firstLineChars="200"/>
        <w:rPr>
          <w:rFonts w:ascii="宋体" w:cs="宋体"/>
          <w:color w:val="auto"/>
          <w:highlight w:val="none"/>
        </w:rPr>
      </w:pPr>
      <w:r>
        <w:rPr>
          <w:rFonts w:hint="eastAsia" w:ascii="宋体" w:cs="宋体"/>
          <w:color w:val="auto"/>
          <w:highlight w:val="none"/>
        </w:rPr>
        <w:t>28.2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0E176A34">
      <w:pPr>
        <w:spacing w:line="360" w:lineRule="auto"/>
        <w:ind w:firstLine="420" w:firstLineChars="200"/>
        <w:rPr>
          <w:rFonts w:ascii="宋体" w:cs="宋体"/>
          <w:color w:val="auto"/>
          <w:highlight w:val="none"/>
        </w:rPr>
      </w:pPr>
      <w:r>
        <w:rPr>
          <w:rFonts w:hint="eastAsia" w:ascii="宋体" w:cs="宋体"/>
          <w:color w:val="auto"/>
          <w:highlight w:val="none"/>
        </w:rPr>
        <w:t>28.3评标过程的监控。本项目电子评标过程实行网上留痕、全程录音、录像监控，投标人在评标过程中所进行的试图影响评标结果的不公正活动，可能导致其投标作无效处理。</w:t>
      </w:r>
    </w:p>
    <w:p w14:paraId="5CCD6035">
      <w:pPr>
        <w:spacing w:line="360" w:lineRule="auto"/>
        <w:ind w:firstLine="420" w:firstLineChars="200"/>
        <w:rPr>
          <w:rFonts w:ascii="宋体" w:cs="宋体"/>
          <w:color w:val="auto"/>
          <w:szCs w:val="21"/>
          <w:highlight w:val="none"/>
        </w:rPr>
      </w:pPr>
      <w:r>
        <w:rPr>
          <w:rFonts w:hint="eastAsia" w:ascii="宋体" w:cs="宋体"/>
          <w:color w:val="auto"/>
          <w:highlight w:val="none"/>
        </w:rPr>
        <w:t>28.4</w:t>
      </w:r>
      <w:r>
        <w:rPr>
          <w:rFonts w:hint="eastAsia" w:ascii="宋体" w:cs="宋体"/>
          <w:color w:val="auto"/>
          <w:szCs w:val="21"/>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DE9A43B">
      <w:pPr>
        <w:spacing w:line="360" w:lineRule="auto"/>
        <w:ind w:firstLine="480" w:firstLineChars="200"/>
        <w:rPr>
          <w:rFonts w:ascii="宋体" w:cs="宋体"/>
          <w:color w:val="auto"/>
          <w:sz w:val="24"/>
          <w:highlight w:val="none"/>
        </w:rPr>
      </w:pPr>
      <w:r>
        <w:rPr>
          <w:rFonts w:hint="eastAsia" w:ascii="宋体" w:cs="宋体"/>
          <w:color w:val="auto"/>
          <w:sz w:val="24"/>
          <w:highlight w:val="none"/>
        </w:rPr>
        <w:t>29.评标方法和评标标准</w:t>
      </w:r>
    </w:p>
    <w:p w14:paraId="2C9F93E7">
      <w:pPr>
        <w:spacing w:line="360" w:lineRule="auto"/>
        <w:ind w:firstLine="420" w:firstLineChars="200"/>
        <w:rPr>
          <w:rFonts w:ascii="宋体" w:cs="宋体"/>
          <w:color w:val="auto"/>
          <w:highlight w:val="none"/>
        </w:rPr>
      </w:pPr>
      <w:r>
        <w:rPr>
          <w:rFonts w:hint="eastAsia" w:ascii="宋体" w:cs="宋体"/>
          <w:color w:val="auto"/>
          <w:highlight w:val="none"/>
        </w:rPr>
        <w:t>29.1本项目的评标方法详见“投标人须知前附表”。</w:t>
      </w:r>
    </w:p>
    <w:p w14:paraId="4A60B2D2">
      <w:pPr>
        <w:spacing w:line="360" w:lineRule="auto"/>
        <w:ind w:firstLine="420" w:firstLineChars="200"/>
        <w:rPr>
          <w:rFonts w:ascii="宋体" w:cs="宋体"/>
          <w:color w:val="auto"/>
          <w:highlight w:val="none"/>
        </w:rPr>
      </w:pPr>
      <w:r>
        <w:rPr>
          <w:rFonts w:hint="eastAsia" w:ascii="宋体" w:cs="宋体"/>
          <w:color w:val="auto"/>
          <w:highlight w:val="none"/>
        </w:rPr>
        <w:t>29.2 评标委员会按照</w:t>
      </w:r>
      <w:r>
        <w:rPr>
          <w:rFonts w:hint="eastAsia" w:ascii="宋体" w:cs="宋体"/>
          <w:b/>
          <w:color w:val="auto"/>
          <w:highlight w:val="none"/>
        </w:rPr>
        <w:t>“第四章 评标方法和评标标准”</w:t>
      </w:r>
      <w:r>
        <w:rPr>
          <w:rFonts w:hint="eastAsia" w:ascii="宋体" w:cs="宋体"/>
          <w:color w:val="auto"/>
          <w:highlight w:val="none"/>
        </w:rPr>
        <w:t>规定的方法、评审因素、标准和程序对投标文件进行评审。</w:t>
      </w:r>
    </w:p>
    <w:p w14:paraId="7C8F6695">
      <w:pPr>
        <w:spacing w:line="360" w:lineRule="auto"/>
        <w:ind w:firstLine="420" w:firstLineChars="200"/>
        <w:rPr>
          <w:rFonts w:ascii="宋体" w:cs="宋体"/>
          <w:color w:val="auto"/>
          <w:highlight w:val="none"/>
        </w:rPr>
      </w:pPr>
      <w:r>
        <w:rPr>
          <w:rFonts w:hint="eastAsia" w:ascii="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26E51218">
      <w:pPr>
        <w:spacing w:line="360" w:lineRule="auto"/>
        <w:ind w:firstLine="420" w:firstLineChars="200"/>
        <w:rPr>
          <w:rFonts w:ascii="宋体" w:cs="宋体"/>
          <w:color w:val="auto"/>
          <w:highlight w:val="none"/>
        </w:rPr>
      </w:pPr>
      <w:r>
        <w:rPr>
          <w:rFonts w:hint="eastAsia" w:ascii="宋体" w:cs="宋体"/>
          <w:color w:val="auto"/>
          <w:highlight w:val="none"/>
        </w:rPr>
        <w:t xml:space="preserve">（1）电子交易平台发生故障而无法登录访问的； </w:t>
      </w:r>
    </w:p>
    <w:p w14:paraId="34151EA6">
      <w:pPr>
        <w:spacing w:line="360" w:lineRule="auto"/>
        <w:ind w:firstLine="420" w:firstLineChars="200"/>
        <w:rPr>
          <w:rFonts w:ascii="宋体" w:cs="宋体"/>
          <w:color w:val="auto"/>
          <w:highlight w:val="none"/>
        </w:rPr>
      </w:pPr>
      <w:r>
        <w:rPr>
          <w:rFonts w:hint="eastAsia" w:ascii="宋体" w:cs="宋体"/>
          <w:color w:val="auto"/>
          <w:highlight w:val="none"/>
        </w:rPr>
        <w:t>（2）电子交易平台应用或数据库出现错误，不能进行正常操作的；</w:t>
      </w:r>
    </w:p>
    <w:p w14:paraId="0C3272CA">
      <w:pPr>
        <w:spacing w:line="360" w:lineRule="auto"/>
        <w:ind w:firstLine="420" w:firstLineChars="200"/>
        <w:rPr>
          <w:rFonts w:ascii="宋体" w:cs="宋体"/>
          <w:color w:val="auto"/>
          <w:highlight w:val="none"/>
        </w:rPr>
      </w:pPr>
      <w:r>
        <w:rPr>
          <w:rFonts w:hint="eastAsia" w:ascii="宋体" w:cs="宋体"/>
          <w:color w:val="auto"/>
          <w:highlight w:val="none"/>
        </w:rPr>
        <w:t>（3）电子交易平台发现严重安全漏洞，有潜在泄密危险的；</w:t>
      </w:r>
    </w:p>
    <w:p w14:paraId="7BC64786">
      <w:pPr>
        <w:spacing w:line="360" w:lineRule="auto"/>
        <w:ind w:firstLine="420" w:firstLineChars="200"/>
        <w:rPr>
          <w:rFonts w:ascii="宋体" w:cs="宋体"/>
          <w:color w:val="auto"/>
          <w:highlight w:val="none"/>
        </w:rPr>
      </w:pPr>
      <w:r>
        <w:rPr>
          <w:rFonts w:hint="eastAsia" w:ascii="宋体" w:cs="宋体"/>
          <w:color w:val="auto"/>
          <w:highlight w:val="none"/>
        </w:rPr>
        <w:t xml:space="preserve">（4）病毒发作导致不能进行正常操作的； </w:t>
      </w:r>
    </w:p>
    <w:p w14:paraId="227628AF">
      <w:pPr>
        <w:spacing w:line="360" w:lineRule="auto"/>
        <w:ind w:firstLine="420" w:firstLineChars="200"/>
        <w:rPr>
          <w:rFonts w:ascii="宋体" w:cs="宋体"/>
          <w:color w:val="auto"/>
          <w:highlight w:val="none"/>
        </w:rPr>
      </w:pPr>
      <w:r>
        <w:rPr>
          <w:rFonts w:hint="eastAsia" w:ascii="宋体" w:cs="宋体"/>
          <w:color w:val="auto"/>
          <w:highlight w:val="none"/>
        </w:rPr>
        <w:t>（5）其他无法保证电子交易的公平、公正和安全的情况。</w:t>
      </w:r>
    </w:p>
    <w:p w14:paraId="01E5F818">
      <w:pPr>
        <w:spacing w:line="360" w:lineRule="auto"/>
        <w:ind w:firstLine="420" w:firstLineChars="200"/>
        <w:rPr>
          <w:rFonts w:ascii="宋体" w:cs="宋体"/>
          <w:color w:val="auto"/>
          <w:highlight w:val="none"/>
        </w:rPr>
      </w:pPr>
      <w:r>
        <w:rPr>
          <w:rFonts w:hint="eastAsia" w:ascii="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0E32BCF">
      <w:pPr>
        <w:pStyle w:val="14"/>
        <w:snapToGrid w:val="0"/>
        <w:spacing w:line="400" w:lineRule="exact"/>
        <w:ind w:left="689" w:leftChars="228" w:hanging="210" w:hangingChars="100"/>
        <w:rPr>
          <w:rFonts w:cs="宋体"/>
          <w:color w:val="auto"/>
          <w:highlight w:val="none"/>
        </w:rPr>
      </w:pPr>
    </w:p>
    <w:p w14:paraId="2E445942">
      <w:pPr>
        <w:pStyle w:val="4"/>
        <w:rPr>
          <w:color w:val="auto"/>
          <w:highlight w:val="none"/>
        </w:rPr>
      </w:pPr>
      <w:bookmarkStart w:id="187" w:name="_Toc254970687"/>
      <w:bookmarkStart w:id="188" w:name="_Toc254970546"/>
      <w:bookmarkStart w:id="189" w:name="_Toc17138"/>
      <w:bookmarkStart w:id="190" w:name="_Toc6053"/>
      <w:bookmarkStart w:id="191" w:name="_Toc11609"/>
      <w:bookmarkStart w:id="192" w:name="_Toc20927"/>
      <w:bookmarkStart w:id="193" w:name="_Toc16461"/>
      <w:r>
        <w:rPr>
          <w:rFonts w:hint="eastAsia"/>
          <w:color w:val="auto"/>
          <w:highlight w:val="none"/>
        </w:rPr>
        <w:t>七、</w:t>
      </w:r>
      <w:bookmarkEnd w:id="187"/>
      <w:bookmarkEnd w:id="188"/>
      <w:r>
        <w:rPr>
          <w:rFonts w:hint="eastAsia"/>
          <w:color w:val="auto"/>
          <w:highlight w:val="none"/>
        </w:rPr>
        <w:t>中标和合同</w:t>
      </w:r>
      <w:bookmarkEnd w:id="189"/>
      <w:bookmarkEnd w:id="190"/>
      <w:bookmarkEnd w:id="191"/>
      <w:bookmarkEnd w:id="192"/>
      <w:bookmarkEnd w:id="193"/>
    </w:p>
    <w:p w14:paraId="26FD0E60">
      <w:pPr>
        <w:spacing w:line="360" w:lineRule="auto"/>
        <w:ind w:firstLine="480" w:firstLineChars="200"/>
        <w:rPr>
          <w:rFonts w:ascii="宋体" w:cs="宋体"/>
          <w:color w:val="auto"/>
          <w:sz w:val="24"/>
          <w:highlight w:val="none"/>
        </w:rPr>
      </w:pPr>
      <w:r>
        <w:rPr>
          <w:rFonts w:hint="eastAsia" w:ascii="宋体" w:cs="宋体"/>
          <w:color w:val="auto"/>
          <w:sz w:val="24"/>
          <w:highlight w:val="none"/>
        </w:rPr>
        <w:t>30.确定中标人</w:t>
      </w:r>
    </w:p>
    <w:p w14:paraId="0A9EA429">
      <w:pPr>
        <w:spacing w:line="360" w:lineRule="auto"/>
        <w:ind w:firstLine="420" w:firstLineChars="200"/>
        <w:rPr>
          <w:rFonts w:ascii="宋体" w:cs="宋体"/>
          <w:b/>
          <w:bCs/>
          <w:color w:val="auto"/>
          <w:szCs w:val="21"/>
          <w:highlight w:val="none"/>
        </w:rPr>
      </w:pPr>
      <w:r>
        <w:rPr>
          <w:rFonts w:hint="eastAsia" w:ascii="宋体" w:cs="宋体"/>
          <w:color w:val="auto"/>
          <w:szCs w:val="21"/>
          <w:highlight w:val="none"/>
        </w:rPr>
        <w:t>30.1</w:t>
      </w:r>
      <w:r>
        <w:rPr>
          <w:rFonts w:hint="eastAsia" w:ascii="宋体" w:cs="宋体"/>
          <w:color w:val="auto"/>
          <w:highlight w:val="none"/>
        </w:rPr>
        <w:t>采购人在收到评标委员会出具的评标报告之日起5个工作日内在评标报告推荐的中标候选人名单中按顺序确定中标人。采购人也可以事先授权评标委员会直接确定中标人。</w:t>
      </w:r>
      <w:r>
        <w:rPr>
          <w:rFonts w:ascii="宋体" w:cs="宋体"/>
          <w:color w:val="auto"/>
          <w:highlight w:val="none"/>
        </w:rPr>
        <w:t>中标候选人并列的，由采购人或者采购人委托评标委员会按照</w:t>
      </w:r>
      <w:r>
        <w:rPr>
          <w:rFonts w:hint="eastAsia"/>
          <w:color w:val="auto"/>
          <w:highlight w:val="none"/>
        </w:rPr>
        <w:t>“投标人须知前附表”</w:t>
      </w:r>
      <w:r>
        <w:rPr>
          <w:rFonts w:ascii="宋体" w:cs="宋体"/>
          <w:color w:val="auto"/>
          <w:highlight w:val="none"/>
        </w:rPr>
        <w:t>规定的方式确定中标人；招标文件未规定的，采取随机抽取的方式确定。</w:t>
      </w:r>
      <w:r>
        <w:rPr>
          <w:rFonts w:hint="eastAsia" w:ascii="宋体" w:cs="宋体"/>
          <w:b/>
          <w:bCs/>
          <w:color w:val="auto"/>
          <w:szCs w:val="21"/>
          <w:highlight w:val="none"/>
        </w:rPr>
        <w:t xml:space="preserve">   </w:t>
      </w:r>
    </w:p>
    <w:p w14:paraId="4674C24E">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1D0F552F">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30.3中标人无正当理由拒签合同的，根据《中华人民共和国政府采购法》第七十七条第一款规定处理。</w:t>
      </w:r>
    </w:p>
    <w:p w14:paraId="15DD3EC0">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30.4根据《中华人民共和国民法典》</w:t>
      </w:r>
      <w:r>
        <w:rPr>
          <w:rFonts w:hint="eastAsia" w:ascii="宋体" w:cs="宋体"/>
          <w:color w:val="auto"/>
          <w:sz w:val="19"/>
          <w:szCs w:val="19"/>
          <w:highlight w:val="none"/>
        </w:rPr>
        <w:t>第五百六十三条</w:t>
      </w:r>
      <w:r>
        <w:rPr>
          <w:rFonts w:hint="eastAsia" w:ascii="宋体" w:cs="宋体"/>
          <w:color w:val="auto"/>
          <w:szCs w:val="21"/>
          <w:highlight w:val="none"/>
        </w:rPr>
        <w:t>，因不可抗力致使不能实现合同目的的，当事人可以解除合同。</w:t>
      </w:r>
    </w:p>
    <w:p w14:paraId="4F3F4056">
      <w:pPr>
        <w:spacing w:line="360" w:lineRule="auto"/>
        <w:ind w:firstLine="480" w:firstLineChars="200"/>
        <w:rPr>
          <w:rFonts w:ascii="宋体" w:cs="宋体"/>
          <w:color w:val="auto"/>
          <w:sz w:val="24"/>
          <w:highlight w:val="none"/>
        </w:rPr>
      </w:pPr>
      <w:r>
        <w:rPr>
          <w:rFonts w:hint="eastAsia" w:ascii="宋体" w:cs="宋体"/>
          <w:color w:val="auto"/>
          <w:sz w:val="24"/>
          <w:highlight w:val="none"/>
        </w:rPr>
        <w:t>31.结果公告</w:t>
      </w:r>
    </w:p>
    <w:p w14:paraId="52A5F78E">
      <w:pPr>
        <w:spacing w:line="360" w:lineRule="auto"/>
        <w:ind w:firstLine="420" w:firstLineChars="200"/>
        <w:rPr>
          <w:rFonts w:ascii="宋体" w:cs="宋体"/>
          <w:color w:val="auto"/>
          <w:highlight w:val="none"/>
        </w:rPr>
      </w:pPr>
      <w:r>
        <w:rPr>
          <w:rFonts w:hint="eastAsia" w:ascii="宋体" w:cs="宋体"/>
          <w:color w:val="auto"/>
          <w:szCs w:val="21"/>
          <w:highlight w:val="none"/>
        </w:rPr>
        <w:t>31.1</w:t>
      </w:r>
      <w:r>
        <w:rPr>
          <w:rFonts w:hint="eastAsia" w:ascii="宋体" w:cs="宋体"/>
          <w:color w:val="auto"/>
          <w:highlight w:val="none"/>
        </w:rPr>
        <w:t>在中标人确定之日起2个工作日内，由采购代理机构</w:t>
      </w:r>
      <w:r>
        <w:rPr>
          <w:rFonts w:hint="eastAsia" w:ascii="宋体" w:cs="宋体"/>
          <w:b/>
          <w:color w:val="auto"/>
          <w:szCs w:val="21"/>
          <w:highlight w:val="none"/>
        </w:rPr>
        <w:t>在招标公告发布媒体上</w:t>
      </w:r>
      <w:r>
        <w:rPr>
          <w:rFonts w:hint="eastAsia" w:ascii="宋体" w:cs="宋体"/>
          <w:color w:val="auto"/>
          <w:highlight w:val="none"/>
        </w:rPr>
        <w:t>发布中标结果公告，中标结果公告期限为1个工作日，发布中标结果公告的同时向中标人发出中标通知书。</w:t>
      </w:r>
      <w:r>
        <w:rPr>
          <w:rFonts w:hint="eastAsia" w:ascii="宋体" w:cs="宋体"/>
          <w:b/>
          <w:color w:val="auto"/>
          <w:szCs w:val="21"/>
          <w:highlight w:val="none"/>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依法确定排名第二的中标候选人为中标人。</w:t>
      </w:r>
      <w:r>
        <w:rPr>
          <w:rFonts w:hint="eastAsia" w:ascii="宋体" w:cs="宋体"/>
          <w:color w:val="auto"/>
          <w:szCs w:val="21"/>
          <w:highlight w:val="none"/>
        </w:rPr>
        <w:t>排名第二的中标候选人因前款规定的同样原因被取消中标资格的，采购人可以依法确定排名第三的中标候选人为中标人，以此类推。</w:t>
      </w:r>
    </w:p>
    <w:p w14:paraId="74625998">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以上信息查询记录及相关证据与采购文件一并保存。</w:t>
      </w:r>
    </w:p>
    <w:p w14:paraId="609A0C8D">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31.2中小企业在政府采购活动过程中，请根据企业的真实情况出具《中小企业声明函》。依法享受中小企业扶持政策的，采购人或者采购代理机构在公告中标结果时，同时公告其《中小企业声明函》，接受社会监督。</w:t>
      </w:r>
    </w:p>
    <w:p w14:paraId="1DF40DD7">
      <w:pPr>
        <w:spacing w:line="360" w:lineRule="auto"/>
        <w:ind w:firstLine="480" w:firstLineChars="200"/>
        <w:rPr>
          <w:rFonts w:ascii="宋体" w:cs="宋体"/>
          <w:color w:val="auto"/>
          <w:sz w:val="24"/>
          <w:highlight w:val="none"/>
        </w:rPr>
      </w:pPr>
      <w:r>
        <w:rPr>
          <w:rFonts w:hint="eastAsia" w:ascii="宋体" w:cs="宋体"/>
          <w:color w:val="auto"/>
          <w:sz w:val="24"/>
          <w:highlight w:val="none"/>
        </w:rPr>
        <w:t>32.发出中标通知书</w:t>
      </w:r>
    </w:p>
    <w:p w14:paraId="482552E7">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32.1在发布中标公告的同时，采购代理机构向中标人通过广西政府采购云平台发出电子中标通知书。</w:t>
      </w:r>
    </w:p>
    <w:p w14:paraId="04A806E4">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32.2对未通过资格审查的投标人，采购人或采购代理机构应当告知其未通过的原因；采用综合评分办法评审的，采购人或采购机构还应当告知未中标人本人的评审得分与排序。</w:t>
      </w:r>
    </w:p>
    <w:p w14:paraId="29F81C8B">
      <w:pPr>
        <w:spacing w:line="360" w:lineRule="auto"/>
        <w:ind w:firstLine="480" w:firstLineChars="200"/>
        <w:rPr>
          <w:rFonts w:ascii="宋体" w:cs="宋体"/>
          <w:color w:val="auto"/>
          <w:sz w:val="24"/>
          <w:highlight w:val="none"/>
        </w:rPr>
      </w:pPr>
      <w:r>
        <w:rPr>
          <w:rFonts w:hint="eastAsia" w:ascii="宋体" w:cs="宋体"/>
          <w:color w:val="auto"/>
          <w:sz w:val="24"/>
          <w:highlight w:val="none"/>
        </w:rPr>
        <w:t>33.无义务解释未中标原因</w:t>
      </w:r>
    </w:p>
    <w:p w14:paraId="1BF97D0A">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采购代理机构无义务向未中标的投标人解释未中标原因和退还投标文件。</w:t>
      </w:r>
    </w:p>
    <w:p w14:paraId="54822D96">
      <w:pPr>
        <w:spacing w:line="360" w:lineRule="auto"/>
        <w:ind w:firstLine="480" w:firstLineChars="200"/>
        <w:rPr>
          <w:rFonts w:ascii="宋体" w:cs="宋体"/>
          <w:color w:val="auto"/>
          <w:sz w:val="24"/>
          <w:highlight w:val="none"/>
        </w:rPr>
      </w:pPr>
      <w:r>
        <w:rPr>
          <w:rFonts w:hint="eastAsia" w:ascii="宋体" w:cs="宋体"/>
          <w:color w:val="auto"/>
          <w:sz w:val="24"/>
          <w:highlight w:val="none"/>
        </w:rPr>
        <w:t>34.合同授予标准</w:t>
      </w:r>
    </w:p>
    <w:p w14:paraId="69C8A95D">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合同将授予被确定实质上响应招标文件要求，具备履行合同能力的中标人（招标文件另有约定多名中标人的除外）。</w:t>
      </w:r>
    </w:p>
    <w:p w14:paraId="730F166B">
      <w:pPr>
        <w:spacing w:line="360" w:lineRule="auto"/>
        <w:ind w:firstLine="480" w:firstLineChars="200"/>
        <w:rPr>
          <w:rFonts w:ascii="宋体" w:cs="宋体"/>
          <w:color w:val="auto"/>
          <w:sz w:val="24"/>
          <w:highlight w:val="none"/>
        </w:rPr>
      </w:pPr>
      <w:r>
        <w:rPr>
          <w:rFonts w:hint="eastAsia" w:ascii="宋体" w:cs="宋体"/>
          <w:color w:val="auto"/>
          <w:sz w:val="24"/>
          <w:highlight w:val="none"/>
        </w:rPr>
        <w:t>35.履约保证金</w:t>
      </w:r>
    </w:p>
    <w:p w14:paraId="02F09701">
      <w:pPr>
        <w:pStyle w:val="5"/>
        <w:keepNext w:val="0"/>
        <w:keepLines w:val="0"/>
        <w:spacing w:before="0" w:after="0" w:line="360" w:lineRule="auto"/>
        <w:ind w:firstLine="315" w:firstLineChars="150"/>
        <w:rPr>
          <w:rFonts w:ascii="宋体" w:cs="宋体"/>
          <w:b w:val="0"/>
          <w:color w:val="auto"/>
          <w:sz w:val="21"/>
          <w:szCs w:val="21"/>
          <w:highlight w:val="none"/>
        </w:rPr>
      </w:pPr>
      <w:bookmarkStart w:id="194" w:name="_39.1中标人须于签订合同前按本须知前附表规定的金额转账或电汇到指定账"/>
      <w:bookmarkEnd w:id="194"/>
      <w:r>
        <w:rPr>
          <w:rFonts w:hint="eastAsia" w:ascii="宋体" w:cs="宋体"/>
          <w:b w:val="0"/>
          <w:color w:val="auto"/>
          <w:sz w:val="21"/>
          <w:szCs w:val="21"/>
          <w:highlight w:val="none"/>
        </w:rPr>
        <w:t xml:space="preserve"> 35.1 履约保证金的金额、提交方式、退付的时间和条件详见 “投标人须知前附表”。中标人未按规定提交履约保证金的，视为拒绝与采购人签订合同，采购人可以按照评标报告推荐的中标候选人名单排序，依法确定下一候选人为中标人，也可以重新开展政府采购活动。</w:t>
      </w:r>
    </w:p>
    <w:p w14:paraId="6E51F8D6">
      <w:pPr>
        <w:pStyle w:val="5"/>
        <w:keepNext w:val="0"/>
        <w:keepLines w:val="0"/>
        <w:spacing w:before="0" w:after="0" w:line="360" w:lineRule="auto"/>
        <w:ind w:firstLine="315" w:firstLineChars="150"/>
        <w:rPr>
          <w:rFonts w:ascii="宋体" w:cs="宋体"/>
          <w:b w:val="0"/>
          <w:color w:val="auto"/>
          <w:sz w:val="21"/>
          <w:szCs w:val="21"/>
          <w:highlight w:val="none"/>
        </w:rPr>
      </w:pPr>
      <w:r>
        <w:rPr>
          <w:rFonts w:hint="eastAsia" w:ascii="宋体" w:cs="宋体"/>
          <w:b w:val="0"/>
          <w:color w:val="auto"/>
          <w:sz w:val="21"/>
          <w:szCs w:val="21"/>
          <w:highlight w:val="none"/>
        </w:rPr>
        <w:t xml:space="preserve"> 35.2签订合同后，如中标人不按双方签订的合同规定履约，则没收其全部履约保证金，履约保证金不足以赔偿损失的，按实际损失赔偿。</w:t>
      </w:r>
    </w:p>
    <w:p w14:paraId="58B87B0E">
      <w:pPr>
        <w:pStyle w:val="5"/>
        <w:keepNext w:val="0"/>
        <w:keepLines w:val="0"/>
        <w:spacing w:before="0" w:after="0" w:line="360" w:lineRule="auto"/>
        <w:ind w:firstLine="420" w:firstLineChars="200"/>
        <w:rPr>
          <w:rFonts w:ascii="宋体" w:cs="宋体"/>
          <w:b w:val="0"/>
          <w:color w:val="auto"/>
          <w:sz w:val="21"/>
          <w:szCs w:val="21"/>
          <w:highlight w:val="none"/>
        </w:rPr>
      </w:pPr>
      <w:r>
        <w:rPr>
          <w:rFonts w:hint="eastAsia" w:ascii="宋体" w:cs="宋体"/>
          <w:b w:val="0"/>
          <w:color w:val="auto"/>
          <w:sz w:val="21"/>
          <w:szCs w:val="21"/>
          <w:highlight w:val="none"/>
        </w:rPr>
        <w:t>35.3在履约保证金退还日期前，若中标人的开户名称、开户银行、账号有变动的，请以书面形式通知履约保证金收取单位，否则由此产生的后果由中标人自行承担。</w:t>
      </w:r>
    </w:p>
    <w:p w14:paraId="1DDE3809">
      <w:pPr>
        <w:spacing w:line="360" w:lineRule="auto"/>
        <w:ind w:firstLine="480" w:firstLineChars="200"/>
        <w:rPr>
          <w:rFonts w:ascii="宋体" w:cs="宋体"/>
          <w:color w:val="auto"/>
          <w:sz w:val="24"/>
          <w:highlight w:val="none"/>
        </w:rPr>
      </w:pPr>
      <w:r>
        <w:rPr>
          <w:rFonts w:hint="eastAsia" w:ascii="宋体" w:cs="宋体"/>
          <w:color w:val="auto"/>
          <w:sz w:val="24"/>
          <w:highlight w:val="none"/>
        </w:rPr>
        <w:t>36.签订合同</w:t>
      </w:r>
    </w:p>
    <w:p w14:paraId="5390DC19">
      <w:pPr>
        <w:spacing w:line="360" w:lineRule="auto"/>
        <w:ind w:firstLine="420" w:firstLineChars="200"/>
        <w:rPr>
          <w:b/>
          <w:bCs/>
          <w:i/>
          <w:iCs/>
          <w:color w:val="auto"/>
          <w:szCs w:val="21"/>
          <w:highlight w:val="none"/>
        </w:rPr>
      </w:pPr>
      <w:bookmarkStart w:id="195" w:name="_40.1投标人接到中标通知书后，按须知前附表规定向采购人出示相关资格证"/>
      <w:bookmarkEnd w:id="195"/>
      <w:r>
        <w:rPr>
          <w:rFonts w:hint="eastAsia" w:ascii="宋体" w:cs="宋体"/>
          <w:color w:val="auto"/>
          <w:szCs w:val="21"/>
          <w:highlight w:val="none"/>
        </w:rPr>
        <w:t xml:space="preserve"> </w:t>
      </w:r>
      <w:r>
        <w:rPr>
          <w:rFonts w:hint="eastAsia" w:ascii="宋体" w:cs="宋体"/>
          <w:b/>
          <w:bCs/>
          <w:color w:val="auto"/>
          <w:szCs w:val="21"/>
          <w:highlight w:val="none"/>
        </w:rPr>
        <w:t>36.1中标人在中标通知书发出之日起，</w:t>
      </w:r>
      <w:r>
        <w:rPr>
          <w:rFonts w:hint="eastAsia" w:ascii="宋体" w:cs="宋体"/>
          <w:color w:val="auto"/>
          <w:szCs w:val="21"/>
          <w:highlight w:val="none"/>
        </w:rPr>
        <w:t>按规定的日期、时间、地点，由法定代表人或其授权代表与采购人代表签订采购合同。如中标人为联合体的，由联合体成员各方法定代表人或其授权代表与采购人代表签订合同，签订携带资料详见“投标人须知前附表”。</w:t>
      </w:r>
    </w:p>
    <w:p w14:paraId="13017EA6">
      <w:pPr>
        <w:spacing w:line="360" w:lineRule="auto"/>
        <w:ind w:firstLine="420" w:firstLineChars="200"/>
        <w:rPr>
          <w:rFonts w:ascii="宋体"/>
          <w:color w:val="auto"/>
          <w:szCs w:val="21"/>
          <w:highlight w:val="none"/>
          <w:lang w:val="zh-CN"/>
        </w:rPr>
      </w:pPr>
      <w:r>
        <w:rPr>
          <w:rFonts w:hint="eastAsia" w:ascii="宋体"/>
          <w:color w:val="auto"/>
          <w:szCs w:val="21"/>
          <w:highlight w:val="none"/>
          <w:lang w:val="zh-CN"/>
        </w:rPr>
        <w:t>36.2采购合同由采购人与中标人根据招标文件、投标文件等内容签订。</w:t>
      </w:r>
    </w:p>
    <w:p w14:paraId="301729AF">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36.3签订合同时间：按中标通知书规定的时间与采购人签订合同。</w:t>
      </w:r>
    </w:p>
    <w:p w14:paraId="6E048008">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36.4中标人拒绝与采购人签订合同的，采购人可以按照评审报告推荐的中标候选人名单排序，依法确定下一候选人为中标人，也可以重新开展政府采购活动。如采购人无正当理由拒签合同的，给中标人造成损失的，中标人可追究采购人承担相应的法律责任。</w:t>
      </w:r>
    </w:p>
    <w:p w14:paraId="3C637C0A">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36.5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B0A94B1">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36.6采购人或中标人不得单方面向合同另一方提出任何招标文件没有约定的条件或不合理的要求，作为签订合同的条件；也不得协商另行订立背离招标文件和合同实质性内容的协议。</w:t>
      </w:r>
    </w:p>
    <w:p w14:paraId="06830476">
      <w:pPr>
        <w:spacing w:line="360" w:lineRule="auto"/>
        <w:ind w:firstLine="420" w:firstLineChars="200"/>
        <w:rPr>
          <w:rFonts w:ascii="宋体" w:cs="宋体"/>
          <w:b/>
          <w:color w:val="auto"/>
          <w:szCs w:val="21"/>
          <w:highlight w:val="none"/>
        </w:rPr>
      </w:pPr>
      <w:r>
        <w:rPr>
          <w:rFonts w:hint="eastAsia" w:ascii="宋体" w:cs="宋体"/>
          <w:color w:val="auto"/>
          <w:szCs w:val="21"/>
          <w:highlight w:val="none"/>
        </w:rPr>
        <w:t>36.7如签订合同并生效后，中标人无故拒绝或延期，除按照合同条款处理外，将承担相应的法律责任。</w:t>
      </w:r>
    </w:p>
    <w:p w14:paraId="478B65CE">
      <w:pPr>
        <w:spacing w:line="360" w:lineRule="auto"/>
        <w:ind w:firstLine="480" w:firstLineChars="200"/>
        <w:rPr>
          <w:rFonts w:ascii="宋体" w:cs="宋体"/>
          <w:color w:val="auto"/>
          <w:sz w:val="24"/>
          <w:highlight w:val="none"/>
        </w:rPr>
      </w:pPr>
      <w:bookmarkStart w:id="196" w:name="_41.政府采购合同公告"/>
      <w:bookmarkEnd w:id="196"/>
      <w:r>
        <w:rPr>
          <w:rFonts w:hint="eastAsia" w:ascii="宋体" w:cs="宋体"/>
          <w:color w:val="auto"/>
          <w:sz w:val="24"/>
          <w:highlight w:val="none"/>
        </w:rPr>
        <w:t>37.政府采购合同公告</w:t>
      </w:r>
    </w:p>
    <w:p w14:paraId="074C2201">
      <w:pPr>
        <w:spacing w:line="360" w:lineRule="auto"/>
        <w:ind w:firstLine="420" w:firstLineChars="200"/>
        <w:rPr>
          <w:rFonts w:ascii="宋体" w:cs="宋体"/>
          <w:color w:val="auto"/>
          <w:highlight w:val="none"/>
        </w:rPr>
      </w:pPr>
      <w:r>
        <w:rPr>
          <w:rFonts w:hint="eastAsia" w:cs="宋体"/>
          <w:color w:val="auto"/>
          <w:highlight w:val="none"/>
        </w:rPr>
        <w:t>采购人应当自政府采购合同签订之日起2个工作日内，将政府采购合同</w:t>
      </w:r>
      <w:r>
        <w:rPr>
          <w:rFonts w:hint="eastAsia" w:ascii="宋体" w:cs="宋体"/>
          <w:bCs/>
          <w:color w:val="auto"/>
          <w:highlight w:val="none"/>
        </w:rPr>
        <w:t>在</w:t>
      </w:r>
      <w:r>
        <w:rPr>
          <w:rFonts w:hint="eastAsia"/>
          <w:color w:val="auto"/>
          <w:highlight w:val="none"/>
        </w:rPr>
        <w:t>省级以上人民政府财政部门指定的</w:t>
      </w:r>
      <w:r>
        <w:rPr>
          <w:rFonts w:hint="eastAsia" w:ascii="宋体" w:cs="宋体"/>
          <w:bCs/>
          <w:color w:val="auto"/>
          <w:highlight w:val="none"/>
        </w:rPr>
        <w:t>媒体上</w:t>
      </w:r>
      <w:r>
        <w:rPr>
          <w:rFonts w:hint="eastAsia" w:cs="宋体"/>
          <w:color w:val="auto"/>
          <w:highlight w:val="none"/>
        </w:rPr>
        <w:t>公告，</w:t>
      </w:r>
      <w:r>
        <w:rPr>
          <w:rFonts w:cs="宋体"/>
          <w:color w:val="auto"/>
          <w:highlight w:val="none"/>
        </w:rPr>
        <w:t>但政府采购合同中涉及国家秘密、商业秘密的内容除外。</w:t>
      </w:r>
    </w:p>
    <w:p w14:paraId="6CB4C4C0">
      <w:pPr>
        <w:spacing w:line="360" w:lineRule="auto"/>
        <w:ind w:firstLine="480" w:firstLineChars="200"/>
        <w:rPr>
          <w:rFonts w:ascii="宋体" w:cs="宋体"/>
          <w:color w:val="auto"/>
          <w:sz w:val="24"/>
          <w:highlight w:val="none"/>
        </w:rPr>
      </w:pPr>
      <w:r>
        <w:rPr>
          <w:rFonts w:hint="eastAsia" w:ascii="宋体" w:cs="宋体"/>
          <w:color w:val="auto"/>
          <w:sz w:val="24"/>
          <w:highlight w:val="none"/>
        </w:rPr>
        <w:t>38.询问、质疑和投诉</w:t>
      </w:r>
    </w:p>
    <w:p w14:paraId="4AEA7B6F">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38.1询问</w:t>
      </w:r>
    </w:p>
    <w:p w14:paraId="64382472">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38.1.1供应商在开标前对政府采购活动事项有疑问的，可以向采购人或采购代理机构项目负责人提出询问。</w:t>
      </w:r>
    </w:p>
    <w:p w14:paraId="5E8D2BF6">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38.1.2采购人或采购人委托的采购代理机构自受理询问之日起3个工作日内对供应商依法提出的询问作出答复，</w:t>
      </w:r>
      <w:r>
        <w:rPr>
          <w:rFonts w:hint="eastAsia" w:ascii="宋体" w:cs="宋体"/>
          <w:color w:val="auto"/>
          <w:highlight w:val="none"/>
        </w:rPr>
        <w:t>但答复内容不得涉及商业秘密</w:t>
      </w:r>
      <w:r>
        <w:rPr>
          <w:rFonts w:hint="eastAsia" w:ascii="宋体" w:cs="宋体"/>
          <w:bCs/>
          <w:color w:val="auto"/>
          <w:szCs w:val="21"/>
          <w:highlight w:val="none"/>
        </w:rPr>
        <w:t>。</w:t>
      </w:r>
    </w:p>
    <w:p w14:paraId="186F2228">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38.1.3 询问事项可能影响中标结果的，采购人应当暂停签订合同，已经签订合同的，应当中止履行合同。</w:t>
      </w:r>
    </w:p>
    <w:p w14:paraId="4A2946DB">
      <w:pPr>
        <w:spacing w:line="360" w:lineRule="auto"/>
        <w:ind w:firstLine="422" w:firstLineChars="200"/>
        <w:rPr>
          <w:rFonts w:ascii="宋体" w:cs="宋体"/>
          <w:b/>
          <w:bCs/>
          <w:color w:val="auto"/>
          <w:szCs w:val="21"/>
          <w:highlight w:val="none"/>
        </w:rPr>
      </w:pPr>
      <w:r>
        <w:rPr>
          <w:rFonts w:hint="eastAsia" w:ascii="宋体" w:cs="宋体"/>
          <w:b/>
          <w:bCs/>
          <w:color w:val="auto"/>
          <w:szCs w:val="21"/>
          <w:highlight w:val="none"/>
        </w:rPr>
        <w:t>38.2质疑</w:t>
      </w:r>
    </w:p>
    <w:p w14:paraId="7EDE1B05">
      <w:pPr>
        <w:spacing w:line="360" w:lineRule="auto"/>
        <w:ind w:firstLine="420" w:firstLineChars="200"/>
        <w:rPr>
          <w:rFonts w:ascii="宋体" w:cs="宋体"/>
          <w:b/>
          <w:color w:val="auto"/>
          <w:szCs w:val="21"/>
          <w:highlight w:val="none"/>
        </w:rPr>
      </w:pPr>
      <w:r>
        <w:rPr>
          <w:rFonts w:hint="eastAsia" w:ascii="宋体" w:cs="宋体"/>
          <w:bCs/>
          <w:color w:val="auto"/>
          <w:szCs w:val="21"/>
          <w:highlight w:val="none"/>
        </w:rPr>
        <w:t>38.2.1</w:t>
      </w:r>
      <w:r>
        <w:rPr>
          <w:rFonts w:hint="eastAsia" w:ascii="宋体" w:cs="宋体"/>
          <w:b/>
          <w:color w:val="auto"/>
          <w:szCs w:val="21"/>
          <w:highlight w:val="none"/>
        </w:rPr>
        <w:t xml:space="preserve">供应商认为招标文件、采购过程或者中标结果使自己的合法权益受到损害的，必须在知道或者应知其权益受到损害之日起7个工作日内，以书面形式向采购人或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59303A60">
      <w:pPr>
        <w:spacing w:line="360" w:lineRule="auto"/>
        <w:ind w:firstLine="420" w:firstLineChars="200"/>
        <w:rPr>
          <w:rFonts w:ascii="宋体" w:cs="宋体"/>
          <w:bCs/>
          <w:color w:val="auto"/>
          <w:highlight w:val="none"/>
        </w:rPr>
      </w:pPr>
      <w:r>
        <w:rPr>
          <w:rFonts w:hint="eastAsia" w:ascii="宋体" w:cs="宋体"/>
          <w:bCs/>
          <w:color w:val="auto"/>
          <w:highlight w:val="none"/>
        </w:rPr>
        <w:t>（1）潜在供应商依法获取招标文件后，认为采购文件使自己的权益受到损害的，应当在招标文件公告期限届满之日起7个工作日内提出质疑。</w:t>
      </w:r>
      <w:r>
        <w:rPr>
          <w:rFonts w:hint="eastAsia" w:ascii="宋体" w:cs="宋体"/>
          <w:color w:val="auto"/>
          <w:highlight w:val="none"/>
        </w:rPr>
        <w:t>委托代理协议无特殊约定的，</w:t>
      </w:r>
      <w:r>
        <w:rPr>
          <w:rFonts w:hint="eastAsia" w:ascii="宋体" w:cs="宋体"/>
          <w:bCs/>
          <w:color w:val="auto"/>
          <w:highlight w:val="none"/>
        </w:rPr>
        <w:t>对招标文件中采购需求（含资格要求、采购预算和评分办法）的质疑由采购人受理并负责答复；对招标文件中的采购执行程序的质疑由采购代理机构受理并负责答复。</w:t>
      </w:r>
    </w:p>
    <w:p w14:paraId="2A8A59B4">
      <w:pPr>
        <w:spacing w:line="360" w:lineRule="auto"/>
        <w:ind w:firstLine="420" w:firstLineChars="200"/>
        <w:rPr>
          <w:rFonts w:ascii="宋体" w:cs="宋体"/>
          <w:bCs/>
          <w:color w:val="auto"/>
          <w:highlight w:val="none"/>
        </w:rPr>
      </w:pPr>
      <w:r>
        <w:rPr>
          <w:rFonts w:hint="eastAsia" w:asci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采购代理机构提出，由采购人或采购代理机构受理并负责答复；对采购过程中采购执行程序的质疑由采购代理机构受理并负责答复。</w:t>
      </w:r>
    </w:p>
    <w:p w14:paraId="60A424BE">
      <w:pPr>
        <w:spacing w:line="360" w:lineRule="auto"/>
        <w:ind w:firstLine="420" w:firstLineChars="200"/>
        <w:rPr>
          <w:rFonts w:ascii="宋体" w:cs="宋体"/>
          <w:bCs/>
          <w:color w:val="auto"/>
          <w:highlight w:val="none"/>
        </w:rPr>
      </w:pPr>
      <w:r>
        <w:rPr>
          <w:rFonts w:hint="eastAsia" w:ascii="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29B0A60F">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38.2.2供应商质疑实行实名制，其质疑应当有具体的质疑事项及事实根据，质疑应当坚持依法依规、诚实信用原则，不得进行虚假、恶意质疑。</w:t>
      </w:r>
    </w:p>
    <w:p w14:paraId="6CCE98F5">
      <w:pPr>
        <w:spacing w:line="360" w:lineRule="auto"/>
        <w:ind w:firstLine="420" w:firstLineChars="200"/>
        <w:rPr>
          <w:rFonts w:ascii="宋体" w:cs="宋体"/>
          <w:bCs/>
          <w:color w:val="auto"/>
          <w:highlight w:val="none"/>
        </w:rPr>
      </w:pPr>
      <w:r>
        <w:rPr>
          <w:rFonts w:hint="eastAsia" w:ascii="宋体" w:cs="宋体"/>
          <w:bCs/>
          <w:color w:val="auto"/>
          <w:szCs w:val="21"/>
          <w:highlight w:val="none"/>
        </w:rPr>
        <w:t>38.2.3</w:t>
      </w:r>
      <w:r>
        <w:rPr>
          <w:rFonts w:hint="eastAsia" w:ascii="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cs="宋体"/>
          <w:color w:val="auto"/>
          <w:highlight w:val="none"/>
        </w:rPr>
        <w:t>。</w:t>
      </w:r>
    </w:p>
    <w:p w14:paraId="1A2659F3">
      <w:pPr>
        <w:spacing w:line="360" w:lineRule="auto"/>
        <w:ind w:firstLine="422" w:firstLineChars="200"/>
        <w:rPr>
          <w:rFonts w:ascii="宋体" w:cs="宋体"/>
          <w:b/>
          <w:bCs/>
          <w:color w:val="auto"/>
          <w:highlight w:val="none"/>
        </w:rPr>
      </w:pPr>
      <w:r>
        <w:rPr>
          <w:rFonts w:hint="eastAsia" w:ascii="宋体" w:cs="宋体"/>
          <w:b/>
          <w:bCs/>
          <w:color w:val="auto"/>
          <w:highlight w:val="none"/>
        </w:rPr>
        <w:t>38.2.4 质疑供应商提起质疑应当符合下列条件：</w:t>
      </w:r>
    </w:p>
    <w:p w14:paraId="39D47DED">
      <w:pPr>
        <w:spacing w:line="360" w:lineRule="auto"/>
        <w:ind w:firstLine="420" w:firstLineChars="200"/>
        <w:rPr>
          <w:rFonts w:ascii="宋体" w:cs="宋体"/>
          <w:bCs/>
          <w:color w:val="auto"/>
          <w:highlight w:val="none"/>
        </w:rPr>
      </w:pPr>
      <w:r>
        <w:rPr>
          <w:rFonts w:hint="eastAsia" w:ascii="宋体" w:cs="宋体"/>
          <w:bCs/>
          <w:color w:val="auto"/>
          <w:highlight w:val="none"/>
        </w:rPr>
        <w:t>（1）质疑供应商是参与所质疑</w:t>
      </w:r>
      <w:r>
        <w:rPr>
          <w:rFonts w:hint="eastAsia" w:ascii="宋体" w:cs="宋体"/>
          <w:bCs/>
          <w:color w:val="auto"/>
          <w:szCs w:val="21"/>
          <w:highlight w:val="none"/>
        </w:rPr>
        <w:t>项目</w:t>
      </w:r>
      <w:r>
        <w:rPr>
          <w:rFonts w:hint="eastAsia" w:ascii="宋体" w:cs="宋体"/>
          <w:bCs/>
          <w:color w:val="auto"/>
          <w:highlight w:val="none"/>
        </w:rPr>
        <w:t>采购活动的供应商（潜在供应商已依法获取可质疑的采购文件的，可以对该采购文件质疑）；</w:t>
      </w:r>
    </w:p>
    <w:p w14:paraId="4AB02723">
      <w:pPr>
        <w:spacing w:line="360" w:lineRule="auto"/>
        <w:ind w:firstLine="420" w:firstLineChars="200"/>
        <w:rPr>
          <w:rFonts w:ascii="宋体" w:cs="宋体"/>
          <w:bCs/>
          <w:color w:val="auto"/>
          <w:highlight w:val="none"/>
        </w:rPr>
      </w:pPr>
      <w:r>
        <w:rPr>
          <w:rFonts w:hint="eastAsia" w:ascii="宋体" w:cs="宋体"/>
          <w:bCs/>
          <w:color w:val="auto"/>
          <w:highlight w:val="none"/>
        </w:rPr>
        <w:t>（2）质疑函内容符合本章第38.2.5项的规定；</w:t>
      </w:r>
    </w:p>
    <w:p w14:paraId="3476A287">
      <w:pPr>
        <w:spacing w:line="360" w:lineRule="auto"/>
        <w:ind w:firstLine="420" w:firstLineChars="200"/>
        <w:rPr>
          <w:rFonts w:ascii="宋体" w:cs="宋体"/>
          <w:bCs/>
          <w:color w:val="auto"/>
          <w:highlight w:val="none"/>
        </w:rPr>
      </w:pPr>
      <w:r>
        <w:rPr>
          <w:rFonts w:hint="eastAsia" w:ascii="宋体" w:cs="宋体"/>
          <w:bCs/>
          <w:color w:val="auto"/>
          <w:highlight w:val="none"/>
        </w:rPr>
        <w:t>（3）在质疑有效期限内提起质疑；</w:t>
      </w:r>
    </w:p>
    <w:p w14:paraId="60F65A04">
      <w:pPr>
        <w:spacing w:line="360" w:lineRule="auto"/>
        <w:ind w:firstLine="420" w:firstLineChars="200"/>
        <w:rPr>
          <w:rFonts w:ascii="宋体" w:cs="宋体"/>
          <w:bCs/>
          <w:color w:val="auto"/>
          <w:highlight w:val="none"/>
        </w:rPr>
      </w:pPr>
      <w:r>
        <w:rPr>
          <w:rFonts w:hint="eastAsia" w:ascii="宋体" w:cs="宋体"/>
          <w:bCs/>
          <w:color w:val="auto"/>
          <w:highlight w:val="none"/>
        </w:rPr>
        <w:t xml:space="preserve">（4）属于所质疑的采购人或采购人委托的采购代理机构组织的采购活动； </w:t>
      </w:r>
    </w:p>
    <w:p w14:paraId="650BDE60">
      <w:pPr>
        <w:spacing w:line="360" w:lineRule="auto"/>
        <w:ind w:firstLine="420" w:firstLineChars="200"/>
        <w:rPr>
          <w:rFonts w:ascii="宋体" w:cs="宋体"/>
          <w:bCs/>
          <w:color w:val="auto"/>
          <w:highlight w:val="none"/>
        </w:rPr>
      </w:pPr>
      <w:r>
        <w:rPr>
          <w:rFonts w:hint="eastAsia" w:ascii="宋体" w:cs="宋体"/>
          <w:bCs/>
          <w:color w:val="auto"/>
          <w:highlight w:val="none"/>
        </w:rPr>
        <w:t>（5）供应商对同一采购程序环节的质疑应当在质疑有效期内一次性提出；</w:t>
      </w:r>
    </w:p>
    <w:p w14:paraId="7E400A39">
      <w:pPr>
        <w:spacing w:line="360" w:lineRule="auto"/>
        <w:ind w:firstLine="420" w:firstLineChars="200"/>
        <w:rPr>
          <w:rFonts w:ascii="宋体" w:cs="宋体"/>
          <w:bCs/>
          <w:color w:val="auto"/>
          <w:highlight w:val="none"/>
        </w:rPr>
      </w:pPr>
      <w:r>
        <w:rPr>
          <w:rFonts w:hint="eastAsia" w:ascii="宋体" w:cs="宋体"/>
          <w:bCs/>
          <w:color w:val="auto"/>
          <w:highlight w:val="none"/>
        </w:rPr>
        <w:t>（6）供应商提交质疑应当提交必要的证明材料，证明材料应以合法手段取得；</w:t>
      </w:r>
    </w:p>
    <w:p w14:paraId="61C1A372">
      <w:pPr>
        <w:spacing w:line="360" w:lineRule="auto"/>
        <w:ind w:firstLine="420" w:firstLineChars="200"/>
        <w:rPr>
          <w:rFonts w:ascii="宋体" w:cs="宋体"/>
          <w:color w:val="auto"/>
          <w:highlight w:val="none"/>
        </w:rPr>
      </w:pPr>
      <w:r>
        <w:rPr>
          <w:rFonts w:hint="eastAsia" w:ascii="宋体" w:cs="宋体"/>
          <w:bCs/>
          <w:color w:val="auto"/>
          <w:highlight w:val="none"/>
        </w:rPr>
        <w:t>（7）财政部门规定的其他条件。</w:t>
      </w:r>
    </w:p>
    <w:p w14:paraId="4EC71C9F">
      <w:pPr>
        <w:spacing w:line="360" w:lineRule="auto"/>
        <w:ind w:firstLine="422" w:firstLineChars="200"/>
        <w:rPr>
          <w:rFonts w:ascii="宋体" w:cs="宋体"/>
          <w:b/>
          <w:color w:val="auto"/>
          <w:szCs w:val="21"/>
          <w:highlight w:val="none"/>
        </w:rPr>
      </w:pPr>
      <w:bookmarkStart w:id="197" w:name="_9.2质疑、投诉应当采用书面形式，质疑函、投诉书均应明确阐述招标文件、"/>
      <w:bookmarkEnd w:id="197"/>
      <w:r>
        <w:rPr>
          <w:rFonts w:hint="eastAsia" w:ascii="宋体" w:cs="宋体"/>
          <w:b/>
          <w:bCs/>
          <w:color w:val="auto"/>
          <w:szCs w:val="21"/>
          <w:highlight w:val="none"/>
        </w:rPr>
        <w:t xml:space="preserve"> 38.2.5 </w:t>
      </w:r>
      <w:r>
        <w:rPr>
          <w:rFonts w:hint="eastAsia" w:ascii="宋体" w:cs="宋体"/>
          <w:b/>
          <w:color w:val="auto"/>
          <w:highlight w:val="none"/>
        </w:rPr>
        <w:t>供应商提出质疑应当提交质疑函和必要的证明材料，针对同一采购程序环节的质疑必须在法定质疑期内一次性提出。质疑函应当包括下列内容（质疑函格式后附）</w:t>
      </w:r>
      <w:r>
        <w:rPr>
          <w:rFonts w:hint="eastAsia" w:ascii="宋体" w:cs="宋体"/>
          <w:bCs/>
          <w:color w:val="auto"/>
          <w:highlight w:val="none"/>
        </w:rPr>
        <w:t>：</w:t>
      </w:r>
    </w:p>
    <w:p w14:paraId="10E8888E">
      <w:pPr>
        <w:spacing w:line="360" w:lineRule="auto"/>
        <w:ind w:firstLine="420" w:firstLineChars="200"/>
        <w:rPr>
          <w:rFonts w:ascii="宋体" w:cs="宋体"/>
          <w:bCs/>
          <w:color w:val="auto"/>
          <w:highlight w:val="none"/>
        </w:rPr>
      </w:pPr>
      <w:r>
        <w:rPr>
          <w:rFonts w:hint="eastAsia" w:ascii="宋体" w:cs="宋体"/>
          <w:bCs/>
          <w:color w:val="auto"/>
          <w:highlight w:val="none"/>
        </w:rPr>
        <w:t>（1）供应商的姓名或者名称、地址、邮编、联系人及联系电话；</w:t>
      </w:r>
    </w:p>
    <w:p w14:paraId="5154CD83">
      <w:pPr>
        <w:spacing w:line="360" w:lineRule="auto"/>
        <w:ind w:firstLine="420" w:firstLineChars="200"/>
        <w:rPr>
          <w:rFonts w:ascii="宋体" w:cs="宋体"/>
          <w:bCs/>
          <w:color w:val="auto"/>
          <w:highlight w:val="none"/>
        </w:rPr>
      </w:pPr>
      <w:r>
        <w:rPr>
          <w:rFonts w:hint="eastAsia" w:ascii="宋体" w:cs="宋体"/>
          <w:bCs/>
          <w:color w:val="auto"/>
          <w:highlight w:val="none"/>
        </w:rPr>
        <w:t>（2）质疑项目的名称、编号；</w:t>
      </w:r>
    </w:p>
    <w:p w14:paraId="75D81D34">
      <w:pPr>
        <w:spacing w:line="360" w:lineRule="auto"/>
        <w:ind w:firstLine="420" w:firstLineChars="200"/>
        <w:rPr>
          <w:rFonts w:ascii="宋体" w:cs="宋体"/>
          <w:bCs/>
          <w:color w:val="auto"/>
          <w:highlight w:val="none"/>
        </w:rPr>
      </w:pPr>
      <w:r>
        <w:rPr>
          <w:rFonts w:hint="eastAsia" w:ascii="宋体" w:cs="宋体"/>
          <w:bCs/>
          <w:color w:val="auto"/>
          <w:highlight w:val="none"/>
        </w:rPr>
        <w:t>（3）具体、明确的质疑事项和与质疑事项相关的请求；</w:t>
      </w:r>
    </w:p>
    <w:p w14:paraId="2355F174">
      <w:pPr>
        <w:spacing w:line="360" w:lineRule="auto"/>
        <w:ind w:firstLine="420" w:firstLineChars="200"/>
        <w:rPr>
          <w:rFonts w:ascii="宋体" w:cs="宋体"/>
          <w:bCs/>
          <w:color w:val="auto"/>
          <w:highlight w:val="none"/>
        </w:rPr>
      </w:pPr>
      <w:r>
        <w:rPr>
          <w:rFonts w:hint="eastAsia" w:ascii="宋体" w:cs="宋体"/>
          <w:bCs/>
          <w:color w:val="auto"/>
          <w:highlight w:val="none"/>
        </w:rPr>
        <w:t>（4）事实依据（列明权益受到损害的事实和理由）；</w:t>
      </w:r>
    </w:p>
    <w:p w14:paraId="350B3090">
      <w:pPr>
        <w:spacing w:line="360" w:lineRule="auto"/>
        <w:ind w:firstLine="420" w:firstLineChars="200"/>
        <w:rPr>
          <w:rFonts w:ascii="宋体" w:cs="宋体"/>
          <w:bCs/>
          <w:color w:val="auto"/>
          <w:highlight w:val="none"/>
        </w:rPr>
      </w:pPr>
      <w:r>
        <w:rPr>
          <w:rFonts w:hint="eastAsia" w:ascii="宋体" w:cs="宋体"/>
          <w:bCs/>
          <w:color w:val="auto"/>
          <w:highlight w:val="none"/>
        </w:rPr>
        <w:t>（5）必要的法律依据；</w:t>
      </w:r>
    </w:p>
    <w:p w14:paraId="3249035F">
      <w:pPr>
        <w:spacing w:line="360" w:lineRule="auto"/>
        <w:ind w:firstLine="420" w:firstLineChars="200"/>
        <w:rPr>
          <w:rFonts w:ascii="宋体" w:cs="宋体"/>
          <w:bCs/>
          <w:color w:val="auto"/>
          <w:highlight w:val="none"/>
        </w:rPr>
      </w:pPr>
      <w:r>
        <w:rPr>
          <w:rFonts w:hint="eastAsia" w:ascii="宋体" w:cs="宋体"/>
          <w:bCs/>
          <w:color w:val="auto"/>
          <w:highlight w:val="none"/>
        </w:rPr>
        <w:t>（6）提出质疑的日期。</w:t>
      </w:r>
    </w:p>
    <w:p w14:paraId="0E6D6DA8">
      <w:pPr>
        <w:spacing w:line="360" w:lineRule="auto"/>
        <w:ind w:firstLine="420" w:firstLineChars="200"/>
        <w:rPr>
          <w:rFonts w:ascii="宋体" w:cs="宋体"/>
          <w:bCs/>
          <w:color w:val="auto"/>
          <w:highlight w:val="none"/>
        </w:rPr>
      </w:pPr>
      <w:r>
        <w:rPr>
          <w:rFonts w:hint="eastAsia" w:ascii="宋体" w:cs="宋体"/>
          <w:bCs/>
          <w:color w:val="auto"/>
          <w:highlight w:val="none"/>
        </w:rPr>
        <w:t>供应商为自然人的，应当由本人签字；供应商为法人或者其他组织的，应当由法定代表人、主要负责人，或者其委托代理人签字或者盖章，并加盖公章。</w:t>
      </w:r>
    </w:p>
    <w:p w14:paraId="375CE0D2">
      <w:pPr>
        <w:spacing w:line="360" w:lineRule="auto"/>
        <w:ind w:firstLine="422" w:firstLineChars="200"/>
        <w:rPr>
          <w:rFonts w:ascii="宋体" w:cs="宋体"/>
          <w:b/>
          <w:color w:val="auto"/>
          <w:szCs w:val="20"/>
          <w:highlight w:val="none"/>
        </w:rPr>
      </w:pPr>
      <w:r>
        <w:rPr>
          <w:rFonts w:hint="eastAsia" w:ascii="宋体" w:cs="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cs="宋体"/>
          <w:bCs/>
          <w:color w:val="auto"/>
          <w:highlight w:val="none"/>
        </w:rPr>
        <w:t>。</w:t>
      </w:r>
    </w:p>
    <w:p w14:paraId="3B18EB3C">
      <w:pPr>
        <w:spacing w:line="360" w:lineRule="auto"/>
        <w:ind w:firstLine="420" w:firstLineChars="200"/>
        <w:rPr>
          <w:rFonts w:ascii="宋体" w:cs="宋体"/>
          <w:bCs/>
          <w:color w:val="auto"/>
          <w:szCs w:val="21"/>
          <w:highlight w:val="none"/>
        </w:rPr>
      </w:pPr>
      <w:r>
        <w:rPr>
          <w:rFonts w:hint="eastAsia" w:ascii="宋体" w:cs="宋体"/>
          <w:color w:val="auto"/>
          <w:szCs w:val="21"/>
          <w:highlight w:val="none"/>
        </w:rPr>
        <w:t>3</w:t>
      </w:r>
      <w:r>
        <w:rPr>
          <w:rFonts w:hint="eastAsia" w:ascii="宋体" w:cs="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1FC06B05">
      <w:pPr>
        <w:spacing w:line="360" w:lineRule="auto"/>
        <w:ind w:firstLine="420" w:firstLineChars="200"/>
        <w:rPr>
          <w:rFonts w:ascii="宋体" w:cs="宋体"/>
          <w:bCs/>
          <w:color w:val="auto"/>
          <w:highlight w:val="none"/>
        </w:rPr>
      </w:pPr>
      <w:r>
        <w:rPr>
          <w:rFonts w:hint="eastAsia" w:ascii="宋体" w:cs="宋体"/>
          <w:bCs/>
          <w:color w:val="auto"/>
          <w:highlight w:val="none"/>
        </w:rPr>
        <w:t>（一）对招标文件提出的质疑，依法通过澄清或者修改可以继续开展采购活动的，澄清或者修改招标文件后继续开展采购活动；否则应当修改招标文件后重新开展采购活动。</w:t>
      </w:r>
    </w:p>
    <w:p w14:paraId="19C03A13">
      <w:pPr>
        <w:spacing w:line="360" w:lineRule="auto"/>
        <w:ind w:firstLine="420" w:firstLineChars="200"/>
        <w:rPr>
          <w:rFonts w:ascii="宋体" w:cs="宋体"/>
          <w:bCs/>
          <w:color w:val="auto"/>
          <w:highlight w:val="none"/>
        </w:rPr>
      </w:pPr>
      <w:r>
        <w:rPr>
          <w:rFonts w:hint="eastAsia" w:ascii="宋体" w:cs="宋体"/>
          <w:bCs/>
          <w:color w:val="auto"/>
          <w:highlight w:val="none"/>
        </w:rPr>
        <w:t>（二）对采购过程、中标结果提出的质疑，合格供应商符合法定数量时，可以从合格的中标候选人中另行确定中标供应商的，应当依法另行确定中标供应商；否则应当重新开展采购活动。</w:t>
      </w:r>
    </w:p>
    <w:p w14:paraId="34921273">
      <w:pPr>
        <w:spacing w:line="360" w:lineRule="auto"/>
        <w:ind w:firstLine="420" w:firstLineChars="200"/>
        <w:rPr>
          <w:rFonts w:ascii="宋体" w:cs="宋体"/>
          <w:bCs/>
          <w:color w:val="auto"/>
          <w:highlight w:val="none"/>
        </w:rPr>
      </w:pPr>
      <w:r>
        <w:rPr>
          <w:rFonts w:hint="eastAsia" w:ascii="宋体" w:cs="宋体"/>
          <w:bCs/>
          <w:color w:val="auto"/>
          <w:highlight w:val="none"/>
        </w:rPr>
        <w:t>质疑答复导致中标结果改变的，采购人或者采购代理机构应当将有关情况书面报告</w:t>
      </w:r>
      <w:r>
        <w:rPr>
          <w:rFonts w:hint="eastAsia" w:ascii="宋体" w:cs="宋体"/>
          <w:color w:val="auto"/>
          <w:szCs w:val="21"/>
          <w:highlight w:val="none"/>
        </w:rPr>
        <w:t>本级财政部门</w:t>
      </w:r>
      <w:r>
        <w:rPr>
          <w:rFonts w:hint="eastAsia" w:ascii="宋体" w:cs="宋体"/>
          <w:bCs/>
          <w:color w:val="auto"/>
          <w:highlight w:val="none"/>
        </w:rPr>
        <w:t>。</w:t>
      </w:r>
    </w:p>
    <w:p w14:paraId="2B22257B">
      <w:pPr>
        <w:spacing w:line="360" w:lineRule="auto"/>
        <w:ind w:firstLine="422" w:firstLineChars="200"/>
        <w:rPr>
          <w:rFonts w:ascii="宋体" w:cs="宋体"/>
          <w:b/>
          <w:color w:val="auto"/>
          <w:highlight w:val="none"/>
        </w:rPr>
      </w:pPr>
      <w:r>
        <w:rPr>
          <w:rFonts w:hint="eastAsia" w:ascii="宋体" w:cs="宋体"/>
          <w:b/>
          <w:color w:val="auto"/>
          <w:highlight w:val="none"/>
        </w:rPr>
        <w:t>38.3投诉</w:t>
      </w:r>
    </w:p>
    <w:p w14:paraId="795D856F">
      <w:pPr>
        <w:spacing w:line="360" w:lineRule="auto"/>
        <w:ind w:firstLine="422" w:firstLineChars="200"/>
        <w:rPr>
          <w:rFonts w:ascii="宋体" w:cs="宋体"/>
          <w:bCs/>
          <w:color w:val="auto"/>
          <w:highlight w:val="none"/>
        </w:rPr>
      </w:pPr>
      <w:r>
        <w:rPr>
          <w:rFonts w:hint="eastAsia" w:ascii="宋体" w:cs="宋体"/>
          <w:b/>
          <w:color w:val="auto"/>
          <w:highlight w:val="none"/>
        </w:rPr>
        <w:t>38.3</w:t>
      </w:r>
      <w:r>
        <w:rPr>
          <w:rFonts w:hint="eastAsia" w:ascii="宋体" w:cs="宋体"/>
          <w:bCs/>
          <w:color w:val="auto"/>
          <w:highlight w:val="none"/>
        </w:rPr>
        <w:t>.</w:t>
      </w:r>
      <w:r>
        <w:rPr>
          <w:rFonts w:hint="eastAsia" w:ascii="宋体" w:cs="宋体"/>
          <w:b/>
          <w:bCs/>
          <w:color w:val="auto"/>
          <w:highlight w:val="none"/>
        </w:rPr>
        <w:t xml:space="preserve">1 </w:t>
      </w:r>
      <w:r>
        <w:rPr>
          <w:rFonts w:hint="eastAsia" w:ascii="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cs="宋体"/>
          <w:color w:val="auto"/>
          <w:highlight w:val="none"/>
        </w:rPr>
        <w:t>采购代理机构</w:t>
      </w:r>
      <w:r>
        <w:rPr>
          <w:rFonts w:hint="eastAsia" w:ascii="宋体" w:cs="宋体"/>
          <w:bCs/>
          <w:color w:val="auto"/>
          <w:highlight w:val="none"/>
        </w:rPr>
        <w:t>提出质疑。对采购人或</w:t>
      </w:r>
      <w:r>
        <w:rPr>
          <w:rFonts w:hint="eastAsia" w:ascii="宋体" w:cs="宋体"/>
          <w:color w:val="auto"/>
          <w:highlight w:val="none"/>
        </w:rPr>
        <w:t>采购代理机构</w:t>
      </w:r>
      <w:r>
        <w:rPr>
          <w:rFonts w:hint="eastAsia" w:ascii="宋体" w:cs="宋体"/>
          <w:bCs/>
          <w:color w:val="auto"/>
          <w:highlight w:val="none"/>
        </w:rPr>
        <w:t>的答复不满意，或者采购人或</w:t>
      </w:r>
      <w:r>
        <w:rPr>
          <w:rFonts w:hint="eastAsia" w:ascii="宋体" w:cs="宋体"/>
          <w:color w:val="auto"/>
          <w:highlight w:val="none"/>
        </w:rPr>
        <w:t>采购代理机构</w:t>
      </w:r>
      <w:r>
        <w:rPr>
          <w:rFonts w:hint="eastAsia" w:ascii="宋体" w:cs="宋体"/>
          <w:bCs/>
          <w:color w:val="auto"/>
          <w:highlight w:val="none"/>
        </w:rPr>
        <w:t>未在规定期限内做出答复的，供应商可以在答复期满后15个工作日内向本级财政部门提起投诉，投诉联系方式见“投标人须知前附表”。</w:t>
      </w:r>
    </w:p>
    <w:p w14:paraId="1A307F32">
      <w:pPr>
        <w:spacing w:line="360" w:lineRule="auto"/>
        <w:ind w:firstLine="422" w:firstLineChars="200"/>
        <w:rPr>
          <w:rFonts w:ascii="宋体" w:cs="宋体"/>
          <w:b/>
          <w:color w:val="auto"/>
          <w:highlight w:val="none"/>
        </w:rPr>
      </w:pPr>
      <w:r>
        <w:rPr>
          <w:rFonts w:hint="eastAsia" w:ascii="宋体" w:cs="宋体"/>
          <w:b/>
          <w:color w:val="auto"/>
          <w:highlight w:val="none"/>
        </w:rPr>
        <w:t>38.3.2  投诉人投诉时，应当提交投诉书，并按照被投诉采购人、采购代理机构和与投诉事项有关的供应商数量提供投诉书的副本。投诉书</w:t>
      </w:r>
      <w:r>
        <w:rPr>
          <w:rFonts w:hint="eastAsia" w:ascii="宋体" w:cs="宋体"/>
          <w:b/>
          <w:color w:val="auto"/>
          <w:szCs w:val="21"/>
          <w:highlight w:val="none"/>
        </w:rPr>
        <w:t>应当包括下列主要内容</w:t>
      </w:r>
      <w:r>
        <w:rPr>
          <w:rFonts w:hint="eastAsia" w:ascii="宋体" w:cs="宋体"/>
          <w:b/>
          <w:color w:val="auto"/>
          <w:highlight w:val="none"/>
        </w:rPr>
        <w:t>（如材料中有外文资料应同时附上对应的中文译本）（投诉书格式后附）</w:t>
      </w:r>
      <w:r>
        <w:rPr>
          <w:rFonts w:hint="eastAsia" w:ascii="宋体" w:cs="宋体"/>
          <w:b/>
          <w:color w:val="auto"/>
          <w:szCs w:val="21"/>
          <w:highlight w:val="none"/>
        </w:rPr>
        <w:t>：</w:t>
      </w:r>
    </w:p>
    <w:p w14:paraId="6386BB7E">
      <w:pPr>
        <w:spacing w:line="360" w:lineRule="auto"/>
        <w:ind w:firstLine="420" w:firstLineChars="200"/>
        <w:rPr>
          <w:rFonts w:ascii="宋体" w:cs="宋体"/>
          <w:color w:val="auto"/>
          <w:highlight w:val="none"/>
        </w:rPr>
      </w:pPr>
      <w:r>
        <w:rPr>
          <w:rFonts w:hint="eastAsia" w:ascii="宋体" w:cs="宋体"/>
          <w:color w:val="auto"/>
          <w:highlight w:val="none"/>
        </w:rPr>
        <w:t xml:space="preserve">（1）投诉人和被投诉人的名称、地址、邮编、联系人及联系电话等； </w:t>
      </w:r>
    </w:p>
    <w:p w14:paraId="1E998A8E">
      <w:pPr>
        <w:spacing w:line="360" w:lineRule="auto"/>
        <w:ind w:firstLine="420" w:firstLineChars="200"/>
        <w:rPr>
          <w:rFonts w:ascii="宋体" w:cs="宋体"/>
          <w:color w:val="auto"/>
          <w:highlight w:val="none"/>
        </w:rPr>
      </w:pPr>
      <w:r>
        <w:rPr>
          <w:rFonts w:hint="eastAsia" w:ascii="宋体" w:cs="宋体"/>
          <w:color w:val="auto"/>
          <w:highlight w:val="none"/>
        </w:rPr>
        <w:t xml:space="preserve">（2）质疑和质疑答复情况及相关证明材料； </w:t>
      </w:r>
    </w:p>
    <w:p w14:paraId="5024DE51">
      <w:pPr>
        <w:spacing w:line="360" w:lineRule="auto"/>
        <w:ind w:firstLine="420" w:firstLineChars="200"/>
        <w:rPr>
          <w:rFonts w:ascii="宋体" w:cs="宋体"/>
          <w:color w:val="auto"/>
          <w:highlight w:val="none"/>
        </w:rPr>
      </w:pPr>
      <w:r>
        <w:rPr>
          <w:rFonts w:hint="eastAsia" w:ascii="宋体" w:cs="宋体"/>
          <w:color w:val="auto"/>
          <w:highlight w:val="none"/>
        </w:rPr>
        <w:t>（3）具体、明确的投诉事项和与投诉事项相关的投诉请求；</w:t>
      </w:r>
    </w:p>
    <w:p w14:paraId="28896040">
      <w:pPr>
        <w:spacing w:line="360" w:lineRule="auto"/>
        <w:ind w:firstLine="420" w:firstLineChars="200"/>
        <w:rPr>
          <w:rFonts w:ascii="宋体" w:cs="宋体"/>
          <w:color w:val="auto"/>
          <w:highlight w:val="none"/>
        </w:rPr>
      </w:pPr>
      <w:r>
        <w:rPr>
          <w:rFonts w:hint="eastAsia" w:ascii="宋体" w:cs="宋体"/>
          <w:color w:val="auto"/>
          <w:highlight w:val="none"/>
        </w:rPr>
        <w:t>（4）事实依据；</w:t>
      </w:r>
    </w:p>
    <w:p w14:paraId="55C8E429">
      <w:pPr>
        <w:spacing w:line="360" w:lineRule="auto"/>
        <w:ind w:firstLine="420" w:firstLineChars="200"/>
        <w:rPr>
          <w:rFonts w:ascii="宋体" w:cs="宋体"/>
          <w:color w:val="auto"/>
          <w:highlight w:val="none"/>
        </w:rPr>
      </w:pPr>
      <w:r>
        <w:rPr>
          <w:rFonts w:hint="eastAsia" w:ascii="宋体" w:cs="宋体"/>
          <w:color w:val="auto"/>
          <w:highlight w:val="none"/>
        </w:rPr>
        <w:t>（5）法律依据；</w:t>
      </w:r>
    </w:p>
    <w:p w14:paraId="177B60B3">
      <w:pPr>
        <w:spacing w:line="360" w:lineRule="auto"/>
        <w:ind w:firstLine="420" w:firstLineChars="200"/>
        <w:rPr>
          <w:rFonts w:ascii="宋体" w:cs="宋体"/>
          <w:color w:val="auto"/>
          <w:highlight w:val="none"/>
        </w:rPr>
      </w:pPr>
      <w:r>
        <w:rPr>
          <w:rFonts w:hint="eastAsia" w:ascii="宋体" w:cs="宋体"/>
          <w:color w:val="auto"/>
          <w:highlight w:val="none"/>
        </w:rPr>
        <w:t>（6）提起投诉的日期。</w:t>
      </w:r>
      <w:r>
        <w:rPr>
          <w:rFonts w:hint="eastAsia" w:ascii="宋体" w:cs="宋体"/>
          <w:color w:val="auto"/>
          <w:highlight w:val="none"/>
        </w:rPr>
        <w:tab/>
      </w:r>
    </w:p>
    <w:p w14:paraId="6226AA51">
      <w:pPr>
        <w:spacing w:line="360" w:lineRule="auto"/>
        <w:ind w:firstLine="420" w:firstLineChars="200"/>
        <w:rPr>
          <w:rFonts w:ascii="宋体" w:cs="宋体"/>
          <w:bCs/>
          <w:color w:val="auto"/>
          <w:highlight w:val="none"/>
        </w:rPr>
      </w:pPr>
      <w:r>
        <w:rPr>
          <w:rFonts w:hint="eastAsia" w:ascii="宋体" w:cs="宋体"/>
          <w:bCs/>
          <w:color w:val="auto"/>
          <w:highlight w:val="none"/>
        </w:rPr>
        <w:t>投诉人为自然人的，应当由本人签字；投诉人为法人或者其他组织的，应当由法定代表人、主要负责人，或者其授权代表签字或者盖章，并加盖公章。</w:t>
      </w:r>
    </w:p>
    <w:p w14:paraId="2E6EC5CA">
      <w:pPr>
        <w:spacing w:line="360" w:lineRule="auto"/>
        <w:ind w:firstLine="422" w:firstLineChars="200"/>
        <w:rPr>
          <w:rFonts w:ascii="宋体" w:cs="宋体"/>
          <w:bCs/>
          <w:color w:val="auto"/>
          <w:highlight w:val="none"/>
        </w:rPr>
      </w:pPr>
      <w:r>
        <w:rPr>
          <w:rFonts w:hint="eastAsia" w:ascii="宋体" w:cs="宋体"/>
          <w:b/>
          <w:color w:val="auto"/>
          <w:highlight w:val="none"/>
        </w:rPr>
        <w:t xml:space="preserve">38.3.3  </w:t>
      </w:r>
      <w:r>
        <w:rPr>
          <w:rFonts w:hint="eastAsia" w:ascii="宋体" w:cs="宋体"/>
          <w:color w:val="auto"/>
          <w:highlight w:val="none"/>
        </w:rPr>
        <w:t>投诉人可以委托代理人办理投诉事务。</w:t>
      </w:r>
      <w:r>
        <w:rPr>
          <w:rFonts w:hint="eastAsia" w:ascii="宋体" w:cs="宋体"/>
          <w:bCs/>
          <w:color w:val="auto"/>
          <w:highlight w:val="none"/>
        </w:rPr>
        <w:t>委托代理人应熟悉相关业务情况。</w:t>
      </w:r>
      <w:r>
        <w:rPr>
          <w:rFonts w:hint="eastAsia" w:ascii="宋体" w:cs="宋体"/>
          <w:color w:val="auto"/>
          <w:highlight w:val="none"/>
        </w:rPr>
        <w:t>代理人办理投诉事务时，除提交投诉书外，还应当提交投诉人的授权委托书和委托代理人身份证明复印件。</w:t>
      </w:r>
    </w:p>
    <w:p w14:paraId="30172135">
      <w:pPr>
        <w:spacing w:line="360" w:lineRule="auto"/>
        <w:ind w:firstLine="422" w:firstLineChars="200"/>
        <w:rPr>
          <w:rFonts w:ascii="宋体" w:cs="宋体"/>
          <w:color w:val="auto"/>
          <w:highlight w:val="none"/>
        </w:rPr>
      </w:pPr>
      <w:r>
        <w:rPr>
          <w:rFonts w:hint="eastAsia" w:ascii="宋体" w:cs="宋体"/>
          <w:b/>
          <w:color w:val="auto"/>
          <w:highlight w:val="none"/>
        </w:rPr>
        <w:t>38.3.4</w:t>
      </w:r>
      <w:r>
        <w:rPr>
          <w:rFonts w:hint="eastAsia" w:ascii="宋体" w:cs="宋体"/>
          <w:color w:val="auto"/>
          <w:highlight w:val="none"/>
        </w:rPr>
        <w:t xml:space="preserve">  投诉人提起投诉应当符合下列条件：</w:t>
      </w:r>
    </w:p>
    <w:p w14:paraId="3A04CADD">
      <w:pPr>
        <w:spacing w:line="360" w:lineRule="auto"/>
        <w:ind w:firstLine="420" w:firstLineChars="200"/>
        <w:rPr>
          <w:rFonts w:ascii="宋体" w:cs="宋体"/>
          <w:color w:val="auto"/>
          <w:highlight w:val="none"/>
        </w:rPr>
      </w:pPr>
      <w:r>
        <w:rPr>
          <w:rFonts w:hint="eastAsia" w:ascii="宋体" w:cs="宋体"/>
          <w:color w:val="auto"/>
          <w:highlight w:val="none"/>
        </w:rPr>
        <w:t>（1）投诉人是参与所投诉政府采购活动的供应商；</w:t>
      </w:r>
    </w:p>
    <w:p w14:paraId="11E4C574">
      <w:pPr>
        <w:spacing w:line="360" w:lineRule="auto"/>
        <w:ind w:firstLine="420" w:firstLineChars="200"/>
        <w:rPr>
          <w:rFonts w:ascii="宋体" w:cs="宋体"/>
          <w:color w:val="auto"/>
          <w:highlight w:val="none"/>
        </w:rPr>
      </w:pPr>
      <w:r>
        <w:rPr>
          <w:rFonts w:hint="eastAsia" w:ascii="宋体" w:cs="宋体"/>
          <w:color w:val="auto"/>
          <w:highlight w:val="none"/>
        </w:rPr>
        <w:t>（2）提起投诉前已依法进行质疑；</w:t>
      </w:r>
    </w:p>
    <w:p w14:paraId="74BACA21">
      <w:pPr>
        <w:spacing w:line="360" w:lineRule="auto"/>
        <w:ind w:firstLine="420" w:firstLineChars="200"/>
        <w:rPr>
          <w:rFonts w:ascii="宋体" w:cs="宋体"/>
          <w:color w:val="auto"/>
          <w:highlight w:val="none"/>
        </w:rPr>
      </w:pPr>
      <w:r>
        <w:rPr>
          <w:rFonts w:hint="eastAsia" w:ascii="宋体" w:cs="宋体"/>
          <w:color w:val="auto"/>
          <w:highlight w:val="none"/>
        </w:rPr>
        <w:t>（3）投诉书内容符合本章第38.3.2项的规定；</w:t>
      </w:r>
    </w:p>
    <w:p w14:paraId="1BF5CF4E">
      <w:pPr>
        <w:spacing w:line="360" w:lineRule="auto"/>
        <w:ind w:firstLine="420" w:firstLineChars="200"/>
        <w:rPr>
          <w:rFonts w:ascii="宋体" w:cs="宋体"/>
          <w:color w:val="auto"/>
          <w:highlight w:val="none"/>
        </w:rPr>
      </w:pPr>
      <w:r>
        <w:rPr>
          <w:rFonts w:hint="eastAsia" w:ascii="宋体" w:cs="宋体"/>
          <w:color w:val="auto"/>
          <w:highlight w:val="none"/>
        </w:rPr>
        <w:t>（4）在投诉有效期限内提起投诉；</w:t>
      </w:r>
    </w:p>
    <w:p w14:paraId="7FAC0F64">
      <w:pPr>
        <w:spacing w:line="360" w:lineRule="auto"/>
        <w:ind w:firstLine="420" w:firstLineChars="200"/>
        <w:rPr>
          <w:rFonts w:ascii="宋体" w:cs="宋体"/>
          <w:color w:val="auto"/>
          <w:highlight w:val="none"/>
        </w:rPr>
      </w:pPr>
      <w:r>
        <w:rPr>
          <w:rFonts w:hint="eastAsia" w:ascii="宋体" w:cs="宋体"/>
          <w:color w:val="auto"/>
          <w:highlight w:val="none"/>
        </w:rPr>
        <w:t>（5）同一投诉事项未经</w:t>
      </w:r>
      <w:r>
        <w:rPr>
          <w:rFonts w:hint="eastAsia" w:ascii="宋体" w:cs="宋体"/>
          <w:bCs/>
          <w:color w:val="auto"/>
          <w:highlight w:val="none"/>
        </w:rPr>
        <w:t>财政部门</w:t>
      </w:r>
      <w:r>
        <w:rPr>
          <w:rFonts w:hint="eastAsia" w:ascii="宋体" w:cs="宋体"/>
          <w:color w:val="auto"/>
          <w:highlight w:val="none"/>
        </w:rPr>
        <w:t>投诉处理；</w:t>
      </w:r>
    </w:p>
    <w:p w14:paraId="2E37A1D5">
      <w:pPr>
        <w:spacing w:line="360" w:lineRule="auto"/>
        <w:ind w:firstLine="420" w:firstLineChars="200"/>
        <w:rPr>
          <w:rFonts w:ascii="宋体" w:cs="宋体"/>
          <w:color w:val="auto"/>
          <w:highlight w:val="none"/>
        </w:rPr>
      </w:pPr>
      <w:r>
        <w:rPr>
          <w:rFonts w:hint="eastAsia" w:ascii="宋体" w:cs="宋体"/>
          <w:color w:val="auto"/>
          <w:highlight w:val="none"/>
        </w:rPr>
        <w:t>（6）国务院财政部门规定的其他条件。</w:t>
      </w:r>
    </w:p>
    <w:p w14:paraId="6933A177">
      <w:pPr>
        <w:pStyle w:val="14"/>
        <w:snapToGrid w:val="0"/>
        <w:spacing w:line="400" w:lineRule="exact"/>
        <w:ind w:left="689" w:leftChars="228" w:hanging="210" w:hangingChars="100"/>
        <w:rPr>
          <w:rFonts w:cs="宋体"/>
          <w:color w:val="auto"/>
          <w:highlight w:val="none"/>
        </w:rPr>
      </w:pPr>
      <w:bookmarkStart w:id="198" w:name="_Toc18873"/>
      <w:bookmarkStart w:id="199" w:name="_Toc28886"/>
      <w:bookmarkStart w:id="200" w:name="_Toc17503"/>
      <w:bookmarkStart w:id="201" w:name="_Toc22303"/>
      <w:bookmarkStart w:id="202" w:name="_Toc17335"/>
    </w:p>
    <w:p w14:paraId="3EF909CB">
      <w:pPr>
        <w:pStyle w:val="4"/>
        <w:rPr>
          <w:color w:val="auto"/>
          <w:highlight w:val="none"/>
        </w:rPr>
      </w:pPr>
      <w:r>
        <w:rPr>
          <w:rFonts w:hint="eastAsia"/>
          <w:color w:val="auto"/>
          <w:highlight w:val="none"/>
        </w:rPr>
        <w:t>八、验收</w:t>
      </w:r>
      <w:bookmarkEnd w:id="198"/>
      <w:bookmarkEnd w:id="199"/>
      <w:bookmarkEnd w:id="200"/>
      <w:bookmarkEnd w:id="201"/>
      <w:bookmarkEnd w:id="202"/>
    </w:p>
    <w:p w14:paraId="27AD60BF">
      <w:pPr>
        <w:spacing w:line="360" w:lineRule="auto"/>
        <w:ind w:firstLine="480" w:firstLineChars="200"/>
        <w:rPr>
          <w:rFonts w:ascii="宋体" w:cs="宋体"/>
          <w:b w:val="0"/>
          <w:bCs/>
          <w:color w:val="auto"/>
          <w:sz w:val="24"/>
          <w:szCs w:val="24"/>
          <w:highlight w:val="none"/>
        </w:rPr>
      </w:pPr>
      <w:r>
        <w:rPr>
          <w:rFonts w:hint="eastAsia" w:ascii="宋体" w:cs="宋体"/>
          <w:b w:val="0"/>
          <w:bCs/>
          <w:color w:val="auto"/>
          <w:sz w:val="24"/>
          <w:szCs w:val="24"/>
          <w:highlight w:val="none"/>
        </w:rPr>
        <w:t>39.验收</w:t>
      </w:r>
    </w:p>
    <w:p w14:paraId="47936B22">
      <w:pPr>
        <w:tabs>
          <w:tab w:val="left" w:pos="0"/>
        </w:tabs>
        <w:spacing w:line="360" w:lineRule="auto"/>
        <w:ind w:firstLine="480"/>
        <w:rPr>
          <w:rFonts w:ascii="宋体" w:cs="宋体"/>
          <w:color w:val="auto"/>
          <w:highlight w:val="none"/>
        </w:rPr>
      </w:pPr>
      <w:r>
        <w:rPr>
          <w:rFonts w:hint="eastAsia" w:ascii="宋体" w:cs="宋体"/>
          <w:color w:val="auto"/>
          <w:highlight w:val="none"/>
        </w:rPr>
        <w:t>39.1采购人组织对中标人履约的验收。大型或者复杂的政府采购项目，应当邀请国家认可的质量检测机构参加验收工作。验收方成员应当在验收书上签字，并承担相应的法律责任。如果发现与合同中要求不符，中标人须承担由此发生的一切损失和费用，并接受相应的处理。</w:t>
      </w:r>
    </w:p>
    <w:p w14:paraId="60EE0B81">
      <w:pPr>
        <w:tabs>
          <w:tab w:val="left" w:pos="0"/>
        </w:tabs>
        <w:spacing w:line="360" w:lineRule="auto"/>
        <w:ind w:firstLine="480"/>
        <w:rPr>
          <w:rFonts w:ascii="宋体" w:cs="宋体"/>
          <w:color w:val="auto"/>
          <w:highlight w:val="none"/>
        </w:rPr>
      </w:pPr>
      <w:r>
        <w:rPr>
          <w:rFonts w:hint="eastAsia" w:ascii="宋体" w:cs="宋体"/>
          <w:color w:val="auto"/>
          <w:highlight w:val="none"/>
        </w:rPr>
        <w:t>39.2采购人可以邀请参加本项目的其他投标人或者第三方机构参与验收。参与验收的投标人或者第三方机构的意见作为验收书的参考资料一并存档。</w:t>
      </w:r>
    </w:p>
    <w:p w14:paraId="0A90228B">
      <w:pPr>
        <w:tabs>
          <w:tab w:val="left" w:pos="0"/>
        </w:tabs>
        <w:spacing w:line="360" w:lineRule="auto"/>
        <w:ind w:firstLine="480"/>
        <w:rPr>
          <w:rFonts w:ascii="宋体" w:cs="宋体"/>
          <w:color w:val="auto"/>
          <w:highlight w:val="none"/>
        </w:rPr>
      </w:pPr>
      <w:r>
        <w:rPr>
          <w:rFonts w:hint="eastAsia" w:ascii="宋体" w:cs="宋体"/>
          <w:color w:val="auto"/>
          <w:highlight w:val="none"/>
        </w:rPr>
        <w:t>39.3严格按照采购合同开展履约验收。采购人成立验收小组，按照采购合同的约定对中标人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如有）返还条件挂钩。履约验收的各项资料应当存档备查。</w:t>
      </w:r>
    </w:p>
    <w:p w14:paraId="0419E265">
      <w:pPr>
        <w:tabs>
          <w:tab w:val="left" w:pos="0"/>
        </w:tabs>
        <w:spacing w:line="360" w:lineRule="auto"/>
        <w:ind w:firstLine="480"/>
        <w:rPr>
          <w:rFonts w:ascii="宋体" w:cs="宋体"/>
          <w:color w:val="auto"/>
          <w:highlight w:val="none"/>
        </w:rPr>
      </w:pPr>
      <w:r>
        <w:rPr>
          <w:rFonts w:hint="eastAsia" w:ascii="宋体" w:cs="宋体"/>
          <w:color w:val="auto"/>
          <w:highlight w:val="none"/>
        </w:rPr>
        <w:t>39.4验收合格的项目，采购人将根据采购合同的约定及时向中标人支付采购资金。验收不合格的项目，采购人将依法及时处理。采购合同的履行、违约责任和解决争议的方式等适用《中华人民共和国民法典》。中标人在履约过程中有政府采购法律法规规定的违法违规情形的，采购人应当及时报告本级财政部门。</w:t>
      </w:r>
    </w:p>
    <w:p w14:paraId="6E93E903">
      <w:pPr>
        <w:pStyle w:val="14"/>
        <w:snapToGrid w:val="0"/>
        <w:spacing w:line="400" w:lineRule="exact"/>
        <w:ind w:left="689" w:leftChars="228" w:hanging="210" w:hangingChars="100"/>
        <w:rPr>
          <w:rFonts w:cs="宋体"/>
          <w:color w:val="auto"/>
          <w:highlight w:val="none"/>
        </w:rPr>
      </w:pPr>
    </w:p>
    <w:p w14:paraId="599D110C">
      <w:pPr>
        <w:pStyle w:val="4"/>
        <w:rPr>
          <w:color w:val="auto"/>
          <w:highlight w:val="none"/>
        </w:rPr>
      </w:pPr>
      <w:bookmarkStart w:id="203" w:name="_八、其他事项"/>
      <w:bookmarkEnd w:id="203"/>
      <w:bookmarkStart w:id="204" w:name="_Toc30046"/>
      <w:bookmarkStart w:id="205" w:name="_Toc32572"/>
      <w:bookmarkStart w:id="206" w:name="_Toc18658"/>
      <w:bookmarkStart w:id="207" w:name="_Toc22183"/>
      <w:bookmarkStart w:id="208" w:name="_Toc13415"/>
      <w:r>
        <w:rPr>
          <w:rFonts w:hint="eastAsia"/>
          <w:color w:val="auto"/>
          <w:highlight w:val="none"/>
        </w:rPr>
        <w:t>九、其他事项</w:t>
      </w:r>
      <w:bookmarkEnd w:id="204"/>
      <w:bookmarkEnd w:id="205"/>
      <w:bookmarkEnd w:id="206"/>
      <w:bookmarkEnd w:id="207"/>
      <w:bookmarkEnd w:id="208"/>
    </w:p>
    <w:p w14:paraId="161AC95E">
      <w:pPr>
        <w:spacing w:line="360" w:lineRule="auto"/>
        <w:ind w:firstLine="480" w:firstLineChars="200"/>
        <w:rPr>
          <w:rFonts w:ascii="宋体" w:cs="宋体"/>
          <w:b w:val="0"/>
          <w:bCs w:val="0"/>
          <w:color w:val="auto"/>
          <w:sz w:val="24"/>
          <w:szCs w:val="24"/>
          <w:highlight w:val="none"/>
        </w:rPr>
      </w:pPr>
      <w:bookmarkStart w:id="209" w:name="_42.代理服务费"/>
      <w:bookmarkEnd w:id="209"/>
      <w:r>
        <w:rPr>
          <w:rFonts w:hint="eastAsia" w:ascii="宋体" w:cs="宋体"/>
          <w:b w:val="0"/>
          <w:bCs w:val="0"/>
          <w:color w:val="auto"/>
          <w:sz w:val="24"/>
          <w:szCs w:val="24"/>
          <w:highlight w:val="none"/>
        </w:rPr>
        <w:t>40.采购代理服务费</w:t>
      </w:r>
    </w:p>
    <w:p w14:paraId="60408102">
      <w:pPr>
        <w:spacing w:line="360" w:lineRule="auto"/>
        <w:ind w:firstLine="420" w:firstLineChars="200"/>
        <w:rPr>
          <w:rFonts w:ascii="宋体" w:cs="宋体"/>
          <w:bCs/>
          <w:color w:val="auto"/>
          <w:szCs w:val="21"/>
          <w:highlight w:val="none"/>
        </w:rPr>
      </w:pPr>
      <w:r>
        <w:rPr>
          <w:rFonts w:hint="eastAsia" w:ascii="宋体" w:cs="宋体"/>
          <w:bCs/>
          <w:color w:val="auto"/>
          <w:szCs w:val="21"/>
          <w:highlight w:val="none"/>
        </w:rPr>
        <w:t>40.1采购代理服务费收费标准及缴费账户详见“投标人须知前附表”，投标人为联合体的，可以由联合体中的一方或者多方共同缴纳采购代理服务费。</w:t>
      </w:r>
    </w:p>
    <w:p w14:paraId="69B8F02A">
      <w:pPr>
        <w:pStyle w:val="5"/>
        <w:keepNext w:val="0"/>
        <w:keepLines w:val="0"/>
        <w:spacing w:before="0" w:after="0" w:line="360" w:lineRule="auto"/>
        <w:ind w:left="420" w:leftChars="200"/>
        <w:rPr>
          <w:rFonts w:ascii="宋体" w:cs="宋体"/>
          <w:b w:val="0"/>
          <w:color w:val="auto"/>
          <w:sz w:val="21"/>
          <w:szCs w:val="21"/>
          <w:highlight w:val="none"/>
        </w:rPr>
      </w:pPr>
      <w:r>
        <w:rPr>
          <w:rFonts w:hint="eastAsia" w:ascii="宋体" w:cs="宋体"/>
          <w:b w:val="0"/>
          <w:color w:val="auto"/>
          <w:sz w:val="21"/>
          <w:szCs w:val="21"/>
          <w:highlight w:val="none"/>
        </w:rPr>
        <w:t>40.2采购代理服务费收费标准：</w:t>
      </w:r>
    </w:p>
    <w:tbl>
      <w:tblPr>
        <w:tblStyle w:val="27"/>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25EC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010C70E1">
            <w:pPr>
              <w:spacing w:line="360" w:lineRule="auto"/>
              <w:rPr>
                <w:rFonts w:ascii="宋体" w:cs="宋体"/>
                <w:color w:val="auto"/>
                <w:szCs w:val="21"/>
                <w:highlight w:val="none"/>
              </w:rPr>
            </w:pPr>
            <w:r>
              <w:rPr>
                <w:rFonts w:hint="eastAsia" w:ascii="宋体" w:cs="宋体"/>
                <w:color w:val="auto"/>
                <w:szCs w:val="21"/>
                <w:highlight w:val="none"/>
              </w:rPr>
              <w:t xml:space="preserve">               费率</w:t>
            </w:r>
          </w:p>
          <w:p w14:paraId="6C66FB68">
            <w:pPr>
              <w:spacing w:line="360" w:lineRule="auto"/>
              <w:rPr>
                <w:rFonts w:ascii="宋体" w:cs="宋体"/>
                <w:color w:val="auto"/>
                <w:szCs w:val="21"/>
                <w:highlight w:val="none"/>
              </w:rPr>
            </w:pPr>
            <w:r>
              <w:rPr>
                <w:rFonts w:hint="eastAsia" w:ascii="宋体" w:cs="宋体"/>
                <w:color w:val="auto"/>
                <w:szCs w:val="21"/>
                <w:highlight w:val="none"/>
              </w:rPr>
              <w:t>中标金额</w:t>
            </w:r>
          </w:p>
        </w:tc>
        <w:tc>
          <w:tcPr>
            <w:tcW w:w="1659" w:type="dxa"/>
            <w:vAlign w:val="center"/>
          </w:tcPr>
          <w:p w14:paraId="0405DB0C">
            <w:pPr>
              <w:spacing w:line="360" w:lineRule="auto"/>
              <w:ind w:firstLine="105" w:firstLineChars="50"/>
              <w:jc w:val="center"/>
              <w:rPr>
                <w:rFonts w:ascii="宋体" w:cs="宋体"/>
                <w:color w:val="auto"/>
                <w:szCs w:val="21"/>
                <w:highlight w:val="none"/>
              </w:rPr>
            </w:pPr>
            <w:r>
              <w:rPr>
                <w:rFonts w:hint="eastAsia" w:ascii="宋体" w:cs="宋体"/>
                <w:color w:val="auto"/>
                <w:szCs w:val="21"/>
                <w:highlight w:val="none"/>
              </w:rPr>
              <w:t>货物类</w:t>
            </w:r>
          </w:p>
        </w:tc>
        <w:tc>
          <w:tcPr>
            <w:tcW w:w="1687" w:type="dxa"/>
            <w:vAlign w:val="center"/>
          </w:tcPr>
          <w:p w14:paraId="58085907">
            <w:pPr>
              <w:spacing w:line="360" w:lineRule="auto"/>
              <w:jc w:val="center"/>
              <w:rPr>
                <w:rFonts w:ascii="宋体" w:cs="宋体"/>
                <w:color w:val="auto"/>
                <w:szCs w:val="21"/>
                <w:highlight w:val="none"/>
              </w:rPr>
            </w:pPr>
            <w:r>
              <w:rPr>
                <w:rFonts w:hint="eastAsia" w:ascii="宋体" w:cs="宋体"/>
                <w:color w:val="auto"/>
                <w:szCs w:val="21"/>
                <w:highlight w:val="none"/>
              </w:rPr>
              <w:t>服务类</w:t>
            </w:r>
          </w:p>
        </w:tc>
        <w:tc>
          <w:tcPr>
            <w:tcW w:w="1659" w:type="dxa"/>
            <w:vAlign w:val="center"/>
          </w:tcPr>
          <w:p w14:paraId="38762FD5">
            <w:pPr>
              <w:spacing w:line="360" w:lineRule="auto"/>
              <w:jc w:val="center"/>
              <w:rPr>
                <w:rFonts w:ascii="宋体" w:cs="宋体"/>
                <w:color w:val="auto"/>
                <w:szCs w:val="21"/>
                <w:highlight w:val="none"/>
              </w:rPr>
            </w:pPr>
            <w:r>
              <w:rPr>
                <w:rFonts w:hint="eastAsia" w:ascii="宋体" w:cs="宋体"/>
                <w:color w:val="auto"/>
                <w:szCs w:val="21"/>
                <w:highlight w:val="none"/>
              </w:rPr>
              <w:t>工程类</w:t>
            </w:r>
          </w:p>
        </w:tc>
      </w:tr>
      <w:tr w14:paraId="2F02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19738BF">
            <w:pPr>
              <w:spacing w:line="360" w:lineRule="auto"/>
              <w:rPr>
                <w:rFonts w:ascii="宋体" w:cs="宋体"/>
                <w:color w:val="auto"/>
                <w:szCs w:val="21"/>
                <w:highlight w:val="none"/>
              </w:rPr>
            </w:pPr>
            <w:r>
              <w:rPr>
                <w:rFonts w:hint="eastAsia" w:ascii="宋体" w:cs="宋体"/>
                <w:color w:val="auto"/>
                <w:szCs w:val="21"/>
                <w:highlight w:val="none"/>
              </w:rPr>
              <w:t>100万元以下</w:t>
            </w:r>
          </w:p>
        </w:tc>
        <w:tc>
          <w:tcPr>
            <w:tcW w:w="1659" w:type="dxa"/>
          </w:tcPr>
          <w:p w14:paraId="5AF280EC">
            <w:pPr>
              <w:spacing w:line="360" w:lineRule="auto"/>
              <w:rPr>
                <w:rFonts w:ascii="宋体" w:cs="宋体"/>
                <w:color w:val="auto"/>
                <w:szCs w:val="21"/>
                <w:highlight w:val="none"/>
              </w:rPr>
            </w:pPr>
            <w:r>
              <w:rPr>
                <w:rFonts w:hint="eastAsia" w:ascii="宋体" w:cs="宋体"/>
                <w:color w:val="auto"/>
                <w:kern w:val="0"/>
                <w:szCs w:val="21"/>
                <w:highlight w:val="none"/>
              </w:rPr>
              <w:t xml:space="preserve">  1.5%                </w:t>
            </w:r>
          </w:p>
        </w:tc>
        <w:tc>
          <w:tcPr>
            <w:tcW w:w="1687" w:type="dxa"/>
          </w:tcPr>
          <w:p w14:paraId="06F281E6">
            <w:pPr>
              <w:spacing w:line="360" w:lineRule="auto"/>
              <w:ind w:firstLine="210" w:firstLineChars="100"/>
              <w:rPr>
                <w:rFonts w:ascii="宋体" w:cs="宋体"/>
                <w:color w:val="auto"/>
                <w:szCs w:val="21"/>
                <w:highlight w:val="none"/>
              </w:rPr>
            </w:pPr>
            <w:r>
              <w:rPr>
                <w:rFonts w:hint="eastAsia" w:ascii="宋体" w:cs="宋体"/>
                <w:color w:val="auto"/>
                <w:kern w:val="0"/>
                <w:szCs w:val="21"/>
                <w:highlight w:val="none"/>
              </w:rPr>
              <w:t>1.5%</w:t>
            </w:r>
          </w:p>
        </w:tc>
        <w:tc>
          <w:tcPr>
            <w:tcW w:w="1659" w:type="dxa"/>
          </w:tcPr>
          <w:p w14:paraId="7C60A557">
            <w:pPr>
              <w:spacing w:line="360" w:lineRule="auto"/>
              <w:ind w:firstLine="210" w:firstLineChars="100"/>
              <w:rPr>
                <w:rFonts w:ascii="宋体" w:cs="宋体"/>
                <w:color w:val="auto"/>
                <w:szCs w:val="21"/>
                <w:highlight w:val="none"/>
              </w:rPr>
            </w:pPr>
            <w:r>
              <w:rPr>
                <w:rFonts w:hint="eastAsia" w:ascii="宋体" w:cs="宋体"/>
                <w:color w:val="auto"/>
                <w:kern w:val="0"/>
                <w:szCs w:val="21"/>
                <w:highlight w:val="none"/>
              </w:rPr>
              <w:t xml:space="preserve">1.0% </w:t>
            </w:r>
          </w:p>
        </w:tc>
      </w:tr>
      <w:tr w14:paraId="4AC2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5B1861C">
            <w:pPr>
              <w:spacing w:line="360" w:lineRule="auto"/>
              <w:rPr>
                <w:rFonts w:ascii="宋体" w:cs="宋体"/>
                <w:color w:val="auto"/>
                <w:szCs w:val="21"/>
                <w:highlight w:val="none"/>
              </w:rPr>
            </w:pPr>
            <w:r>
              <w:rPr>
                <w:rFonts w:hint="eastAsia" w:ascii="宋体" w:cs="宋体"/>
                <w:color w:val="auto"/>
                <w:szCs w:val="21"/>
                <w:highlight w:val="none"/>
              </w:rPr>
              <w:t>100～500万元</w:t>
            </w:r>
          </w:p>
        </w:tc>
        <w:tc>
          <w:tcPr>
            <w:tcW w:w="1659" w:type="dxa"/>
          </w:tcPr>
          <w:p w14:paraId="6A10AB66">
            <w:pPr>
              <w:spacing w:line="360" w:lineRule="auto"/>
              <w:ind w:firstLine="210" w:firstLineChars="100"/>
              <w:rPr>
                <w:rFonts w:ascii="宋体" w:cs="宋体"/>
                <w:color w:val="auto"/>
                <w:szCs w:val="21"/>
                <w:highlight w:val="none"/>
              </w:rPr>
            </w:pPr>
            <w:r>
              <w:rPr>
                <w:rFonts w:hint="eastAsia" w:ascii="宋体" w:cs="宋体"/>
                <w:color w:val="auto"/>
                <w:kern w:val="0"/>
                <w:szCs w:val="21"/>
                <w:highlight w:val="none"/>
              </w:rPr>
              <w:t xml:space="preserve">1.1%                 </w:t>
            </w:r>
          </w:p>
        </w:tc>
        <w:tc>
          <w:tcPr>
            <w:tcW w:w="1687" w:type="dxa"/>
          </w:tcPr>
          <w:p w14:paraId="61E01900">
            <w:pPr>
              <w:spacing w:line="360" w:lineRule="auto"/>
              <w:ind w:firstLine="210" w:firstLineChars="100"/>
              <w:rPr>
                <w:rFonts w:ascii="宋体" w:cs="宋体"/>
                <w:color w:val="auto"/>
                <w:szCs w:val="21"/>
                <w:highlight w:val="none"/>
              </w:rPr>
            </w:pPr>
            <w:r>
              <w:rPr>
                <w:rFonts w:hint="eastAsia" w:ascii="宋体" w:cs="宋体"/>
                <w:color w:val="auto"/>
                <w:kern w:val="0"/>
                <w:szCs w:val="21"/>
                <w:highlight w:val="none"/>
              </w:rPr>
              <w:t>0.8%</w:t>
            </w:r>
          </w:p>
        </w:tc>
        <w:tc>
          <w:tcPr>
            <w:tcW w:w="1659" w:type="dxa"/>
          </w:tcPr>
          <w:p w14:paraId="3C9D19C4">
            <w:pPr>
              <w:spacing w:line="360" w:lineRule="auto"/>
              <w:ind w:firstLine="210" w:firstLineChars="100"/>
              <w:rPr>
                <w:rFonts w:ascii="宋体" w:cs="宋体"/>
                <w:color w:val="auto"/>
                <w:szCs w:val="21"/>
                <w:highlight w:val="none"/>
              </w:rPr>
            </w:pPr>
            <w:r>
              <w:rPr>
                <w:rFonts w:hint="eastAsia" w:ascii="宋体" w:cs="宋体"/>
                <w:color w:val="auto"/>
                <w:kern w:val="0"/>
                <w:szCs w:val="21"/>
                <w:highlight w:val="none"/>
              </w:rPr>
              <w:t xml:space="preserve">0.7% </w:t>
            </w:r>
          </w:p>
        </w:tc>
      </w:tr>
      <w:tr w14:paraId="0A22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19FC8DD">
            <w:pPr>
              <w:spacing w:line="360" w:lineRule="auto"/>
              <w:rPr>
                <w:rFonts w:ascii="宋体" w:cs="宋体"/>
                <w:color w:val="auto"/>
                <w:szCs w:val="21"/>
                <w:highlight w:val="none"/>
              </w:rPr>
            </w:pPr>
            <w:r>
              <w:rPr>
                <w:rFonts w:hint="eastAsia" w:ascii="宋体" w:cs="宋体"/>
                <w:color w:val="auto"/>
                <w:szCs w:val="21"/>
                <w:highlight w:val="none"/>
              </w:rPr>
              <w:t>500～1000万元</w:t>
            </w:r>
          </w:p>
        </w:tc>
        <w:tc>
          <w:tcPr>
            <w:tcW w:w="1659" w:type="dxa"/>
          </w:tcPr>
          <w:p w14:paraId="3EE9C2F8">
            <w:pPr>
              <w:spacing w:line="360" w:lineRule="auto"/>
              <w:rPr>
                <w:rFonts w:ascii="宋体" w:cs="宋体"/>
                <w:color w:val="auto"/>
                <w:szCs w:val="21"/>
                <w:highlight w:val="none"/>
              </w:rPr>
            </w:pPr>
            <w:r>
              <w:rPr>
                <w:rFonts w:hint="eastAsia" w:ascii="宋体" w:cs="宋体"/>
                <w:color w:val="auto"/>
                <w:kern w:val="0"/>
                <w:szCs w:val="21"/>
                <w:highlight w:val="none"/>
              </w:rPr>
              <w:t xml:space="preserve">  0.8%                </w:t>
            </w:r>
          </w:p>
        </w:tc>
        <w:tc>
          <w:tcPr>
            <w:tcW w:w="1687" w:type="dxa"/>
          </w:tcPr>
          <w:p w14:paraId="77213E9B">
            <w:pPr>
              <w:spacing w:line="360" w:lineRule="auto"/>
              <w:ind w:firstLine="210" w:firstLineChars="100"/>
              <w:rPr>
                <w:rFonts w:ascii="宋体" w:cs="宋体"/>
                <w:color w:val="auto"/>
                <w:szCs w:val="21"/>
                <w:highlight w:val="none"/>
              </w:rPr>
            </w:pPr>
            <w:r>
              <w:rPr>
                <w:rFonts w:hint="eastAsia" w:ascii="宋体" w:cs="宋体"/>
                <w:color w:val="auto"/>
                <w:kern w:val="0"/>
                <w:szCs w:val="21"/>
                <w:highlight w:val="none"/>
              </w:rPr>
              <w:t>0.45%</w:t>
            </w:r>
          </w:p>
        </w:tc>
        <w:tc>
          <w:tcPr>
            <w:tcW w:w="1659" w:type="dxa"/>
          </w:tcPr>
          <w:p w14:paraId="3F0651A5">
            <w:pPr>
              <w:spacing w:line="360" w:lineRule="auto"/>
              <w:ind w:firstLine="210" w:firstLineChars="100"/>
              <w:rPr>
                <w:rFonts w:ascii="宋体" w:cs="宋体"/>
                <w:color w:val="auto"/>
                <w:szCs w:val="21"/>
                <w:highlight w:val="none"/>
              </w:rPr>
            </w:pPr>
            <w:r>
              <w:rPr>
                <w:rFonts w:hint="eastAsia" w:ascii="宋体" w:cs="宋体"/>
                <w:color w:val="auto"/>
                <w:kern w:val="0"/>
                <w:szCs w:val="21"/>
                <w:highlight w:val="none"/>
              </w:rPr>
              <w:t>0.55%</w:t>
            </w:r>
          </w:p>
        </w:tc>
      </w:tr>
      <w:tr w14:paraId="0366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283E403">
            <w:pPr>
              <w:spacing w:line="360" w:lineRule="auto"/>
              <w:rPr>
                <w:rFonts w:ascii="宋体" w:cs="宋体"/>
                <w:color w:val="auto"/>
                <w:szCs w:val="21"/>
                <w:highlight w:val="none"/>
              </w:rPr>
            </w:pPr>
            <w:r>
              <w:rPr>
                <w:rFonts w:hint="eastAsia" w:ascii="宋体" w:cs="宋体"/>
                <w:color w:val="auto"/>
                <w:szCs w:val="21"/>
                <w:highlight w:val="none"/>
              </w:rPr>
              <w:t>1000～5000万元</w:t>
            </w:r>
          </w:p>
        </w:tc>
        <w:tc>
          <w:tcPr>
            <w:tcW w:w="1659" w:type="dxa"/>
          </w:tcPr>
          <w:p w14:paraId="4737191D">
            <w:pPr>
              <w:spacing w:line="360" w:lineRule="auto"/>
              <w:ind w:firstLine="210" w:firstLineChars="100"/>
              <w:rPr>
                <w:rFonts w:ascii="宋体" w:cs="宋体"/>
                <w:color w:val="auto"/>
                <w:szCs w:val="21"/>
                <w:highlight w:val="none"/>
              </w:rPr>
            </w:pPr>
            <w:r>
              <w:rPr>
                <w:rFonts w:hint="eastAsia" w:ascii="宋体" w:cs="宋体"/>
                <w:color w:val="auto"/>
                <w:kern w:val="0"/>
                <w:szCs w:val="21"/>
                <w:highlight w:val="none"/>
              </w:rPr>
              <w:t xml:space="preserve">0.5%                </w:t>
            </w:r>
          </w:p>
        </w:tc>
        <w:tc>
          <w:tcPr>
            <w:tcW w:w="1687" w:type="dxa"/>
          </w:tcPr>
          <w:p w14:paraId="03048CB1">
            <w:pPr>
              <w:spacing w:line="360" w:lineRule="auto"/>
              <w:ind w:firstLine="210" w:firstLineChars="100"/>
              <w:rPr>
                <w:rFonts w:ascii="宋体" w:cs="宋体"/>
                <w:color w:val="auto"/>
                <w:szCs w:val="21"/>
                <w:highlight w:val="none"/>
              </w:rPr>
            </w:pPr>
            <w:r>
              <w:rPr>
                <w:rFonts w:hint="eastAsia" w:ascii="宋体" w:cs="宋体"/>
                <w:color w:val="auto"/>
                <w:kern w:val="0"/>
                <w:szCs w:val="21"/>
                <w:highlight w:val="none"/>
              </w:rPr>
              <w:t>0.25%</w:t>
            </w:r>
          </w:p>
        </w:tc>
        <w:tc>
          <w:tcPr>
            <w:tcW w:w="1659" w:type="dxa"/>
          </w:tcPr>
          <w:p w14:paraId="755A38A7">
            <w:pPr>
              <w:spacing w:line="360" w:lineRule="auto"/>
              <w:ind w:firstLine="210" w:firstLineChars="100"/>
              <w:rPr>
                <w:rFonts w:ascii="宋体" w:cs="宋体"/>
                <w:color w:val="auto"/>
                <w:szCs w:val="21"/>
                <w:highlight w:val="none"/>
              </w:rPr>
            </w:pPr>
            <w:r>
              <w:rPr>
                <w:rFonts w:hint="eastAsia" w:ascii="宋体" w:cs="宋体"/>
                <w:color w:val="auto"/>
                <w:kern w:val="0"/>
                <w:szCs w:val="21"/>
                <w:highlight w:val="none"/>
              </w:rPr>
              <w:t xml:space="preserve">0.35% </w:t>
            </w:r>
          </w:p>
        </w:tc>
      </w:tr>
      <w:tr w14:paraId="7EC0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CAEC91E">
            <w:pPr>
              <w:spacing w:line="360" w:lineRule="auto"/>
              <w:rPr>
                <w:rFonts w:ascii="宋体" w:cs="宋体"/>
                <w:color w:val="auto"/>
                <w:szCs w:val="21"/>
                <w:highlight w:val="none"/>
              </w:rPr>
            </w:pPr>
            <w:r>
              <w:rPr>
                <w:rFonts w:hint="eastAsia" w:ascii="宋体" w:cs="宋体"/>
                <w:color w:val="auto"/>
                <w:szCs w:val="21"/>
                <w:highlight w:val="none"/>
              </w:rPr>
              <w:t>5000万元～1亿元</w:t>
            </w:r>
          </w:p>
        </w:tc>
        <w:tc>
          <w:tcPr>
            <w:tcW w:w="1659" w:type="dxa"/>
          </w:tcPr>
          <w:p w14:paraId="6762DF77">
            <w:pPr>
              <w:spacing w:line="360" w:lineRule="auto"/>
              <w:ind w:firstLine="210" w:firstLineChars="100"/>
              <w:rPr>
                <w:rFonts w:ascii="宋体" w:cs="宋体"/>
                <w:color w:val="auto"/>
                <w:szCs w:val="21"/>
                <w:highlight w:val="none"/>
              </w:rPr>
            </w:pPr>
            <w:r>
              <w:rPr>
                <w:rFonts w:hint="eastAsia" w:ascii="宋体" w:cs="宋体"/>
                <w:color w:val="auto"/>
                <w:kern w:val="0"/>
                <w:szCs w:val="21"/>
                <w:highlight w:val="none"/>
              </w:rPr>
              <w:t xml:space="preserve">0.25%                 </w:t>
            </w:r>
          </w:p>
        </w:tc>
        <w:tc>
          <w:tcPr>
            <w:tcW w:w="1687" w:type="dxa"/>
          </w:tcPr>
          <w:p w14:paraId="629AC302">
            <w:pPr>
              <w:spacing w:line="360" w:lineRule="auto"/>
              <w:ind w:firstLine="210" w:firstLineChars="100"/>
              <w:rPr>
                <w:rFonts w:ascii="宋体" w:cs="宋体"/>
                <w:color w:val="auto"/>
                <w:szCs w:val="21"/>
                <w:highlight w:val="none"/>
              </w:rPr>
            </w:pPr>
            <w:r>
              <w:rPr>
                <w:rFonts w:hint="eastAsia" w:ascii="宋体" w:cs="宋体"/>
                <w:color w:val="auto"/>
                <w:kern w:val="0"/>
                <w:szCs w:val="21"/>
                <w:highlight w:val="none"/>
              </w:rPr>
              <w:t>0.1%</w:t>
            </w:r>
          </w:p>
        </w:tc>
        <w:tc>
          <w:tcPr>
            <w:tcW w:w="1659" w:type="dxa"/>
          </w:tcPr>
          <w:p w14:paraId="396F951F">
            <w:pPr>
              <w:spacing w:line="360" w:lineRule="auto"/>
              <w:ind w:firstLine="210" w:firstLineChars="100"/>
              <w:rPr>
                <w:rFonts w:ascii="宋体" w:cs="宋体"/>
                <w:color w:val="auto"/>
                <w:szCs w:val="21"/>
                <w:highlight w:val="none"/>
              </w:rPr>
            </w:pPr>
            <w:r>
              <w:rPr>
                <w:rFonts w:hint="eastAsia" w:ascii="宋体" w:cs="宋体"/>
                <w:color w:val="auto"/>
                <w:kern w:val="0"/>
                <w:szCs w:val="21"/>
                <w:highlight w:val="none"/>
              </w:rPr>
              <w:t>0.2%</w:t>
            </w:r>
          </w:p>
        </w:tc>
      </w:tr>
      <w:tr w14:paraId="1B63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AA30DF7">
            <w:pPr>
              <w:spacing w:line="360" w:lineRule="auto"/>
              <w:rPr>
                <w:rFonts w:ascii="宋体" w:cs="宋体"/>
                <w:color w:val="auto"/>
                <w:szCs w:val="21"/>
                <w:highlight w:val="none"/>
              </w:rPr>
            </w:pPr>
            <w:r>
              <w:rPr>
                <w:rFonts w:hint="eastAsia" w:ascii="宋体" w:cs="宋体"/>
                <w:color w:val="auto"/>
                <w:szCs w:val="21"/>
                <w:highlight w:val="none"/>
              </w:rPr>
              <w:t>1～5亿元</w:t>
            </w:r>
          </w:p>
        </w:tc>
        <w:tc>
          <w:tcPr>
            <w:tcW w:w="1659" w:type="dxa"/>
          </w:tcPr>
          <w:p w14:paraId="6DA8EAC3">
            <w:pPr>
              <w:spacing w:line="360" w:lineRule="auto"/>
              <w:ind w:firstLine="210" w:firstLineChars="100"/>
              <w:rPr>
                <w:rFonts w:ascii="宋体" w:cs="宋体"/>
                <w:color w:val="auto"/>
                <w:szCs w:val="21"/>
                <w:highlight w:val="none"/>
              </w:rPr>
            </w:pPr>
            <w:r>
              <w:rPr>
                <w:rFonts w:hint="eastAsia" w:ascii="宋体" w:cs="宋体"/>
                <w:color w:val="auto"/>
                <w:szCs w:val="21"/>
                <w:highlight w:val="none"/>
              </w:rPr>
              <w:t>0.05%</w:t>
            </w:r>
          </w:p>
        </w:tc>
        <w:tc>
          <w:tcPr>
            <w:tcW w:w="1687" w:type="dxa"/>
          </w:tcPr>
          <w:p w14:paraId="754AC4F5">
            <w:pPr>
              <w:spacing w:line="360" w:lineRule="auto"/>
              <w:rPr>
                <w:rFonts w:ascii="宋体" w:cs="宋体"/>
                <w:color w:val="auto"/>
                <w:szCs w:val="21"/>
                <w:highlight w:val="none"/>
              </w:rPr>
            </w:pPr>
            <w:r>
              <w:rPr>
                <w:rFonts w:hint="eastAsia" w:ascii="宋体" w:cs="宋体"/>
                <w:color w:val="auto"/>
                <w:szCs w:val="21"/>
                <w:highlight w:val="none"/>
              </w:rPr>
              <w:t xml:space="preserve">  0.05%</w:t>
            </w:r>
          </w:p>
        </w:tc>
        <w:tc>
          <w:tcPr>
            <w:tcW w:w="1659" w:type="dxa"/>
          </w:tcPr>
          <w:p w14:paraId="15E867E1">
            <w:pPr>
              <w:spacing w:line="360" w:lineRule="auto"/>
              <w:rPr>
                <w:rFonts w:ascii="宋体" w:cs="宋体"/>
                <w:color w:val="auto"/>
                <w:szCs w:val="21"/>
                <w:highlight w:val="none"/>
              </w:rPr>
            </w:pPr>
            <w:r>
              <w:rPr>
                <w:rFonts w:hint="eastAsia" w:ascii="宋体" w:cs="宋体"/>
                <w:color w:val="auto"/>
                <w:szCs w:val="21"/>
                <w:highlight w:val="none"/>
              </w:rPr>
              <w:t xml:space="preserve">  0.05%</w:t>
            </w:r>
          </w:p>
        </w:tc>
      </w:tr>
      <w:tr w14:paraId="757F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274A9E3">
            <w:pPr>
              <w:spacing w:line="360" w:lineRule="auto"/>
              <w:rPr>
                <w:rFonts w:ascii="宋体" w:cs="宋体"/>
                <w:color w:val="auto"/>
                <w:szCs w:val="21"/>
                <w:highlight w:val="none"/>
              </w:rPr>
            </w:pPr>
            <w:r>
              <w:rPr>
                <w:rFonts w:hint="eastAsia" w:ascii="宋体" w:cs="宋体"/>
                <w:color w:val="auto"/>
                <w:szCs w:val="21"/>
                <w:highlight w:val="none"/>
              </w:rPr>
              <w:t>5～10亿元</w:t>
            </w:r>
          </w:p>
        </w:tc>
        <w:tc>
          <w:tcPr>
            <w:tcW w:w="1659" w:type="dxa"/>
          </w:tcPr>
          <w:p w14:paraId="4A121E3F">
            <w:pPr>
              <w:spacing w:line="360" w:lineRule="auto"/>
              <w:ind w:firstLine="105" w:firstLineChars="50"/>
              <w:rPr>
                <w:rFonts w:ascii="宋体" w:cs="宋体"/>
                <w:color w:val="auto"/>
                <w:szCs w:val="21"/>
                <w:highlight w:val="none"/>
              </w:rPr>
            </w:pPr>
            <w:r>
              <w:rPr>
                <w:rFonts w:hint="eastAsia" w:ascii="宋体" w:cs="宋体"/>
                <w:color w:val="auto"/>
                <w:szCs w:val="21"/>
                <w:highlight w:val="none"/>
              </w:rPr>
              <w:t>0.035%</w:t>
            </w:r>
          </w:p>
        </w:tc>
        <w:tc>
          <w:tcPr>
            <w:tcW w:w="1687" w:type="dxa"/>
          </w:tcPr>
          <w:p w14:paraId="7E558A62">
            <w:pPr>
              <w:spacing w:line="360" w:lineRule="auto"/>
              <w:rPr>
                <w:rFonts w:ascii="宋体" w:cs="宋体"/>
                <w:color w:val="auto"/>
                <w:szCs w:val="21"/>
                <w:highlight w:val="none"/>
              </w:rPr>
            </w:pPr>
            <w:r>
              <w:rPr>
                <w:rFonts w:hint="eastAsia" w:ascii="宋体" w:cs="宋体"/>
                <w:color w:val="auto"/>
                <w:szCs w:val="21"/>
                <w:highlight w:val="none"/>
              </w:rPr>
              <w:t xml:space="preserve">  0.035%</w:t>
            </w:r>
          </w:p>
        </w:tc>
        <w:tc>
          <w:tcPr>
            <w:tcW w:w="1659" w:type="dxa"/>
          </w:tcPr>
          <w:p w14:paraId="1220912C">
            <w:pPr>
              <w:spacing w:line="360" w:lineRule="auto"/>
              <w:ind w:firstLine="105" w:firstLineChars="50"/>
              <w:rPr>
                <w:rFonts w:ascii="宋体" w:cs="宋体"/>
                <w:color w:val="auto"/>
                <w:szCs w:val="21"/>
                <w:highlight w:val="none"/>
              </w:rPr>
            </w:pPr>
            <w:r>
              <w:rPr>
                <w:rFonts w:hint="eastAsia" w:ascii="宋体" w:cs="宋体"/>
                <w:color w:val="auto"/>
                <w:szCs w:val="21"/>
                <w:highlight w:val="none"/>
              </w:rPr>
              <w:t>0.035%</w:t>
            </w:r>
          </w:p>
        </w:tc>
      </w:tr>
      <w:tr w14:paraId="74FD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E228E98">
            <w:pPr>
              <w:spacing w:line="360" w:lineRule="auto"/>
              <w:rPr>
                <w:rFonts w:ascii="宋体" w:cs="宋体"/>
                <w:color w:val="auto"/>
                <w:szCs w:val="21"/>
                <w:highlight w:val="none"/>
              </w:rPr>
            </w:pPr>
            <w:r>
              <w:rPr>
                <w:rFonts w:hint="eastAsia" w:ascii="宋体" w:cs="宋体"/>
                <w:color w:val="auto"/>
                <w:szCs w:val="21"/>
                <w:highlight w:val="none"/>
              </w:rPr>
              <w:t>10～50亿元</w:t>
            </w:r>
          </w:p>
        </w:tc>
        <w:tc>
          <w:tcPr>
            <w:tcW w:w="1659" w:type="dxa"/>
          </w:tcPr>
          <w:p w14:paraId="00642F6A">
            <w:pPr>
              <w:spacing w:line="360" w:lineRule="auto"/>
              <w:ind w:firstLine="105" w:firstLineChars="50"/>
              <w:rPr>
                <w:rFonts w:ascii="宋体" w:cs="宋体"/>
                <w:color w:val="auto"/>
                <w:szCs w:val="21"/>
                <w:highlight w:val="none"/>
              </w:rPr>
            </w:pPr>
            <w:r>
              <w:rPr>
                <w:rFonts w:hint="eastAsia" w:ascii="宋体" w:cs="宋体"/>
                <w:color w:val="auto"/>
                <w:szCs w:val="21"/>
                <w:highlight w:val="none"/>
              </w:rPr>
              <w:t>0.008%</w:t>
            </w:r>
          </w:p>
        </w:tc>
        <w:tc>
          <w:tcPr>
            <w:tcW w:w="1687" w:type="dxa"/>
          </w:tcPr>
          <w:p w14:paraId="7A6DE6C1">
            <w:pPr>
              <w:spacing w:line="360" w:lineRule="auto"/>
              <w:ind w:firstLine="210" w:firstLineChars="100"/>
              <w:rPr>
                <w:rFonts w:ascii="宋体" w:cs="宋体"/>
                <w:color w:val="auto"/>
                <w:szCs w:val="21"/>
                <w:highlight w:val="none"/>
              </w:rPr>
            </w:pPr>
            <w:r>
              <w:rPr>
                <w:rFonts w:hint="eastAsia" w:ascii="宋体" w:cs="宋体"/>
                <w:color w:val="auto"/>
                <w:szCs w:val="21"/>
                <w:highlight w:val="none"/>
              </w:rPr>
              <w:t>0.008%</w:t>
            </w:r>
          </w:p>
        </w:tc>
        <w:tc>
          <w:tcPr>
            <w:tcW w:w="1659" w:type="dxa"/>
          </w:tcPr>
          <w:p w14:paraId="46DA64C0">
            <w:pPr>
              <w:spacing w:line="360" w:lineRule="auto"/>
              <w:ind w:firstLine="105" w:firstLineChars="50"/>
              <w:rPr>
                <w:rFonts w:ascii="宋体" w:cs="宋体"/>
                <w:color w:val="auto"/>
                <w:szCs w:val="21"/>
                <w:highlight w:val="none"/>
              </w:rPr>
            </w:pPr>
            <w:r>
              <w:rPr>
                <w:rFonts w:hint="eastAsia" w:ascii="宋体" w:cs="宋体"/>
                <w:color w:val="auto"/>
                <w:szCs w:val="21"/>
                <w:highlight w:val="none"/>
              </w:rPr>
              <w:t>0.008%</w:t>
            </w:r>
          </w:p>
        </w:tc>
      </w:tr>
      <w:tr w14:paraId="0182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C59D307">
            <w:pPr>
              <w:spacing w:line="360" w:lineRule="auto"/>
              <w:rPr>
                <w:rFonts w:ascii="宋体" w:cs="宋体"/>
                <w:color w:val="auto"/>
                <w:szCs w:val="21"/>
                <w:highlight w:val="none"/>
              </w:rPr>
            </w:pPr>
            <w:r>
              <w:rPr>
                <w:rFonts w:hint="eastAsia" w:ascii="宋体" w:cs="宋体"/>
                <w:color w:val="auto"/>
                <w:szCs w:val="21"/>
                <w:highlight w:val="none"/>
              </w:rPr>
              <w:t>50～100亿元</w:t>
            </w:r>
          </w:p>
        </w:tc>
        <w:tc>
          <w:tcPr>
            <w:tcW w:w="1659" w:type="dxa"/>
          </w:tcPr>
          <w:p w14:paraId="32C3CD69">
            <w:pPr>
              <w:spacing w:line="360" w:lineRule="auto"/>
              <w:rPr>
                <w:rFonts w:ascii="宋体" w:cs="宋体"/>
                <w:color w:val="auto"/>
                <w:szCs w:val="21"/>
                <w:highlight w:val="none"/>
              </w:rPr>
            </w:pPr>
            <w:r>
              <w:rPr>
                <w:rFonts w:hint="eastAsia" w:ascii="宋体" w:cs="宋体"/>
                <w:color w:val="auto"/>
                <w:szCs w:val="21"/>
                <w:highlight w:val="none"/>
              </w:rPr>
              <w:t xml:space="preserve"> 0.006%</w:t>
            </w:r>
          </w:p>
        </w:tc>
        <w:tc>
          <w:tcPr>
            <w:tcW w:w="1687" w:type="dxa"/>
          </w:tcPr>
          <w:p w14:paraId="59FCB97B">
            <w:pPr>
              <w:spacing w:line="360" w:lineRule="auto"/>
              <w:ind w:firstLine="210" w:firstLineChars="100"/>
              <w:rPr>
                <w:rFonts w:ascii="宋体" w:cs="宋体"/>
                <w:color w:val="auto"/>
                <w:szCs w:val="21"/>
                <w:highlight w:val="none"/>
              </w:rPr>
            </w:pPr>
            <w:r>
              <w:rPr>
                <w:rFonts w:hint="eastAsia" w:ascii="宋体" w:cs="宋体"/>
                <w:color w:val="auto"/>
                <w:szCs w:val="21"/>
                <w:highlight w:val="none"/>
              </w:rPr>
              <w:t>0.006%</w:t>
            </w:r>
          </w:p>
        </w:tc>
        <w:tc>
          <w:tcPr>
            <w:tcW w:w="1659" w:type="dxa"/>
          </w:tcPr>
          <w:p w14:paraId="4A0C31B9">
            <w:pPr>
              <w:spacing w:line="360" w:lineRule="auto"/>
              <w:ind w:firstLine="105" w:firstLineChars="50"/>
              <w:rPr>
                <w:rFonts w:ascii="宋体" w:cs="宋体"/>
                <w:color w:val="auto"/>
                <w:szCs w:val="21"/>
                <w:highlight w:val="none"/>
              </w:rPr>
            </w:pPr>
            <w:r>
              <w:rPr>
                <w:rFonts w:hint="eastAsia" w:ascii="宋体" w:cs="宋体"/>
                <w:color w:val="auto"/>
                <w:szCs w:val="21"/>
                <w:highlight w:val="none"/>
              </w:rPr>
              <w:t>0.006%</w:t>
            </w:r>
          </w:p>
        </w:tc>
      </w:tr>
      <w:tr w14:paraId="1F92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2BBAE75">
            <w:pPr>
              <w:spacing w:line="360" w:lineRule="auto"/>
              <w:rPr>
                <w:rFonts w:ascii="宋体" w:cs="宋体"/>
                <w:color w:val="auto"/>
                <w:szCs w:val="21"/>
                <w:highlight w:val="none"/>
              </w:rPr>
            </w:pPr>
            <w:r>
              <w:rPr>
                <w:rFonts w:hint="eastAsia" w:ascii="宋体" w:cs="宋体"/>
                <w:color w:val="auto"/>
                <w:szCs w:val="21"/>
                <w:highlight w:val="none"/>
              </w:rPr>
              <w:t>100亿以上</w:t>
            </w:r>
          </w:p>
        </w:tc>
        <w:tc>
          <w:tcPr>
            <w:tcW w:w="1659" w:type="dxa"/>
          </w:tcPr>
          <w:p w14:paraId="5F6F2089">
            <w:pPr>
              <w:spacing w:line="360" w:lineRule="auto"/>
              <w:rPr>
                <w:rFonts w:ascii="宋体" w:cs="宋体"/>
                <w:color w:val="auto"/>
                <w:szCs w:val="21"/>
                <w:highlight w:val="none"/>
              </w:rPr>
            </w:pPr>
            <w:r>
              <w:rPr>
                <w:rFonts w:hint="eastAsia" w:ascii="宋体" w:cs="宋体"/>
                <w:color w:val="auto"/>
                <w:szCs w:val="21"/>
                <w:highlight w:val="none"/>
              </w:rPr>
              <w:t xml:space="preserve"> 0.004%</w:t>
            </w:r>
          </w:p>
        </w:tc>
        <w:tc>
          <w:tcPr>
            <w:tcW w:w="1687" w:type="dxa"/>
          </w:tcPr>
          <w:p w14:paraId="65178AC4">
            <w:pPr>
              <w:spacing w:line="360" w:lineRule="auto"/>
              <w:ind w:firstLine="210" w:firstLineChars="100"/>
              <w:rPr>
                <w:rFonts w:ascii="宋体" w:cs="宋体"/>
                <w:color w:val="auto"/>
                <w:szCs w:val="21"/>
                <w:highlight w:val="none"/>
              </w:rPr>
            </w:pPr>
            <w:r>
              <w:rPr>
                <w:rFonts w:hint="eastAsia" w:ascii="宋体" w:cs="宋体"/>
                <w:color w:val="auto"/>
                <w:szCs w:val="21"/>
                <w:highlight w:val="none"/>
              </w:rPr>
              <w:t>0.004%</w:t>
            </w:r>
          </w:p>
        </w:tc>
        <w:tc>
          <w:tcPr>
            <w:tcW w:w="1659" w:type="dxa"/>
          </w:tcPr>
          <w:p w14:paraId="3C38C23E">
            <w:pPr>
              <w:spacing w:line="360" w:lineRule="auto"/>
              <w:ind w:firstLine="105" w:firstLineChars="50"/>
              <w:rPr>
                <w:rFonts w:ascii="宋体" w:cs="宋体"/>
                <w:color w:val="auto"/>
                <w:szCs w:val="21"/>
                <w:highlight w:val="none"/>
              </w:rPr>
            </w:pPr>
            <w:r>
              <w:rPr>
                <w:rFonts w:hint="eastAsia" w:ascii="宋体" w:cs="宋体"/>
                <w:color w:val="auto"/>
                <w:szCs w:val="21"/>
                <w:highlight w:val="none"/>
              </w:rPr>
              <w:t>0.004%</w:t>
            </w:r>
          </w:p>
        </w:tc>
      </w:tr>
    </w:tbl>
    <w:p w14:paraId="1AE19EAC">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 xml:space="preserve">注： </w:t>
      </w:r>
    </w:p>
    <w:p w14:paraId="08D6A0D2">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（1）按本表费率计算的收费为采购代理的收费基准价格；</w:t>
      </w:r>
    </w:p>
    <w:p w14:paraId="5FD05B0D">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（2）采购代理收费按差额定率累进法计算。</w:t>
      </w:r>
    </w:p>
    <w:p w14:paraId="36995487">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例如：某货物采购代理业务中标金额或者暂定价为200万元，计算采购代理收费额如下：</w:t>
      </w:r>
    </w:p>
    <w:p w14:paraId="337CB0BD">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100 万元×l.5 ％＝ 1.5 万元</w:t>
      </w:r>
    </w:p>
    <w:p w14:paraId="2510F1A9">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 200 － 100 ）万元 ×1.1％＝1.1万元</w:t>
      </w:r>
    </w:p>
    <w:p w14:paraId="44385821">
      <w:pPr>
        <w:pStyle w:val="14"/>
        <w:snapToGrid w:val="0"/>
        <w:spacing w:before="120" w:after="120" w:line="360" w:lineRule="auto"/>
        <w:ind w:firstLine="420" w:firstLineChars="200"/>
        <w:rPr>
          <w:rFonts w:hint="eastAsia" w:cs="宋体"/>
          <w:color w:val="auto"/>
          <w:highlight w:val="none"/>
        </w:rPr>
      </w:pPr>
      <w:r>
        <w:rPr>
          <w:rFonts w:hint="eastAsia" w:cs="宋体"/>
          <w:color w:val="auto"/>
          <w:highlight w:val="none"/>
        </w:rPr>
        <w:t>合计收费＝ 1.5+1.1＝ 2.6 （万元）</w:t>
      </w:r>
    </w:p>
    <w:p w14:paraId="33BDA3B7">
      <w:pPr>
        <w:pStyle w:val="14"/>
        <w:snapToGrid w:val="0"/>
        <w:spacing w:before="120" w:after="120" w:line="360" w:lineRule="auto"/>
        <w:ind w:firstLine="480" w:firstLineChars="200"/>
        <w:rPr>
          <w:rFonts w:hint="eastAsia" w:ascii="宋体" w:cs="宋体"/>
          <w:b w:val="0"/>
          <w:bCs w:val="0"/>
          <w:color w:val="auto"/>
          <w:sz w:val="24"/>
          <w:szCs w:val="24"/>
          <w:highlight w:val="none"/>
        </w:rPr>
      </w:pPr>
      <w:r>
        <w:rPr>
          <w:rFonts w:hint="eastAsia" w:ascii="宋体" w:cs="宋体"/>
          <w:b w:val="0"/>
          <w:bCs w:val="0"/>
          <w:color w:val="auto"/>
          <w:sz w:val="24"/>
          <w:szCs w:val="24"/>
          <w:highlight w:val="none"/>
        </w:rPr>
        <w:t>41.需要补充的其他内容</w:t>
      </w:r>
    </w:p>
    <w:p w14:paraId="42029F8F">
      <w:pPr>
        <w:pStyle w:val="14"/>
        <w:snapToGrid w:val="0"/>
        <w:spacing w:before="120" w:after="120" w:line="360" w:lineRule="auto"/>
        <w:ind w:firstLine="420" w:firstLineChars="200"/>
        <w:rPr>
          <w:rFonts w:hint="eastAsia" w:ascii="宋体" w:cs="宋体"/>
          <w:color w:val="auto"/>
          <w:highlight w:val="none"/>
        </w:rPr>
      </w:pPr>
      <w:r>
        <w:rPr>
          <w:rFonts w:hint="eastAsia" w:ascii="宋体" w:cs="宋体"/>
          <w:color w:val="auto"/>
          <w:highlight w:val="none"/>
        </w:rPr>
        <w:t>41.1本招标文件解释规则详见“投标人须知前附表”。</w:t>
      </w:r>
    </w:p>
    <w:p w14:paraId="1CF437B9">
      <w:pPr>
        <w:pStyle w:val="14"/>
        <w:snapToGrid w:val="0"/>
        <w:spacing w:before="120" w:after="120" w:line="360" w:lineRule="auto"/>
        <w:ind w:firstLine="420" w:firstLineChars="200"/>
        <w:rPr>
          <w:rFonts w:hint="eastAsia" w:ascii="宋体" w:cs="宋体"/>
          <w:color w:val="auto"/>
          <w:highlight w:val="none"/>
        </w:rPr>
      </w:pPr>
      <w:r>
        <w:rPr>
          <w:rFonts w:hint="eastAsia" w:ascii="宋体" w:cs="宋体"/>
          <w:color w:val="auto"/>
          <w:highlight w:val="none"/>
        </w:rPr>
        <w:t>41.2 其他事项详见“投标人须知前附表”。</w:t>
      </w:r>
    </w:p>
    <w:p w14:paraId="338166FF">
      <w:pPr>
        <w:pStyle w:val="14"/>
        <w:snapToGrid w:val="0"/>
        <w:spacing w:before="120" w:after="120" w:line="360" w:lineRule="auto"/>
        <w:ind w:firstLine="420" w:firstLineChars="200"/>
        <w:rPr>
          <w:rFonts w:hint="eastAsia" w:cs="宋体"/>
          <w:color w:val="auto"/>
          <w:highlight w:val="none"/>
        </w:rPr>
      </w:pPr>
      <w:r>
        <w:rPr>
          <w:rFonts w:hint="eastAsia" w:cs="宋体"/>
          <w:color w:val="auto"/>
          <w:highlight w:val="none"/>
        </w:rPr>
        <w:t>41.3</w:t>
      </w:r>
      <w:bookmarkStart w:id="210" w:name="_Hlk65857140"/>
      <w:r>
        <w:rPr>
          <w:rFonts w:hint="eastAsia" w:cs="宋体"/>
          <w:color w:val="auto"/>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货物由中小企业制造，即货物由中小企业生产且使用该中小企业商号或者注册商标，不对其中涉及的工程承建商和服务的承接商作出要求的，享受本文件规定的中小企业扶持政策。</w:t>
      </w:r>
    </w:p>
    <w:p w14:paraId="438DB589">
      <w:pPr>
        <w:pStyle w:val="14"/>
        <w:snapToGrid w:val="0"/>
        <w:spacing w:before="120" w:after="120" w:line="360" w:lineRule="auto"/>
        <w:ind w:firstLine="420" w:firstLineChars="200"/>
        <w:rPr>
          <w:rFonts w:hint="eastAsia" w:cs="宋体"/>
          <w:color w:val="auto"/>
          <w:highlight w:val="none"/>
        </w:rPr>
      </w:pPr>
      <w:r>
        <w:rPr>
          <w:rFonts w:hint="eastAsia" w:cs="宋体"/>
          <w:color w:val="auto"/>
          <w:highlight w:val="none"/>
        </w:rPr>
        <w:t>在货物采购项目中，投标人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319D41AD">
      <w:pPr>
        <w:pStyle w:val="14"/>
        <w:snapToGrid w:val="0"/>
        <w:spacing w:before="120" w:after="120" w:line="360" w:lineRule="auto"/>
        <w:ind w:firstLine="420" w:firstLineChars="200"/>
        <w:rPr>
          <w:rFonts w:hint="eastAsia" w:cs="宋体"/>
          <w:color w:val="auto"/>
          <w:highlight w:val="none"/>
        </w:rPr>
      </w:pPr>
      <w:r>
        <w:rPr>
          <w:rFonts w:hint="eastAsia" w:cs="宋体"/>
          <w:color w:val="auto"/>
          <w:highlight w:val="none"/>
        </w:rPr>
        <w:t>依据本文件规定享受扶持政策获得政府采购合同的，小微企业不得将合同分包给大中型企业，中型企业不得将合同分包给大型企业。</w:t>
      </w:r>
      <w:bookmarkEnd w:id="210"/>
    </w:p>
    <w:p w14:paraId="1B99A98B">
      <w:pPr>
        <w:pStyle w:val="14"/>
        <w:snapToGrid w:val="0"/>
        <w:spacing w:before="120" w:after="120" w:line="360" w:lineRule="auto"/>
        <w:ind w:firstLine="420" w:firstLineChars="200"/>
        <w:rPr>
          <w:rFonts w:hint="eastAsia" w:ascii="宋体" w:cs="宋体"/>
          <w:b w:val="0"/>
          <w:bCs w:val="0"/>
          <w:color w:val="auto"/>
          <w:sz w:val="24"/>
          <w:szCs w:val="24"/>
          <w:highlight w:val="none"/>
        </w:rPr>
      </w:pPr>
      <w:r>
        <w:rPr>
          <w:rFonts w:hint="eastAsia" w:ascii="宋体" w:hAnsi="Times New Roman" w:eastAsia="宋体" w:cs="宋体"/>
          <w:color w:val="auto"/>
          <w:highlight w:val="none"/>
        </w:rPr>
        <w:t>41.4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C3B9396">
      <w:pPr>
        <w:pStyle w:val="14"/>
        <w:snapToGrid w:val="0"/>
        <w:spacing w:before="120" w:after="120" w:line="360" w:lineRule="auto"/>
        <w:ind w:firstLine="480" w:firstLineChars="200"/>
        <w:rPr>
          <w:rFonts w:ascii="宋体" w:cs="宋体"/>
          <w:b w:val="0"/>
          <w:bCs w:val="0"/>
          <w:color w:val="auto"/>
          <w:sz w:val="24"/>
          <w:szCs w:val="24"/>
          <w:highlight w:val="none"/>
        </w:rPr>
      </w:pPr>
      <w:r>
        <w:rPr>
          <w:rFonts w:hint="eastAsia" w:ascii="宋体" w:cs="宋体"/>
          <w:b w:val="0"/>
          <w:bCs w:val="0"/>
          <w:color w:val="auto"/>
          <w:sz w:val="24"/>
          <w:szCs w:val="24"/>
          <w:highlight w:val="none"/>
        </w:rPr>
        <w:t>42.广西线上“政采贷”政策告知函</w:t>
      </w:r>
    </w:p>
    <w:p w14:paraId="2A2AB3D0">
      <w:pPr>
        <w:spacing w:line="580" w:lineRule="exact"/>
        <w:jc w:val="center"/>
        <w:rPr>
          <w:rFonts w:ascii="宋体" w:cs="宋体"/>
          <w:color w:val="auto"/>
          <w:sz w:val="32"/>
          <w:szCs w:val="32"/>
          <w:highlight w:val="none"/>
        </w:rPr>
      </w:pPr>
      <w:r>
        <w:rPr>
          <w:rFonts w:hint="eastAsia" w:ascii="宋体" w:cs="宋体"/>
          <w:color w:val="auto"/>
          <w:sz w:val="32"/>
          <w:szCs w:val="32"/>
          <w:highlight w:val="none"/>
        </w:rPr>
        <w:t>广西线上“政采贷”政策告知函</w:t>
      </w:r>
    </w:p>
    <w:p w14:paraId="2903E521">
      <w:pPr>
        <w:spacing w:line="580" w:lineRule="exact"/>
        <w:rPr>
          <w:rFonts w:ascii="宋体" w:cs="宋体"/>
          <w:color w:val="auto"/>
          <w:szCs w:val="21"/>
          <w:highlight w:val="none"/>
        </w:rPr>
      </w:pPr>
      <w:r>
        <w:rPr>
          <w:rFonts w:hint="eastAsia" w:ascii="宋体" w:cs="宋体"/>
          <w:color w:val="auto"/>
          <w:szCs w:val="21"/>
          <w:highlight w:val="none"/>
        </w:rPr>
        <w:t>各供应商：</w:t>
      </w:r>
    </w:p>
    <w:p w14:paraId="4FD822DC">
      <w:pPr>
        <w:spacing w:line="580" w:lineRule="exact"/>
        <w:ind w:firstLine="420" w:firstLineChars="200"/>
        <w:rPr>
          <w:rFonts w:ascii="宋体" w:cs="宋体"/>
          <w:color w:val="auto"/>
          <w:szCs w:val="21"/>
          <w:highlight w:val="none"/>
        </w:rPr>
      </w:pPr>
      <w:r>
        <w:rPr>
          <w:rFonts w:hint="eastAsia" w:ascii="宋体" w:cs="宋体"/>
          <w:color w:val="auto"/>
          <w:szCs w:val="21"/>
          <w:highlight w:val="none"/>
        </w:rPr>
        <w:t>欢迎贵公司参与广西政府采购活动！</w:t>
      </w:r>
    </w:p>
    <w:p w14:paraId="4BB5B6F8">
      <w:pPr>
        <w:spacing w:line="580" w:lineRule="exact"/>
        <w:ind w:firstLine="420" w:firstLineChars="200"/>
        <w:rPr>
          <w:rFonts w:ascii="宋体" w:cs="宋体"/>
          <w:color w:val="auto"/>
          <w:szCs w:val="21"/>
          <w:highlight w:val="none"/>
        </w:rPr>
      </w:pPr>
      <w:r>
        <w:rPr>
          <w:rFonts w:hint="eastAsia" w:ascii="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48DB00DD">
      <w:pPr>
        <w:spacing w:line="580" w:lineRule="exact"/>
        <w:ind w:firstLine="420" w:firstLineChars="200"/>
        <w:rPr>
          <w:rFonts w:ascii="宋体" w:cs="宋体"/>
          <w:color w:val="auto"/>
          <w:szCs w:val="21"/>
          <w:highlight w:val="none"/>
        </w:rPr>
      </w:pPr>
      <w:r>
        <w:rPr>
          <w:rFonts w:hint="eastAsia" w:ascii="宋体" w:cs="宋体"/>
          <w:color w:val="auto"/>
          <w:szCs w:val="21"/>
          <w:highlight w:val="none"/>
        </w:rPr>
        <w:t>相关金融产品和银行业金融机构联系方式，可在中征应收账款融资服务平台查询（网址：</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Style w:val="32"/>
          <w:rFonts w:ascii="宋体" w:eastAsia="宋体" w:cs="宋体"/>
          <w:color w:val="auto"/>
          <w:szCs w:val="21"/>
          <w:highlight w:val="none"/>
        </w:rPr>
        <w:t>https</w:t>
      </w:r>
      <w:r>
        <w:rPr>
          <w:rStyle w:val="32"/>
          <w:rFonts w:hint="eastAsia" w:ascii="宋体" w:cs="宋体"/>
          <w:color w:val="auto"/>
          <w:szCs w:val="21"/>
          <w:highlight w:val="none"/>
        </w:rPr>
        <w:t>：</w:t>
      </w:r>
      <w:r>
        <w:rPr>
          <w:rStyle w:val="32"/>
          <w:rFonts w:ascii="宋体" w:eastAsia="宋体" w:cs="宋体"/>
          <w:color w:val="auto"/>
          <w:szCs w:val="21"/>
          <w:highlight w:val="none"/>
        </w:rPr>
        <w:t>//www.crcrfsp.com/</w:t>
      </w:r>
      <w:r>
        <w:rPr>
          <w:rStyle w:val="32"/>
          <w:rFonts w:ascii="宋体" w:eastAsia="宋体" w:cs="宋体"/>
          <w:color w:val="auto"/>
          <w:szCs w:val="21"/>
          <w:highlight w:val="none"/>
        </w:rPr>
        <w:fldChar w:fldCharType="end"/>
      </w:r>
      <w:r>
        <w:rPr>
          <w:rFonts w:hint="eastAsia" w:ascii="宋体" w:cs="宋体"/>
          <w:color w:val="auto"/>
          <w:szCs w:val="21"/>
          <w:highlight w:val="none"/>
        </w:rPr>
        <w:t>，客服电话：400-009-0001）。</w:t>
      </w:r>
    </w:p>
    <w:p w14:paraId="24CACAD0">
      <w:pPr>
        <w:spacing w:line="360" w:lineRule="auto"/>
        <w:ind w:firstLine="420" w:firstLineChars="200"/>
        <w:jc w:val="left"/>
        <w:rPr>
          <w:rFonts w:ascii="宋体" w:cs="宋体"/>
          <w:color w:val="auto"/>
          <w:highlight w:val="none"/>
        </w:rPr>
      </w:pPr>
      <w:r>
        <w:rPr>
          <w:rFonts w:hint="eastAsia" w:ascii="宋体" w:cs="宋体"/>
          <w:color w:val="auto"/>
          <w:highlight w:val="none"/>
        </w:rPr>
        <w:br w:type="page"/>
      </w:r>
      <w:bookmarkStart w:id="211" w:name="_Toc532545043"/>
    </w:p>
    <w:p w14:paraId="314B3077">
      <w:pPr>
        <w:pStyle w:val="14"/>
        <w:jc w:val="center"/>
        <w:outlineLvl w:val="0"/>
        <w:rPr>
          <w:rFonts w:cs="宋体"/>
          <w:b/>
          <w:color w:val="auto"/>
          <w:sz w:val="36"/>
          <w:highlight w:val="none"/>
        </w:rPr>
      </w:pPr>
      <w:bookmarkStart w:id="212" w:name="_Toc18150"/>
      <w:bookmarkStart w:id="213" w:name="_Toc5517"/>
      <w:bookmarkStart w:id="214" w:name="_Toc22076"/>
      <w:bookmarkStart w:id="215" w:name="_Toc6459"/>
      <w:bookmarkStart w:id="216" w:name="_Toc12598"/>
      <w:bookmarkStart w:id="217" w:name="_Toc2111"/>
      <w:bookmarkStart w:id="218" w:name="_Toc25066"/>
      <w:bookmarkStart w:id="219" w:name="_Toc31334"/>
      <w:bookmarkStart w:id="220" w:name="_Toc25062"/>
      <w:bookmarkStart w:id="221" w:name="_Toc22348"/>
      <w:bookmarkStart w:id="222" w:name="_Toc26538"/>
      <w:r>
        <w:rPr>
          <w:rFonts w:hint="eastAsia" w:cs="宋体"/>
          <w:b/>
          <w:color w:val="auto"/>
          <w:sz w:val="36"/>
          <w:highlight w:val="none"/>
        </w:rPr>
        <w:t xml:space="preserve">第四章  </w:t>
      </w:r>
      <w:bookmarkEnd w:id="211"/>
      <w:bookmarkEnd w:id="212"/>
      <w:bookmarkEnd w:id="213"/>
      <w:r>
        <w:rPr>
          <w:rFonts w:hint="eastAsia" w:cs="宋体"/>
          <w:b/>
          <w:color w:val="auto"/>
          <w:sz w:val="36"/>
          <w:highlight w:val="none"/>
        </w:rPr>
        <w:t>评标方法和评标标准</w:t>
      </w:r>
      <w:bookmarkEnd w:id="214"/>
      <w:bookmarkEnd w:id="215"/>
      <w:bookmarkEnd w:id="216"/>
      <w:bookmarkEnd w:id="217"/>
      <w:bookmarkEnd w:id="218"/>
      <w:bookmarkEnd w:id="219"/>
      <w:bookmarkEnd w:id="220"/>
      <w:bookmarkEnd w:id="221"/>
      <w:bookmarkEnd w:id="222"/>
    </w:p>
    <w:p w14:paraId="0801D747">
      <w:pPr>
        <w:pStyle w:val="14"/>
        <w:jc w:val="center"/>
        <w:outlineLvl w:val="1"/>
        <w:rPr>
          <w:rFonts w:cs="宋体"/>
          <w:b/>
          <w:bCs/>
          <w:color w:val="auto"/>
          <w:sz w:val="32"/>
          <w:szCs w:val="32"/>
          <w:highlight w:val="none"/>
        </w:rPr>
      </w:pPr>
      <w:bookmarkStart w:id="223" w:name="_Toc3364"/>
      <w:bookmarkStart w:id="224" w:name="_Toc2086"/>
      <w:bookmarkStart w:id="225" w:name="_Toc31286"/>
      <w:bookmarkStart w:id="226" w:name="_Toc8187"/>
      <w:bookmarkStart w:id="227" w:name="_Toc18908"/>
      <w:r>
        <w:rPr>
          <w:rFonts w:hint="eastAsia" w:cs="宋体"/>
          <w:b/>
          <w:bCs/>
          <w:color w:val="auto"/>
          <w:sz w:val="32"/>
          <w:szCs w:val="32"/>
          <w:highlight w:val="none"/>
        </w:rPr>
        <w:t>第一节 评标方法</w:t>
      </w:r>
      <w:bookmarkEnd w:id="223"/>
      <w:bookmarkEnd w:id="224"/>
      <w:bookmarkEnd w:id="225"/>
      <w:bookmarkEnd w:id="226"/>
      <w:bookmarkEnd w:id="227"/>
    </w:p>
    <w:p w14:paraId="0D7D4247">
      <w:pPr>
        <w:pStyle w:val="14"/>
        <w:tabs>
          <w:tab w:val="left" w:pos="2472"/>
        </w:tabs>
        <w:spacing w:line="460" w:lineRule="exact"/>
        <w:ind w:firstLine="420" w:firstLineChars="200"/>
        <w:rPr>
          <w:rFonts w:cs="宋体"/>
          <w:color w:val="auto"/>
          <w:szCs w:val="21"/>
          <w:highlight w:val="none"/>
        </w:rPr>
      </w:pPr>
      <w:r>
        <w:rPr>
          <w:rFonts w:hint="eastAsia" w:cs="宋体"/>
          <w:color w:val="auto"/>
          <w:szCs w:val="21"/>
          <w:highlight w:val="none"/>
        </w:rPr>
        <w:t>本项目采用</w:t>
      </w:r>
      <w:r>
        <w:rPr>
          <w:rFonts w:hint="eastAsia" w:cs="宋体"/>
          <w:color w:val="auto"/>
          <w:szCs w:val="21"/>
          <w:highlight w:val="none"/>
          <w:u w:val="single"/>
        </w:rPr>
        <w:t xml:space="preserve"> 以下勾选的方式</w:t>
      </w:r>
      <w:r>
        <w:rPr>
          <w:rFonts w:hint="eastAsia" w:cs="宋体"/>
          <w:color w:val="auto"/>
          <w:szCs w:val="21"/>
          <w:highlight w:val="none"/>
        </w:rPr>
        <w:t>进行评审。</w:t>
      </w:r>
    </w:p>
    <w:p w14:paraId="6127A5B0">
      <w:pPr>
        <w:pStyle w:val="14"/>
        <w:tabs>
          <w:tab w:val="left" w:pos="2472"/>
        </w:tabs>
        <w:spacing w:line="460" w:lineRule="exact"/>
        <w:ind w:firstLine="420" w:firstLineChars="200"/>
        <w:rPr>
          <w:rFonts w:cs="宋体"/>
          <w:color w:val="auto"/>
          <w:highlight w:val="none"/>
        </w:rPr>
      </w:pPr>
      <w:r>
        <w:rPr>
          <w:rFonts w:hint="eastAsia" w:cs="宋体"/>
          <w:color w:val="auto"/>
          <w:szCs w:val="21"/>
          <w:highlight w:val="none"/>
        </w:rPr>
        <w:t>□</w:t>
      </w:r>
      <w:r>
        <w:rPr>
          <w:rFonts w:hint="eastAsia" w:cs="宋体"/>
          <w:color w:val="auto"/>
          <w:szCs w:val="21"/>
          <w:highlight w:val="none"/>
          <w:lang w:val="en-US" w:eastAsia="zh-CN"/>
        </w:rPr>
        <w:t xml:space="preserve"> </w:t>
      </w:r>
      <w:r>
        <w:rPr>
          <w:rFonts w:hint="eastAsia" w:cs="宋体"/>
          <w:color w:val="auto"/>
          <w:szCs w:val="21"/>
          <w:highlight w:val="none"/>
        </w:rPr>
        <w:t>最低评标价法，是指投标文件满足招标文件</w:t>
      </w:r>
      <w:r>
        <w:rPr>
          <w:rFonts w:hint="eastAsia" w:cs="宋体"/>
          <w:color w:val="auto"/>
          <w:highlight w:val="none"/>
        </w:rPr>
        <w:t>全部实质性要求，且投标报价最低的投标人为中标候选人的评标方法。</w:t>
      </w:r>
    </w:p>
    <w:p w14:paraId="32933CB7">
      <w:pPr>
        <w:pStyle w:val="14"/>
        <w:spacing w:line="360" w:lineRule="auto"/>
        <w:ind w:firstLine="420"/>
        <w:rPr>
          <w:rFonts w:cs="宋体"/>
          <w:color w:val="auto"/>
          <w:highlight w:val="none"/>
        </w:rPr>
      </w:pPr>
      <w:r>
        <w:rPr>
          <w:rFonts w:hint="eastAsia" w:cs="宋体"/>
          <w:color w:val="auto"/>
          <w:highlight w:val="none"/>
        </w:rPr>
        <w:t>☑ 综合评分法，是指投标文件满足招标文件全部实质性要求，且按照评审因素的量化指标评审得分最高的投标人为中标候选人的评标方法。</w:t>
      </w:r>
    </w:p>
    <w:p w14:paraId="73403962">
      <w:pPr>
        <w:pStyle w:val="17"/>
        <w:rPr>
          <w:color w:val="auto"/>
          <w:highlight w:val="none"/>
        </w:rPr>
      </w:pPr>
      <w:r>
        <w:rPr>
          <w:rFonts w:hint="eastAsia"/>
          <w:color w:val="auto"/>
          <w:highlight w:val="none"/>
        </w:rPr>
        <w:t xml:space="preserve"> </w:t>
      </w:r>
    </w:p>
    <w:p w14:paraId="5D1560AE">
      <w:pPr>
        <w:pStyle w:val="14"/>
        <w:tabs>
          <w:tab w:val="left" w:pos="2472"/>
        </w:tabs>
        <w:spacing w:line="460" w:lineRule="exact"/>
        <w:jc w:val="center"/>
        <w:outlineLvl w:val="1"/>
        <w:rPr>
          <w:rFonts w:cs="宋体"/>
          <w:b/>
          <w:bCs/>
          <w:color w:val="auto"/>
          <w:sz w:val="32"/>
          <w:szCs w:val="32"/>
          <w:highlight w:val="none"/>
        </w:rPr>
      </w:pPr>
      <w:bookmarkStart w:id="228" w:name="_Toc13037"/>
      <w:bookmarkStart w:id="229" w:name="_Toc11308"/>
      <w:bookmarkStart w:id="230" w:name="_Toc12508"/>
      <w:bookmarkStart w:id="231" w:name="_Toc6695"/>
      <w:bookmarkStart w:id="232" w:name="_Toc13065"/>
      <w:r>
        <w:rPr>
          <w:rFonts w:hint="eastAsia" w:cs="宋体"/>
          <w:b/>
          <w:bCs/>
          <w:color w:val="auto"/>
          <w:sz w:val="32"/>
          <w:szCs w:val="32"/>
          <w:highlight w:val="none"/>
        </w:rPr>
        <w:t>第二节 评标程序</w:t>
      </w:r>
      <w:bookmarkEnd w:id="228"/>
      <w:bookmarkEnd w:id="229"/>
      <w:bookmarkEnd w:id="230"/>
      <w:bookmarkEnd w:id="231"/>
      <w:bookmarkEnd w:id="232"/>
    </w:p>
    <w:p w14:paraId="0BEC074B">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1.符合性审查</w:t>
      </w:r>
    </w:p>
    <w:p w14:paraId="35C0A5FB">
      <w:pPr>
        <w:spacing w:line="360" w:lineRule="auto"/>
        <w:ind w:firstLine="420" w:firstLineChars="200"/>
        <w:rPr>
          <w:rFonts w:ascii="宋体" w:cs="宋体"/>
          <w:color w:val="auto"/>
          <w:highlight w:val="none"/>
        </w:rPr>
      </w:pPr>
      <w:r>
        <w:rPr>
          <w:rFonts w:hint="eastAsia" w:ascii="宋体" w:cs="宋体"/>
          <w:color w:val="auto"/>
          <w:highlight w:val="none"/>
        </w:rPr>
        <w:t>评标委员会应当对符合资格的投标人的投标文件进行投标报价、商务、技术等实质性内容符合性审查，以确定其是否满足招标文件的实质性要求。</w:t>
      </w:r>
    </w:p>
    <w:p w14:paraId="68E29CC4">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2.符合性审查不通过而导致投标无效的情形</w:t>
      </w:r>
    </w:p>
    <w:p w14:paraId="2844DEC0">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投标人的投标文件中存在对招标文件的任何实质性要求的负偏离，将被视为投标无效。</w:t>
      </w:r>
    </w:p>
    <w:p w14:paraId="700304FD">
      <w:pPr>
        <w:spacing w:line="360" w:lineRule="auto"/>
        <w:ind w:firstLine="422" w:firstLineChars="200"/>
        <w:rPr>
          <w:rFonts w:ascii="宋体" w:cs="宋体"/>
          <w:b/>
          <w:bCs/>
          <w:color w:val="auto"/>
          <w:szCs w:val="21"/>
          <w:highlight w:val="none"/>
        </w:rPr>
      </w:pPr>
      <w:r>
        <w:rPr>
          <w:rFonts w:hint="eastAsia" w:ascii="宋体" w:cs="宋体"/>
          <w:b/>
          <w:bCs/>
          <w:color w:val="auto"/>
          <w:szCs w:val="21"/>
          <w:highlight w:val="none"/>
        </w:rPr>
        <w:t>2.1在报价评审时，如发现下列情形之一的，将被视为投标无效：</w:t>
      </w:r>
    </w:p>
    <w:p w14:paraId="0E7BD1EB">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（1）不满足招标文件实质性要求的；</w:t>
      </w:r>
    </w:p>
    <w:p w14:paraId="27D70906">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（2）未采用人民币报价或者未按照招标文件标明的币种报价的；</w:t>
      </w:r>
    </w:p>
    <w:p w14:paraId="6E1FE116">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（3）报价超出招标文件规定最高限价或者最高上限单价，或者超出采购预算金额的；</w:t>
      </w:r>
    </w:p>
    <w:p w14:paraId="09A47B61">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（4）投标人未就所投项目/分标进行报价或者存在漏项报价；投标人未就所投</w:t>
      </w:r>
      <w:r>
        <w:rPr>
          <w:rFonts w:hint="eastAsia" w:cs="宋体"/>
          <w:color w:val="auto"/>
          <w:szCs w:val="21"/>
          <w:highlight w:val="none"/>
        </w:rPr>
        <w:t>项目</w:t>
      </w:r>
      <w:r>
        <w:rPr>
          <w:rFonts w:hint="eastAsia" w:ascii="宋体" w:cs="宋体"/>
          <w:color w:val="auto"/>
          <w:szCs w:val="21"/>
          <w:highlight w:val="none"/>
        </w:rPr>
        <w:t>/分标的单项内容作唯一报价；投标人未就所投项目/分标的全部内容作唯一总价报价；存在有选择、有条件报价的（招标文件允许有备选方案或者其他约定的除外）；</w:t>
      </w:r>
    </w:p>
    <w:p w14:paraId="430AA018">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（5）修正后的报价，投标人不确认的；</w:t>
      </w:r>
    </w:p>
    <w:p w14:paraId="266FFC13">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（6）投标人属于本章第5条第（4）项情形的。</w:t>
      </w:r>
    </w:p>
    <w:p w14:paraId="0CE5AEAE">
      <w:pPr>
        <w:spacing w:line="360" w:lineRule="auto"/>
        <w:ind w:firstLine="422" w:firstLineChars="200"/>
        <w:rPr>
          <w:rFonts w:hint="eastAsia" w:ascii="宋体" w:cs="宋体"/>
          <w:b/>
          <w:bCs/>
          <w:color w:val="auto"/>
          <w:szCs w:val="21"/>
          <w:highlight w:val="none"/>
        </w:rPr>
      </w:pPr>
      <w:r>
        <w:rPr>
          <w:rFonts w:hint="eastAsia" w:ascii="宋体" w:cs="宋体"/>
          <w:b/>
          <w:bCs/>
          <w:color w:val="auto"/>
          <w:szCs w:val="21"/>
          <w:highlight w:val="none"/>
        </w:rPr>
        <w:t>2.2在商务评审时，如发现下列情形之一的，将被视为投标无效：</w:t>
      </w:r>
    </w:p>
    <w:p w14:paraId="11ADEAB7">
      <w:pPr>
        <w:spacing w:line="360" w:lineRule="auto"/>
        <w:ind w:firstLine="420" w:firstLineChars="200"/>
        <w:rPr>
          <w:rFonts w:hint="eastAsia" w:ascii="宋体" w:cs="宋体"/>
          <w:color w:val="auto"/>
          <w:szCs w:val="21"/>
          <w:highlight w:val="none"/>
        </w:rPr>
      </w:pPr>
      <w:r>
        <w:rPr>
          <w:rFonts w:hint="eastAsia" w:ascii="宋体" w:cs="宋体"/>
          <w:color w:val="auto"/>
          <w:szCs w:val="21"/>
          <w:highlight w:val="none"/>
        </w:rPr>
        <w:t>（1）投标文件未按招标文件要求签署、盖章的；</w:t>
      </w:r>
    </w:p>
    <w:p w14:paraId="535C401B">
      <w:pPr>
        <w:spacing w:line="360" w:lineRule="auto"/>
        <w:ind w:firstLine="420" w:firstLineChars="200"/>
        <w:rPr>
          <w:rFonts w:hint="eastAsia" w:ascii="宋体" w:cs="宋体"/>
          <w:color w:val="auto"/>
          <w:szCs w:val="21"/>
          <w:highlight w:val="none"/>
        </w:rPr>
      </w:pPr>
      <w:r>
        <w:rPr>
          <w:rFonts w:hint="eastAsia" w:ascii="宋体" w:cs="宋体"/>
          <w:color w:val="auto"/>
          <w:szCs w:val="21"/>
          <w:highlight w:val="none"/>
        </w:rPr>
        <w:t xml:space="preserve">（2）委托代理人未能出具有效身份证明或者出具的身份证明与授权委托书中的信息不符的； </w:t>
      </w:r>
    </w:p>
    <w:p w14:paraId="0DD2DE23">
      <w:pPr>
        <w:spacing w:line="360" w:lineRule="auto"/>
        <w:ind w:firstLine="420" w:firstLineChars="200"/>
        <w:rPr>
          <w:rFonts w:hint="eastAsia" w:ascii="宋体" w:cs="宋体"/>
          <w:color w:val="auto"/>
          <w:sz w:val="21"/>
          <w:szCs w:val="21"/>
          <w:highlight w:val="none"/>
        </w:rPr>
      </w:pPr>
      <w:r>
        <w:rPr>
          <w:rFonts w:hint="eastAsia" w:ascii="宋体" w:cs="宋体"/>
          <w:color w:val="auto"/>
          <w:sz w:val="21"/>
          <w:szCs w:val="21"/>
          <w:highlight w:val="none"/>
        </w:rPr>
        <w:t>（3）为无效投标保证金的或者未按照招标文件的规定提交投标保证金的；</w:t>
      </w:r>
    </w:p>
    <w:p w14:paraId="2B594A20">
      <w:pPr>
        <w:spacing w:line="360" w:lineRule="auto"/>
        <w:ind w:firstLine="420" w:firstLineChars="200"/>
        <w:rPr>
          <w:rFonts w:hint="eastAsia" w:ascii="宋体" w:cs="宋体"/>
          <w:color w:val="auto"/>
          <w:szCs w:val="21"/>
          <w:highlight w:val="none"/>
        </w:rPr>
      </w:pPr>
      <w:r>
        <w:rPr>
          <w:rFonts w:hint="eastAsia" w:ascii="宋体" w:cs="宋体"/>
          <w:color w:val="auto"/>
          <w:szCs w:val="21"/>
          <w:highlight w:val="none"/>
        </w:rPr>
        <w:t>（4）投标有效期不满足招标文件要求的；</w:t>
      </w:r>
    </w:p>
    <w:p w14:paraId="4AAF1959">
      <w:pPr>
        <w:spacing w:line="360" w:lineRule="auto"/>
        <w:ind w:firstLine="420" w:firstLineChars="200"/>
        <w:rPr>
          <w:rFonts w:hint="eastAsia" w:ascii="宋体" w:cs="宋体"/>
          <w:color w:val="auto"/>
          <w:szCs w:val="21"/>
          <w:highlight w:val="none"/>
        </w:rPr>
      </w:pPr>
      <w:r>
        <w:rPr>
          <w:rFonts w:hint="eastAsia" w:ascii="宋体" w:cs="宋体"/>
          <w:color w:val="auto"/>
          <w:szCs w:val="21"/>
          <w:highlight w:val="none"/>
        </w:rPr>
        <w:t>（</w:t>
      </w:r>
      <w:r>
        <w:rPr>
          <w:rFonts w:hint="eastAsia" w:ascii="宋体" w:cs="宋体"/>
          <w:color w:val="auto"/>
          <w:szCs w:val="21"/>
          <w:highlight w:val="none"/>
          <w:lang w:val="en-US" w:eastAsia="zh-CN"/>
        </w:rPr>
        <w:t>5</w:t>
      </w:r>
      <w:r>
        <w:rPr>
          <w:rFonts w:hint="eastAsia" w:ascii="宋体" w:cs="宋体"/>
          <w:color w:val="auto"/>
          <w:szCs w:val="21"/>
          <w:highlight w:val="none"/>
        </w:rPr>
        <w:t>）投标文件的实质性内容未使用中文表述、使用计量单位不符合招标文件要求的；</w:t>
      </w:r>
    </w:p>
    <w:p w14:paraId="79F0779F">
      <w:pPr>
        <w:spacing w:line="360" w:lineRule="auto"/>
        <w:ind w:firstLine="420" w:firstLineChars="200"/>
        <w:rPr>
          <w:rFonts w:hint="eastAsia" w:ascii="宋体" w:cs="宋体"/>
          <w:color w:val="auto"/>
          <w:szCs w:val="21"/>
          <w:highlight w:val="none"/>
        </w:rPr>
      </w:pPr>
      <w:r>
        <w:rPr>
          <w:rFonts w:hint="eastAsia" w:ascii="宋体" w:cs="宋体"/>
          <w:color w:val="auto"/>
          <w:szCs w:val="21"/>
          <w:highlight w:val="none"/>
        </w:rPr>
        <w:t>（</w:t>
      </w:r>
      <w:r>
        <w:rPr>
          <w:rFonts w:hint="eastAsia" w:ascii="宋体" w:cs="宋体"/>
          <w:color w:val="auto"/>
          <w:szCs w:val="21"/>
          <w:highlight w:val="none"/>
          <w:lang w:val="en-US" w:eastAsia="zh-CN"/>
        </w:rPr>
        <w:t>6</w:t>
      </w:r>
      <w:r>
        <w:rPr>
          <w:rFonts w:hint="eastAsia" w:ascii="宋体" w:cs="宋体"/>
          <w:color w:val="auto"/>
          <w:szCs w:val="21"/>
          <w:highlight w:val="none"/>
        </w:rPr>
        <w:t>）投标文件中的文件资料因填写不齐全或者内容虚假或者出现其他情形而导致被评标委员会认定无效的；</w:t>
      </w:r>
    </w:p>
    <w:p w14:paraId="264DE044">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w:t>
      </w:r>
      <w:r>
        <w:rPr>
          <w:rFonts w:hint="eastAsia" w:ascii="宋体" w:cs="宋体"/>
          <w:color w:val="auto"/>
          <w:szCs w:val="21"/>
          <w:highlight w:val="none"/>
          <w:lang w:val="en-US" w:eastAsia="zh-CN"/>
        </w:rPr>
        <w:t>7</w:t>
      </w:r>
      <w:r>
        <w:rPr>
          <w:rFonts w:hint="eastAsia" w:ascii="宋体" w:cs="宋体"/>
          <w:color w:val="auto"/>
          <w:szCs w:val="21"/>
          <w:highlight w:val="none"/>
        </w:rPr>
        <w:t>）投标文件含有采购人不能接受的附加条件的；</w:t>
      </w:r>
    </w:p>
    <w:p w14:paraId="4A9589CB">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w:t>
      </w:r>
      <w:r>
        <w:rPr>
          <w:rFonts w:hint="eastAsia" w:ascii="宋体" w:cs="宋体"/>
          <w:color w:val="auto"/>
          <w:szCs w:val="21"/>
          <w:highlight w:val="none"/>
          <w:lang w:val="en-US" w:eastAsia="zh-CN"/>
        </w:rPr>
        <w:t>8</w:t>
      </w:r>
      <w:r>
        <w:rPr>
          <w:rFonts w:hint="eastAsia" w:ascii="宋体" w:cs="宋体"/>
          <w:color w:val="auto"/>
          <w:szCs w:val="21"/>
          <w:highlight w:val="none"/>
        </w:rPr>
        <w:t>）</w:t>
      </w:r>
      <w:r>
        <w:rPr>
          <w:rFonts w:hint="eastAsia" w:ascii="宋体" w:cs="宋体"/>
          <w:color w:val="auto"/>
          <w:szCs w:val="21"/>
          <w:highlight w:val="none"/>
          <w:lang w:val="en-US" w:eastAsia="zh-CN"/>
        </w:rPr>
        <w:t>不满足</w:t>
      </w:r>
      <w:r>
        <w:rPr>
          <w:rFonts w:hint="eastAsia" w:ascii="宋体" w:cs="宋体"/>
          <w:color w:val="auto"/>
          <w:szCs w:val="21"/>
          <w:highlight w:val="none"/>
        </w:rPr>
        <w:t>招标文件实质性要求的；</w:t>
      </w:r>
    </w:p>
    <w:p w14:paraId="5B8C5AF9">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w:t>
      </w:r>
      <w:r>
        <w:rPr>
          <w:rFonts w:hint="eastAsia" w:ascii="宋体" w:cs="宋体"/>
          <w:color w:val="auto"/>
          <w:szCs w:val="21"/>
          <w:highlight w:val="none"/>
          <w:lang w:val="en-US" w:eastAsia="zh-CN"/>
        </w:rPr>
        <w:t>9</w:t>
      </w:r>
      <w:r>
        <w:rPr>
          <w:rFonts w:hint="eastAsia" w:ascii="宋体" w:cs="宋体"/>
          <w:color w:val="auto"/>
          <w:szCs w:val="21"/>
          <w:highlight w:val="none"/>
        </w:rPr>
        <w:t>）属于投标人须知正文第9.2条情形的；</w:t>
      </w:r>
    </w:p>
    <w:p w14:paraId="2F1152FA">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（1</w:t>
      </w:r>
      <w:r>
        <w:rPr>
          <w:rFonts w:hint="eastAsia" w:ascii="宋体" w:cs="宋体"/>
          <w:color w:val="auto"/>
          <w:szCs w:val="21"/>
          <w:highlight w:val="none"/>
          <w:lang w:val="en-US" w:eastAsia="zh-CN"/>
        </w:rPr>
        <w:t>0</w:t>
      </w:r>
      <w:r>
        <w:rPr>
          <w:rFonts w:hint="eastAsia" w:ascii="宋体" w:cs="宋体"/>
          <w:color w:val="auto"/>
          <w:szCs w:val="21"/>
          <w:highlight w:val="none"/>
        </w:rPr>
        <w:t>）法律、法规和招标文件规定的其他无效情形。</w:t>
      </w:r>
    </w:p>
    <w:p w14:paraId="53EDEE44">
      <w:pPr>
        <w:spacing w:line="360" w:lineRule="auto"/>
        <w:ind w:firstLine="422" w:firstLineChars="200"/>
        <w:rPr>
          <w:rFonts w:ascii="宋体" w:cs="宋体"/>
          <w:b/>
          <w:bCs/>
          <w:color w:val="auto"/>
          <w:szCs w:val="21"/>
          <w:highlight w:val="none"/>
        </w:rPr>
      </w:pPr>
      <w:r>
        <w:rPr>
          <w:rFonts w:hint="eastAsia" w:ascii="宋体" w:cs="宋体"/>
          <w:b/>
          <w:bCs/>
          <w:color w:val="auto"/>
          <w:szCs w:val="21"/>
          <w:highlight w:val="none"/>
        </w:rPr>
        <w:t>2.3在技术评审时，如发现下列情形之一的，将被视为投标无效：</w:t>
      </w:r>
    </w:p>
    <w:p w14:paraId="5EF08096">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（1）不满足招标文件实质性要求的；</w:t>
      </w:r>
    </w:p>
    <w:p w14:paraId="30407AE2">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w:t>
      </w:r>
      <w:r>
        <w:rPr>
          <w:rFonts w:hint="eastAsia" w:ascii="宋体" w:cs="宋体"/>
          <w:color w:val="auto"/>
          <w:szCs w:val="21"/>
          <w:highlight w:val="none"/>
          <w:lang w:val="en-US" w:eastAsia="zh-CN"/>
        </w:rPr>
        <w:t>2</w:t>
      </w:r>
      <w:r>
        <w:rPr>
          <w:rFonts w:hint="eastAsia" w:ascii="宋体" w:cs="宋体"/>
          <w:color w:val="auto"/>
          <w:szCs w:val="21"/>
          <w:highlight w:val="none"/>
        </w:rPr>
        <w:t>）虚假投标，或者出现其他情形而导致被评标委员会认定无效的；</w:t>
      </w:r>
    </w:p>
    <w:p w14:paraId="034A5283">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w:t>
      </w:r>
      <w:r>
        <w:rPr>
          <w:rFonts w:hint="eastAsia" w:ascii="宋体" w:cs="宋体"/>
          <w:color w:val="auto"/>
          <w:szCs w:val="21"/>
          <w:highlight w:val="none"/>
          <w:lang w:val="en-US" w:eastAsia="zh-CN"/>
        </w:rPr>
        <w:t>3</w:t>
      </w:r>
      <w:r>
        <w:rPr>
          <w:rFonts w:hint="eastAsia" w:ascii="宋体" w:cs="宋体"/>
          <w:color w:val="auto"/>
          <w:szCs w:val="21"/>
          <w:highlight w:val="none"/>
        </w:rPr>
        <w:t>）招标文件要求提供技术方案的，投标技术方案不明确，招标文件未允许但存在一个或者一个以上备选（替代）投标方案的。</w:t>
      </w:r>
    </w:p>
    <w:p w14:paraId="16D3BFE3">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3.澄清、说明或者补正</w:t>
      </w:r>
    </w:p>
    <w:p w14:paraId="77B02BB1">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公章后在线上传至评标委员会。投标人的澄清、说明或者补正不得超出投标文件的范围或者改变投标文件的实质性内容。</w:t>
      </w:r>
      <w:r>
        <w:rPr>
          <w:rFonts w:hint="eastAsia" w:ascii="宋体" w:cs="宋体"/>
          <w:b/>
          <w:bCs/>
          <w:color w:val="auto"/>
          <w:szCs w:val="21"/>
          <w:highlight w:val="none"/>
        </w:rPr>
        <w:t>投标人未在规定时间内进行澄清、说明或者补正的，有可能对评审产生影响</w:t>
      </w:r>
      <w:r>
        <w:rPr>
          <w:rFonts w:hint="eastAsia" w:ascii="宋体" w:cs="宋体"/>
          <w:color w:val="auto"/>
          <w:szCs w:val="21"/>
          <w:highlight w:val="none"/>
        </w:rPr>
        <w:t>。</w:t>
      </w:r>
    </w:p>
    <w:p w14:paraId="31355000">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电子签章（公章），或者由法定代表人或者其授权的代表签字。</w:t>
      </w:r>
    </w:p>
    <w:p w14:paraId="24EF84D2">
      <w:pPr>
        <w:spacing w:line="360" w:lineRule="auto"/>
        <w:ind w:firstLine="422" w:firstLineChars="200"/>
        <w:rPr>
          <w:rFonts w:ascii="宋体" w:cs="宋体"/>
          <w:b/>
          <w:color w:val="auto"/>
          <w:szCs w:val="21"/>
          <w:highlight w:val="none"/>
        </w:rPr>
      </w:pPr>
      <w:r>
        <w:rPr>
          <w:rFonts w:hint="eastAsia" w:ascii="宋体" w:cs="宋体"/>
          <w:b/>
          <w:color w:val="auto"/>
          <w:szCs w:val="21"/>
          <w:highlight w:val="none"/>
        </w:rPr>
        <w:t>4.投标文件修正</w:t>
      </w:r>
    </w:p>
    <w:p w14:paraId="1128F23A">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 xml:space="preserve">4.1投标文件报价出现前后不一致的，按照下列规定修正： </w:t>
      </w:r>
    </w:p>
    <w:p w14:paraId="002F6D37">
      <w:pPr>
        <w:spacing w:line="360" w:lineRule="auto"/>
        <w:ind w:firstLine="420" w:firstLineChars="200"/>
        <w:rPr>
          <w:rFonts w:ascii="宋体" w:cs="宋体"/>
          <w:color w:val="auto"/>
          <w:highlight w:val="none"/>
        </w:rPr>
      </w:pPr>
      <w:r>
        <w:rPr>
          <w:rFonts w:hint="eastAsia" w:ascii="宋体" w:cs="宋体"/>
          <w:color w:val="auto"/>
          <w:highlight w:val="none"/>
        </w:rPr>
        <w:t>（1）广西政府采购云平台电子开标大厅中的“开标记录表”内容与电子版投标文件中相应内容不一致的，以广西政府采购云平台电子开标大厅中的“开标记录表”为准；</w:t>
      </w:r>
    </w:p>
    <w:p w14:paraId="7C20376D">
      <w:pPr>
        <w:spacing w:line="360" w:lineRule="auto"/>
        <w:ind w:firstLine="420" w:firstLineChars="200"/>
        <w:rPr>
          <w:rFonts w:ascii="宋体" w:cs="宋体"/>
          <w:color w:val="auto"/>
          <w:highlight w:val="none"/>
        </w:rPr>
      </w:pPr>
      <w:r>
        <w:rPr>
          <w:rFonts w:hint="eastAsia" w:ascii="宋体" w:cs="宋体"/>
          <w:color w:val="auto"/>
          <w:highlight w:val="none"/>
        </w:rPr>
        <w:t>（2）大写金额和小写金额不一致的，以大写金额为准；</w:t>
      </w:r>
    </w:p>
    <w:p w14:paraId="72FDE83E">
      <w:pPr>
        <w:spacing w:line="360" w:lineRule="auto"/>
        <w:ind w:firstLine="420" w:firstLineChars="200"/>
        <w:rPr>
          <w:rFonts w:ascii="宋体" w:cs="宋体"/>
          <w:color w:val="auto"/>
          <w:highlight w:val="none"/>
        </w:rPr>
      </w:pPr>
      <w:r>
        <w:rPr>
          <w:rFonts w:hint="eastAsia" w:ascii="宋体" w:cs="宋体"/>
          <w:color w:val="auto"/>
          <w:highlight w:val="none"/>
        </w:rPr>
        <w:t>（3）单价金额小数点或者百分比有明显错位的，以开标一览表的总价为准，并修改单价；</w:t>
      </w:r>
    </w:p>
    <w:p w14:paraId="73CF905E">
      <w:pPr>
        <w:spacing w:line="360" w:lineRule="auto"/>
        <w:ind w:firstLine="420" w:firstLineChars="200"/>
        <w:rPr>
          <w:rFonts w:ascii="宋体" w:cs="宋体"/>
          <w:color w:val="auto"/>
          <w:highlight w:val="none"/>
        </w:rPr>
      </w:pPr>
      <w:r>
        <w:rPr>
          <w:rFonts w:hint="eastAsia" w:ascii="宋体" w:cs="宋体"/>
          <w:color w:val="auto"/>
          <w:highlight w:val="none"/>
        </w:rPr>
        <w:t>（4）总价金额与按单价汇总金额不一致的，以单价金额计算结果为准。</w:t>
      </w:r>
    </w:p>
    <w:p w14:paraId="4D174B56">
      <w:pPr>
        <w:spacing w:line="360" w:lineRule="auto"/>
        <w:ind w:firstLine="420" w:firstLineChars="200"/>
        <w:rPr>
          <w:rFonts w:ascii="宋体" w:cs="宋体"/>
          <w:color w:val="auto"/>
          <w:highlight w:val="none"/>
        </w:rPr>
      </w:pPr>
      <w:r>
        <w:rPr>
          <w:rFonts w:hint="eastAsia" w:ascii="宋体" w:cs="宋体"/>
          <w:color w:val="auto"/>
          <w:highlight w:val="none"/>
        </w:rPr>
        <w:t>同时出现两种以上不一致的，按照以上（1）-（4）规定的顺序修正。</w:t>
      </w:r>
      <w:r>
        <w:rPr>
          <w:rFonts w:hint="eastAsia" w:ascii="宋体" w:cs="宋体"/>
          <w:b/>
          <w:bCs/>
          <w:color w:val="auto"/>
          <w:highlight w:val="none"/>
        </w:rPr>
        <w:t>修正后的报价经投标人确认后产生约束力，投标人不确认的，其投标无效</w:t>
      </w:r>
      <w:r>
        <w:rPr>
          <w:rFonts w:hint="eastAsia" w:ascii="宋体" w:cs="宋体"/>
          <w:color w:val="auto"/>
          <w:highlight w:val="none"/>
        </w:rPr>
        <w:t>。</w:t>
      </w:r>
    </w:p>
    <w:p w14:paraId="1D74B820">
      <w:pPr>
        <w:spacing w:line="360" w:lineRule="auto"/>
        <w:ind w:firstLine="422" w:firstLineChars="200"/>
        <w:rPr>
          <w:rFonts w:ascii="宋体" w:cs="宋体"/>
          <w:b/>
          <w:bCs/>
          <w:color w:val="auto"/>
          <w:szCs w:val="21"/>
          <w:highlight w:val="none"/>
        </w:rPr>
      </w:pPr>
      <w:r>
        <w:rPr>
          <w:rFonts w:hint="eastAsia" w:ascii="宋体" w:cs="宋体"/>
          <w:b/>
          <w:bCs/>
          <w:color w:val="auto"/>
          <w:szCs w:val="21"/>
          <w:highlight w:val="none"/>
        </w:rPr>
        <w:t>4.2经投标人确认修正后的报价若超过采购预算金额或者最高限价，投标人的投标文件作无效投标处理。</w:t>
      </w:r>
    </w:p>
    <w:p w14:paraId="4C0B481E">
      <w:pPr>
        <w:spacing w:line="360" w:lineRule="auto"/>
        <w:ind w:firstLine="420" w:firstLineChars="200"/>
        <w:rPr>
          <w:rFonts w:ascii="宋体" w:cs="宋体"/>
          <w:color w:val="auto"/>
          <w:szCs w:val="21"/>
          <w:highlight w:val="none"/>
        </w:rPr>
      </w:pPr>
      <w:r>
        <w:rPr>
          <w:rFonts w:hint="eastAsia" w:ascii="宋体" w:cs="宋体"/>
          <w:color w:val="auto"/>
          <w:szCs w:val="21"/>
          <w:highlight w:val="none"/>
        </w:rPr>
        <w:t>4.3经投标人确认修正后的报价作为签订合同的依据，并以此报价计算价格分。</w:t>
      </w:r>
    </w:p>
    <w:p w14:paraId="63F91EEB">
      <w:pPr>
        <w:spacing w:line="360" w:lineRule="auto"/>
        <w:ind w:firstLine="422" w:firstLineChars="200"/>
        <w:rPr>
          <w:rFonts w:ascii="宋体" w:cs="宋体"/>
          <w:b/>
          <w:bCs/>
          <w:color w:val="auto"/>
          <w:szCs w:val="21"/>
          <w:highlight w:val="none"/>
        </w:rPr>
      </w:pPr>
      <w:r>
        <w:rPr>
          <w:rFonts w:hint="eastAsia" w:ascii="宋体" w:cs="宋体"/>
          <w:b/>
          <w:bCs/>
          <w:color w:val="auto"/>
          <w:szCs w:val="21"/>
          <w:highlight w:val="none"/>
        </w:rPr>
        <w:t>5.比较与评价</w:t>
      </w:r>
    </w:p>
    <w:p w14:paraId="17FF2DFD">
      <w:pPr>
        <w:tabs>
          <w:tab w:val="center" w:pos="4153"/>
          <w:tab w:val="right" w:pos="8306"/>
        </w:tabs>
        <w:spacing w:line="360" w:lineRule="auto"/>
        <w:ind w:firstLine="420" w:firstLineChars="200"/>
        <w:rPr>
          <w:color w:val="auto"/>
          <w:highlight w:val="none"/>
        </w:rPr>
      </w:pPr>
      <w:r>
        <w:rPr>
          <w:rFonts w:hint="eastAsia" w:ascii="宋体" w:cs="宋体"/>
          <w:color w:val="auto"/>
          <w:highlight w:val="none"/>
        </w:rPr>
        <w:t>（1）</w:t>
      </w:r>
      <w:r>
        <w:rPr>
          <w:rFonts w:hint="eastAsia" w:ascii="宋体" w:cs="宋体"/>
          <w:color w:val="auto"/>
          <w:szCs w:val="21"/>
          <w:highlight w:val="none"/>
        </w:rPr>
        <w:t>评</w:t>
      </w:r>
      <w:r>
        <w:rPr>
          <w:rFonts w:hint="eastAsia" w:ascii="宋体" w:cs="宋体"/>
          <w:color w:val="auto"/>
          <w:szCs w:val="21"/>
          <w:highlight w:val="none"/>
          <w:lang w:val="en-US" w:eastAsia="zh-CN"/>
        </w:rPr>
        <w:t>标</w:t>
      </w:r>
      <w:r>
        <w:rPr>
          <w:rFonts w:hint="eastAsia" w:ascii="宋体" w:cs="宋体"/>
          <w:color w:val="auto"/>
          <w:szCs w:val="21"/>
          <w:highlight w:val="none"/>
        </w:rPr>
        <w:t>委员会成员要根据政府采购法律法规和招标文件所载明的评标方法、标准进行评审。对投标人的价格分等客观评分项的评分应当一致，对其他需要借助专业知识评判的主观评分项，应当严格按照评分细则公正评分。</w:t>
      </w:r>
    </w:p>
    <w:p w14:paraId="5640F327">
      <w:pPr>
        <w:spacing w:line="360" w:lineRule="auto"/>
        <w:ind w:firstLine="420" w:firstLineChars="200"/>
        <w:rPr>
          <w:rFonts w:ascii="宋体" w:cs="宋体"/>
          <w:color w:val="auto"/>
          <w:highlight w:val="none"/>
        </w:rPr>
      </w:pPr>
      <w:r>
        <w:rPr>
          <w:rFonts w:hint="eastAsia" w:ascii="宋体" w:cs="宋体"/>
          <w:color w:val="auto"/>
          <w:highlight w:val="none"/>
        </w:rPr>
        <w:t>（2）评标委员会按照招标文件中规定的评标方法和评标标准，对符合性审查合格的投标文件进行商务和技术评估，综合比较与评价。</w:t>
      </w:r>
    </w:p>
    <w:p w14:paraId="6A5F2D18">
      <w:pPr>
        <w:spacing w:line="360" w:lineRule="auto"/>
        <w:ind w:firstLine="420" w:firstLineChars="200"/>
        <w:rPr>
          <w:rFonts w:ascii="宋体" w:cs="宋体"/>
          <w:color w:val="auto"/>
          <w:highlight w:val="none"/>
        </w:rPr>
      </w:pPr>
      <w:r>
        <w:rPr>
          <w:rFonts w:hint="eastAsia" w:ascii="宋体" w:cs="宋体"/>
          <w:color w:val="auto"/>
          <w:highlight w:val="none"/>
        </w:rPr>
        <w:t>（3）评标委员会各成员独立对每个投标人的投标文件进行评价，并汇总每个投标人的得分。</w:t>
      </w:r>
    </w:p>
    <w:p w14:paraId="780206D9">
      <w:pPr>
        <w:spacing w:line="360" w:lineRule="auto"/>
        <w:ind w:firstLine="422" w:firstLineChars="200"/>
        <w:rPr>
          <w:rFonts w:ascii="宋体" w:cs="宋体"/>
          <w:b/>
          <w:bCs/>
          <w:color w:val="auto"/>
          <w:highlight w:val="none"/>
        </w:rPr>
      </w:pPr>
      <w:r>
        <w:rPr>
          <w:rFonts w:hint="eastAsia" w:ascii="宋体" w:cs="宋体"/>
          <w:b/>
          <w:bCs/>
          <w:color w:val="auto"/>
          <w:highlight w:val="none"/>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15F644DD">
      <w:pPr>
        <w:spacing w:line="360" w:lineRule="auto"/>
        <w:ind w:firstLine="420" w:firstLineChars="200"/>
        <w:rPr>
          <w:rFonts w:hint="eastAsia" w:ascii="宋体" w:cs="宋体"/>
          <w:color w:val="auto"/>
          <w:highlight w:val="none"/>
        </w:rPr>
      </w:pPr>
      <w:r>
        <w:rPr>
          <w:rFonts w:hint="eastAsia" w:ascii="宋体" w:cs="宋体"/>
          <w:color w:val="auto"/>
          <w:highlight w:val="none"/>
        </w:rPr>
        <w:t xml:space="preserve">①采购评审中出现下列情形之一的，评标委员会应当启动异常低价投标审查程序： </w:t>
      </w:r>
    </w:p>
    <w:p w14:paraId="6ADE6F7A">
      <w:pPr>
        <w:spacing w:line="360" w:lineRule="auto"/>
        <w:ind w:firstLine="420" w:firstLineChars="200"/>
        <w:rPr>
          <w:rFonts w:hint="eastAsia" w:ascii="宋体" w:cs="宋体"/>
          <w:color w:val="auto"/>
          <w:highlight w:val="none"/>
        </w:rPr>
      </w:pPr>
      <w:r>
        <w:rPr>
          <w:rFonts w:hint="eastAsia" w:ascii="宋体" w:cs="宋体"/>
          <w:color w:val="auto"/>
          <w:highlight w:val="none"/>
        </w:rPr>
        <w:t xml:space="preserve">A.投标报价低于全部通过符合性审查投标人投标报价平均值50%的，即投标报价＜全部通过符合性审查投标人投标报价平均值×50%； </w:t>
      </w:r>
    </w:p>
    <w:p w14:paraId="395AF6C1">
      <w:pPr>
        <w:spacing w:line="360" w:lineRule="auto"/>
        <w:ind w:firstLine="420" w:firstLineChars="200"/>
        <w:rPr>
          <w:rFonts w:hint="eastAsia" w:ascii="宋体" w:cs="宋体"/>
          <w:color w:val="auto"/>
          <w:highlight w:val="none"/>
        </w:rPr>
      </w:pPr>
      <w:r>
        <w:rPr>
          <w:rFonts w:hint="eastAsia" w:ascii="宋体" w:cs="宋体"/>
          <w:color w:val="auto"/>
          <w:highlight w:val="none"/>
        </w:rPr>
        <w:t xml:space="preserve">B.投标报价低于通过符合性审查的次低报价投标人投标报价50%的，即投标报价＜通过符合性审查的次低报价投标人投标报价×50%； </w:t>
      </w:r>
    </w:p>
    <w:p w14:paraId="51231AE6">
      <w:pPr>
        <w:spacing w:line="360" w:lineRule="auto"/>
        <w:ind w:firstLine="420" w:firstLineChars="200"/>
        <w:rPr>
          <w:rFonts w:hint="eastAsia" w:ascii="宋体" w:cs="宋体"/>
          <w:color w:val="auto"/>
          <w:highlight w:val="none"/>
        </w:rPr>
      </w:pPr>
      <w:r>
        <w:rPr>
          <w:rFonts w:hint="eastAsia" w:ascii="宋体" w:cs="宋体"/>
          <w:color w:val="auto"/>
          <w:highlight w:val="none"/>
        </w:rPr>
        <w:t>C.投标报价低于采购项目最高限价45%的，即投标报价＜采购项目最高限价×45%；</w:t>
      </w:r>
    </w:p>
    <w:p w14:paraId="7FD682AF">
      <w:pPr>
        <w:spacing w:line="360" w:lineRule="auto"/>
        <w:ind w:firstLine="420" w:firstLineChars="200"/>
        <w:rPr>
          <w:rFonts w:hint="eastAsia" w:ascii="宋体" w:cs="宋体"/>
          <w:color w:val="auto"/>
          <w:highlight w:val="none"/>
        </w:rPr>
      </w:pPr>
      <w:r>
        <w:rPr>
          <w:rFonts w:hint="eastAsia" w:ascii="宋体" w:cs="宋体"/>
          <w:color w:val="auto"/>
          <w:highlight w:val="none"/>
        </w:rPr>
        <w:t>D.评标委员会基于专业判断，认为投标人报价过低，有可能影响产品质量或者不能诚信履约的其他情形。</w:t>
      </w:r>
    </w:p>
    <w:p w14:paraId="55C2079F">
      <w:pPr>
        <w:spacing w:line="360" w:lineRule="auto"/>
        <w:ind w:firstLine="420" w:firstLineChars="200"/>
        <w:rPr>
          <w:rFonts w:hint="eastAsia" w:ascii="宋体" w:cs="宋体"/>
          <w:color w:val="auto"/>
          <w:highlight w:val="none"/>
        </w:rPr>
      </w:pPr>
      <w:r>
        <w:rPr>
          <w:rFonts w:hint="eastAsia" w:ascii="宋体" w:cs="宋体"/>
          <w:color w:val="auto"/>
          <w:highlight w:val="none"/>
        </w:rPr>
        <w:t>E.相关法律法规对投标人报价有规定的，从其规定。</w:t>
      </w:r>
    </w:p>
    <w:p w14:paraId="04E0CCA6">
      <w:pPr>
        <w:spacing w:line="360" w:lineRule="auto"/>
        <w:ind w:firstLine="420" w:firstLineChars="200"/>
        <w:rPr>
          <w:rFonts w:hint="eastAsia" w:ascii="宋体" w:cs="宋体"/>
          <w:color w:val="auto"/>
          <w:highlight w:val="none"/>
        </w:rPr>
      </w:pPr>
      <w:r>
        <w:rPr>
          <w:rFonts w:hint="eastAsia" w:ascii="宋体" w:cs="宋体"/>
          <w:color w:val="auto"/>
          <w:highlight w:val="none"/>
        </w:rPr>
        <w:t>②评标委员会启动异常低价投标审查后，属于上述A项至D项情形的，应当要求相关投标人在评标现场合理的时间内对投标价格作出解释，提供项目具体成本测算等与报价合理性相关的书面说明及必要的证明材料，包括但不限于原材料成本、人工成本、制造费用等，给予相关投标人的合理时间一般不少于30分钟。其中，属于上述C项情形，投标人已随投标文件一并提交相关书面说明及必要的证明材料的，在评标现场可不再重复提交。</w:t>
      </w:r>
    </w:p>
    <w:p w14:paraId="75184099">
      <w:pPr>
        <w:spacing w:line="360" w:lineRule="auto"/>
        <w:ind w:firstLine="420" w:firstLineChars="200"/>
        <w:rPr>
          <w:rFonts w:hint="eastAsia" w:ascii="宋体" w:cs="宋体"/>
          <w:b/>
          <w:bCs/>
          <w:color w:val="auto"/>
          <w:highlight w:val="none"/>
        </w:rPr>
      </w:pPr>
      <w:r>
        <w:rPr>
          <w:rFonts w:hint="eastAsia" w:ascii="宋体" w:cs="宋体"/>
          <w:color w:val="auto"/>
          <w:highlight w:val="none"/>
        </w:rPr>
        <w:t xml:space="preserve"> ③评标委员会依据专业经验，参考同类项目中标（成交）价格、类似产品市场价格水平、行业人工费用标准、国家有关部门指导行业协会发布的行业平均成本等情况，对报价合理性进行判断。</w:t>
      </w:r>
      <w:r>
        <w:rPr>
          <w:rFonts w:hint="eastAsia" w:ascii="宋体" w:cs="宋体"/>
          <w:b/>
          <w:bCs/>
          <w:color w:val="auto"/>
          <w:highlight w:val="none"/>
        </w:rPr>
        <w:t>投标人不能提供书面说明、证明材料，或者提供的书面说明、证明材料不能证明其报价合理性的，评标委员会应当将其作为无效投标处理。</w:t>
      </w:r>
    </w:p>
    <w:p w14:paraId="4839CE11">
      <w:pPr>
        <w:spacing w:line="360" w:lineRule="auto"/>
        <w:ind w:firstLine="420" w:firstLineChars="200"/>
        <w:rPr>
          <w:rFonts w:hint="eastAsia" w:ascii="宋体" w:cs="宋体"/>
          <w:color w:val="auto"/>
          <w:highlight w:val="none"/>
        </w:rPr>
      </w:pPr>
      <w:r>
        <w:rPr>
          <w:rFonts w:hint="eastAsia" w:ascii="宋体" w:cs="宋体"/>
          <w:color w:val="auto"/>
          <w:highlight w:val="none"/>
        </w:rPr>
        <w:t>④采购人、采购代理机构应当为评标委员会在评标现场及时获取同类项目中标（成交）价格、类似产品市场价格水平、行业人工费用标准、国家有关部门指导行业协会发布的行业平均成本等相关信息资料提供便利。评标委员会借助互联网等渠道查询相关信息的，应当严格遵守评标工作纪律，不得实施影响评标公正的行为。</w:t>
      </w:r>
    </w:p>
    <w:p w14:paraId="6AD6220B">
      <w:pPr>
        <w:spacing w:line="360" w:lineRule="auto"/>
        <w:ind w:firstLine="420" w:firstLineChars="200"/>
        <w:rPr>
          <w:rFonts w:hint="eastAsia" w:ascii="宋体" w:cs="宋体"/>
          <w:color w:val="auto"/>
          <w:highlight w:val="none"/>
        </w:rPr>
      </w:pPr>
      <w:r>
        <w:rPr>
          <w:rFonts w:hint="eastAsia" w:ascii="宋体" w:cs="宋体"/>
          <w:color w:val="auto"/>
          <w:highlight w:val="none"/>
        </w:rPr>
        <w:t xml:space="preserve"> ⑤异常低价投标审查的启动原因、审查意见和审查结果应当在评标报告中记录，并随投标人提供的相关书面说明及证明材料，以及评标委员会有关互联网浏览、查询历史一并归档。</w:t>
      </w:r>
    </w:p>
    <w:p w14:paraId="232C7146">
      <w:pPr>
        <w:spacing w:line="360" w:lineRule="auto"/>
        <w:ind w:firstLine="420" w:firstLineChars="200"/>
        <w:rPr>
          <w:rFonts w:ascii="宋体" w:cs="宋体"/>
          <w:color w:val="auto"/>
          <w:highlight w:val="none"/>
        </w:rPr>
      </w:pPr>
      <w:r>
        <w:rPr>
          <w:rFonts w:hint="eastAsia" w:ascii="宋体" w:cs="宋体"/>
          <w:color w:val="auto"/>
          <w:highlight w:val="none"/>
        </w:rPr>
        <w:t>（5）评标委员会按照招标文件中规定的评标方法和标准计算各投标人的报价得分。在评标过程中，不得去掉报价中的最高报价和最低报价。</w:t>
      </w:r>
    </w:p>
    <w:p w14:paraId="74DC17FD">
      <w:pPr>
        <w:spacing w:line="360" w:lineRule="auto"/>
        <w:ind w:firstLine="420" w:firstLineChars="200"/>
        <w:rPr>
          <w:rFonts w:ascii="宋体" w:cs="宋体"/>
          <w:color w:val="auto"/>
          <w:highlight w:val="none"/>
        </w:rPr>
      </w:pPr>
      <w:r>
        <w:rPr>
          <w:rFonts w:hint="eastAsia" w:ascii="宋体" w:cs="宋体"/>
          <w:color w:val="auto"/>
          <w:highlight w:val="none"/>
        </w:rPr>
        <w:t>（6）各投标人的得分为评标委员会各成员的有效评分的算术平均数。</w:t>
      </w:r>
    </w:p>
    <w:p w14:paraId="4E42832A">
      <w:pPr>
        <w:spacing w:line="360" w:lineRule="auto"/>
        <w:ind w:firstLine="420" w:firstLineChars="200"/>
        <w:rPr>
          <w:rFonts w:ascii="宋体" w:cs="宋体"/>
          <w:color w:val="auto"/>
          <w:highlight w:val="none"/>
        </w:rPr>
      </w:pPr>
      <w:r>
        <w:rPr>
          <w:rFonts w:hint="eastAsia" w:ascii="宋体" w:cs="宋体"/>
          <w:color w:val="auto"/>
          <w:highlight w:val="none"/>
        </w:rPr>
        <w:t>（7）评标委员会按照招标文件中的规定推荐中标候选人。</w:t>
      </w:r>
    </w:p>
    <w:p w14:paraId="210154C7">
      <w:pPr>
        <w:tabs>
          <w:tab w:val="center" w:pos="4153"/>
          <w:tab w:val="right" w:pos="8306"/>
        </w:tabs>
        <w:spacing w:line="360" w:lineRule="auto"/>
        <w:ind w:firstLine="420" w:firstLineChars="200"/>
        <w:rPr>
          <w:rFonts w:ascii="宋体" w:cs="宋体"/>
          <w:color w:val="auto"/>
          <w:highlight w:val="none"/>
        </w:rPr>
      </w:pPr>
      <w:r>
        <w:rPr>
          <w:rFonts w:hint="eastAsia" w:ascii="宋体" w:cs="宋体"/>
          <w:color w:val="auto"/>
          <w:highlight w:val="none"/>
        </w:rPr>
        <w:t>（8）起草并签署评标报告。评标委员会根据评标委员会各成员签字的原始评标记录和评标结果编写评标报告。评标委员会各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F2EEAD3">
      <w:pPr>
        <w:spacing w:line="360" w:lineRule="auto"/>
        <w:ind w:firstLine="422" w:firstLineChars="200"/>
        <w:rPr>
          <w:rFonts w:ascii="宋体"/>
          <w:b/>
          <w:color w:val="auto"/>
          <w:szCs w:val="21"/>
          <w:highlight w:val="none"/>
        </w:rPr>
      </w:pPr>
      <w:r>
        <w:rPr>
          <w:rFonts w:hint="eastAsia" w:ascii="宋体"/>
          <w:b/>
          <w:color w:val="auto"/>
          <w:szCs w:val="21"/>
          <w:highlight w:val="none"/>
        </w:rPr>
        <w:t>6.评审复核</w:t>
      </w:r>
    </w:p>
    <w:p w14:paraId="192F334F">
      <w:pPr>
        <w:spacing w:line="360" w:lineRule="auto"/>
        <w:ind w:firstLine="420" w:firstLineChars="200"/>
        <w:rPr>
          <w:rFonts w:ascii="宋体"/>
          <w:color w:val="auto"/>
          <w:szCs w:val="21"/>
          <w:highlight w:val="none"/>
        </w:rPr>
      </w:pPr>
      <w:r>
        <w:rPr>
          <w:rFonts w:hint="eastAsia" w:ascii="宋体"/>
          <w:color w:val="auto"/>
          <w:szCs w:val="21"/>
          <w:highlight w:val="none"/>
        </w:rPr>
        <w:t>6.1评标报告签署前，评标委员会要对评审结果进行复核，复核意见要体现在评标报告中。</w:t>
      </w:r>
    </w:p>
    <w:p w14:paraId="699C721A">
      <w:pPr>
        <w:widowControl/>
        <w:spacing w:line="560" w:lineRule="exact"/>
        <w:ind w:firstLine="420" w:firstLineChars="200"/>
        <w:jc w:val="left"/>
        <w:textAlignment w:val="baseline"/>
        <w:rPr>
          <w:color w:val="auto"/>
          <w:highlight w:val="none"/>
        </w:rPr>
      </w:pPr>
      <w:r>
        <w:rPr>
          <w:rFonts w:hint="eastAsia" w:ascii="宋体" w:cs="宋体"/>
          <w:color w:val="auto"/>
          <w:highlight w:val="none"/>
        </w:rPr>
        <w:t>6.2</w:t>
      </w:r>
      <w:r>
        <w:rPr>
          <w:rFonts w:hint="eastAsia"/>
          <w:color w:val="auto"/>
          <w:highlight w:val="none"/>
        </w:rPr>
        <w:t>评标结果汇总完成后，除下列情形外，任何人不得修改评标结果：</w:t>
      </w:r>
    </w:p>
    <w:p w14:paraId="4ABF4E02">
      <w:pPr>
        <w:widowControl/>
        <w:spacing w:line="560" w:lineRule="exact"/>
        <w:jc w:val="left"/>
        <w:textAlignment w:val="baseline"/>
        <w:rPr>
          <w:color w:val="auto"/>
          <w:highlight w:val="none"/>
        </w:rPr>
      </w:pPr>
      <w:r>
        <w:rPr>
          <w:rFonts w:hint="eastAsia"/>
          <w:color w:val="auto"/>
          <w:highlight w:val="none"/>
        </w:rPr>
        <w:t>　　（一）分值汇总计算错误的；</w:t>
      </w:r>
    </w:p>
    <w:p w14:paraId="6DFCF9DD">
      <w:pPr>
        <w:widowControl/>
        <w:spacing w:line="560" w:lineRule="exact"/>
        <w:jc w:val="left"/>
        <w:textAlignment w:val="baseline"/>
        <w:rPr>
          <w:color w:val="auto"/>
          <w:highlight w:val="none"/>
        </w:rPr>
      </w:pPr>
      <w:r>
        <w:rPr>
          <w:rFonts w:hint="eastAsia"/>
          <w:color w:val="auto"/>
          <w:highlight w:val="none"/>
        </w:rPr>
        <w:t>　　（二）分项评分超出评分标准范围的；</w:t>
      </w:r>
    </w:p>
    <w:p w14:paraId="474601B6">
      <w:pPr>
        <w:widowControl/>
        <w:spacing w:line="560" w:lineRule="exact"/>
        <w:jc w:val="left"/>
        <w:textAlignment w:val="baseline"/>
        <w:rPr>
          <w:color w:val="auto"/>
          <w:highlight w:val="none"/>
        </w:rPr>
      </w:pPr>
      <w:r>
        <w:rPr>
          <w:rFonts w:hint="eastAsia"/>
          <w:color w:val="auto"/>
          <w:highlight w:val="none"/>
        </w:rPr>
        <w:t>　　（三）评标委员会成员对客观评审因素评分不一致的；</w:t>
      </w:r>
    </w:p>
    <w:p w14:paraId="1CDB8694">
      <w:pPr>
        <w:widowControl/>
        <w:spacing w:line="560" w:lineRule="exact"/>
        <w:ind w:firstLine="420"/>
        <w:jc w:val="left"/>
        <w:textAlignment w:val="baseline"/>
        <w:rPr>
          <w:color w:val="auto"/>
          <w:highlight w:val="none"/>
        </w:rPr>
      </w:pPr>
      <w:r>
        <w:rPr>
          <w:rFonts w:hint="eastAsia"/>
          <w:color w:val="auto"/>
          <w:highlight w:val="none"/>
        </w:rPr>
        <w:t>（四）经评标委员会认定评分畸高、畸低的。</w:t>
      </w:r>
    </w:p>
    <w:p w14:paraId="21ACD796">
      <w:pPr>
        <w:widowControl/>
        <w:spacing w:line="560" w:lineRule="exact"/>
        <w:ind w:firstLine="420"/>
        <w:jc w:val="left"/>
        <w:textAlignment w:val="baseline"/>
        <w:rPr>
          <w:rFonts w:hint="eastAsia"/>
          <w:color w:val="auto"/>
          <w:highlight w:val="none"/>
        </w:rPr>
      </w:pPr>
      <w:r>
        <w:rPr>
          <w:rFonts w:hint="eastAsia"/>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bookmarkStart w:id="233" w:name="_Toc17655"/>
      <w:bookmarkStart w:id="234" w:name="_Toc32041"/>
      <w:bookmarkStart w:id="235" w:name="_Toc2655"/>
      <w:bookmarkStart w:id="236" w:name="_Toc17840"/>
      <w:bookmarkStart w:id="237" w:name="_Toc25387"/>
    </w:p>
    <w:p w14:paraId="5EC5B3FF">
      <w:pPr>
        <w:widowControl/>
        <w:spacing w:line="560" w:lineRule="exact"/>
        <w:jc w:val="center"/>
        <w:textAlignment w:val="baseline"/>
        <w:rPr>
          <w:rFonts w:ascii="宋体" w:eastAsia="宋体" w:cs="宋体"/>
          <w:b w:val="0"/>
          <w:color w:val="auto"/>
          <w:sz w:val="30"/>
          <w:szCs w:val="30"/>
          <w:highlight w:val="none"/>
        </w:rPr>
      </w:pPr>
      <w:r>
        <w:rPr>
          <w:rFonts w:hint="eastAsia" w:ascii="宋体" w:eastAsia="宋体" w:cs="宋体"/>
          <w:b w:val="0"/>
          <w:color w:val="auto"/>
          <w:sz w:val="30"/>
          <w:szCs w:val="30"/>
          <w:highlight w:val="none"/>
        </w:rPr>
        <w:t>第三节 评分标准</w:t>
      </w:r>
      <w:bookmarkEnd w:id="233"/>
      <w:bookmarkEnd w:id="234"/>
      <w:bookmarkEnd w:id="235"/>
      <w:bookmarkEnd w:id="236"/>
      <w:bookmarkEnd w:id="237"/>
    </w:p>
    <w:p w14:paraId="676E0D46">
      <w:pPr>
        <w:pStyle w:val="14"/>
        <w:jc w:val="center"/>
        <w:rPr>
          <w:rFonts w:cs="宋体"/>
          <w:b/>
          <w:color w:val="auto"/>
          <w:sz w:val="30"/>
          <w:szCs w:val="30"/>
          <w:highlight w:val="none"/>
        </w:rPr>
      </w:pPr>
      <w:bookmarkStart w:id="238" w:name="_Toc28332"/>
      <w:bookmarkStart w:id="239" w:name="_Toc5054"/>
      <w:bookmarkStart w:id="240" w:name="_Toc30734"/>
      <w:bookmarkStart w:id="241" w:name="_Toc16607"/>
      <w:bookmarkStart w:id="242" w:name="_Toc1251"/>
      <w:r>
        <w:rPr>
          <w:rFonts w:hint="eastAsia" w:cs="宋体"/>
          <w:b/>
          <w:color w:val="auto"/>
          <w:sz w:val="30"/>
          <w:szCs w:val="30"/>
          <w:highlight w:val="none"/>
        </w:rPr>
        <w:t>综合评分法</w:t>
      </w:r>
    </w:p>
    <w:p w14:paraId="03E7C25D">
      <w:pPr>
        <w:pStyle w:val="14"/>
        <w:spacing w:line="360" w:lineRule="auto"/>
        <w:rPr>
          <w:rFonts w:cs="宋体"/>
          <w:bCs/>
          <w:color w:val="auto"/>
          <w:highlight w:val="none"/>
        </w:rPr>
      </w:pPr>
      <w:r>
        <w:rPr>
          <w:rFonts w:hint="eastAsia" w:cs="宋体"/>
          <w:bCs/>
          <w:color w:val="auto"/>
          <w:highlight w:val="none"/>
        </w:rPr>
        <w:t>注：计分方法按四舍五入取至百分位。</w:t>
      </w:r>
    </w:p>
    <w:tbl>
      <w:tblPr>
        <w:tblStyle w:val="27"/>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119"/>
        <w:gridCol w:w="1350"/>
        <w:gridCol w:w="6824"/>
      </w:tblGrid>
      <w:tr w14:paraId="09A1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4" w:type="dxa"/>
            <w:gridSpan w:val="2"/>
            <w:vAlign w:val="center"/>
          </w:tcPr>
          <w:p w14:paraId="04759223">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序号</w:t>
            </w:r>
          </w:p>
        </w:tc>
        <w:tc>
          <w:tcPr>
            <w:tcW w:w="1350" w:type="dxa"/>
            <w:vAlign w:val="center"/>
          </w:tcPr>
          <w:p w14:paraId="7107C307">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评审因素</w:t>
            </w:r>
          </w:p>
        </w:tc>
        <w:tc>
          <w:tcPr>
            <w:tcW w:w="6824" w:type="dxa"/>
            <w:vAlign w:val="center"/>
          </w:tcPr>
          <w:p w14:paraId="371D0A78">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评分标准</w:t>
            </w:r>
          </w:p>
        </w:tc>
      </w:tr>
      <w:tr w14:paraId="7D6E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14:paraId="43D0A7F9">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p>
        </w:tc>
        <w:tc>
          <w:tcPr>
            <w:tcW w:w="1119" w:type="dxa"/>
            <w:vAlign w:val="center"/>
          </w:tcPr>
          <w:p w14:paraId="0F15D39A">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价格分</w:t>
            </w:r>
          </w:p>
          <w:p w14:paraId="02F1FA9E">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（满分30分）</w:t>
            </w:r>
          </w:p>
        </w:tc>
        <w:tc>
          <w:tcPr>
            <w:tcW w:w="1350" w:type="dxa"/>
            <w:vAlign w:val="center"/>
          </w:tcPr>
          <w:p w14:paraId="0BBF7DBF">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1.1投标报价</w:t>
            </w:r>
          </w:p>
        </w:tc>
        <w:tc>
          <w:tcPr>
            <w:tcW w:w="6824" w:type="dxa"/>
            <w:vAlign w:val="center"/>
          </w:tcPr>
          <w:p w14:paraId="46322F9C">
            <w:pPr>
              <w:keepNext w:val="0"/>
              <w:keepLines w:val="0"/>
              <w:pageBreakBefore w:val="0"/>
              <w:kinsoku/>
              <w:wordWrap/>
              <w:overflowPunct/>
              <w:topLinePunct w:val="0"/>
              <w:autoSpaceDE/>
              <w:autoSpaceDN/>
              <w:bidi w:val="0"/>
              <w:snapToGrid w:val="0"/>
              <w:spacing w:line="400" w:lineRule="exact"/>
              <w:ind w:firstLine="420" w:firstLineChars="200"/>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评标报价为投标人的投标报价进行政策性扣除后的价格，评标报价只是作为评标时使用。最终中标人的中标金额等于投标报价。</w:t>
            </w:r>
          </w:p>
          <w:p w14:paraId="03E94D72">
            <w:pPr>
              <w:keepNext w:val="0"/>
              <w:keepLines w:val="0"/>
              <w:pageBreakBefore w:val="0"/>
              <w:kinsoku/>
              <w:wordWrap/>
              <w:overflowPunct/>
              <w:topLinePunct w:val="0"/>
              <w:autoSpaceDE/>
              <w:autoSpaceDN/>
              <w:bidi w:val="0"/>
              <w:snapToGrid w:val="0"/>
              <w:spacing w:line="400" w:lineRule="exact"/>
              <w:ind w:firstLine="420" w:firstLineChars="200"/>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2 政策性扣除计算方法。</w:t>
            </w:r>
          </w:p>
          <w:p w14:paraId="1041414D">
            <w:pPr>
              <w:keepNext w:val="0"/>
              <w:keepLines w:val="0"/>
              <w:pageBreakBefore w:val="0"/>
              <w:kinsoku/>
              <w:wordWrap/>
              <w:overflowPunct/>
              <w:topLinePunct w:val="0"/>
              <w:autoSpaceDE/>
              <w:autoSpaceDN/>
              <w:bidi w:val="0"/>
              <w:snapToGrid w:val="0"/>
              <w:spacing w:line="400" w:lineRule="exact"/>
              <w:ind w:firstLine="420" w:firstLineChars="200"/>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2.1对小微企业的价格评审优惠</w:t>
            </w:r>
          </w:p>
          <w:p w14:paraId="3028A874">
            <w:pPr>
              <w:keepNext w:val="0"/>
              <w:keepLines w:val="0"/>
              <w:pageBreakBefore w:val="0"/>
              <w:kinsoku/>
              <w:wordWrap/>
              <w:overflowPunct/>
              <w:topLinePunct w:val="0"/>
              <w:autoSpaceDE/>
              <w:autoSpaceDN/>
              <w:bidi w:val="0"/>
              <w:snapToGrid w:val="0"/>
              <w:spacing w:line="400" w:lineRule="exact"/>
              <w:ind w:firstLine="420" w:firstLineChars="200"/>
              <w:textAlignment w:val="baseline"/>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适用于非专门面向中小企业采购项目</w:t>
            </w:r>
          </w:p>
          <w:p w14:paraId="2C6E391D">
            <w:pPr>
              <w:keepNext w:val="0"/>
              <w:keepLines w:val="0"/>
              <w:pageBreakBefore w:val="0"/>
              <w:kinsoku/>
              <w:wordWrap/>
              <w:overflowPunct/>
              <w:topLinePunct w:val="0"/>
              <w:autoSpaceDE/>
              <w:autoSpaceDN/>
              <w:bidi w:val="0"/>
              <w:snapToGrid w:val="0"/>
              <w:spacing w:line="400" w:lineRule="exact"/>
              <w:ind w:firstLine="420" w:firstLineChars="200"/>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被评定为监狱企业或者残疾人福利性单位或者其提供的货物全部由符合政策要求的小型、微型企业制造，即货物由小型、微型企业生产且使用该小型、微型企业商号或者注册商标的，该投标人的投标报价给予10%的扣除，扣除后的价格为评标报价，即评标报价=投标报价×（1-10%）；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扣除后的价格为评标价，即评标报价=投标报价×</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1－4%</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w:t>
            </w:r>
          </w:p>
          <w:p w14:paraId="6B517DB8">
            <w:pPr>
              <w:keepNext w:val="0"/>
              <w:keepLines w:val="0"/>
              <w:pageBreakBefore w:val="0"/>
              <w:kinsoku/>
              <w:wordWrap/>
              <w:overflowPunct/>
              <w:topLinePunct w:val="0"/>
              <w:autoSpaceDE/>
              <w:autoSpaceDN/>
              <w:bidi w:val="0"/>
              <w:snapToGrid w:val="0"/>
              <w:spacing w:line="400" w:lineRule="exact"/>
              <w:ind w:firstLine="420" w:firstLineChars="200"/>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□适用于专门面向中小企业采购项目</w:t>
            </w:r>
          </w:p>
          <w:p w14:paraId="14E72400">
            <w:pPr>
              <w:keepNext w:val="0"/>
              <w:keepLines w:val="0"/>
              <w:pageBreakBefore w:val="0"/>
              <w:kinsoku/>
              <w:wordWrap/>
              <w:overflowPunct/>
              <w:topLinePunct w:val="0"/>
              <w:autoSpaceDE/>
              <w:autoSpaceDN/>
              <w:bidi w:val="0"/>
              <w:snapToGrid w:val="0"/>
              <w:spacing w:line="400" w:lineRule="exact"/>
              <w:ind w:firstLine="420" w:firstLineChars="200"/>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按照《政府采购促进中小企业发展管理办法》（财库〔2020〕46号）的规定，对小微企业的投标报价不再执行价格评审优惠的扶持政策。</w:t>
            </w:r>
          </w:p>
          <w:p w14:paraId="400E1944">
            <w:pPr>
              <w:keepNext w:val="0"/>
              <w:keepLines w:val="0"/>
              <w:pageBreakBefore w:val="0"/>
              <w:kinsoku/>
              <w:wordWrap/>
              <w:overflowPunct/>
              <w:topLinePunct w:val="0"/>
              <w:autoSpaceDE/>
              <w:autoSpaceDN/>
              <w:bidi w:val="0"/>
              <w:snapToGrid w:val="0"/>
              <w:spacing w:line="400" w:lineRule="exact"/>
              <w:ind w:firstLine="420" w:firstLineChars="200"/>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2.2对本国产品的价格评审优惠</w:t>
            </w:r>
          </w:p>
          <w:p w14:paraId="5AAE34CF">
            <w:pPr>
              <w:keepNext w:val="0"/>
              <w:keepLines w:val="0"/>
              <w:pageBreakBefore w:val="0"/>
              <w:kinsoku/>
              <w:wordWrap/>
              <w:overflowPunct/>
              <w:topLinePunct w:val="0"/>
              <w:autoSpaceDE/>
              <w:autoSpaceDN/>
              <w:bidi w:val="0"/>
              <w:snapToGrid w:val="0"/>
              <w:spacing w:line="400" w:lineRule="exact"/>
              <w:ind w:firstLine="420" w:firstLineChars="200"/>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对其提供的产品出具《关于符合本国产品标准的声明函》（样式见“第六章投标文件格式”）或财政部会同有关部门规定的有关证明文件，该产品被视为本国产品的，给予政策性价格扣除，用扣除后的价格参与评审。</w:t>
            </w:r>
          </w:p>
          <w:p w14:paraId="2D26952C">
            <w:pPr>
              <w:keepNext w:val="0"/>
              <w:keepLines w:val="0"/>
              <w:pageBreakBefore w:val="0"/>
              <w:kinsoku/>
              <w:wordWrap/>
              <w:overflowPunct/>
              <w:topLinePunct w:val="0"/>
              <w:autoSpaceDE/>
              <w:autoSpaceDN/>
              <w:bidi w:val="0"/>
              <w:snapToGrid w:val="0"/>
              <w:spacing w:line="400" w:lineRule="exact"/>
              <w:ind w:firstLine="420" w:firstLineChars="200"/>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对本国产品的支持政策：政府采购活动中既有本国产品又有非本国产品参与竞争的，依法对本国产品给予价格评审优惠，对本国产品的报价给予20%的价格扣除，用扣除后的价格参与评审。</w:t>
            </w:r>
          </w:p>
          <w:p w14:paraId="26CB85BC">
            <w:pPr>
              <w:keepNext w:val="0"/>
              <w:keepLines w:val="0"/>
              <w:pageBreakBefore w:val="0"/>
              <w:kinsoku/>
              <w:wordWrap/>
              <w:overflowPunct/>
              <w:topLinePunct w:val="0"/>
              <w:autoSpaceDE/>
              <w:autoSpaceDN/>
              <w:bidi w:val="0"/>
              <w:snapToGrid w:val="0"/>
              <w:spacing w:line="400" w:lineRule="exact"/>
              <w:ind w:firstLine="420" w:firstLineChars="200"/>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35B7E010">
            <w:pPr>
              <w:keepNext w:val="0"/>
              <w:keepLines w:val="0"/>
              <w:pageBreakBefore w:val="0"/>
              <w:kinsoku/>
              <w:wordWrap/>
              <w:overflowPunct/>
              <w:topLinePunct w:val="0"/>
              <w:autoSpaceDE/>
              <w:autoSpaceDN/>
              <w:bidi w:val="0"/>
              <w:snapToGrid w:val="0"/>
              <w:spacing w:line="400" w:lineRule="exact"/>
              <w:ind w:firstLine="420" w:firstLineChars="200"/>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除上述情况外，评标报价=投标报价。</w:t>
            </w:r>
          </w:p>
          <w:p w14:paraId="0992AADF">
            <w:pPr>
              <w:keepNext w:val="0"/>
              <w:keepLines w:val="0"/>
              <w:pageBreakBefore w:val="0"/>
              <w:kinsoku/>
              <w:wordWrap/>
              <w:overflowPunct/>
              <w:topLinePunct w:val="0"/>
              <w:autoSpaceDE/>
              <w:autoSpaceDN/>
              <w:bidi w:val="0"/>
              <w:snapToGrid w:val="0"/>
              <w:spacing w:line="400" w:lineRule="exact"/>
              <w:ind w:firstLine="420" w:firstLineChars="200"/>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3满足招标文件要求且评标报价最低的评标报价为评标基准价，基准价得分为</w:t>
            </w:r>
            <w:r>
              <w:rPr>
                <w:rFonts w:hint="eastAsia" w:ascii="宋体" w:hAnsi="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分。</w:t>
            </w:r>
          </w:p>
          <w:p w14:paraId="407B51D0">
            <w:pPr>
              <w:keepNext w:val="0"/>
              <w:keepLines w:val="0"/>
              <w:pageBreakBefore w:val="0"/>
              <w:kinsoku/>
              <w:wordWrap/>
              <w:overflowPunct/>
              <w:topLinePunct w:val="0"/>
              <w:autoSpaceDE/>
              <w:autoSpaceDN/>
              <w:bidi w:val="0"/>
              <w:snapToGrid w:val="0"/>
              <w:spacing w:line="400" w:lineRule="exact"/>
              <w:ind w:firstLine="420" w:firstLineChars="200"/>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 xml:space="preserve">4价格分计算公式：        </w:t>
            </w:r>
          </w:p>
          <w:p w14:paraId="005B5BE1">
            <w:pPr>
              <w:keepNext w:val="0"/>
              <w:keepLines w:val="0"/>
              <w:pageBreakBefore w:val="0"/>
              <w:kinsoku/>
              <w:wordWrap/>
              <w:overflowPunct/>
              <w:topLinePunct w:val="0"/>
              <w:autoSpaceDE/>
              <w:autoSpaceDN/>
              <w:bidi w:val="0"/>
              <w:snapToGrid w:val="0"/>
              <w:spacing w:line="400" w:lineRule="exact"/>
              <w:ind w:firstLine="420" w:firstLineChars="200"/>
              <w:textAlignment w:val="baseline"/>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价格分=(评标基准价／评标报价)×</w:t>
            </w:r>
            <w:r>
              <w:rPr>
                <w:rFonts w:hint="eastAsia" w:ascii="宋体" w:hAnsi="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分</w:t>
            </w:r>
          </w:p>
        </w:tc>
      </w:tr>
      <w:tr w14:paraId="241E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restart"/>
            <w:vAlign w:val="center"/>
          </w:tcPr>
          <w:p w14:paraId="07F2A922">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w:t>
            </w:r>
          </w:p>
        </w:tc>
        <w:tc>
          <w:tcPr>
            <w:tcW w:w="1119" w:type="dxa"/>
            <w:vMerge w:val="restart"/>
            <w:vAlign w:val="center"/>
          </w:tcPr>
          <w:p w14:paraId="785677F5">
            <w:pPr>
              <w:keepNext w:val="0"/>
              <w:keepLines w:val="0"/>
              <w:pageBreakBefore w:val="0"/>
              <w:kinsoku/>
              <w:wordWrap/>
              <w:overflowPunct/>
              <w:topLinePunct w:val="0"/>
              <w:autoSpaceDE/>
              <w:autoSpaceDN/>
              <w:bidi w:val="0"/>
              <w:adjustRightInd w:val="0"/>
              <w:spacing w:line="400" w:lineRule="exact"/>
              <w:ind w:left="-105" w:leftChars="-50" w:right="-105" w:rightChars="-50"/>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技术分</w:t>
            </w:r>
          </w:p>
          <w:p w14:paraId="22187CB2">
            <w:pPr>
              <w:keepNext w:val="0"/>
              <w:keepLines w:val="0"/>
              <w:pageBreakBefore w:val="0"/>
              <w:kinsoku/>
              <w:wordWrap/>
              <w:overflowPunct/>
              <w:topLinePunct w:val="0"/>
              <w:autoSpaceDE/>
              <w:autoSpaceDN/>
              <w:bidi w:val="0"/>
              <w:adjustRightInd w:val="0"/>
              <w:spacing w:line="400" w:lineRule="exact"/>
              <w:ind w:left="-105" w:leftChars="-50" w:right="-105" w:rightChars="-50"/>
              <w:jc w:val="center"/>
              <w:textAlignment w:val="baseline"/>
              <w:rPr>
                <w:rFonts w:hint="eastAsia" w:ascii="宋体" w:hAnsi="宋体" w:eastAsia="宋体" w:cs="宋体"/>
                <w:color w:val="auto"/>
                <w:spacing w:val="-18"/>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满分</w:t>
            </w:r>
            <w:r>
              <w:rPr>
                <w:rFonts w:hint="eastAsia" w:ascii="宋体" w:hAnsi="宋体" w:cs="宋体"/>
                <w:b w:val="0"/>
                <w:bCs w:val="0"/>
                <w:color w:val="auto"/>
                <w:sz w:val="21"/>
                <w:szCs w:val="21"/>
                <w:highlight w:val="none"/>
                <w:lang w:val="en-US" w:eastAsia="zh-CN"/>
              </w:rPr>
              <w:t>64</w:t>
            </w:r>
            <w:r>
              <w:rPr>
                <w:rFonts w:hint="eastAsia" w:ascii="宋体" w:hAnsi="宋体" w:eastAsia="宋体" w:cs="宋体"/>
                <w:bCs/>
                <w:color w:val="auto"/>
                <w:sz w:val="21"/>
                <w:szCs w:val="21"/>
                <w:highlight w:val="none"/>
              </w:rPr>
              <w:t>分）</w:t>
            </w:r>
          </w:p>
        </w:tc>
        <w:tc>
          <w:tcPr>
            <w:tcW w:w="1350" w:type="dxa"/>
            <w:vAlign w:val="center"/>
          </w:tcPr>
          <w:p w14:paraId="6B30F2BE">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color w:val="auto"/>
                <w:sz w:val="21"/>
                <w:szCs w:val="21"/>
                <w:highlight w:val="none"/>
                <w:u w:val="single"/>
              </w:rPr>
            </w:pPr>
            <w:r>
              <w:rPr>
                <w:rFonts w:hint="eastAsia" w:ascii="宋体" w:hAnsi="宋体" w:eastAsia="宋体" w:cs="宋体"/>
                <w:b/>
                <w:bCs/>
                <w:color w:val="auto"/>
                <w:sz w:val="21"/>
                <w:szCs w:val="21"/>
                <w:highlight w:val="none"/>
                <w:u w:val="none"/>
              </w:rPr>
              <w:t>2.1技术性能分</w:t>
            </w:r>
            <w:r>
              <w:rPr>
                <w:rFonts w:hint="eastAsia" w:ascii="宋体" w:hAnsi="宋体" w:eastAsia="宋体" w:cs="宋体"/>
                <w:color w:val="auto"/>
                <w:sz w:val="21"/>
                <w:szCs w:val="21"/>
                <w:highlight w:val="none"/>
              </w:rPr>
              <w:t>（满分</w:t>
            </w:r>
            <w:r>
              <w:rPr>
                <w:rFonts w:hint="eastAsia" w:ascii="宋体" w:hAnsi="宋体" w:cs="宋体"/>
                <w:b w:val="0"/>
                <w:bCs w:val="0"/>
                <w:color w:val="auto"/>
                <w:sz w:val="21"/>
                <w:szCs w:val="21"/>
                <w:highlight w:val="none"/>
                <w:lang w:val="en-US" w:eastAsia="zh-CN"/>
              </w:rPr>
              <w:t>34</w:t>
            </w:r>
            <w:r>
              <w:rPr>
                <w:rFonts w:hint="eastAsia" w:ascii="宋体" w:hAnsi="宋体" w:eastAsia="宋体" w:cs="宋体"/>
                <w:color w:val="auto"/>
                <w:sz w:val="21"/>
                <w:szCs w:val="21"/>
                <w:highlight w:val="none"/>
              </w:rPr>
              <w:t>分）</w:t>
            </w:r>
          </w:p>
        </w:tc>
        <w:tc>
          <w:tcPr>
            <w:tcW w:w="6824" w:type="dxa"/>
            <w:vAlign w:val="center"/>
          </w:tcPr>
          <w:p w14:paraId="33BA6D05">
            <w:pPr>
              <w:keepNext w:val="0"/>
              <w:keepLines w:val="0"/>
              <w:pageBreakBefore w:val="0"/>
              <w:widowControl/>
              <w:kinsoku/>
              <w:wordWrap/>
              <w:overflowPunct/>
              <w:topLinePunct w:val="0"/>
              <w:autoSpaceDE/>
              <w:autoSpaceDN/>
              <w:bidi w:val="0"/>
              <w:adjustRightInd/>
              <w:spacing w:line="400" w:lineRule="exact"/>
              <w:ind w:firstLine="420" w:firstLineChars="200"/>
              <w:jc w:val="left"/>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根据《技术参数及配置》中各项技术参数的响应情况由</w:t>
            </w:r>
            <w:r>
              <w:rPr>
                <w:rFonts w:hint="eastAsia" w:ascii="宋体" w:hAnsi="宋体" w:eastAsia="宋体" w:cs="宋体"/>
                <w:color w:val="auto"/>
                <w:kern w:val="0"/>
                <w:sz w:val="21"/>
                <w:szCs w:val="21"/>
                <w:highlight w:val="none"/>
              </w:rPr>
              <w:t>评标委员会</w:t>
            </w:r>
            <w:r>
              <w:rPr>
                <w:rFonts w:hint="eastAsia" w:ascii="宋体" w:hAnsi="宋体" w:eastAsia="宋体" w:cs="宋体"/>
                <w:bCs w:val="0"/>
                <w:color w:val="auto"/>
                <w:sz w:val="21"/>
                <w:szCs w:val="21"/>
                <w:highlight w:val="none"/>
              </w:rPr>
              <w:t>进行评分。</w:t>
            </w:r>
            <w:bookmarkStart w:id="243" w:name="_Hlk200383025"/>
          </w:p>
          <w:p w14:paraId="226F39FC">
            <w:pPr>
              <w:keepNext w:val="0"/>
              <w:keepLines w:val="0"/>
              <w:pageBreakBefore w:val="0"/>
              <w:widowControl/>
              <w:kinsoku/>
              <w:wordWrap/>
              <w:overflowPunct/>
              <w:topLinePunct w:val="0"/>
              <w:autoSpaceDE/>
              <w:autoSpaceDN/>
              <w:bidi w:val="0"/>
              <w:adjustRightInd/>
              <w:spacing w:line="400" w:lineRule="exact"/>
              <w:jc w:val="left"/>
              <w:rPr>
                <w:rFonts w:hint="eastAsia" w:ascii="宋体" w:hAnsi="宋体" w:eastAsia="宋体" w:cs="宋体"/>
                <w:bCs w:val="0"/>
                <w:color w:val="auto"/>
                <w:sz w:val="21"/>
                <w:szCs w:val="21"/>
                <w:highlight w:val="none"/>
                <w:lang w:eastAsia="zh-CN"/>
              </w:rPr>
            </w:pPr>
            <w:r>
              <w:rPr>
                <w:rFonts w:hint="eastAsia" w:ascii="宋体" w:hAnsi="宋体" w:eastAsia="宋体" w:cs="宋体"/>
                <w:bCs w:val="0"/>
                <w:color w:val="auto"/>
                <w:sz w:val="21"/>
                <w:szCs w:val="21"/>
                <w:highlight w:val="none"/>
              </w:rPr>
              <w:t>（1）一般技术参数要求响应得分（满分1</w:t>
            </w:r>
            <w:r>
              <w:rPr>
                <w:rFonts w:hint="eastAsia" w:ascii="宋体" w:hAnsi="宋体" w:cs="宋体"/>
                <w:bCs w:val="0"/>
                <w:color w:val="auto"/>
                <w:sz w:val="21"/>
                <w:szCs w:val="21"/>
                <w:highlight w:val="none"/>
                <w:lang w:val="en-US" w:eastAsia="zh-CN"/>
              </w:rPr>
              <w:t>0</w:t>
            </w:r>
            <w:r>
              <w:rPr>
                <w:rFonts w:hint="eastAsia" w:ascii="宋体" w:hAnsi="宋体" w:eastAsia="宋体" w:cs="宋体"/>
                <w:bCs w:val="0"/>
                <w:color w:val="auto"/>
                <w:sz w:val="21"/>
                <w:szCs w:val="21"/>
                <w:highlight w:val="none"/>
              </w:rPr>
              <w:t>分）</w:t>
            </w:r>
            <w:r>
              <w:rPr>
                <w:rFonts w:hint="eastAsia" w:ascii="宋体" w:hAnsi="宋体" w:cs="宋体"/>
                <w:bCs w:val="0"/>
                <w:color w:val="auto"/>
                <w:sz w:val="21"/>
                <w:szCs w:val="21"/>
                <w:highlight w:val="none"/>
                <w:lang w:eastAsia="zh-CN"/>
              </w:rPr>
              <w:t>：</w:t>
            </w:r>
          </w:p>
          <w:p w14:paraId="3FDACF39">
            <w:pPr>
              <w:keepNext w:val="0"/>
              <w:keepLines w:val="0"/>
              <w:pageBreakBefore w:val="0"/>
              <w:widowControl/>
              <w:kinsoku/>
              <w:wordWrap/>
              <w:overflowPunct/>
              <w:topLinePunct w:val="0"/>
              <w:autoSpaceDE/>
              <w:autoSpaceDN/>
              <w:bidi w:val="0"/>
              <w:adjustRightInd/>
              <w:spacing w:line="400" w:lineRule="exact"/>
              <w:ind w:firstLine="420" w:firstLineChars="200"/>
              <w:jc w:val="left"/>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所提供产品性能或技术参数经评标委员会审核，一般参数完全满足或优于采购需求，无负偏离项</w:t>
            </w:r>
            <w:r>
              <w:rPr>
                <w:rFonts w:hint="eastAsia" w:ascii="宋体" w:hAnsi="宋体" w:cs="宋体"/>
                <w:bCs w:val="0"/>
                <w:color w:val="auto"/>
                <w:sz w:val="21"/>
                <w:szCs w:val="21"/>
                <w:highlight w:val="none"/>
                <w:lang w:eastAsia="zh-CN"/>
              </w:rPr>
              <w:t>，</w:t>
            </w:r>
            <w:r>
              <w:rPr>
                <w:rFonts w:hint="eastAsia" w:ascii="宋体" w:hAnsi="宋体" w:cs="宋体"/>
                <w:bCs w:val="0"/>
                <w:color w:val="auto"/>
                <w:sz w:val="21"/>
                <w:szCs w:val="21"/>
                <w:highlight w:val="none"/>
                <w:lang w:val="en-US" w:eastAsia="zh-CN"/>
              </w:rPr>
              <w:t>得基本分10分</w:t>
            </w:r>
            <w:r>
              <w:rPr>
                <w:rFonts w:hint="eastAsia" w:ascii="宋体" w:hAnsi="宋体" w:eastAsia="宋体" w:cs="宋体"/>
                <w:bCs w:val="0"/>
                <w:color w:val="auto"/>
                <w:sz w:val="21"/>
                <w:szCs w:val="21"/>
                <w:highlight w:val="none"/>
              </w:rPr>
              <w:t>。</w:t>
            </w:r>
          </w:p>
          <w:p w14:paraId="1B41BE43">
            <w:pPr>
              <w:keepNext w:val="0"/>
              <w:keepLines w:val="0"/>
              <w:pageBreakBefore w:val="0"/>
              <w:widowControl/>
              <w:kinsoku/>
              <w:wordWrap/>
              <w:overflowPunct/>
              <w:topLinePunct w:val="0"/>
              <w:autoSpaceDE/>
              <w:autoSpaceDN/>
              <w:bidi w:val="0"/>
              <w:adjustRightInd/>
              <w:spacing w:line="400" w:lineRule="exact"/>
              <w:jc w:val="left"/>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（2）重要技术参数要求响应得分（满分</w:t>
            </w:r>
            <w:r>
              <w:rPr>
                <w:rFonts w:hint="eastAsia" w:ascii="宋体" w:hAnsi="宋体" w:cs="宋体"/>
                <w:bCs w:val="0"/>
                <w:color w:val="auto"/>
                <w:sz w:val="21"/>
                <w:szCs w:val="21"/>
                <w:highlight w:val="none"/>
                <w:lang w:val="en-US" w:eastAsia="zh-CN"/>
              </w:rPr>
              <w:t>24</w:t>
            </w:r>
            <w:r>
              <w:rPr>
                <w:rFonts w:hint="eastAsia" w:ascii="宋体" w:hAnsi="宋体" w:eastAsia="宋体" w:cs="宋体"/>
                <w:bCs w:val="0"/>
                <w:color w:val="auto"/>
                <w:sz w:val="21"/>
                <w:szCs w:val="21"/>
                <w:highlight w:val="none"/>
              </w:rPr>
              <w:t>分）</w:t>
            </w:r>
          </w:p>
          <w:p w14:paraId="6672E4DD">
            <w:pPr>
              <w:keepNext w:val="0"/>
              <w:keepLines w:val="0"/>
              <w:pageBreakBefore w:val="0"/>
              <w:widowControl/>
              <w:kinsoku/>
              <w:wordWrap/>
              <w:overflowPunct/>
              <w:topLinePunct w:val="0"/>
              <w:autoSpaceDE/>
              <w:autoSpaceDN/>
              <w:bidi w:val="0"/>
              <w:adjustRightInd/>
              <w:snapToGrid w:val="0"/>
              <w:spacing w:line="400" w:lineRule="exact"/>
              <w:ind w:firstLine="420" w:firstLineChars="200"/>
              <w:jc w:val="left"/>
              <w:textAlignment w:val="baseline"/>
              <w:rPr>
                <w:rFonts w:hint="eastAsia" w:ascii="宋体" w:hAnsi="宋体" w:eastAsia="宋体" w:cs="宋体"/>
                <w:bCs w:val="0"/>
                <w:color w:val="auto"/>
                <w:sz w:val="21"/>
                <w:szCs w:val="21"/>
                <w:highlight w:val="none"/>
              </w:rPr>
            </w:pPr>
            <w:r>
              <w:rPr>
                <w:rFonts w:hint="eastAsia" w:ascii="宋体" w:hAnsi="宋体" w:cs="宋体"/>
                <w:color w:val="auto"/>
                <w:sz w:val="21"/>
                <w:szCs w:val="21"/>
                <w:highlight w:val="none"/>
              </w:rPr>
              <w:t>所提供产品性能或技术参数经评标委员会审核，</w:t>
            </w:r>
            <w:r>
              <w:rPr>
                <w:rFonts w:hint="eastAsia" w:ascii="宋体" w:hAnsi="宋体" w:cs="宋体"/>
                <w:color w:val="auto"/>
                <w:sz w:val="21"/>
                <w:szCs w:val="21"/>
                <w:highlight w:val="none"/>
                <w:lang w:val="en-US" w:eastAsia="zh-CN"/>
              </w:rPr>
              <w:t>重要参数</w:t>
            </w:r>
            <w:r>
              <w:rPr>
                <w:rFonts w:hint="eastAsia" w:ascii="宋体" w:hAnsi="宋体" w:cs="宋体"/>
                <w:color w:val="auto"/>
                <w:sz w:val="21"/>
                <w:szCs w:val="21"/>
                <w:highlight w:val="none"/>
              </w:rPr>
              <w:t>完全满足或优于采购需求</w:t>
            </w:r>
            <w:r>
              <w:rPr>
                <w:rFonts w:hint="eastAsia" w:ascii="宋体" w:hAnsi="宋体" w:cs="宋体"/>
                <w:color w:val="auto"/>
                <w:sz w:val="21"/>
                <w:szCs w:val="21"/>
                <w:highlight w:val="none"/>
                <w:lang w:val="en-US" w:eastAsia="zh-CN"/>
              </w:rPr>
              <w:t>的得24分</w:t>
            </w:r>
            <w:r>
              <w:rPr>
                <w:rFonts w:hint="eastAsia" w:ascii="宋体" w:hAnsi="宋体" w:cs="宋体"/>
                <w:color w:val="auto"/>
                <w:sz w:val="21"/>
                <w:szCs w:val="21"/>
                <w:highlight w:val="none"/>
              </w:rPr>
              <w:t>，</w:t>
            </w:r>
            <w:r>
              <w:rPr>
                <w:rFonts w:hint="eastAsia" w:ascii="宋体" w:hAnsi="宋体" w:eastAsia="宋体" w:cs="宋体"/>
                <w:bCs w:val="0"/>
                <w:color w:val="auto"/>
                <w:sz w:val="21"/>
                <w:szCs w:val="21"/>
                <w:highlight w:val="none"/>
              </w:rPr>
              <w:t>每有一项</w:t>
            </w:r>
            <w:r>
              <w:rPr>
                <w:rFonts w:hint="eastAsia" w:ascii="宋体" w:hAnsi="宋体" w:cs="宋体"/>
                <w:bCs w:val="0"/>
                <w:color w:val="auto"/>
                <w:sz w:val="21"/>
                <w:szCs w:val="21"/>
                <w:highlight w:val="none"/>
                <w:lang w:val="en-US" w:eastAsia="zh-CN"/>
              </w:rPr>
              <w:t>负偏离</w:t>
            </w:r>
            <w:r>
              <w:rPr>
                <w:rFonts w:hint="eastAsia" w:ascii="宋体" w:hAnsi="宋体" w:cs="Courier New"/>
                <w:b/>
                <w:bCs/>
                <w:color w:val="auto"/>
                <w:sz w:val="21"/>
                <w:szCs w:val="21"/>
                <w:highlight w:val="none"/>
              </w:rPr>
              <w:t>（漏项或者未提供佐证材料的视为负偏离）</w:t>
            </w:r>
            <w:r>
              <w:rPr>
                <w:rFonts w:hint="eastAsia" w:ascii="宋体" w:hAnsi="宋体" w:cs="宋体"/>
                <w:bCs w:val="0"/>
                <w:color w:val="auto"/>
                <w:sz w:val="21"/>
                <w:szCs w:val="21"/>
                <w:highlight w:val="none"/>
                <w:lang w:val="en-US" w:eastAsia="zh-CN"/>
              </w:rPr>
              <w:t>扣2</w:t>
            </w:r>
            <w:r>
              <w:rPr>
                <w:rFonts w:hint="eastAsia" w:ascii="宋体" w:hAnsi="宋体" w:eastAsia="宋体" w:cs="宋体"/>
                <w:bCs w:val="0"/>
                <w:color w:val="auto"/>
                <w:sz w:val="21"/>
                <w:szCs w:val="21"/>
                <w:highlight w:val="none"/>
              </w:rPr>
              <w:t>分。</w:t>
            </w:r>
          </w:p>
          <w:p w14:paraId="58D5FFDF">
            <w:pPr>
              <w:keepNext w:val="0"/>
              <w:keepLines w:val="0"/>
              <w:pageBreakBefore w:val="0"/>
              <w:widowControl/>
              <w:kinsoku/>
              <w:wordWrap/>
              <w:overflowPunct/>
              <w:topLinePunct w:val="0"/>
              <w:autoSpaceDE/>
              <w:autoSpaceDN/>
              <w:bidi w:val="0"/>
              <w:adjustRightInd/>
              <w:spacing w:line="40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p>
          <w:p w14:paraId="7B188E09">
            <w:pPr>
              <w:keepNext w:val="0"/>
              <w:keepLines w:val="0"/>
              <w:pageBreakBefore w:val="0"/>
              <w:kinsoku/>
              <w:wordWrap/>
              <w:overflowPunct/>
              <w:topLinePunct w:val="0"/>
              <w:autoSpaceDE/>
              <w:autoSpaceDN/>
              <w:bidi w:val="0"/>
              <w:adjustRightInd/>
              <w:snapToGrid w:val="0"/>
              <w:spacing w:line="400" w:lineRule="exact"/>
              <w:ind w:firstLine="420" w:firstLineChars="200"/>
              <w:textAlignment w:val="baseline"/>
              <w:rPr>
                <w:rFonts w:hint="eastAsia" w:ascii="宋体" w:hAnsi="宋体" w:eastAsia="宋体" w:cs="宋体"/>
                <w:bCs w:val="0"/>
                <w:color w:val="auto"/>
                <w:sz w:val="21"/>
                <w:szCs w:val="21"/>
                <w:highlight w:val="none"/>
              </w:rPr>
            </w:pPr>
            <w:r>
              <w:rPr>
                <w:rFonts w:hint="eastAsia" w:ascii="宋体" w:hAnsi="宋体" w:cs="宋体"/>
                <w:bCs w:val="0"/>
                <w:color w:val="auto"/>
                <w:sz w:val="21"/>
                <w:szCs w:val="21"/>
                <w:highlight w:val="none"/>
                <w:lang w:val="en-US" w:eastAsia="zh-CN"/>
              </w:rPr>
              <w:t>1.</w:t>
            </w:r>
            <w:r>
              <w:rPr>
                <w:rFonts w:hint="eastAsia" w:ascii="宋体" w:hAnsi="宋体" w:eastAsia="宋体" w:cs="宋体"/>
                <w:bCs w:val="0"/>
                <w:color w:val="auto"/>
                <w:sz w:val="21"/>
                <w:szCs w:val="21"/>
                <w:highlight w:val="none"/>
              </w:rPr>
              <w:t>一般技术参数要求是指技术参数要求中未标注“▲”、“◆”的技术参数。</w:t>
            </w:r>
          </w:p>
          <w:p w14:paraId="4A113AE1">
            <w:pPr>
              <w:keepNext w:val="0"/>
              <w:keepLines w:val="0"/>
              <w:pageBreakBefore w:val="0"/>
              <w:kinsoku/>
              <w:wordWrap/>
              <w:overflowPunct/>
              <w:topLinePunct w:val="0"/>
              <w:autoSpaceDE/>
              <w:autoSpaceDN/>
              <w:bidi w:val="0"/>
              <w:adjustRightInd/>
              <w:snapToGrid w:val="0"/>
              <w:spacing w:line="400" w:lineRule="exact"/>
              <w:ind w:firstLine="420" w:firstLineChars="200"/>
              <w:textAlignment w:val="baseline"/>
              <w:rPr>
                <w:rFonts w:hint="eastAsia" w:ascii="宋体" w:hAnsi="宋体" w:eastAsia="宋体" w:cs="宋体"/>
                <w:bCs w:val="0"/>
                <w:color w:val="auto"/>
                <w:sz w:val="21"/>
                <w:szCs w:val="21"/>
                <w:highlight w:val="none"/>
              </w:rPr>
            </w:pPr>
            <w:r>
              <w:rPr>
                <w:rFonts w:hint="eastAsia" w:ascii="宋体" w:hAnsi="宋体" w:cs="宋体"/>
                <w:bCs w:val="0"/>
                <w:color w:val="auto"/>
                <w:sz w:val="21"/>
                <w:szCs w:val="21"/>
                <w:highlight w:val="none"/>
                <w:lang w:val="en-US" w:eastAsia="zh-CN"/>
              </w:rPr>
              <w:t>2.</w:t>
            </w:r>
            <w:r>
              <w:rPr>
                <w:rFonts w:hint="eastAsia" w:ascii="宋体" w:hAnsi="宋体" w:eastAsia="宋体" w:cs="宋体"/>
                <w:bCs w:val="0"/>
                <w:color w:val="auto"/>
                <w:sz w:val="21"/>
                <w:szCs w:val="21"/>
                <w:highlight w:val="none"/>
              </w:rPr>
              <w:t>重要技术参数是指技术参数中标注“◆”的技术参数。</w:t>
            </w:r>
            <w:bookmarkEnd w:id="243"/>
          </w:p>
          <w:p w14:paraId="0B34937C">
            <w:pPr>
              <w:keepNext w:val="0"/>
              <w:keepLines w:val="0"/>
              <w:pageBreakBefore w:val="0"/>
              <w:widowControl/>
              <w:suppressLineNumbers w:val="0"/>
              <w:kinsoku/>
              <w:wordWrap/>
              <w:overflowPunct/>
              <w:topLinePunct w:val="0"/>
              <w:autoSpaceDE/>
              <w:autoSpaceDN/>
              <w:bidi w:val="0"/>
              <w:adjustRightInd/>
              <w:snapToGrid w:val="0"/>
              <w:spacing w:line="400" w:lineRule="exact"/>
              <w:ind w:firstLine="420" w:firstLineChars="200"/>
              <w:jc w:val="left"/>
              <w:textAlignment w:val="baseline"/>
              <w:rPr>
                <w:rFonts w:hint="eastAsia" w:ascii="宋体" w:hAnsi="宋体" w:cs="宋体"/>
                <w:bCs w:val="0"/>
                <w:color w:val="auto"/>
                <w:szCs w:val="21"/>
                <w:highlight w:val="none"/>
              </w:rPr>
            </w:pPr>
            <w:r>
              <w:rPr>
                <w:rFonts w:hint="eastAsia" w:ascii="宋体" w:hAnsi="宋体" w:cs="宋体"/>
                <w:bCs w:val="0"/>
                <w:color w:val="auto"/>
                <w:kern w:val="2"/>
                <w:sz w:val="21"/>
                <w:szCs w:val="21"/>
                <w:highlight w:val="none"/>
                <w:lang w:val="en-US" w:eastAsia="zh-CN" w:bidi="ar"/>
              </w:rPr>
              <w:t>3.</w:t>
            </w:r>
            <w:r>
              <w:rPr>
                <w:rFonts w:hint="eastAsia" w:ascii="宋体" w:hAnsi="宋体" w:eastAsia="宋体" w:cs="宋体"/>
                <w:bCs w:val="0"/>
                <w:color w:val="auto"/>
                <w:kern w:val="2"/>
                <w:sz w:val="21"/>
                <w:szCs w:val="21"/>
                <w:highlight w:val="none"/>
                <w:lang w:val="en-US" w:eastAsia="zh-CN" w:bidi="ar"/>
              </w:rPr>
              <w:t xml:space="preserve">偏离认定说明 </w:t>
            </w:r>
          </w:p>
          <w:p w14:paraId="0FE8018E">
            <w:pPr>
              <w:keepNext w:val="0"/>
              <w:keepLines w:val="0"/>
              <w:pageBreakBefore w:val="0"/>
              <w:widowControl/>
              <w:suppressLineNumbers w:val="0"/>
              <w:kinsoku/>
              <w:wordWrap/>
              <w:overflowPunct/>
              <w:topLinePunct w:val="0"/>
              <w:autoSpaceDE/>
              <w:autoSpaceDN/>
              <w:bidi w:val="0"/>
              <w:adjustRightInd/>
              <w:snapToGrid w:val="0"/>
              <w:spacing w:line="400" w:lineRule="exact"/>
              <w:ind w:firstLine="420" w:firstLineChars="200"/>
              <w:jc w:val="left"/>
              <w:textAlignment w:val="baseline"/>
              <w:rPr>
                <w:rFonts w:hint="eastAsia" w:ascii="宋体" w:hAnsi="宋体" w:cs="宋体"/>
                <w:bCs w:val="0"/>
                <w:color w:val="auto"/>
                <w:szCs w:val="21"/>
                <w:highlight w:val="none"/>
              </w:rPr>
            </w:pPr>
            <w:r>
              <w:rPr>
                <w:rFonts w:hint="eastAsia" w:ascii="宋体" w:hAnsi="宋体" w:eastAsia="宋体" w:cs="宋体"/>
                <w:bCs w:val="0"/>
                <w:color w:val="auto"/>
                <w:kern w:val="2"/>
                <w:sz w:val="21"/>
                <w:szCs w:val="21"/>
                <w:highlight w:val="none"/>
                <w:lang w:val="en-US" w:eastAsia="zh-CN" w:bidi="ar"/>
              </w:rPr>
              <w:t xml:space="preserve">供应商根据采购需求中技术参数为基准，填写响应表，对于响应表或证明材料与技术参数不符的，按如下规定： </w:t>
            </w:r>
          </w:p>
          <w:p w14:paraId="73646D5F">
            <w:pPr>
              <w:keepNext w:val="0"/>
              <w:keepLines w:val="0"/>
              <w:pageBreakBefore w:val="0"/>
              <w:widowControl/>
              <w:suppressLineNumbers w:val="0"/>
              <w:kinsoku/>
              <w:wordWrap/>
              <w:overflowPunct/>
              <w:topLinePunct w:val="0"/>
              <w:autoSpaceDE/>
              <w:autoSpaceDN/>
              <w:bidi w:val="0"/>
              <w:adjustRightInd/>
              <w:snapToGrid w:val="0"/>
              <w:spacing w:line="400" w:lineRule="exact"/>
              <w:ind w:firstLine="420" w:firstLineChars="200"/>
              <w:jc w:val="left"/>
              <w:textAlignment w:val="baseline"/>
              <w:rPr>
                <w:rFonts w:hint="eastAsia" w:ascii="宋体" w:hAnsi="宋体" w:cs="宋体"/>
                <w:bCs w:val="0"/>
                <w:color w:val="auto"/>
                <w:szCs w:val="21"/>
                <w:highlight w:val="none"/>
              </w:rPr>
            </w:pPr>
            <w:r>
              <w:rPr>
                <w:rFonts w:hint="eastAsia" w:ascii="宋体" w:hAnsi="宋体" w:eastAsia="宋体" w:cs="宋体"/>
                <w:bCs w:val="0"/>
                <w:color w:val="auto"/>
                <w:kern w:val="2"/>
                <w:sz w:val="21"/>
                <w:szCs w:val="21"/>
                <w:highlight w:val="none"/>
                <w:lang w:val="en-US" w:eastAsia="zh-CN" w:bidi="ar"/>
              </w:rPr>
              <w:t xml:space="preserve">（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 </w:t>
            </w:r>
          </w:p>
          <w:p w14:paraId="7F04A7F0">
            <w:pPr>
              <w:keepNext w:val="0"/>
              <w:keepLines w:val="0"/>
              <w:pageBreakBefore w:val="0"/>
              <w:widowControl/>
              <w:suppressLineNumbers w:val="0"/>
              <w:kinsoku/>
              <w:wordWrap/>
              <w:overflowPunct/>
              <w:topLinePunct w:val="0"/>
              <w:autoSpaceDE/>
              <w:autoSpaceDN/>
              <w:bidi w:val="0"/>
              <w:adjustRightInd/>
              <w:snapToGrid w:val="0"/>
              <w:spacing w:line="400" w:lineRule="exact"/>
              <w:ind w:firstLine="420" w:firstLineChars="200"/>
              <w:jc w:val="left"/>
              <w:textAlignment w:val="baseline"/>
              <w:rPr>
                <w:rFonts w:hint="eastAsia" w:ascii="宋体" w:hAnsi="宋体" w:eastAsia="宋体" w:cs="宋体"/>
                <w:bCs w:val="0"/>
                <w:color w:val="auto"/>
                <w:kern w:val="2"/>
                <w:sz w:val="21"/>
                <w:szCs w:val="21"/>
                <w:highlight w:val="none"/>
                <w:lang w:val="en-US" w:eastAsia="zh-CN" w:bidi="ar"/>
              </w:rPr>
            </w:pPr>
            <w:r>
              <w:rPr>
                <w:rFonts w:hint="eastAsia" w:ascii="宋体" w:hAnsi="宋体" w:eastAsia="宋体" w:cs="宋体"/>
                <w:bCs w:val="0"/>
                <w:color w:val="auto"/>
                <w:kern w:val="2"/>
                <w:sz w:val="21"/>
                <w:szCs w:val="21"/>
                <w:highlight w:val="none"/>
                <w:lang w:val="en-US" w:eastAsia="zh-CN" w:bidi="ar"/>
              </w:rPr>
              <w:t>（2）响应表中响应的内容与证明材料不一致的，以证明材料为准作为评审依据。</w:t>
            </w:r>
          </w:p>
          <w:p w14:paraId="3FC318F8">
            <w:pPr>
              <w:keepNext w:val="0"/>
              <w:keepLines w:val="0"/>
              <w:pageBreakBefore w:val="0"/>
              <w:widowControl/>
              <w:suppressLineNumbers w:val="0"/>
              <w:kinsoku/>
              <w:wordWrap/>
              <w:overflowPunct/>
              <w:topLinePunct w:val="0"/>
              <w:autoSpaceDE/>
              <w:autoSpaceDN/>
              <w:bidi w:val="0"/>
              <w:adjustRightInd/>
              <w:snapToGrid w:val="0"/>
              <w:spacing w:line="400" w:lineRule="exact"/>
              <w:ind w:firstLine="420" w:firstLineChars="200"/>
              <w:jc w:val="left"/>
              <w:textAlignment w:val="baseline"/>
              <w:rPr>
                <w:rFonts w:hint="eastAsia" w:ascii="宋体" w:hAnsi="宋体" w:cs="宋体"/>
                <w:bCs w:val="0"/>
                <w:color w:val="auto"/>
                <w:szCs w:val="21"/>
                <w:highlight w:val="none"/>
              </w:rPr>
            </w:pPr>
            <w:r>
              <w:rPr>
                <w:rFonts w:hint="eastAsia" w:ascii="宋体" w:hAnsi="宋体" w:eastAsia="宋体" w:cs="宋体"/>
                <w:bCs w:val="0"/>
                <w:color w:val="auto"/>
                <w:kern w:val="2"/>
                <w:sz w:val="21"/>
                <w:szCs w:val="21"/>
                <w:highlight w:val="none"/>
                <w:lang w:val="en-US" w:eastAsia="zh-CN" w:bidi="ar"/>
              </w:rPr>
              <w:t xml:space="preserve">（3）同时出现以上两种情况的，按照（1）-（2）顺序认定。 </w:t>
            </w:r>
          </w:p>
          <w:p w14:paraId="5D14E909">
            <w:pPr>
              <w:keepNext w:val="0"/>
              <w:keepLines w:val="0"/>
              <w:pageBreakBefore w:val="0"/>
              <w:widowControl/>
              <w:suppressLineNumbers w:val="0"/>
              <w:kinsoku/>
              <w:wordWrap/>
              <w:overflowPunct/>
              <w:topLinePunct w:val="0"/>
              <w:autoSpaceDE/>
              <w:autoSpaceDN/>
              <w:bidi w:val="0"/>
              <w:adjustRightInd/>
              <w:snapToGrid w:val="0"/>
              <w:spacing w:line="400" w:lineRule="exact"/>
              <w:ind w:firstLine="420" w:firstLineChars="200"/>
              <w:jc w:val="left"/>
              <w:textAlignment w:val="baseline"/>
              <w:rPr>
                <w:rFonts w:hint="eastAsia" w:ascii="宋体" w:hAnsi="宋体" w:cs="宋体"/>
                <w:bCs w:val="0"/>
                <w:color w:val="auto"/>
                <w:szCs w:val="21"/>
                <w:highlight w:val="none"/>
              </w:rPr>
            </w:pPr>
            <w:r>
              <w:rPr>
                <w:rFonts w:hint="eastAsia" w:ascii="宋体" w:hAnsi="宋体" w:eastAsia="宋体" w:cs="宋体"/>
                <w:bCs w:val="0"/>
                <w:color w:val="auto"/>
                <w:kern w:val="2"/>
                <w:sz w:val="21"/>
                <w:szCs w:val="21"/>
                <w:highlight w:val="none"/>
                <w:lang w:val="en-US" w:eastAsia="zh-CN" w:bidi="ar"/>
              </w:rPr>
              <w:t xml:space="preserve">（4）响应表与采购需求中技术参数比较有漏项的，如为实质性参数漏项，视为未响应；如为非实质性参数漏项，视为负偏离。 </w:t>
            </w:r>
          </w:p>
          <w:p w14:paraId="0ABD786E">
            <w:pPr>
              <w:keepNext w:val="0"/>
              <w:keepLines w:val="0"/>
              <w:pageBreakBefore w:val="0"/>
              <w:kinsoku/>
              <w:wordWrap/>
              <w:overflowPunct/>
              <w:topLinePunct w:val="0"/>
              <w:autoSpaceDE/>
              <w:autoSpaceDN/>
              <w:bidi w:val="0"/>
              <w:adjustRightInd/>
              <w:snapToGrid w:val="0"/>
              <w:spacing w:line="400" w:lineRule="exact"/>
              <w:ind w:firstLine="420" w:firstLineChars="200"/>
              <w:textAlignment w:val="baseline"/>
              <w:rPr>
                <w:rFonts w:hint="eastAsia" w:ascii="宋体" w:hAnsi="宋体" w:eastAsia="宋体" w:cs="宋体"/>
                <w:bCs w:val="0"/>
                <w:color w:val="auto"/>
                <w:sz w:val="21"/>
                <w:szCs w:val="21"/>
                <w:highlight w:val="none"/>
              </w:rPr>
            </w:pPr>
            <w:r>
              <w:rPr>
                <w:rFonts w:hint="eastAsia" w:ascii="宋体" w:hAnsi="宋体" w:eastAsia="宋体" w:cs="宋体"/>
                <w:bCs w:val="0"/>
                <w:color w:val="auto"/>
                <w:kern w:val="2"/>
                <w:sz w:val="21"/>
                <w:szCs w:val="21"/>
                <w:highlight w:val="none"/>
                <w:lang w:val="en-US" w:eastAsia="zh-CN" w:bidi="ar"/>
              </w:rPr>
              <w:t>（5）一项技术参数有多条小项要求的，必须全部响应。如只响应部分参数，视为漏项。评审时以每一条技术参数为评审依据。</w:t>
            </w:r>
          </w:p>
        </w:tc>
      </w:tr>
      <w:tr w14:paraId="7B02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vAlign w:val="center"/>
          </w:tcPr>
          <w:p w14:paraId="1E64FFB0">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auto"/>
                <w:sz w:val="21"/>
                <w:szCs w:val="21"/>
                <w:highlight w:val="none"/>
              </w:rPr>
            </w:pPr>
          </w:p>
        </w:tc>
        <w:tc>
          <w:tcPr>
            <w:tcW w:w="1119" w:type="dxa"/>
            <w:vMerge w:val="continue"/>
            <w:vAlign w:val="center"/>
          </w:tcPr>
          <w:p w14:paraId="3D512942">
            <w:pPr>
              <w:keepNext w:val="0"/>
              <w:keepLines w:val="0"/>
              <w:pageBreakBefore w:val="0"/>
              <w:kinsoku/>
              <w:wordWrap/>
              <w:overflowPunct/>
              <w:topLinePunct w:val="0"/>
              <w:autoSpaceDE/>
              <w:autoSpaceDN/>
              <w:bidi w:val="0"/>
              <w:adjustRightInd w:val="0"/>
              <w:spacing w:line="400" w:lineRule="exact"/>
              <w:ind w:left="-105" w:leftChars="-50" w:right="-105" w:rightChars="-50"/>
              <w:jc w:val="center"/>
              <w:textAlignment w:val="baseline"/>
              <w:rPr>
                <w:rFonts w:hint="eastAsia" w:ascii="宋体" w:hAnsi="宋体" w:eastAsia="宋体" w:cs="宋体"/>
                <w:bCs/>
                <w:color w:val="auto"/>
                <w:sz w:val="21"/>
                <w:szCs w:val="21"/>
                <w:highlight w:val="none"/>
              </w:rPr>
            </w:pPr>
          </w:p>
        </w:tc>
        <w:tc>
          <w:tcPr>
            <w:tcW w:w="1350" w:type="dxa"/>
            <w:vAlign w:val="center"/>
          </w:tcPr>
          <w:p w14:paraId="0F756B89">
            <w:pPr>
              <w:keepNext w:val="0"/>
              <w:keepLines w:val="0"/>
              <w:pageBreakBefore w:val="0"/>
              <w:widowControl/>
              <w:kinsoku/>
              <w:wordWrap/>
              <w:overflowPunct/>
              <w:topLinePunct w:val="0"/>
              <w:autoSpaceDE/>
              <w:autoSpaceDN/>
              <w:bidi w:val="0"/>
              <w:snapToGrid w:val="0"/>
              <w:spacing w:line="400" w:lineRule="exact"/>
              <w:jc w:val="center"/>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2.2技术及项目实施方案分</w:t>
            </w:r>
            <w:r>
              <w:rPr>
                <w:rFonts w:hint="eastAsia" w:ascii="宋体" w:hAnsi="宋体" w:eastAsia="宋体" w:cs="宋体"/>
                <w:bCs/>
                <w:color w:val="auto"/>
                <w:sz w:val="21"/>
                <w:szCs w:val="21"/>
                <w:highlight w:val="none"/>
              </w:rPr>
              <w:t>（满分</w:t>
            </w:r>
            <w:r>
              <w:rPr>
                <w:rFonts w:hint="eastAsia" w:ascii="宋体" w:hAnsi="宋体" w:cs="宋体"/>
                <w:bCs/>
                <w:color w:val="auto"/>
                <w:sz w:val="21"/>
                <w:szCs w:val="21"/>
                <w:highlight w:val="none"/>
                <w:lang w:val="en-US" w:eastAsia="zh-CN"/>
              </w:rPr>
              <w:t>9</w:t>
            </w:r>
            <w:r>
              <w:rPr>
                <w:rFonts w:hint="eastAsia" w:ascii="宋体" w:hAnsi="宋体" w:eastAsia="宋体" w:cs="宋体"/>
                <w:bCs/>
                <w:color w:val="auto"/>
                <w:sz w:val="21"/>
                <w:szCs w:val="21"/>
                <w:highlight w:val="none"/>
              </w:rPr>
              <w:t>分）</w:t>
            </w:r>
          </w:p>
        </w:tc>
        <w:tc>
          <w:tcPr>
            <w:tcW w:w="6824" w:type="dxa"/>
            <w:vAlign w:val="center"/>
          </w:tcPr>
          <w:p w14:paraId="2A51EE57">
            <w:pPr>
              <w:keepNext w:val="0"/>
              <w:keepLines w:val="0"/>
              <w:pageBreakBefore w:val="0"/>
              <w:kinsoku/>
              <w:wordWrap/>
              <w:overflowPunct/>
              <w:topLinePunct w:val="0"/>
              <w:autoSpaceDE/>
              <w:autoSpaceDN/>
              <w:bidi w:val="0"/>
              <w:spacing w:line="400" w:lineRule="exact"/>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根据投标文件中投标人技术及项目实施方案内容独立评分。</w:t>
            </w:r>
          </w:p>
          <w:p w14:paraId="317E1BA0">
            <w:pPr>
              <w:keepNext w:val="0"/>
              <w:keepLines w:val="0"/>
              <w:pageBreakBefore w:val="0"/>
              <w:kinsoku/>
              <w:wordWrap/>
              <w:overflowPunct/>
              <w:topLinePunct w:val="0"/>
              <w:autoSpaceDE/>
              <w:autoSpaceDN/>
              <w:bidi w:val="0"/>
              <w:spacing w:line="400" w:lineRule="exact"/>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一档（</w:t>
            </w:r>
            <w:r>
              <w:rPr>
                <w:rFonts w:hint="eastAsia" w:ascii="宋体" w:hAnsi="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分）：方案包含管理措施、实施流程、进度安排、质量保证措施，满足项目要求。</w:t>
            </w:r>
          </w:p>
          <w:p w14:paraId="4C9D2319">
            <w:pPr>
              <w:keepNext w:val="0"/>
              <w:keepLines w:val="0"/>
              <w:pageBreakBefore w:val="0"/>
              <w:kinsoku/>
              <w:wordWrap/>
              <w:overflowPunct/>
              <w:topLinePunct w:val="0"/>
              <w:autoSpaceDE/>
              <w:autoSpaceDN/>
              <w:bidi w:val="0"/>
              <w:spacing w:line="400" w:lineRule="exact"/>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二档（</w:t>
            </w:r>
            <w:r>
              <w:rPr>
                <w:rFonts w:hint="eastAsia" w:ascii="宋体" w:hAnsi="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rPr>
              <w:t>分）：方案包含管理措施、</w:t>
            </w:r>
            <w:r>
              <w:rPr>
                <w:rFonts w:hint="eastAsia" w:ascii="宋体" w:hAnsi="宋体" w:cs="宋体"/>
                <w:bCs/>
                <w:color w:val="auto"/>
                <w:kern w:val="0"/>
                <w:sz w:val="21"/>
                <w:szCs w:val="21"/>
                <w:highlight w:val="none"/>
                <w:lang w:val="en-US" w:eastAsia="zh-CN"/>
              </w:rPr>
              <w:t>具体</w:t>
            </w:r>
            <w:r>
              <w:rPr>
                <w:rFonts w:hint="eastAsia" w:ascii="宋体" w:hAnsi="宋体" w:eastAsia="宋体" w:cs="宋体"/>
                <w:bCs/>
                <w:color w:val="auto"/>
                <w:kern w:val="0"/>
                <w:sz w:val="21"/>
                <w:szCs w:val="21"/>
                <w:highlight w:val="none"/>
              </w:rPr>
              <w:t>实施流程、进度安排、质量保证措施，流程清晰、节点明确、措施具体，具备可执行性，无逻辑或事实错误。</w:t>
            </w:r>
          </w:p>
          <w:p w14:paraId="22CFE9BD">
            <w:pPr>
              <w:keepNext w:val="0"/>
              <w:keepLines w:val="0"/>
              <w:pageBreakBefore w:val="0"/>
              <w:kinsoku/>
              <w:wordWrap/>
              <w:overflowPunct/>
              <w:topLinePunct w:val="0"/>
              <w:autoSpaceDE/>
              <w:autoSpaceDN/>
              <w:bidi w:val="0"/>
              <w:spacing w:line="400" w:lineRule="exact"/>
              <w:ind w:firstLine="420" w:firstLineChars="20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三档（</w:t>
            </w:r>
            <w:r>
              <w:rPr>
                <w:rFonts w:hint="eastAsia" w:ascii="宋体" w:hAnsi="宋体" w:cs="宋体"/>
                <w:bCs/>
                <w:color w:val="auto"/>
                <w:kern w:val="0"/>
                <w:sz w:val="21"/>
                <w:szCs w:val="21"/>
                <w:highlight w:val="none"/>
                <w:lang w:val="en-US" w:eastAsia="zh-CN"/>
              </w:rPr>
              <w:t>9</w:t>
            </w:r>
            <w:r>
              <w:rPr>
                <w:rFonts w:hint="eastAsia" w:ascii="宋体" w:hAnsi="宋体" w:eastAsia="宋体" w:cs="宋体"/>
                <w:bCs/>
                <w:color w:val="auto"/>
                <w:kern w:val="0"/>
                <w:sz w:val="21"/>
                <w:szCs w:val="21"/>
                <w:highlight w:val="none"/>
              </w:rPr>
              <w:t>分）：方案包含管理措施、具体实施流程、进度安排、质量保证措施，流程清晰、措施具体、</w:t>
            </w:r>
            <w:r>
              <w:rPr>
                <w:rFonts w:hint="eastAsia" w:ascii="宋体" w:hAnsi="宋体" w:cs="宋体"/>
                <w:bCs/>
                <w:color w:val="auto"/>
                <w:kern w:val="0"/>
                <w:sz w:val="21"/>
                <w:szCs w:val="21"/>
                <w:highlight w:val="none"/>
                <w:lang w:val="en-US" w:eastAsia="zh-CN"/>
              </w:rPr>
              <w:t>具有</w:t>
            </w:r>
            <w:r>
              <w:rPr>
                <w:rFonts w:hint="eastAsia" w:ascii="宋体" w:hAnsi="宋体" w:eastAsia="宋体" w:cs="宋体"/>
                <w:bCs/>
                <w:color w:val="auto"/>
                <w:kern w:val="0"/>
                <w:sz w:val="21"/>
                <w:szCs w:val="21"/>
                <w:highlight w:val="none"/>
              </w:rPr>
              <w:t>可执行性，无错误，且包含可落地的优化措施或合理化建议，对采购项目实施具有明显促进作用。</w:t>
            </w:r>
          </w:p>
          <w:p w14:paraId="5E72AABE">
            <w:pPr>
              <w:keepNext w:val="0"/>
              <w:keepLines w:val="0"/>
              <w:pageBreakBefore w:val="0"/>
              <w:kinsoku/>
              <w:wordWrap/>
              <w:overflowPunct/>
              <w:topLinePunct w:val="0"/>
              <w:autoSpaceDE/>
              <w:autoSpaceDN/>
              <w:bidi w:val="0"/>
              <w:spacing w:line="400" w:lineRule="exact"/>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bCs/>
                <w:color w:val="auto"/>
                <w:kern w:val="0"/>
                <w:sz w:val="21"/>
                <w:szCs w:val="21"/>
                <w:highlight w:val="none"/>
              </w:rPr>
              <w:t>无技术及项目实施方案内容或不齐全的不得分。</w:t>
            </w:r>
          </w:p>
        </w:tc>
      </w:tr>
      <w:tr w14:paraId="21292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vAlign w:val="center"/>
          </w:tcPr>
          <w:p w14:paraId="06DEB2F1">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auto"/>
                <w:sz w:val="21"/>
                <w:szCs w:val="21"/>
                <w:highlight w:val="none"/>
              </w:rPr>
            </w:pPr>
          </w:p>
        </w:tc>
        <w:tc>
          <w:tcPr>
            <w:tcW w:w="1119" w:type="dxa"/>
            <w:vMerge w:val="continue"/>
            <w:vAlign w:val="center"/>
          </w:tcPr>
          <w:p w14:paraId="479BB419">
            <w:pPr>
              <w:keepNext w:val="0"/>
              <w:keepLines w:val="0"/>
              <w:pageBreakBefore w:val="0"/>
              <w:kinsoku/>
              <w:wordWrap/>
              <w:overflowPunct/>
              <w:topLinePunct w:val="0"/>
              <w:autoSpaceDE/>
              <w:autoSpaceDN/>
              <w:bidi w:val="0"/>
              <w:adjustRightInd w:val="0"/>
              <w:spacing w:line="400" w:lineRule="exact"/>
              <w:ind w:left="-105" w:leftChars="-50" w:right="-105" w:rightChars="-50"/>
              <w:jc w:val="center"/>
              <w:textAlignment w:val="baseline"/>
              <w:rPr>
                <w:rFonts w:hint="eastAsia" w:ascii="宋体" w:hAnsi="宋体" w:eastAsia="宋体" w:cs="宋体"/>
                <w:bCs/>
                <w:color w:val="auto"/>
                <w:sz w:val="21"/>
                <w:szCs w:val="21"/>
                <w:highlight w:val="none"/>
              </w:rPr>
            </w:pPr>
          </w:p>
        </w:tc>
        <w:tc>
          <w:tcPr>
            <w:tcW w:w="1350" w:type="dxa"/>
            <w:vAlign w:val="center"/>
          </w:tcPr>
          <w:p w14:paraId="0F7EC365">
            <w:pPr>
              <w:keepNext w:val="0"/>
              <w:keepLines w:val="0"/>
              <w:pageBreakBefore w:val="0"/>
              <w:widowControl/>
              <w:kinsoku/>
              <w:wordWrap/>
              <w:overflowPunct/>
              <w:topLinePunct w:val="0"/>
              <w:autoSpaceDE/>
              <w:autoSpaceDN/>
              <w:bidi w:val="0"/>
              <w:snapToGrid w:val="0"/>
              <w:spacing w:line="40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2.</w:t>
            </w:r>
            <w:r>
              <w:rPr>
                <w:rFonts w:hint="eastAsia" w:ascii="宋体" w:hAnsi="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rPr>
              <w:t>培训计划分</w:t>
            </w:r>
            <w:r>
              <w:rPr>
                <w:rFonts w:hint="eastAsia" w:ascii="宋体" w:hAnsi="宋体" w:eastAsia="宋体" w:cs="宋体"/>
                <w:color w:val="auto"/>
                <w:kern w:val="0"/>
                <w:sz w:val="21"/>
                <w:szCs w:val="21"/>
                <w:highlight w:val="none"/>
              </w:rPr>
              <w:t>（满分</w:t>
            </w:r>
            <w:r>
              <w:rPr>
                <w:rFonts w:hint="eastAsia" w:ascii="宋体" w:hAnsi="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分）</w:t>
            </w:r>
          </w:p>
        </w:tc>
        <w:tc>
          <w:tcPr>
            <w:tcW w:w="6824" w:type="dxa"/>
            <w:vAlign w:val="center"/>
          </w:tcPr>
          <w:p w14:paraId="3E1E4447">
            <w:pPr>
              <w:keepNext w:val="0"/>
              <w:keepLines w:val="0"/>
              <w:pageBreakBefore w:val="0"/>
              <w:kinsoku/>
              <w:wordWrap/>
              <w:overflowPunct/>
              <w:topLinePunct w:val="0"/>
              <w:autoSpaceDE/>
              <w:autoSpaceDN/>
              <w:bidi w:val="0"/>
              <w:spacing w:line="400" w:lineRule="exact"/>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xml:space="preserve">根据投标文件中投标人培训方案内容独立评分。  </w:t>
            </w:r>
          </w:p>
          <w:p w14:paraId="16AA1E13">
            <w:pPr>
              <w:keepNext w:val="0"/>
              <w:keepLines w:val="0"/>
              <w:pageBreakBefore w:val="0"/>
              <w:kinsoku/>
              <w:wordWrap/>
              <w:overflowPunct/>
              <w:topLinePunct w:val="0"/>
              <w:autoSpaceDE/>
              <w:autoSpaceDN/>
              <w:bidi w:val="0"/>
              <w:spacing w:line="400" w:lineRule="exact"/>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一档（</w:t>
            </w:r>
            <w:r>
              <w:rPr>
                <w:rFonts w:hint="eastAsia" w:ascii="宋体" w:hAnsi="宋体" w:cs="宋体"/>
                <w:color w:val="auto"/>
                <w:highlight w:val="none"/>
                <w:lang w:val="en-US" w:eastAsia="zh-CN"/>
              </w:rPr>
              <w:t>3</w:t>
            </w:r>
            <w:r>
              <w:rPr>
                <w:rFonts w:hint="eastAsia" w:ascii="宋体" w:hAnsi="宋体" w:eastAsia="宋体" w:cs="宋体"/>
                <w:color w:val="auto"/>
                <w:highlight w:val="none"/>
              </w:rPr>
              <w:t>分） 培训方案有简单的培训计划安排，列明培训对象、基础培训内容，配备培训师资，能满足项目要求。</w:t>
            </w:r>
          </w:p>
          <w:p w14:paraId="1438082A">
            <w:pPr>
              <w:keepNext w:val="0"/>
              <w:keepLines w:val="0"/>
              <w:pageBreakBefore w:val="0"/>
              <w:kinsoku/>
              <w:wordWrap/>
              <w:overflowPunct/>
              <w:topLinePunct w:val="0"/>
              <w:autoSpaceDE/>
              <w:autoSpaceDN/>
              <w:bidi w:val="0"/>
              <w:spacing w:line="400" w:lineRule="exact"/>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xml:space="preserve"> 二档（</w:t>
            </w:r>
            <w:r>
              <w:rPr>
                <w:rFonts w:hint="eastAsia" w:ascii="宋体" w:hAnsi="宋体" w:cs="宋体"/>
                <w:color w:val="auto"/>
                <w:highlight w:val="none"/>
                <w:lang w:val="en-US" w:eastAsia="zh-CN"/>
              </w:rPr>
              <w:t>6</w:t>
            </w:r>
            <w:r>
              <w:rPr>
                <w:rFonts w:hint="eastAsia" w:ascii="宋体" w:hAnsi="宋体" w:eastAsia="宋体" w:cs="宋体"/>
                <w:color w:val="auto"/>
                <w:highlight w:val="none"/>
              </w:rPr>
              <w:t>分） 在一档基础上，培训方案内容详实，包含：拟派培训人员安排及介绍、培训时间、参训规模人数、设备功能理论、简单故障排除等核心内容。</w:t>
            </w:r>
          </w:p>
          <w:p w14:paraId="41C89626">
            <w:pPr>
              <w:keepNext w:val="0"/>
              <w:keepLines w:val="0"/>
              <w:pageBreakBefore w:val="0"/>
              <w:kinsoku/>
              <w:wordWrap/>
              <w:overflowPunct/>
              <w:topLinePunct w:val="0"/>
              <w:autoSpaceDE/>
              <w:autoSpaceDN/>
              <w:bidi w:val="0"/>
              <w:spacing w:line="400" w:lineRule="exact"/>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xml:space="preserve"> 三档（</w:t>
            </w:r>
            <w:r>
              <w:rPr>
                <w:rFonts w:hint="eastAsia" w:ascii="宋体" w:hAnsi="宋体" w:cs="宋体"/>
                <w:color w:val="auto"/>
                <w:highlight w:val="none"/>
                <w:lang w:val="en-US" w:eastAsia="zh-CN"/>
              </w:rPr>
              <w:t>9</w:t>
            </w:r>
            <w:r>
              <w:rPr>
                <w:rFonts w:hint="eastAsia" w:ascii="宋体" w:hAnsi="宋体" w:eastAsia="宋体" w:cs="宋体"/>
                <w:color w:val="auto"/>
                <w:highlight w:val="none"/>
              </w:rPr>
              <w:t>分） 在二档基础上，培训保障全面且可落地</w:t>
            </w:r>
            <w:r>
              <w:rPr>
                <w:rFonts w:hint="eastAsia" w:ascii="宋体" w:hAnsi="宋体" w:cs="宋体"/>
                <w:color w:val="auto"/>
                <w:highlight w:val="none"/>
                <w:lang w:eastAsia="zh-CN"/>
              </w:rPr>
              <w:t>，</w:t>
            </w:r>
            <w:r>
              <w:rPr>
                <w:rFonts w:hint="eastAsia" w:ascii="宋体" w:hAnsi="宋体" w:eastAsia="宋体" w:cs="宋体"/>
                <w:color w:val="auto"/>
                <w:highlight w:val="none"/>
              </w:rPr>
              <w:t>培训方案贴合教学/考试</w:t>
            </w:r>
            <w:r>
              <w:rPr>
                <w:rFonts w:hint="eastAsia" w:ascii="宋体" w:hAnsi="宋体" w:cs="宋体"/>
                <w:color w:val="auto"/>
                <w:highlight w:val="none"/>
                <w:lang w:val="en-US" w:eastAsia="zh-CN"/>
              </w:rPr>
              <w:t>等</w:t>
            </w:r>
            <w:r>
              <w:rPr>
                <w:rFonts w:hint="eastAsia" w:ascii="宋体" w:hAnsi="宋体" w:eastAsia="宋体" w:cs="宋体"/>
                <w:color w:val="auto"/>
                <w:highlight w:val="none"/>
              </w:rPr>
              <w:t>场景需求，培训方式</w:t>
            </w:r>
            <w:r>
              <w:rPr>
                <w:rFonts w:hint="eastAsia"/>
                <w:color w:val="auto"/>
                <w:highlight w:val="none"/>
                <w:lang w:val="en-US" w:eastAsia="zh-CN"/>
              </w:rPr>
              <w:t>采用</w:t>
            </w:r>
            <w:r>
              <w:rPr>
                <w:rFonts w:hint="eastAsia" w:ascii="宋体" w:hAnsi="宋体" w:eastAsia="宋体" w:cs="宋体"/>
                <w:color w:val="auto"/>
                <w:highlight w:val="none"/>
              </w:rPr>
              <w:t>现场面授+线上答疑+模拟考核结合，可按</w:t>
            </w:r>
            <w:r>
              <w:rPr>
                <w:rFonts w:hint="eastAsia" w:ascii="宋体" w:hAnsi="宋体" w:cs="宋体"/>
                <w:color w:val="auto"/>
                <w:highlight w:val="none"/>
                <w:lang w:val="en-US" w:eastAsia="zh-CN"/>
              </w:rPr>
              <w:t>采购人</w:t>
            </w:r>
            <w:r>
              <w:rPr>
                <w:rFonts w:hint="eastAsia" w:ascii="宋体" w:hAnsi="宋体" w:eastAsia="宋体" w:cs="宋体"/>
                <w:color w:val="auto"/>
                <w:highlight w:val="none"/>
              </w:rPr>
              <w:t>需求定制培训安排；提供</w:t>
            </w:r>
            <w:r>
              <w:rPr>
                <w:rFonts w:hint="eastAsia" w:ascii="宋体" w:hAnsi="宋体" w:cs="宋体"/>
                <w:color w:val="auto"/>
                <w:highlight w:val="none"/>
                <w:lang w:val="en-US" w:eastAsia="zh-CN"/>
              </w:rPr>
              <w:t>全套</w:t>
            </w:r>
            <w:r>
              <w:rPr>
                <w:rFonts w:hint="eastAsia" w:ascii="宋体" w:hAnsi="宋体" w:eastAsia="宋体" w:cs="宋体"/>
                <w:color w:val="auto"/>
                <w:highlight w:val="none"/>
              </w:rPr>
              <w:t>设备操作培训资料</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包括：</w:t>
            </w:r>
            <w:r>
              <w:rPr>
                <w:rFonts w:hint="eastAsia" w:ascii="宋体" w:hAnsi="宋体" w:eastAsia="宋体" w:cs="宋体"/>
                <w:color w:val="auto"/>
                <w:highlight w:val="none"/>
              </w:rPr>
              <w:t>维修手册、电气原理图、操作规范流程图、实操培训讲义、常见问题解答手册；并建立培训效果跟踪机制（如培训签到表、考核反馈表），确保培训落地见效。</w:t>
            </w:r>
          </w:p>
          <w:p w14:paraId="2EA2B5A4">
            <w:pPr>
              <w:keepNext w:val="0"/>
              <w:keepLines w:val="0"/>
              <w:pageBreakBefore w:val="0"/>
              <w:kinsoku/>
              <w:wordWrap/>
              <w:overflowPunct/>
              <w:topLinePunct w:val="0"/>
              <w:autoSpaceDE/>
              <w:autoSpaceDN/>
              <w:bidi w:val="0"/>
              <w:spacing w:line="400" w:lineRule="exact"/>
              <w:ind w:firstLine="420" w:firstLineChars="200"/>
              <w:textAlignment w:val="baseline"/>
              <w:rPr>
                <w:rFonts w:hint="eastAsia" w:ascii="宋体" w:hAnsi="宋体" w:eastAsia="宋体" w:cs="宋体"/>
                <w:color w:val="auto"/>
                <w:highlight w:val="none"/>
              </w:rPr>
            </w:pPr>
            <w:r>
              <w:rPr>
                <w:rFonts w:hint="eastAsia" w:ascii="宋体" w:hAnsi="宋体" w:cs="宋体"/>
                <w:color w:val="auto"/>
                <w:highlight w:val="none"/>
                <w:lang w:val="en-US" w:eastAsia="zh-CN"/>
              </w:rPr>
              <w:t>未</w:t>
            </w:r>
            <w:r>
              <w:rPr>
                <w:rFonts w:hint="eastAsia" w:ascii="宋体" w:hAnsi="宋体" w:eastAsia="宋体" w:cs="宋体"/>
                <w:color w:val="auto"/>
                <w:highlight w:val="none"/>
              </w:rPr>
              <w:t>提供或有明显错误的不得分。</w:t>
            </w:r>
          </w:p>
        </w:tc>
      </w:tr>
      <w:tr w14:paraId="350C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vAlign w:val="center"/>
          </w:tcPr>
          <w:p w14:paraId="680B4ECC">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auto"/>
                <w:sz w:val="21"/>
                <w:szCs w:val="21"/>
                <w:highlight w:val="none"/>
              </w:rPr>
            </w:pPr>
          </w:p>
        </w:tc>
        <w:tc>
          <w:tcPr>
            <w:tcW w:w="1119" w:type="dxa"/>
            <w:vMerge w:val="continue"/>
            <w:vAlign w:val="center"/>
          </w:tcPr>
          <w:p w14:paraId="3D4295B5">
            <w:pPr>
              <w:keepNext w:val="0"/>
              <w:keepLines w:val="0"/>
              <w:pageBreakBefore w:val="0"/>
              <w:kinsoku/>
              <w:wordWrap/>
              <w:overflowPunct/>
              <w:topLinePunct w:val="0"/>
              <w:autoSpaceDE/>
              <w:autoSpaceDN/>
              <w:bidi w:val="0"/>
              <w:adjustRightInd w:val="0"/>
              <w:spacing w:line="400" w:lineRule="exact"/>
              <w:ind w:left="-105" w:leftChars="-50" w:right="-105" w:rightChars="-50"/>
              <w:jc w:val="center"/>
              <w:textAlignment w:val="baseline"/>
              <w:rPr>
                <w:rFonts w:hint="eastAsia" w:ascii="宋体" w:hAnsi="宋体" w:eastAsia="宋体" w:cs="宋体"/>
                <w:bCs/>
                <w:color w:val="auto"/>
                <w:sz w:val="21"/>
                <w:szCs w:val="21"/>
                <w:highlight w:val="none"/>
              </w:rPr>
            </w:pPr>
          </w:p>
        </w:tc>
        <w:tc>
          <w:tcPr>
            <w:tcW w:w="1350" w:type="dxa"/>
            <w:vAlign w:val="center"/>
          </w:tcPr>
          <w:p w14:paraId="0220235C">
            <w:pPr>
              <w:keepNext w:val="0"/>
              <w:keepLines w:val="0"/>
              <w:pageBreakBefore w:val="0"/>
              <w:widowControl/>
              <w:kinsoku/>
              <w:wordWrap/>
              <w:overflowPunct/>
              <w:topLinePunct w:val="0"/>
              <w:autoSpaceDE/>
              <w:autoSpaceDN/>
              <w:bidi w:val="0"/>
              <w:snapToGrid w:val="0"/>
              <w:spacing w:line="40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2.</w:t>
            </w:r>
            <w:r>
              <w:rPr>
                <w:rFonts w:hint="eastAsia" w:ascii="宋体" w:hAnsi="宋体" w:cs="宋体"/>
                <w:b/>
                <w:bCs/>
                <w:color w:val="auto"/>
                <w:kern w:val="0"/>
                <w:sz w:val="21"/>
                <w:szCs w:val="21"/>
                <w:highlight w:val="none"/>
                <w:lang w:val="en-US" w:eastAsia="zh-CN"/>
              </w:rPr>
              <w:t>4</w:t>
            </w:r>
            <w:r>
              <w:rPr>
                <w:rFonts w:hint="eastAsia" w:ascii="宋体" w:hAnsi="宋体" w:eastAsia="宋体" w:cs="宋体"/>
                <w:b/>
                <w:bCs/>
                <w:color w:val="auto"/>
                <w:kern w:val="0"/>
                <w:sz w:val="21"/>
                <w:szCs w:val="21"/>
                <w:highlight w:val="none"/>
              </w:rPr>
              <w:t>售后服务分</w:t>
            </w:r>
            <w:r>
              <w:rPr>
                <w:rFonts w:hint="eastAsia" w:ascii="宋体" w:hAnsi="宋体" w:eastAsia="宋体" w:cs="宋体"/>
                <w:color w:val="auto"/>
                <w:kern w:val="0"/>
                <w:sz w:val="21"/>
                <w:szCs w:val="21"/>
                <w:highlight w:val="none"/>
              </w:rPr>
              <w:t>（满分</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分）</w:t>
            </w:r>
          </w:p>
        </w:tc>
        <w:tc>
          <w:tcPr>
            <w:tcW w:w="6824" w:type="dxa"/>
            <w:vAlign w:val="center"/>
          </w:tcPr>
          <w:p w14:paraId="77B5B889">
            <w:pPr>
              <w:keepNext w:val="0"/>
              <w:keepLines w:val="0"/>
              <w:pageBreakBefore w:val="0"/>
              <w:kinsoku/>
              <w:wordWrap/>
              <w:overflowPunct/>
              <w:topLinePunct w:val="0"/>
              <w:autoSpaceDE/>
              <w:autoSpaceDN/>
              <w:bidi w:val="0"/>
              <w:spacing w:line="400" w:lineRule="exact"/>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（1）售后服务承诺分（满分</w:t>
            </w:r>
            <w:r>
              <w:rPr>
                <w:rFonts w:hint="eastAsia" w:ascii="宋体" w:hAnsi="宋体" w:cs="宋体"/>
                <w:color w:val="auto"/>
                <w:highlight w:val="none"/>
                <w:lang w:val="en-US" w:eastAsia="zh-CN"/>
              </w:rPr>
              <w:t>9</w:t>
            </w:r>
            <w:r>
              <w:rPr>
                <w:rFonts w:hint="eastAsia" w:ascii="宋体" w:hAnsi="宋体" w:eastAsia="宋体" w:cs="宋体"/>
                <w:color w:val="auto"/>
                <w:highlight w:val="none"/>
              </w:rPr>
              <w:t>分）</w:t>
            </w:r>
          </w:p>
          <w:p w14:paraId="71494048">
            <w:pPr>
              <w:keepNext w:val="0"/>
              <w:keepLines w:val="0"/>
              <w:pageBreakBefore w:val="0"/>
              <w:kinsoku/>
              <w:wordWrap/>
              <w:overflowPunct/>
              <w:topLinePunct w:val="0"/>
              <w:autoSpaceDE/>
              <w:autoSpaceDN/>
              <w:bidi w:val="0"/>
              <w:spacing w:line="400" w:lineRule="exact"/>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一档（3分）</w:t>
            </w:r>
            <w:r>
              <w:rPr>
                <w:rFonts w:hint="eastAsia" w:ascii="宋体" w:hAnsi="宋体" w:cs="宋体"/>
                <w:color w:val="auto"/>
                <w:highlight w:val="none"/>
                <w:lang w:eastAsia="zh-CN"/>
              </w:rPr>
              <w:t>：</w:t>
            </w:r>
            <w:r>
              <w:rPr>
                <w:rFonts w:hint="eastAsia" w:ascii="宋体" w:hAnsi="宋体" w:eastAsia="宋体" w:cs="宋体"/>
                <w:color w:val="auto"/>
                <w:highlight w:val="none"/>
              </w:rPr>
              <w:t>售后服务方案包含技术人员投入计划（含安装调试技术支持 / 协助计划、拟派技术人员经验介绍）、售后服务承诺，耗材和备品备件配备充足，可满足零配件损坏的及时更换，符合履约条件。</w:t>
            </w:r>
          </w:p>
          <w:p w14:paraId="02F34A99">
            <w:pPr>
              <w:keepNext w:val="0"/>
              <w:keepLines w:val="0"/>
              <w:pageBreakBefore w:val="0"/>
              <w:kinsoku/>
              <w:wordWrap/>
              <w:overflowPunct/>
              <w:topLinePunct w:val="0"/>
              <w:autoSpaceDE/>
              <w:autoSpaceDN/>
              <w:bidi w:val="0"/>
              <w:spacing w:line="400" w:lineRule="exact"/>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二档（6分）</w:t>
            </w:r>
            <w:r>
              <w:rPr>
                <w:rFonts w:hint="eastAsia" w:ascii="宋体" w:hAnsi="宋体" w:cs="宋体"/>
                <w:color w:val="auto"/>
                <w:highlight w:val="none"/>
                <w:lang w:eastAsia="zh-CN"/>
              </w:rPr>
              <w:t>：</w:t>
            </w:r>
            <w:r>
              <w:rPr>
                <w:rFonts w:hint="eastAsia" w:ascii="宋体" w:hAnsi="宋体" w:eastAsia="宋体" w:cs="宋体"/>
                <w:color w:val="auto"/>
                <w:highlight w:val="none"/>
              </w:rPr>
              <w:t>在一档基础上，方案内容详实、有针对性；技术人员投入计划具体，拟派人员经验匹配项目需求；配套详细的售后服务管理制度、服务流程、应急预案及年度保养计划。</w:t>
            </w:r>
          </w:p>
          <w:p w14:paraId="45CA0BA7">
            <w:pPr>
              <w:keepNext w:val="0"/>
              <w:keepLines w:val="0"/>
              <w:pageBreakBefore w:val="0"/>
              <w:kinsoku/>
              <w:wordWrap/>
              <w:overflowPunct/>
              <w:topLinePunct w:val="0"/>
              <w:autoSpaceDE/>
              <w:autoSpaceDN/>
              <w:bidi w:val="0"/>
              <w:spacing w:line="400" w:lineRule="exact"/>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三档（9分）</w:t>
            </w:r>
            <w:r>
              <w:rPr>
                <w:rFonts w:hint="eastAsia" w:ascii="宋体" w:hAnsi="宋体" w:cs="宋体"/>
                <w:color w:val="auto"/>
                <w:highlight w:val="none"/>
                <w:lang w:eastAsia="zh-CN"/>
              </w:rPr>
              <w:t>：</w:t>
            </w:r>
            <w:r>
              <w:rPr>
                <w:rFonts w:hint="eastAsia" w:ascii="宋体" w:hAnsi="宋体" w:eastAsia="宋体" w:cs="宋体"/>
                <w:color w:val="auto"/>
                <w:highlight w:val="none"/>
              </w:rPr>
              <w:t>在二档基础上，方案保障</w:t>
            </w:r>
            <w:r>
              <w:rPr>
                <w:rFonts w:hint="eastAsia" w:ascii="宋体" w:hAnsi="宋体" w:cs="宋体"/>
                <w:color w:val="auto"/>
                <w:highlight w:val="none"/>
                <w:lang w:val="en-US" w:eastAsia="zh-CN"/>
              </w:rPr>
              <w:t>措施</w:t>
            </w:r>
            <w:r>
              <w:rPr>
                <w:rFonts w:hint="eastAsia" w:ascii="宋体" w:hAnsi="宋体" w:eastAsia="宋体" w:cs="宋体"/>
                <w:color w:val="auto"/>
                <w:highlight w:val="none"/>
              </w:rPr>
              <w:t>落地有效；技术人员投入有具体执行措施（如驻场时间、对接机制），相关安排有利于采购项目实施；故障处置可提供备用机或其他替代解决的具体措施，</w:t>
            </w:r>
            <w:r>
              <w:rPr>
                <w:rFonts w:hint="eastAsia"/>
                <w:color w:val="auto"/>
                <w:highlight w:val="none"/>
                <w:lang w:val="en-US" w:eastAsia="zh-CN"/>
              </w:rPr>
              <w:t>有</w:t>
            </w:r>
            <w:r>
              <w:rPr>
                <w:rFonts w:hint="eastAsia" w:ascii="宋体" w:hAnsi="宋体" w:eastAsia="宋体" w:cs="宋体"/>
                <w:color w:val="auto"/>
                <w:highlight w:val="none"/>
              </w:rPr>
              <w:t>质量保障方案；并提供适配本项目的合理性建议（如设备运维优化、耗材管理建议等）。</w:t>
            </w:r>
          </w:p>
          <w:p w14:paraId="5640100E">
            <w:pPr>
              <w:keepNext w:val="0"/>
              <w:keepLines w:val="0"/>
              <w:pageBreakBefore w:val="0"/>
              <w:kinsoku/>
              <w:wordWrap/>
              <w:overflowPunct/>
              <w:topLinePunct w:val="0"/>
              <w:autoSpaceDE/>
              <w:autoSpaceDN/>
              <w:bidi w:val="0"/>
              <w:spacing w:line="400" w:lineRule="exact"/>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未提供或有明显错误的不得分。</w:t>
            </w:r>
          </w:p>
          <w:p w14:paraId="41D29FD3">
            <w:pPr>
              <w:keepNext w:val="0"/>
              <w:keepLines w:val="0"/>
              <w:pageBreakBefore w:val="0"/>
              <w:kinsoku/>
              <w:wordWrap/>
              <w:overflowPunct/>
              <w:topLinePunct w:val="0"/>
              <w:autoSpaceDE/>
              <w:autoSpaceDN/>
              <w:bidi w:val="0"/>
              <w:spacing w:line="400" w:lineRule="exact"/>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（2）质保期（保修期）（满分</w:t>
            </w:r>
            <w:r>
              <w:rPr>
                <w:rFonts w:hint="eastAsia" w:ascii="宋体" w:hAnsi="宋体" w:cs="宋体"/>
                <w:color w:val="auto"/>
                <w:highlight w:val="none"/>
                <w:lang w:val="en-US" w:eastAsia="zh-CN"/>
              </w:rPr>
              <w:t>3</w:t>
            </w:r>
            <w:r>
              <w:rPr>
                <w:rFonts w:hint="eastAsia" w:ascii="宋体" w:hAnsi="宋体" w:eastAsia="宋体" w:cs="宋体"/>
                <w:color w:val="auto"/>
                <w:highlight w:val="none"/>
              </w:rPr>
              <w:t>分）</w:t>
            </w:r>
          </w:p>
          <w:p w14:paraId="670FA0B9">
            <w:pPr>
              <w:keepNext w:val="0"/>
              <w:keepLines w:val="0"/>
              <w:pageBreakBefore w:val="0"/>
              <w:kinsoku/>
              <w:wordWrap/>
              <w:overflowPunct/>
              <w:topLinePunct w:val="0"/>
              <w:autoSpaceDE/>
              <w:autoSpaceDN/>
              <w:bidi w:val="0"/>
              <w:spacing w:line="400" w:lineRule="exact"/>
              <w:ind w:firstLine="420" w:firstLineChars="20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在满足基本质保期（保修期）（3年）的基础上，免费保修期每延长6个月得0.5分（以核心产品生产厂家承诺为准，投标文件中提供厂家证明文件复印件加盖投标单位公章），满分</w:t>
            </w:r>
            <w:r>
              <w:rPr>
                <w:rFonts w:hint="eastAsia" w:ascii="宋体" w:hAnsi="宋体" w:cs="宋体"/>
                <w:color w:val="auto"/>
                <w:highlight w:val="none"/>
                <w:lang w:val="en-US" w:eastAsia="zh-CN"/>
              </w:rPr>
              <w:t>3</w:t>
            </w:r>
            <w:r>
              <w:rPr>
                <w:rFonts w:hint="eastAsia" w:ascii="宋体" w:hAnsi="宋体" w:eastAsia="宋体" w:cs="宋体"/>
                <w:color w:val="auto"/>
                <w:highlight w:val="none"/>
              </w:rPr>
              <w:t>分。</w:t>
            </w:r>
          </w:p>
        </w:tc>
      </w:tr>
      <w:tr w14:paraId="7E97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525" w:type="dxa"/>
            <w:vAlign w:val="center"/>
          </w:tcPr>
          <w:p w14:paraId="6BD4E75F">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p>
        </w:tc>
        <w:tc>
          <w:tcPr>
            <w:tcW w:w="1119" w:type="dxa"/>
            <w:vAlign w:val="center"/>
          </w:tcPr>
          <w:p w14:paraId="1F477BBE">
            <w:pPr>
              <w:keepNext w:val="0"/>
              <w:keepLines w:val="0"/>
              <w:pageBreakBefore w:val="0"/>
              <w:kinsoku/>
              <w:wordWrap/>
              <w:overflowPunct/>
              <w:topLinePunct w:val="0"/>
              <w:autoSpaceDE/>
              <w:autoSpaceDN/>
              <w:bidi w:val="0"/>
              <w:adjustRightInd w:val="0"/>
              <w:spacing w:line="400" w:lineRule="exact"/>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商务分</w:t>
            </w:r>
            <w:r>
              <w:rPr>
                <w:rFonts w:hint="eastAsia" w:ascii="宋体" w:hAnsi="宋体" w:eastAsia="宋体" w:cs="宋体"/>
                <w:bCs/>
                <w:color w:val="auto"/>
                <w:sz w:val="21"/>
                <w:szCs w:val="21"/>
                <w:highlight w:val="none"/>
              </w:rPr>
              <w:t>（满分</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tc>
        <w:tc>
          <w:tcPr>
            <w:tcW w:w="1350" w:type="dxa"/>
            <w:vAlign w:val="center"/>
          </w:tcPr>
          <w:p w14:paraId="6F1BF0AC">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1信誉及业绩分</w:t>
            </w:r>
            <w:r>
              <w:rPr>
                <w:rFonts w:hint="eastAsia" w:ascii="宋体" w:hAnsi="宋体" w:eastAsia="宋体" w:cs="宋体"/>
                <w:color w:val="auto"/>
                <w:sz w:val="21"/>
                <w:szCs w:val="21"/>
                <w:highlight w:val="none"/>
              </w:rPr>
              <w:t>（满分</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6824" w:type="dxa"/>
            <w:vAlign w:val="center"/>
          </w:tcPr>
          <w:p w14:paraId="32E81CCA">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（1）投标</w:t>
            </w:r>
            <w:r>
              <w:rPr>
                <w:rFonts w:hint="eastAsia" w:ascii="宋体" w:hAnsi="宋体" w:cs="宋体"/>
                <w:color w:val="auto"/>
                <w:kern w:val="0"/>
                <w:sz w:val="21"/>
                <w:szCs w:val="21"/>
                <w:highlight w:val="none"/>
                <w:lang w:val="en-US" w:eastAsia="zh-CN"/>
              </w:rPr>
              <w:t>产品制造商</w:t>
            </w:r>
            <w:r>
              <w:rPr>
                <w:rFonts w:hint="eastAsia" w:ascii="宋体" w:hAnsi="宋体" w:eastAsia="宋体" w:cs="宋体"/>
                <w:color w:val="auto"/>
                <w:kern w:val="0"/>
                <w:sz w:val="21"/>
                <w:szCs w:val="21"/>
                <w:highlight w:val="none"/>
                <w:lang w:val="en-US" w:eastAsia="zh-CN"/>
              </w:rPr>
              <w:t>通过ISO9001系列质量</w:t>
            </w:r>
            <w:r>
              <w:rPr>
                <w:rFonts w:hint="eastAsia" w:ascii="宋体" w:hAnsi="宋体" w:cs="宋体"/>
                <w:color w:val="auto"/>
                <w:kern w:val="0"/>
                <w:sz w:val="21"/>
                <w:szCs w:val="21"/>
                <w:highlight w:val="none"/>
                <w:lang w:val="en-US" w:eastAsia="zh-CN"/>
              </w:rPr>
              <w:t>管理</w:t>
            </w:r>
            <w:r>
              <w:rPr>
                <w:rFonts w:hint="eastAsia" w:ascii="宋体" w:hAnsi="宋体" w:eastAsia="宋体" w:cs="宋体"/>
                <w:color w:val="auto"/>
                <w:kern w:val="0"/>
                <w:sz w:val="21"/>
                <w:szCs w:val="21"/>
                <w:highlight w:val="none"/>
                <w:lang w:val="en-US" w:eastAsia="zh-CN"/>
              </w:rPr>
              <w:t>体系认证的，得</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分，满分</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w:t>
            </w:r>
          </w:p>
          <w:p w14:paraId="5E0B3A4C">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注：投标文件中提供有效的证书复印件（或扫描件）并加盖投标人电子签章，非中文文本的请提供中文翻译文本，否则不予以计分。</w:t>
            </w:r>
          </w:p>
          <w:p w14:paraId="7E0FB0BF">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（2）投标人2021年1月1日至今同类项目（</w:t>
            </w:r>
            <w:r>
              <w:rPr>
                <w:rFonts w:hint="eastAsia" w:ascii="宋体" w:hAnsi="宋体" w:cs="宋体"/>
                <w:color w:val="auto"/>
                <w:kern w:val="0"/>
                <w:sz w:val="21"/>
                <w:szCs w:val="21"/>
                <w:highlight w:val="none"/>
                <w:lang w:val="en-US" w:eastAsia="zh-CN"/>
              </w:rPr>
              <w:t>包括</w:t>
            </w:r>
            <w:r>
              <w:rPr>
                <w:rFonts w:hint="eastAsia" w:ascii="宋体" w:hAnsi="宋体" w:cs="宋体"/>
                <w:color w:val="auto"/>
                <w:kern w:val="0"/>
                <w:szCs w:val="21"/>
                <w:highlight w:val="none"/>
              </w:rPr>
              <w:t>本项目核心产品</w:t>
            </w:r>
            <w:r>
              <w:rPr>
                <w:rFonts w:hint="eastAsia" w:ascii="宋体" w:hAnsi="宋体" w:cs="宋体"/>
                <w:color w:val="auto"/>
                <w:kern w:val="0"/>
                <w:szCs w:val="21"/>
                <w:highlight w:val="none"/>
                <w:lang w:val="en-US" w:eastAsia="zh-CN"/>
              </w:rPr>
              <w:t>在内的</w:t>
            </w:r>
            <w:r>
              <w:rPr>
                <w:rFonts w:hint="eastAsia" w:ascii="宋体" w:hAnsi="宋体" w:cs="宋体"/>
                <w:color w:val="auto"/>
                <w:kern w:val="0"/>
                <w:szCs w:val="21"/>
                <w:highlight w:val="none"/>
              </w:rPr>
              <w:t>同类型设备的业绩</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同类设备</w:t>
            </w:r>
            <w:r>
              <w:rPr>
                <w:rFonts w:hint="eastAsia" w:ascii="宋体" w:hAnsi="宋体" w:cs="宋体"/>
                <w:color w:val="auto"/>
                <w:kern w:val="0"/>
                <w:szCs w:val="21"/>
                <w:highlight w:val="none"/>
                <w:lang w:val="en-US" w:eastAsia="zh-CN"/>
              </w:rPr>
              <w:t>指</w:t>
            </w:r>
            <w:r>
              <w:rPr>
                <w:rFonts w:hint="eastAsia" w:ascii="宋体" w:hAnsi="宋体" w:cs="宋体"/>
                <w:color w:val="auto"/>
                <w:kern w:val="0"/>
                <w:szCs w:val="21"/>
                <w:highlight w:val="none"/>
              </w:rPr>
              <w:t>适用于执业医师实践技能考试/医学专业教学</w:t>
            </w:r>
            <w:r>
              <w:rPr>
                <w:rFonts w:hint="eastAsia" w:ascii="宋体" w:hAnsi="宋体" w:cs="宋体"/>
                <w:color w:val="auto"/>
                <w:kern w:val="0"/>
                <w:szCs w:val="21"/>
                <w:highlight w:val="none"/>
                <w:lang w:val="en-US" w:eastAsia="zh-CN"/>
              </w:rPr>
              <w:t>的设备</w:t>
            </w:r>
            <w:r>
              <w:rPr>
                <w:rFonts w:hint="eastAsia" w:ascii="宋体" w:hAnsi="宋体" w:eastAsia="宋体" w:cs="宋体"/>
                <w:color w:val="auto"/>
                <w:kern w:val="0"/>
                <w:sz w:val="21"/>
                <w:szCs w:val="21"/>
                <w:highlight w:val="none"/>
                <w:lang w:val="en-US" w:eastAsia="zh-CN"/>
              </w:rPr>
              <w:t>）业绩，每有1项得0.5分，满分</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分。</w:t>
            </w:r>
          </w:p>
          <w:p w14:paraId="0A03B5DB">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注：投标文件中提供有效的中标</w:t>
            </w:r>
            <w:r>
              <w:rPr>
                <w:rFonts w:hint="eastAsia"/>
                <w:color w:val="auto"/>
                <w:highlight w:val="none"/>
                <w:lang w:eastAsia="zh-CN"/>
              </w:rPr>
              <w:t>（</w:t>
            </w:r>
            <w:r>
              <w:rPr>
                <w:rFonts w:hint="eastAsia"/>
                <w:color w:val="auto"/>
                <w:highlight w:val="none"/>
                <w:lang w:val="en-US" w:eastAsia="zh-CN"/>
              </w:rPr>
              <w:t>成交</w:t>
            </w:r>
            <w:r>
              <w:rPr>
                <w:rFonts w:hint="eastAsia"/>
                <w:color w:val="auto"/>
                <w:highlight w:val="none"/>
                <w:lang w:eastAsia="zh-CN"/>
              </w:rPr>
              <w:t>）</w:t>
            </w:r>
            <w:r>
              <w:rPr>
                <w:rFonts w:hint="eastAsia" w:ascii="宋体" w:hAnsi="宋体" w:eastAsia="宋体" w:cs="宋体"/>
                <w:color w:val="auto"/>
                <w:kern w:val="0"/>
                <w:sz w:val="21"/>
                <w:szCs w:val="21"/>
                <w:highlight w:val="none"/>
                <w:lang w:val="en-US" w:eastAsia="zh-CN"/>
              </w:rPr>
              <w:t>通知书或合同复印件（或扫描件）并加盖投标人电子签章，否则不予以计分。</w:t>
            </w:r>
          </w:p>
          <w:p w14:paraId="1B3D510A">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rPr>
                <w:rFonts w:hint="default" w:ascii="宋体" w:hAnsi="宋体" w:eastAsia="宋体" w:cs="宋体"/>
                <w:color w:val="auto"/>
                <w:kern w:val="0"/>
                <w:sz w:val="21"/>
                <w:szCs w:val="21"/>
                <w:highlight w:val="none"/>
                <w:lang w:val="en-US" w:eastAsia="zh-CN"/>
              </w:rPr>
            </w:pPr>
            <w:bookmarkStart w:id="324" w:name="_GoBack"/>
            <w:r>
              <w:rPr>
                <w:rFonts w:hint="eastAsia" w:ascii="宋体" w:hAnsi="宋体" w:cs="宋体"/>
                <w:color w:val="auto"/>
                <w:kern w:val="0"/>
                <w:sz w:val="21"/>
                <w:szCs w:val="21"/>
                <w:highlight w:val="none"/>
                <w:lang w:val="en-US" w:eastAsia="zh-CN"/>
              </w:rPr>
              <w:t>（3）提供</w:t>
            </w:r>
            <w:r>
              <w:rPr>
                <w:rFonts w:hint="eastAsia" w:ascii="宋体" w:hAnsi="宋体" w:eastAsia="宋体" w:cs="宋体"/>
                <w:color w:val="auto"/>
                <w:highlight w:val="none"/>
              </w:rPr>
              <w:t>生产厂家售后服务承诺书原件</w:t>
            </w:r>
            <w:r>
              <w:rPr>
                <w:rFonts w:hint="eastAsia" w:ascii="宋体" w:hAnsi="宋体" w:cs="宋体"/>
                <w:color w:val="auto"/>
                <w:highlight w:val="none"/>
                <w:lang w:val="en-US" w:eastAsia="zh-CN"/>
              </w:rPr>
              <w:t>的，得2分，满分2分。</w:t>
            </w:r>
            <w:bookmarkEnd w:id="324"/>
          </w:p>
        </w:tc>
      </w:tr>
      <w:tr w14:paraId="07DC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818" w:type="dxa"/>
            <w:gridSpan w:val="4"/>
            <w:vAlign w:val="center"/>
          </w:tcPr>
          <w:p w14:paraId="57B91C67">
            <w:pPr>
              <w:pStyle w:val="14"/>
              <w:keepNext w:val="0"/>
              <w:keepLines w:val="0"/>
              <w:pageBreakBefore w:val="0"/>
              <w:kinsoku/>
              <w:wordWrap/>
              <w:overflowPunct/>
              <w:topLinePunct w:val="0"/>
              <w:autoSpaceDE/>
              <w:autoSpaceDN/>
              <w:bidi w:val="0"/>
              <w:spacing w:line="400" w:lineRule="exact"/>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总得分=1+2+3。</w:t>
            </w:r>
          </w:p>
        </w:tc>
      </w:tr>
    </w:tbl>
    <w:p w14:paraId="150C782F">
      <w:pPr>
        <w:pStyle w:val="3"/>
        <w:spacing w:before="0" w:after="0" w:line="360" w:lineRule="auto"/>
        <w:jc w:val="center"/>
        <w:rPr>
          <w:rFonts w:hint="eastAsia" w:ascii="宋体" w:eastAsia="宋体" w:cs="宋体"/>
          <w:b w:val="0"/>
          <w:color w:val="auto"/>
          <w:sz w:val="30"/>
          <w:szCs w:val="30"/>
          <w:highlight w:val="none"/>
        </w:rPr>
      </w:pPr>
    </w:p>
    <w:p w14:paraId="74C9FF1C">
      <w:pPr>
        <w:pStyle w:val="3"/>
        <w:spacing w:before="0" w:after="0" w:line="360" w:lineRule="auto"/>
        <w:jc w:val="center"/>
        <w:rPr>
          <w:rFonts w:ascii="宋体" w:eastAsia="宋体" w:cs="宋体"/>
          <w:b w:val="0"/>
          <w:color w:val="auto"/>
          <w:sz w:val="30"/>
          <w:szCs w:val="30"/>
          <w:highlight w:val="none"/>
        </w:rPr>
      </w:pPr>
      <w:r>
        <w:rPr>
          <w:rFonts w:hint="eastAsia" w:ascii="宋体" w:eastAsia="宋体" w:cs="宋体"/>
          <w:b w:val="0"/>
          <w:color w:val="auto"/>
          <w:sz w:val="30"/>
          <w:szCs w:val="30"/>
          <w:highlight w:val="none"/>
        </w:rPr>
        <w:t>第四节 中标候选人推荐原则</w:t>
      </w:r>
      <w:bookmarkEnd w:id="238"/>
      <w:bookmarkEnd w:id="239"/>
      <w:bookmarkEnd w:id="240"/>
      <w:bookmarkEnd w:id="241"/>
      <w:bookmarkEnd w:id="242"/>
    </w:p>
    <w:p w14:paraId="33FAD0BB">
      <w:pPr>
        <w:pStyle w:val="14"/>
        <w:numPr>
          <w:ilvl w:val="0"/>
          <w:numId w:val="1"/>
        </w:numPr>
        <w:spacing w:line="360" w:lineRule="auto"/>
        <w:contextualSpacing/>
        <w:rPr>
          <w:rFonts w:cs="宋体"/>
          <w:b/>
          <w:bCs/>
          <w:color w:val="auto"/>
          <w:sz w:val="24"/>
          <w:szCs w:val="24"/>
          <w:highlight w:val="none"/>
        </w:rPr>
      </w:pPr>
      <w:r>
        <w:rPr>
          <w:rFonts w:hint="eastAsia" w:cs="宋体"/>
          <w:b/>
          <w:bCs/>
          <w:color w:val="auto"/>
          <w:sz w:val="24"/>
          <w:szCs w:val="24"/>
          <w:highlight w:val="none"/>
        </w:rPr>
        <w:t>综合评分法</w:t>
      </w:r>
    </w:p>
    <w:p w14:paraId="493B9801">
      <w:pPr>
        <w:pStyle w:val="14"/>
        <w:spacing w:line="360" w:lineRule="auto"/>
        <w:ind w:firstLine="420" w:firstLineChars="200"/>
        <w:rPr>
          <w:rFonts w:cs="宋体"/>
          <w:color w:val="auto"/>
          <w:highlight w:val="none"/>
        </w:rPr>
      </w:pPr>
      <w:r>
        <w:rPr>
          <w:rFonts w:hint="eastAsia" w:cs="宋体"/>
          <w:color w:val="auto"/>
          <w:highlight w:val="none"/>
        </w:rPr>
        <w:t>1.评标委员会将根据评审后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1CA3B9E4">
      <w:pPr>
        <w:pStyle w:val="14"/>
        <w:spacing w:line="360" w:lineRule="auto"/>
        <w:ind w:firstLine="420" w:firstLineChars="200"/>
        <w:rPr>
          <w:rFonts w:hint="eastAsia" w:cs="宋体"/>
          <w:color w:val="auto"/>
          <w:highlight w:val="none"/>
        </w:rPr>
      </w:pPr>
      <w:r>
        <w:rPr>
          <w:rFonts w:hint="eastAsia" w:cs="宋体"/>
          <w:color w:val="auto"/>
          <w:highlight w:val="none"/>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8.4条款的规定推荐，确定后其他同品牌投标人不作为中标候选人。</w:t>
      </w:r>
    </w:p>
    <w:p w14:paraId="7FC1F982">
      <w:pPr>
        <w:pStyle w:val="7"/>
        <w:rPr>
          <w:color w:val="auto"/>
          <w:highlight w:val="none"/>
        </w:rPr>
      </w:pPr>
    </w:p>
    <w:p w14:paraId="27CBF50D">
      <w:pPr>
        <w:pStyle w:val="3"/>
        <w:spacing w:before="0" w:after="0" w:line="360" w:lineRule="auto"/>
        <w:ind w:firstLine="600" w:firstLineChars="200"/>
        <w:jc w:val="center"/>
        <w:rPr>
          <w:rFonts w:ascii="宋体" w:eastAsia="宋体" w:cs="宋体"/>
          <w:b w:val="0"/>
          <w:color w:val="auto"/>
          <w:sz w:val="30"/>
          <w:szCs w:val="30"/>
          <w:highlight w:val="none"/>
        </w:rPr>
      </w:pPr>
      <w:bookmarkStart w:id="244" w:name="_Toc21738"/>
      <w:bookmarkStart w:id="245" w:name="_Toc671"/>
      <w:bookmarkStart w:id="246" w:name="_Toc8014"/>
      <w:bookmarkStart w:id="247" w:name="_Toc29998"/>
      <w:bookmarkStart w:id="248" w:name="_Toc24005"/>
      <w:r>
        <w:rPr>
          <w:rFonts w:hint="eastAsia" w:ascii="宋体" w:eastAsia="宋体" w:cs="宋体"/>
          <w:b w:val="0"/>
          <w:color w:val="auto"/>
          <w:sz w:val="30"/>
          <w:szCs w:val="30"/>
          <w:highlight w:val="none"/>
        </w:rPr>
        <w:t>第五节 评标报告</w:t>
      </w:r>
      <w:bookmarkEnd w:id="244"/>
      <w:bookmarkEnd w:id="245"/>
      <w:bookmarkEnd w:id="246"/>
      <w:bookmarkEnd w:id="247"/>
      <w:bookmarkEnd w:id="248"/>
    </w:p>
    <w:p w14:paraId="6AC8DAE7">
      <w:pPr>
        <w:pStyle w:val="55"/>
        <w:spacing w:before="0"/>
        <w:ind w:firstLine="482"/>
        <w:rPr>
          <w:rFonts w:ascii="宋体" w:cs="宋体"/>
          <w:b/>
          <w:bCs/>
          <w:color w:val="auto"/>
          <w:szCs w:val="24"/>
          <w:highlight w:val="none"/>
        </w:rPr>
      </w:pPr>
      <w:r>
        <w:rPr>
          <w:rFonts w:hint="eastAsia" w:ascii="宋体" w:cs="宋体"/>
          <w:b/>
          <w:bCs/>
          <w:color w:val="auto"/>
          <w:szCs w:val="24"/>
          <w:highlight w:val="none"/>
        </w:rPr>
        <w:t>（一）评标报告与推荐中标候选人</w:t>
      </w:r>
    </w:p>
    <w:p w14:paraId="4903F680">
      <w:pPr>
        <w:pStyle w:val="14"/>
        <w:tabs>
          <w:tab w:val="left" w:pos="2472"/>
        </w:tabs>
        <w:spacing w:line="360" w:lineRule="auto"/>
        <w:ind w:firstLine="420" w:firstLineChars="200"/>
        <w:rPr>
          <w:rFonts w:cs="宋体"/>
          <w:color w:val="auto"/>
          <w:highlight w:val="none"/>
        </w:rPr>
      </w:pPr>
      <w:r>
        <w:rPr>
          <w:rFonts w:hint="eastAsia" w:cs="宋体"/>
          <w:color w:val="auto"/>
          <w:highlight w:val="none"/>
        </w:rPr>
        <w:t>评标委员会根据原始评标记录和评标结果编写评标报告，并通过电子交易平台向采购人、采购代理机构提交。</w:t>
      </w:r>
    </w:p>
    <w:p w14:paraId="7AD1FE87">
      <w:pPr>
        <w:widowControl/>
        <w:spacing w:line="360" w:lineRule="auto"/>
        <w:ind w:firstLine="482" w:firstLineChars="200"/>
        <w:jc w:val="left"/>
        <w:rPr>
          <w:rFonts w:ascii="宋体" w:cs="宋体"/>
          <w:b/>
          <w:bCs/>
          <w:color w:val="auto"/>
          <w:sz w:val="24"/>
          <w:highlight w:val="none"/>
        </w:rPr>
      </w:pPr>
      <w:r>
        <w:rPr>
          <w:rFonts w:hint="eastAsia" w:ascii="宋体" w:cs="宋体"/>
          <w:b/>
          <w:bCs/>
          <w:color w:val="auto"/>
          <w:sz w:val="24"/>
          <w:highlight w:val="none"/>
        </w:rPr>
        <w:t>（二）评标争议事项处理</w:t>
      </w:r>
    </w:p>
    <w:p w14:paraId="3D993A5C">
      <w:pPr>
        <w:pStyle w:val="14"/>
        <w:tabs>
          <w:tab w:val="left" w:pos="2472"/>
        </w:tabs>
        <w:spacing w:line="360" w:lineRule="auto"/>
        <w:ind w:firstLine="420" w:firstLineChars="200"/>
        <w:rPr>
          <w:rFonts w:cs="宋体"/>
          <w:color w:val="auto"/>
          <w:highlight w:val="none"/>
        </w:rPr>
      </w:pPr>
      <w:r>
        <w:rPr>
          <w:rFonts w:hint="eastAsia" w:cs="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0F10FDF7">
      <w:pPr>
        <w:widowControl/>
        <w:jc w:val="left"/>
        <w:rPr>
          <w:rFonts w:ascii="宋体" w:cs="宋体"/>
          <w:b/>
          <w:color w:val="auto"/>
          <w:sz w:val="36"/>
          <w:szCs w:val="20"/>
          <w:highlight w:val="none"/>
        </w:rPr>
        <w:sectPr>
          <w:pgSz w:w="11906" w:h="16838"/>
          <w:pgMar w:top="1134" w:right="1134" w:bottom="1134" w:left="1134" w:header="720" w:footer="720" w:gutter="0"/>
          <w:cols w:space="720" w:num="1"/>
          <w:docGrid w:type="lines" w:linePitch="331" w:charSpace="0"/>
        </w:sectPr>
      </w:pPr>
    </w:p>
    <w:p w14:paraId="206EA9AE">
      <w:pPr>
        <w:pStyle w:val="14"/>
        <w:tabs>
          <w:tab w:val="left" w:pos="2472"/>
        </w:tabs>
        <w:spacing w:line="460" w:lineRule="exact"/>
        <w:jc w:val="center"/>
        <w:rPr>
          <w:rFonts w:cs="宋体"/>
          <w:b/>
          <w:color w:val="auto"/>
          <w:sz w:val="36"/>
          <w:highlight w:val="none"/>
        </w:rPr>
      </w:pPr>
    </w:p>
    <w:p w14:paraId="42764EEC">
      <w:pPr>
        <w:pStyle w:val="14"/>
        <w:tabs>
          <w:tab w:val="left" w:pos="2472"/>
        </w:tabs>
        <w:spacing w:line="460" w:lineRule="exact"/>
        <w:jc w:val="center"/>
        <w:rPr>
          <w:rFonts w:cs="宋体"/>
          <w:b/>
          <w:color w:val="auto"/>
          <w:sz w:val="36"/>
          <w:highlight w:val="none"/>
        </w:rPr>
      </w:pPr>
    </w:p>
    <w:p w14:paraId="03BE866D">
      <w:pPr>
        <w:pStyle w:val="14"/>
        <w:tabs>
          <w:tab w:val="left" w:pos="2472"/>
        </w:tabs>
        <w:spacing w:line="460" w:lineRule="exact"/>
        <w:jc w:val="center"/>
        <w:rPr>
          <w:rFonts w:cs="宋体"/>
          <w:b/>
          <w:color w:val="auto"/>
          <w:sz w:val="36"/>
          <w:highlight w:val="none"/>
        </w:rPr>
      </w:pPr>
    </w:p>
    <w:p w14:paraId="7786C1F5">
      <w:pPr>
        <w:pStyle w:val="14"/>
        <w:tabs>
          <w:tab w:val="left" w:pos="2472"/>
        </w:tabs>
        <w:spacing w:line="460" w:lineRule="exact"/>
        <w:jc w:val="center"/>
        <w:rPr>
          <w:rFonts w:cs="宋体"/>
          <w:b/>
          <w:color w:val="auto"/>
          <w:sz w:val="36"/>
          <w:highlight w:val="none"/>
        </w:rPr>
      </w:pPr>
    </w:p>
    <w:p w14:paraId="435D6C28">
      <w:pPr>
        <w:pStyle w:val="14"/>
        <w:tabs>
          <w:tab w:val="left" w:pos="2472"/>
        </w:tabs>
        <w:spacing w:line="460" w:lineRule="exact"/>
        <w:jc w:val="center"/>
        <w:rPr>
          <w:rFonts w:cs="宋体"/>
          <w:b/>
          <w:color w:val="auto"/>
          <w:sz w:val="36"/>
          <w:highlight w:val="none"/>
        </w:rPr>
      </w:pPr>
    </w:p>
    <w:p w14:paraId="702F3936">
      <w:pPr>
        <w:pStyle w:val="14"/>
        <w:tabs>
          <w:tab w:val="left" w:pos="2472"/>
        </w:tabs>
        <w:spacing w:line="460" w:lineRule="exact"/>
        <w:jc w:val="center"/>
        <w:rPr>
          <w:rFonts w:cs="宋体"/>
          <w:b/>
          <w:color w:val="auto"/>
          <w:sz w:val="36"/>
          <w:highlight w:val="none"/>
        </w:rPr>
      </w:pPr>
    </w:p>
    <w:p w14:paraId="4356B058">
      <w:pPr>
        <w:pStyle w:val="14"/>
        <w:tabs>
          <w:tab w:val="left" w:pos="2472"/>
        </w:tabs>
        <w:spacing w:line="460" w:lineRule="exact"/>
        <w:jc w:val="center"/>
        <w:rPr>
          <w:rFonts w:cs="宋体"/>
          <w:b/>
          <w:color w:val="auto"/>
          <w:sz w:val="36"/>
          <w:highlight w:val="none"/>
        </w:rPr>
      </w:pPr>
    </w:p>
    <w:p w14:paraId="44FA74C9">
      <w:pPr>
        <w:pStyle w:val="14"/>
        <w:tabs>
          <w:tab w:val="left" w:pos="2472"/>
        </w:tabs>
        <w:spacing w:line="460" w:lineRule="exact"/>
        <w:jc w:val="center"/>
        <w:rPr>
          <w:rFonts w:cs="宋体"/>
          <w:b/>
          <w:color w:val="auto"/>
          <w:sz w:val="36"/>
          <w:highlight w:val="none"/>
        </w:rPr>
      </w:pPr>
    </w:p>
    <w:p w14:paraId="173C4095">
      <w:pPr>
        <w:pStyle w:val="14"/>
        <w:tabs>
          <w:tab w:val="left" w:pos="2472"/>
        </w:tabs>
        <w:spacing w:line="460" w:lineRule="exact"/>
        <w:jc w:val="center"/>
        <w:rPr>
          <w:rFonts w:cs="宋体"/>
          <w:b/>
          <w:color w:val="auto"/>
          <w:sz w:val="36"/>
          <w:highlight w:val="none"/>
        </w:rPr>
      </w:pPr>
    </w:p>
    <w:p w14:paraId="7FA87BF5">
      <w:pPr>
        <w:pStyle w:val="14"/>
        <w:tabs>
          <w:tab w:val="left" w:pos="2472"/>
        </w:tabs>
        <w:spacing w:line="460" w:lineRule="exact"/>
        <w:jc w:val="center"/>
        <w:rPr>
          <w:rFonts w:cs="宋体"/>
          <w:b/>
          <w:color w:val="auto"/>
          <w:sz w:val="36"/>
          <w:highlight w:val="none"/>
        </w:rPr>
      </w:pPr>
    </w:p>
    <w:p w14:paraId="143CE387">
      <w:pPr>
        <w:pStyle w:val="14"/>
        <w:tabs>
          <w:tab w:val="left" w:pos="2472"/>
        </w:tabs>
        <w:spacing w:line="460" w:lineRule="exact"/>
        <w:jc w:val="center"/>
        <w:rPr>
          <w:rFonts w:cs="宋体"/>
          <w:b/>
          <w:color w:val="auto"/>
          <w:sz w:val="36"/>
          <w:highlight w:val="none"/>
        </w:rPr>
      </w:pPr>
    </w:p>
    <w:p w14:paraId="7223A56D">
      <w:pPr>
        <w:pStyle w:val="14"/>
        <w:tabs>
          <w:tab w:val="left" w:pos="2472"/>
        </w:tabs>
        <w:spacing w:line="460" w:lineRule="exact"/>
        <w:jc w:val="center"/>
        <w:rPr>
          <w:rFonts w:cs="宋体"/>
          <w:b/>
          <w:color w:val="auto"/>
          <w:sz w:val="36"/>
          <w:highlight w:val="none"/>
        </w:rPr>
      </w:pPr>
    </w:p>
    <w:p w14:paraId="4C855CF3">
      <w:pPr>
        <w:pStyle w:val="14"/>
        <w:tabs>
          <w:tab w:val="left" w:pos="2472"/>
        </w:tabs>
        <w:spacing w:line="460" w:lineRule="exact"/>
        <w:jc w:val="center"/>
        <w:rPr>
          <w:rFonts w:cs="宋体"/>
          <w:b/>
          <w:color w:val="auto"/>
          <w:sz w:val="36"/>
          <w:highlight w:val="none"/>
        </w:rPr>
      </w:pPr>
    </w:p>
    <w:p w14:paraId="2256DA55">
      <w:pPr>
        <w:pStyle w:val="14"/>
        <w:tabs>
          <w:tab w:val="left" w:pos="2472"/>
        </w:tabs>
        <w:spacing w:line="460" w:lineRule="exact"/>
        <w:jc w:val="center"/>
        <w:outlineLvl w:val="0"/>
        <w:rPr>
          <w:rFonts w:cs="宋体"/>
          <w:b/>
          <w:color w:val="auto"/>
          <w:sz w:val="36"/>
          <w:highlight w:val="none"/>
        </w:rPr>
      </w:pPr>
      <w:bookmarkStart w:id="249" w:name="_Toc14956"/>
      <w:bookmarkStart w:id="250" w:name="_Toc24905"/>
      <w:bookmarkStart w:id="251" w:name="_Toc1169"/>
      <w:bookmarkStart w:id="252" w:name="_Toc14385"/>
      <w:bookmarkStart w:id="253" w:name="_Toc30669"/>
      <w:bookmarkStart w:id="254" w:name="_Toc3231"/>
      <w:bookmarkStart w:id="255" w:name="_Toc27349"/>
      <w:bookmarkStart w:id="256" w:name="_Toc15462"/>
      <w:bookmarkStart w:id="257" w:name="_Toc1174"/>
      <w:bookmarkStart w:id="258" w:name="_Toc5426"/>
      <w:bookmarkStart w:id="259" w:name="_Toc17443"/>
      <w:r>
        <w:rPr>
          <w:rFonts w:hint="eastAsia" w:cs="宋体"/>
          <w:b/>
          <w:color w:val="auto"/>
          <w:sz w:val="36"/>
          <w:highlight w:val="none"/>
        </w:rPr>
        <w:t>第五章 拟签订的合同文本</w:t>
      </w:r>
      <w:bookmarkEnd w:id="249"/>
      <w:bookmarkEnd w:id="250"/>
      <w:bookmarkEnd w:id="251"/>
      <w:bookmarkEnd w:id="252"/>
      <w:bookmarkEnd w:id="253"/>
      <w:bookmarkEnd w:id="254"/>
      <w:bookmarkEnd w:id="255"/>
      <w:bookmarkEnd w:id="256"/>
      <w:bookmarkEnd w:id="257"/>
      <w:bookmarkEnd w:id="258"/>
      <w:bookmarkEnd w:id="259"/>
    </w:p>
    <w:p w14:paraId="07D21B44">
      <w:pPr>
        <w:widowControl/>
        <w:jc w:val="left"/>
        <w:rPr>
          <w:rFonts w:ascii="宋体" w:cs="宋体"/>
          <w:bCs/>
          <w:color w:val="auto"/>
          <w:szCs w:val="20"/>
          <w:highlight w:val="none"/>
        </w:rPr>
        <w:sectPr>
          <w:pgSz w:w="11906" w:h="16838"/>
          <w:pgMar w:top="1134" w:right="1134" w:bottom="1134" w:left="1134" w:header="720" w:footer="720" w:gutter="0"/>
          <w:cols w:space="720" w:num="1"/>
          <w:docGrid w:type="lines" w:linePitch="331" w:charSpace="0"/>
        </w:sectPr>
      </w:pPr>
    </w:p>
    <w:p w14:paraId="233F6B79">
      <w:pPr>
        <w:snapToGrid w:val="0"/>
        <w:jc w:val="center"/>
        <w:rPr>
          <w:rFonts w:hint="eastAsia" w:ascii="宋体" w:hAnsi="宋体"/>
          <w:b/>
          <w:bCs/>
          <w:color w:val="auto"/>
          <w:sz w:val="32"/>
          <w:szCs w:val="32"/>
          <w:highlight w:val="none"/>
        </w:rPr>
      </w:pPr>
      <w:r>
        <w:rPr>
          <w:rFonts w:hint="eastAsia" w:ascii="宋体" w:hAnsi="宋体"/>
          <w:b/>
          <w:bCs/>
          <w:color w:val="auto"/>
          <w:sz w:val="32"/>
          <w:szCs w:val="32"/>
          <w:highlight w:val="none"/>
        </w:rPr>
        <w:t>《广西壮族自治区政府采购合同》</w:t>
      </w:r>
      <w:r>
        <w:rPr>
          <w:rFonts w:hint="eastAsia" w:ascii="宋体" w:hAnsi="宋体"/>
          <w:b/>
          <w:color w:val="auto"/>
          <w:sz w:val="32"/>
          <w:szCs w:val="32"/>
          <w:highlight w:val="none"/>
        </w:rPr>
        <w:t>文本</w:t>
      </w:r>
    </w:p>
    <w:p w14:paraId="656ED539">
      <w:pPr>
        <w:snapToGrid w:val="0"/>
        <w:spacing w:line="400" w:lineRule="exact"/>
        <w:ind w:right="480" w:firstLine="5250" w:firstLineChars="2500"/>
        <w:rPr>
          <w:rFonts w:hint="eastAsia" w:ascii="宋体" w:hAnsi="宋体"/>
          <w:bCs/>
          <w:color w:val="auto"/>
          <w:szCs w:val="21"/>
          <w:highlight w:val="none"/>
          <w:u w:val="single"/>
        </w:rPr>
      </w:pPr>
      <w:r>
        <w:rPr>
          <w:rFonts w:hint="eastAsia" w:ascii="宋体" w:hAnsi="宋体"/>
          <w:bCs/>
          <w:color w:val="auto"/>
          <w:szCs w:val="21"/>
          <w:highlight w:val="none"/>
        </w:rPr>
        <w:t>合同编号：</w:t>
      </w:r>
    </w:p>
    <w:p w14:paraId="4F73141A">
      <w:pPr>
        <w:snapToGrid w:val="0"/>
        <w:spacing w:line="360" w:lineRule="exact"/>
        <w:rPr>
          <w:rFonts w:hint="eastAsia" w:ascii="宋体" w:hAnsi="宋体"/>
          <w:color w:val="auto"/>
          <w:szCs w:val="21"/>
          <w:highlight w:val="none"/>
        </w:rPr>
      </w:pPr>
    </w:p>
    <w:p w14:paraId="5C0C00A1">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采购人（甲方）：</w:t>
      </w:r>
      <w:r>
        <w:rPr>
          <w:rFonts w:hint="eastAsia" w:ascii="宋体" w:hAnsi="宋体"/>
          <w:color w:val="auto"/>
          <w:szCs w:val="21"/>
          <w:highlight w:val="none"/>
          <w:u w:val="single"/>
        </w:rPr>
        <w:t xml:space="preserve">广西医科大学附属口腔医院 </w:t>
      </w:r>
    </w:p>
    <w:p w14:paraId="18D26199">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供应商（乙方）：</w:t>
      </w:r>
      <w:r>
        <w:rPr>
          <w:rFonts w:hint="eastAsia" w:ascii="宋体" w:hAnsi="宋体"/>
          <w:color w:val="auto"/>
          <w:szCs w:val="21"/>
          <w:highlight w:val="none"/>
          <w:u w:val="single"/>
        </w:rPr>
        <w:t xml:space="preserve">                          </w:t>
      </w:r>
    </w:p>
    <w:p w14:paraId="2C16701B">
      <w:pPr>
        <w:snapToGrid w:val="0"/>
        <w:spacing w:line="360" w:lineRule="auto"/>
        <w:rPr>
          <w:rFonts w:hint="eastAsia" w:ascii="宋体" w:hAnsi="宋体"/>
          <w:color w:val="auto"/>
          <w:szCs w:val="21"/>
          <w:highlight w:val="none"/>
          <w:u w:val="single"/>
        </w:rPr>
      </w:pPr>
      <w:r>
        <w:rPr>
          <w:rFonts w:hint="eastAsia" w:ascii="宋体" w:hAnsi="宋体"/>
          <w:color w:val="auto"/>
          <w:spacing w:val="-20"/>
          <w:szCs w:val="21"/>
          <w:highlight w:val="none"/>
        </w:rPr>
        <w:t>采 购 计 划 号：</w:t>
      </w:r>
      <w:r>
        <w:rPr>
          <w:rFonts w:hint="eastAsia" w:ascii="宋体" w:hAnsi="宋体"/>
          <w:color w:val="auto"/>
          <w:szCs w:val="21"/>
          <w:highlight w:val="none"/>
          <w:u w:val="single"/>
        </w:rPr>
        <w:t xml:space="preserve">                         </w:t>
      </w:r>
    </w:p>
    <w:p w14:paraId="157DDB7C">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p>
    <w:p w14:paraId="596F9AAF">
      <w:pPr>
        <w:snapToGrid w:val="0"/>
        <w:spacing w:line="360" w:lineRule="auto"/>
        <w:rPr>
          <w:rFonts w:hint="eastAsia" w:ascii="宋体" w:hAnsi="宋体"/>
          <w:color w:val="auto"/>
          <w:highlight w:val="none"/>
          <w:u w:val="single"/>
        </w:rPr>
      </w:pPr>
      <w:r>
        <w:rPr>
          <w:rFonts w:hint="eastAsia" w:ascii="宋体" w:hAnsi="宋体"/>
          <w:color w:val="auto"/>
          <w:szCs w:val="21"/>
          <w:highlight w:val="none"/>
        </w:rPr>
        <w:t>合同</w:t>
      </w:r>
      <w:r>
        <w:rPr>
          <w:rFonts w:hint="eastAsia" w:ascii="宋体" w:hAnsi="宋体"/>
          <w:color w:val="auto"/>
          <w:highlight w:val="none"/>
        </w:rPr>
        <w:t>类型：</w:t>
      </w:r>
      <w:r>
        <w:rPr>
          <w:rFonts w:hint="eastAsia" w:ascii="宋体" w:hAnsi="宋体"/>
          <w:color w:val="auto"/>
          <w:highlight w:val="none"/>
          <w:u w:val="single"/>
        </w:rPr>
        <w:t>买卖合同</w:t>
      </w:r>
    </w:p>
    <w:p w14:paraId="7DDD6235">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本合同为中小企业预留合同：</w:t>
      </w:r>
      <w:r>
        <w:rPr>
          <w:rFonts w:hint="eastAsia" w:ascii="宋体" w:hAnsi="宋体"/>
          <w:color w:val="auto"/>
          <w:szCs w:val="21"/>
          <w:highlight w:val="none"/>
          <w:u w:val="single"/>
        </w:rPr>
        <w:t>否</w:t>
      </w:r>
      <w:r>
        <w:rPr>
          <w:rFonts w:hint="eastAsia" w:ascii="宋体" w:hAnsi="宋体"/>
          <w:color w:val="auto"/>
          <w:szCs w:val="21"/>
          <w:highlight w:val="none"/>
        </w:rPr>
        <w:t>。</w:t>
      </w:r>
    </w:p>
    <w:p w14:paraId="5CBD92C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根据《中华人民共和国政府采购法》、《政府采购货物和服务招标投标管理办法》、《中华人民共和国民法典》等法律、法规规定，按照招标文件规定条款和乙方投标文件及其承诺，甲乙双方签订本合同。</w:t>
      </w:r>
    </w:p>
    <w:p w14:paraId="5CC6920E">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第一条　合同标的</w:t>
      </w:r>
    </w:p>
    <w:p w14:paraId="055AF80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供货一览表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273"/>
        <w:gridCol w:w="1094"/>
        <w:gridCol w:w="1273"/>
        <w:gridCol w:w="1249"/>
        <w:gridCol w:w="938"/>
        <w:gridCol w:w="690"/>
        <w:gridCol w:w="978"/>
        <w:gridCol w:w="1626"/>
      </w:tblGrid>
      <w:tr w14:paraId="113D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372" w:type="pct"/>
            <w:noWrap w:val="0"/>
            <w:vAlign w:val="center"/>
          </w:tcPr>
          <w:p w14:paraId="2DFF0AA1">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序号</w:t>
            </w:r>
          </w:p>
        </w:tc>
        <w:tc>
          <w:tcPr>
            <w:tcW w:w="646" w:type="pct"/>
            <w:noWrap w:val="0"/>
            <w:vAlign w:val="center"/>
          </w:tcPr>
          <w:p w14:paraId="2933E040">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标的名称</w:t>
            </w:r>
          </w:p>
        </w:tc>
        <w:tc>
          <w:tcPr>
            <w:tcW w:w="555" w:type="pct"/>
            <w:noWrap w:val="0"/>
            <w:vAlign w:val="center"/>
          </w:tcPr>
          <w:p w14:paraId="0A105AF1">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商标品牌</w:t>
            </w:r>
          </w:p>
        </w:tc>
        <w:tc>
          <w:tcPr>
            <w:tcW w:w="646" w:type="pct"/>
            <w:noWrap w:val="0"/>
            <w:vAlign w:val="center"/>
          </w:tcPr>
          <w:p w14:paraId="65CDE8AB">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规格型号</w:t>
            </w:r>
          </w:p>
        </w:tc>
        <w:tc>
          <w:tcPr>
            <w:tcW w:w="634" w:type="pct"/>
            <w:noWrap w:val="0"/>
            <w:vAlign w:val="center"/>
          </w:tcPr>
          <w:p w14:paraId="78DEAB42">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生产厂家</w:t>
            </w:r>
          </w:p>
        </w:tc>
        <w:tc>
          <w:tcPr>
            <w:tcW w:w="476" w:type="pct"/>
            <w:noWrap w:val="0"/>
            <w:vAlign w:val="center"/>
          </w:tcPr>
          <w:p w14:paraId="79BBE2DF">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数  量</w:t>
            </w:r>
          </w:p>
        </w:tc>
        <w:tc>
          <w:tcPr>
            <w:tcW w:w="350" w:type="pct"/>
            <w:noWrap w:val="0"/>
            <w:vAlign w:val="center"/>
          </w:tcPr>
          <w:p w14:paraId="6C05E25F">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单位</w:t>
            </w:r>
          </w:p>
        </w:tc>
        <w:tc>
          <w:tcPr>
            <w:tcW w:w="496" w:type="pct"/>
            <w:noWrap w:val="0"/>
            <w:vAlign w:val="center"/>
          </w:tcPr>
          <w:p w14:paraId="6F296A43">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单  价</w:t>
            </w:r>
          </w:p>
          <w:p w14:paraId="7C4486C1">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（元）</w:t>
            </w:r>
          </w:p>
        </w:tc>
        <w:tc>
          <w:tcPr>
            <w:tcW w:w="824" w:type="pct"/>
            <w:noWrap w:val="0"/>
            <w:vAlign w:val="center"/>
          </w:tcPr>
          <w:p w14:paraId="680A2E7F">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金  额</w:t>
            </w:r>
          </w:p>
          <w:p w14:paraId="29E6E74C">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（元）</w:t>
            </w:r>
          </w:p>
        </w:tc>
      </w:tr>
      <w:tr w14:paraId="4BDF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372" w:type="pct"/>
            <w:noWrap w:val="0"/>
            <w:vAlign w:val="center"/>
          </w:tcPr>
          <w:p w14:paraId="423DA142">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w:t>
            </w:r>
          </w:p>
        </w:tc>
        <w:tc>
          <w:tcPr>
            <w:tcW w:w="646" w:type="pct"/>
            <w:noWrap w:val="0"/>
            <w:vAlign w:val="center"/>
          </w:tcPr>
          <w:p w14:paraId="6EBA9DD3">
            <w:pPr>
              <w:snapToGrid w:val="0"/>
              <w:spacing w:line="400" w:lineRule="exact"/>
              <w:jc w:val="center"/>
              <w:rPr>
                <w:rFonts w:ascii="宋体" w:hAnsi="宋体"/>
                <w:color w:val="auto"/>
                <w:szCs w:val="21"/>
                <w:highlight w:val="none"/>
              </w:rPr>
            </w:pPr>
          </w:p>
        </w:tc>
        <w:tc>
          <w:tcPr>
            <w:tcW w:w="555" w:type="pct"/>
            <w:noWrap w:val="0"/>
            <w:vAlign w:val="center"/>
          </w:tcPr>
          <w:p w14:paraId="428D440C">
            <w:pPr>
              <w:spacing w:line="400" w:lineRule="exact"/>
              <w:jc w:val="center"/>
              <w:rPr>
                <w:rFonts w:ascii="宋体" w:hAnsi="宋体"/>
                <w:color w:val="auto"/>
                <w:szCs w:val="21"/>
                <w:highlight w:val="none"/>
              </w:rPr>
            </w:pPr>
          </w:p>
        </w:tc>
        <w:tc>
          <w:tcPr>
            <w:tcW w:w="646" w:type="pct"/>
            <w:noWrap w:val="0"/>
            <w:vAlign w:val="center"/>
          </w:tcPr>
          <w:p w14:paraId="3B37E985">
            <w:pPr>
              <w:spacing w:line="400" w:lineRule="exact"/>
              <w:jc w:val="center"/>
              <w:rPr>
                <w:rFonts w:ascii="宋体" w:hAnsi="宋体"/>
                <w:color w:val="auto"/>
                <w:szCs w:val="21"/>
                <w:highlight w:val="none"/>
              </w:rPr>
            </w:pPr>
          </w:p>
        </w:tc>
        <w:tc>
          <w:tcPr>
            <w:tcW w:w="634" w:type="pct"/>
            <w:noWrap w:val="0"/>
            <w:vAlign w:val="top"/>
          </w:tcPr>
          <w:p w14:paraId="3A9CDA99">
            <w:pPr>
              <w:snapToGrid w:val="0"/>
              <w:spacing w:line="400" w:lineRule="exact"/>
              <w:jc w:val="center"/>
              <w:rPr>
                <w:rFonts w:ascii="宋体" w:hAnsi="宋体"/>
                <w:color w:val="auto"/>
                <w:szCs w:val="21"/>
                <w:highlight w:val="none"/>
              </w:rPr>
            </w:pPr>
          </w:p>
        </w:tc>
        <w:tc>
          <w:tcPr>
            <w:tcW w:w="476" w:type="pct"/>
            <w:noWrap w:val="0"/>
            <w:vAlign w:val="center"/>
          </w:tcPr>
          <w:p w14:paraId="309B179B">
            <w:pPr>
              <w:snapToGrid w:val="0"/>
              <w:spacing w:line="400" w:lineRule="exact"/>
              <w:jc w:val="center"/>
              <w:rPr>
                <w:rFonts w:ascii="宋体" w:hAnsi="宋体"/>
                <w:color w:val="auto"/>
                <w:szCs w:val="21"/>
                <w:highlight w:val="none"/>
              </w:rPr>
            </w:pPr>
          </w:p>
        </w:tc>
        <w:tc>
          <w:tcPr>
            <w:tcW w:w="350" w:type="pct"/>
            <w:noWrap w:val="0"/>
            <w:vAlign w:val="center"/>
          </w:tcPr>
          <w:p w14:paraId="2B5E0909">
            <w:pPr>
              <w:snapToGrid w:val="0"/>
              <w:spacing w:line="400" w:lineRule="exact"/>
              <w:jc w:val="center"/>
              <w:rPr>
                <w:rFonts w:ascii="宋体" w:hAnsi="宋体"/>
                <w:color w:val="auto"/>
                <w:szCs w:val="21"/>
                <w:highlight w:val="none"/>
              </w:rPr>
            </w:pPr>
          </w:p>
        </w:tc>
        <w:tc>
          <w:tcPr>
            <w:tcW w:w="496" w:type="pct"/>
            <w:noWrap w:val="0"/>
            <w:vAlign w:val="center"/>
          </w:tcPr>
          <w:p w14:paraId="2CE0AD78">
            <w:pPr>
              <w:snapToGrid w:val="0"/>
              <w:spacing w:line="400" w:lineRule="exact"/>
              <w:jc w:val="center"/>
              <w:rPr>
                <w:rFonts w:ascii="宋体" w:hAnsi="宋体"/>
                <w:color w:val="auto"/>
                <w:szCs w:val="21"/>
                <w:highlight w:val="none"/>
              </w:rPr>
            </w:pPr>
          </w:p>
        </w:tc>
        <w:tc>
          <w:tcPr>
            <w:tcW w:w="824" w:type="pct"/>
            <w:noWrap w:val="0"/>
            <w:vAlign w:val="center"/>
          </w:tcPr>
          <w:p w14:paraId="57CFB818">
            <w:pPr>
              <w:snapToGrid w:val="0"/>
              <w:spacing w:line="400" w:lineRule="exact"/>
              <w:jc w:val="center"/>
              <w:rPr>
                <w:rFonts w:ascii="宋体" w:hAnsi="宋体"/>
                <w:color w:val="auto"/>
                <w:szCs w:val="21"/>
                <w:highlight w:val="none"/>
              </w:rPr>
            </w:pPr>
          </w:p>
        </w:tc>
      </w:tr>
      <w:tr w14:paraId="2DB9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372" w:type="pct"/>
            <w:noWrap w:val="0"/>
            <w:vAlign w:val="center"/>
          </w:tcPr>
          <w:p w14:paraId="61288388">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2</w:t>
            </w:r>
          </w:p>
        </w:tc>
        <w:tc>
          <w:tcPr>
            <w:tcW w:w="646" w:type="pct"/>
            <w:noWrap w:val="0"/>
            <w:vAlign w:val="center"/>
          </w:tcPr>
          <w:p w14:paraId="64521FA1">
            <w:pPr>
              <w:snapToGrid w:val="0"/>
              <w:spacing w:line="400" w:lineRule="exact"/>
              <w:jc w:val="center"/>
              <w:rPr>
                <w:rFonts w:ascii="宋体" w:hAnsi="宋体"/>
                <w:color w:val="auto"/>
                <w:szCs w:val="21"/>
                <w:highlight w:val="none"/>
              </w:rPr>
            </w:pPr>
          </w:p>
        </w:tc>
        <w:tc>
          <w:tcPr>
            <w:tcW w:w="555" w:type="pct"/>
            <w:noWrap w:val="0"/>
            <w:vAlign w:val="center"/>
          </w:tcPr>
          <w:p w14:paraId="0920EA87">
            <w:pPr>
              <w:spacing w:line="400" w:lineRule="exact"/>
              <w:jc w:val="center"/>
              <w:rPr>
                <w:rFonts w:ascii="宋体" w:hAnsi="宋体"/>
                <w:color w:val="auto"/>
                <w:szCs w:val="21"/>
                <w:highlight w:val="none"/>
              </w:rPr>
            </w:pPr>
          </w:p>
        </w:tc>
        <w:tc>
          <w:tcPr>
            <w:tcW w:w="646" w:type="pct"/>
            <w:noWrap w:val="0"/>
            <w:vAlign w:val="center"/>
          </w:tcPr>
          <w:p w14:paraId="36FF04F5">
            <w:pPr>
              <w:spacing w:line="400" w:lineRule="exact"/>
              <w:jc w:val="center"/>
              <w:rPr>
                <w:rFonts w:ascii="宋体" w:hAnsi="宋体"/>
                <w:color w:val="auto"/>
                <w:szCs w:val="21"/>
                <w:highlight w:val="none"/>
              </w:rPr>
            </w:pPr>
          </w:p>
        </w:tc>
        <w:tc>
          <w:tcPr>
            <w:tcW w:w="634" w:type="pct"/>
            <w:noWrap w:val="0"/>
            <w:vAlign w:val="top"/>
          </w:tcPr>
          <w:p w14:paraId="725FE7AB">
            <w:pPr>
              <w:snapToGrid w:val="0"/>
              <w:spacing w:line="400" w:lineRule="exact"/>
              <w:jc w:val="center"/>
              <w:rPr>
                <w:rFonts w:ascii="宋体" w:hAnsi="宋体"/>
                <w:color w:val="auto"/>
                <w:szCs w:val="21"/>
                <w:highlight w:val="none"/>
              </w:rPr>
            </w:pPr>
          </w:p>
        </w:tc>
        <w:tc>
          <w:tcPr>
            <w:tcW w:w="476" w:type="pct"/>
            <w:noWrap w:val="0"/>
            <w:vAlign w:val="center"/>
          </w:tcPr>
          <w:p w14:paraId="02BFD007">
            <w:pPr>
              <w:snapToGrid w:val="0"/>
              <w:spacing w:line="400" w:lineRule="exact"/>
              <w:jc w:val="center"/>
              <w:rPr>
                <w:rFonts w:ascii="宋体" w:hAnsi="宋体"/>
                <w:color w:val="auto"/>
                <w:szCs w:val="21"/>
                <w:highlight w:val="none"/>
              </w:rPr>
            </w:pPr>
          </w:p>
        </w:tc>
        <w:tc>
          <w:tcPr>
            <w:tcW w:w="350" w:type="pct"/>
            <w:noWrap w:val="0"/>
            <w:vAlign w:val="center"/>
          </w:tcPr>
          <w:p w14:paraId="573DEDF5">
            <w:pPr>
              <w:snapToGrid w:val="0"/>
              <w:spacing w:line="400" w:lineRule="exact"/>
              <w:jc w:val="center"/>
              <w:rPr>
                <w:rFonts w:ascii="宋体" w:hAnsi="宋体"/>
                <w:color w:val="auto"/>
                <w:szCs w:val="21"/>
                <w:highlight w:val="none"/>
              </w:rPr>
            </w:pPr>
          </w:p>
        </w:tc>
        <w:tc>
          <w:tcPr>
            <w:tcW w:w="496" w:type="pct"/>
            <w:noWrap w:val="0"/>
            <w:vAlign w:val="center"/>
          </w:tcPr>
          <w:p w14:paraId="5C665E67">
            <w:pPr>
              <w:snapToGrid w:val="0"/>
              <w:spacing w:line="400" w:lineRule="exact"/>
              <w:jc w:val="center"/>
              <w:rPr>
                <w:rFonts w:ascii="宋体" w:hAnsi="宋体"/>
                <w:color w:val="auto"/>
                <w:szCs w:val="21"/>
                <w:highlight w:val="none"/>
              </w:rPr>
            </w:pPr>
          </w:p>
        </w:tc>
        <w:tc>
          <w:tcPr>
            <w:tcW w:w="824" w:type="pct"/>
            <w:noWrap w:val="0"/>
            <w:vAlign w:val="center"/>
          </w:tcPr>
          <w:p w14:paraId="060D070C">
            <w:pPr>
              <w:snapToGrid w:val="0"/>
              <w:spacing w:line="400" w:lineRule="exact"/>
              <w:jc w:val="center"/>
              <w:rPr>
                <w:rFonts w:ascii="宋体" w:hAnsi="宋体"/>
                <w:color w:val="auto"/>
                <w:szCs w:val="21"/>
                <w:highlight w:val="none"/>
              </w:rPr>
            </w:pPr>
          </w:p>
        </w:tc>
      </w:tr>
      <w:tr w14:paraId="1F472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372" w:type="pct"/>
            <w:noWrap w:val="0"/>
            <w:vAlign w:val="center"/>
          </w:tcPr>
          <w:p w14:paraId="7FCC19A3">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3</w:t>
            </w:r>
          </w:p>
        </w:tc>
        <w:tc>
          <w:tcPr>
            <w:tcW w:w="646" w:type="pct"/>
            <w:noWrap w:val="0"/>
            <w:vAlign w:val="center"/>
          </w:tcPr>
          <w:p w14:paraId="3E06FA11">
            <w:pPr>
              <w:snapToGrid w:val="0"/>
              <w:spacing w:line="400" w:lineRule="exact"/>
              <w:jc w:val="center"/>
              <w:rPr>
                <w:rFonts w:ascii="宋体" w:hAnsi="宋体"/>
                <w:color w:val="auto"/>
                <w:szCs w:val="21"/>
                <w:highlight w:val="none"/>
              </w:rPr>
            </w:pPr>
          </w:p>
        </w:tc>
        <w:tc>
          <w:tcPr>
            <w:tcW w:w="555" w:type="pct"/>
            <w:noWrap w:val="0"/>
            <w:vAlign w:val="center"/>
          </w:tcPr>
          <w:p w14:paraId="3C9BE6D9">
            <w:pPr>
              <w:spacing w:line="400" w:lineRule="exact"/>
              <w:jc w:val="center"/>
              <w:rPr>
                <w:rFonts w:ascii="宋体" w:hAnsi="宋体"/>
                <w:color w:val="auto"/>
                <w:szCs w:val="21"/>
                <w:highlight w:val="none"/>
              </w:rPr>
            </w:pPr>
          </w:p>
        </w:tc>
        <w:tc>
          <w:tcPr>
            <w:tcW w:w="646" w:type="pct"/>
            <w:noWrap w:val="0"/>
            <w:vAlign w:val="center"/>
          </w:tcPr>
          <w:p w14:paraId="3C085DE1">
            <w:pPr>
              <w:spacing w:line="400" w:lineRule="exact"/>
              <w:jc w:val="center"/>
              <w:rPr>
                <w:rFonts w:ascii="宋体" w:hAnsi="宋体"/>
                <w:color w:val="auto"/>
                <w:szCs w:val="21"/>
                <w:highlight w:val="none"/>
              </w:rPr>
            </w:pPr>
          </w:p>
        </w:tc>
        <w:tc>
          <w:tcPr>
            <w:tcW w:w="634" w:type="pct"/>
            <w:noWrap w:val="0"/>
            <w:vAlign w:val="top"/>
          </w:tcPr>
          <w:p w14:paraId="1970A3C9">
            <w:pPr>
              <w:snapToGrid w:val="0"/>
              <w:spacing w:line="400" w:lineRule="exact"/>
              <w:jc w:val="center"/>
              <w:rPr>
                <w:rFonts w:ascii="宋体" w:hAnsi="宋体"/>
                <w:color w:val="auto"/>
                <w:szCs w:val="21"/>
                <w:highlight w:val="none"/>
              </w:rPr>
            </w:pPr>
          </w:p>
        </w:tc>
        <w:tc>
          <w:tcPr>
            <w:tcW w:w="476" w:type="pct"/>
            <w:noWrap w:val="0"/>
            <w:vAlign w:val="center"/>
          </w:tcPr>
          <w:p w14:paraId="2F734F0F">
            <w:pPr>
              <w:snapToGrid w:val="0"/>
              <w:spacing w:line="400" w:lineRule="exact"/>
              <w:jc w:val="center"/>
              <w:rPr>
                <w:rFonts w:ascii="宋体" w:hAnsi="宋体"/>
                <w:color w:val="auto"/>
                <w:szCs w:val="21"/>
                <w:highlight w:val="none"/>
              </w:rPr>
            </w:pPr>
          </w:p>
        </w:tc>
        <w:tc>
          <w:tcPr>
            <w:tcW w:w="350" w:type="pct"/>
            <w:noWrap w:val="0"/>
            <w:vAlign w:val="center"/>
          </w:tcPr>
          <w:p w14:paraId="3427C172">
            <w:pPr>
              <w:snapToGrid w:val="0"/>
              <w:spacing w:line="400" w:lineRule="exact"/>
              <w:jc w:val="center"/>
              <w:rPr>
                <w:rFonts w:ascii="宋体" w:hAnsi="宋体"/>
                <w:color w:val="auto"/>
                <w:szCs w:val="21"/>
                <w:highlight w:val="none"/>
              </w:rPr>
            </w:pPr>
          </w:p>
        </w:tc>
        <w:tc>
          <w:tcPr>
            <w:tcW w:w="496" w:type="pct"/>
            <w:noWrap w:val="0"/>
            <w:vAlign w:val="center"/>
          </w:tcPr>
          <w:p w14:paraId="294F4CA2">
            <w:pPr>
              <w:snapToGrid w:val="0"/>
              <w:spacing w:line="400" w:lineRule="exact"/>
              <w:jc w:val="center"/>
              <w:rPr>
                <w:rFonts w:ascii="宋体" w:hAnsi="宋体"/>
                <w:color w:val="auto"/>
                <w:szCs w:val="21"/>
                <w:highlight w:val="none"/>
              </w:rPr>
            </w:pPr>
          </w:p>
        </w:tc>
        <w:tc>
          <w:tcPr>
            <w:tcW w:w="824" w:type="pct"/>
            <w:noWrap w:val="0"/>
            <w:vAlign w:val="center"/>
          </w:tcPr>
          <w:p w14:paraId="0743D79C">
            <w:pPr>
              <w:snapToGrid w:val="0"/>
              <w:spacing w:line="400" w:lineRule="exact"/>
              <w:jc w:val="center"/>
              <w:rPr>
                <w:rFonts w:ascii="宋体" w:hAnsi="宋体"/>
                <w:color w:val="auto"/>
                <w:szCs w:val="21"/>
                <w:highlight w:val="none"/>
              </w:rPr>
            </w:pPr>
          </w:p>
        </w:tc>
      </w:tr>
      <w:tr w14:paraId="2911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5000" w:type="pct"/>
            <w:gridSpan w:val="9"/>
            <w:noWrap w:val="0"/>
            <w:vAlign w:val="center"/>
          </w:tcPr>
          <w:p w14:paraId="7BB78B36">
            <w:pPr>
              <w:snapToGrid w:val="0"/>
              <w:spacing w:line="400" w:lineRule="exact"/>
              <w:rPr>
                <w:rFonts w:ascii="宋体" w:hAnsi="宋体"/>
                <w:color w:val="auto"/>
                <w:szCs w:val="21"/>
                <w:highlight w:val="none"/>
              </w:rPr>
            </w:pPr>
            <w:r>
              <w:rPr>
                <w:rFonts w:hint="eastAsia" w:ascii="宋体" w:hAnsi="宋体"/>
                <w:color w:val="auto"/>
                <w:szCs w:val="21"/>
                <w:highlight w:val="none"/>
              </w:rPr>
              <w:t>人民币合计金额：（¥元）</w:t>
            </w:r>
          </w:p>
        </w:tc>
      </w:tr>
    </w:tbl>
    <w:p w14:paraId="77C271C0">
      <w:pPr>
        <w:snapToGrid w:val="0"/>
        <w:spacing w:line="400" w:lineRule="exact"/>
        <w:ind w:right="52"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合同合计金额包含设备及服务需求要求所需的费用总和，为人民币含税价，且为甲方指定地点的现场交货价，甲方（或甲方委托的第三方）检测、验收所发生的一切费用，其包括但不限于：产品（含主要设备、配件、辅材）供应、运输装卸费、保险费、安装费、调试费、劳务、税费、产品检验检测、操作人员培训费、管理费、验收费、质保期技术支持、招标代理服务费，以及所有的不定因素的风险等。</w:t>
      </w:r>
    </w:p>
    <w:p w14:paraId="12F81D61">
      <w:pPr>
        <w:snapToGrid w:val="0"/>
        <w:spacing w:line="400" w:lineRule="exact"/>
        <w:ind w:right="52"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.乙方在投标时如有漏报单价或每单价报价中漏报、少报费用的，视为该等单价及/或费用已隐含在投标报价中，合同履行过程中不得再向甲方主张支付该等单价及/或费用。</w:t>
      </w:r>
    </w:p>
    <w:p w14:paraId="3EDA13F8">
      <w:pPr>
        <w:snapToGrid w:val="0"/>
        <w:spacing w:line="400" w:lineRule="exact"/>
        <w:ind w:right="52" w:firstLine="420" w:firstLineChars="200"/>
        <w:rPr>
          <w:rFonts w:hint="eastAsia" w:ascii="宋体" w:hAnsi="宋体"/>
          <w:color w:val="auto"/>
          <w:szCs w:val="21"/>
          <w:highlight w:val="none"/>
        </w:rPr>
      </w:pPr>
      <w:r>
        <w:rPr>
          <w:rFonts w:hint="eastAsia" w:ascii="宋体" w:hAnsi="宋体"/>
          <w:color w:val="auto"/>
          <w:szCs w:val="21"/>
          <w:highlight w:val="none"/>
        </w:rPr>
        <w:t>4.采购合同履行中，甲方需追加与合同标的相同的货物的，在不改变合同其他条款的前提下，可以与乙方协商签订补充合同，但所有补充合同的采购金额不得超过原合同采购金额的10%。</w:t>
      </w:r>
    </w:p>
    <w:p w14:paraId="464CDA68">
      <w:pPr>
        <w:snapToGrid w:val="0"/>
        <w:spacing w:line="400" w:lineRule="exact"/>
        <w:ind w:firstLine="422" w:firstLineChars="200"/>
        <w:rPr>
          <w:rFonts w:ascii="宋体" w:hAnsi="宋体"/>
          <w:color w:val="auto"/>
          <w:szCs w:val="21"/>
          <w:highlight w:val="none"/>
        </w:rPr>
      </w:pPr>
      <w:r>
        <w:rPr>
          <w:rFonts w:hint="eastAsia" w:ascii="宋体" w:hAnsi="宋体"/>
          <w:b/>
          <w:color w:val="auto"/>
          <w:szCs w:val="21"/>
          <w:highlight w:val="none"/>
        </w:rPr>
        <w:t>第二条　质量保证</w:t>
      </w:r>
    </w:p>
    <w:p w14:paraId="48EC742C">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乙方所提供的货物型号、技术规格、技术参数等质量必须与招投标文件和承诺相一致。乙方提供的节能和环保产品必须是列入政府采购清单的产品。</w:t>
      </w:r>
    </w:p>
    <w:p w14:paraId="7E1E6FDB">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乙方所提供的货物必须是全新、未使用的原装产品，且在正常安装、使用和保养条件下，其使用寿命期内各项指标均达到质量要求。</w:t>
      </w:r>
    </w:p>
    <w:p w14:paraId="131B1F22">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3.满足乙方在投标文件中对质量承诺和采购人对项目总体要求。</w:t>
      </w:r>
    </w:p>
    <w:p w14:paraId="4119D2F6">
      <w:pPr>
        <w:snapToGrid w:val="0"/>
        <w:spacing w:line="400" w:lineRule="exact"/>
        <w:ind w:firstLine="422" w:firstLineChars="200"/>
        <w:rPr>
          <w:rFonts w:ascii="宋体" w:hAnsi="宋体"/>
          <w:color w:val="auto"/>
          <w:szCs w:val="21"/>
          <w:highlight w:val="none"/>
        </w:rPr>
      </w:pPr>
      <w:r>
        <w:rPr>
          <w:rFonts w:hint="eastAsia" w:ascii="宋体" w:hAnsi="宋体"/>
          <w:b/>
          <w:color w:val="auto"/>
          <w:szCs w:val="21"/>
          <w:highlight w:val="none"/>
        </w:rPr>
        <w:t>第三条　权利保证</w:t>
      </w:r>
    </w:p>
    <w:p w14:paraId="18BB020A">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乙方对其向甲方交付的</w:t>
      </w:r>
      <w:r>
        <w:rPr>
          <w:rFonts w:ascii="宋体" w:hAnsi="宋体"/>
          <w:color w:val="auto"/>
          <w:szCs w:val="21"/>
          <w:highlight w:val="none"/>
        </w:rPr>
        <w:t>货物</w:t>
      </w:r>
      <w:r>
        <w:rPr>
          <w:rFonts w:hint="eastAsia" w:ascii="宋体" w:hAnsi="宋体"/>
          <w:color w:val="auto"/>
          <w:szCs w:val="21"/>
          <w:highlight w:val="none"/>
        </w:rPr>
        <w:t>承担</w:t>
      </w:r>
      <w:r>
        <w:rPr>
          <w:rFonts w:ascii="宋体" w:hAnsi="宋体"/>
          <w:color w:val="auto"/>
          <w:szCs w:val="21"/>
          <w:highlight w:val="none"/>
        </w:rPr>
        <w:t>权利瑕疵担保义务。</w:t>
      </w:r>
    </w:p>
    <w:p w14:paraId="5821A3B5">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乙方应保证所提供货物在使用时不会侵犯任何第三方的专利权、商标权、工业设计权或其他权利。乙方提供的货物如侵犯了第三方合法权益而引发的任何纠纷或诉讼，均由乙方负责交涉并承担全部责任。若因此导致甲方经济损失的，乙方应当予以赔偿，赔偿范围包括但不限于实际发生的经济损失以及甲方为解决纠纷、维护自身合法权益而产生的律师费、诉讼费、保全费、财产保全保函费、差旅费等。</w:t>
      </w:r>
    </w:p>
    <w:p w14:paraId="7F0AF5D3">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乙方应按采购文件规定的时间向甲方提供使用货物的有关完整技术资料。</w:t>
      </w:r>
    </w:p>
    <w:p w14:paraId="0D7D8814">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乙方违反上述规定泄露甲方相关资料、保密信息的，乙方应当支付甲方因此造成的损失，甲方损失能够计算的按照实际损失赔偿，甲方的损失无法具体计算的，乙方应当按照合同价款2%进行赔偿。乙方还应当向甲方支付合同价款20%的违约金。</w:t>
      </w:r>
    </w:p>
    <w:p w14:paraId="1BDBC83C">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乙方保证所交付的货物的所有权完全属于乙方且无任何抵押、质押、查封等产权瑕疵，如乙方提供的货物存在产权瑕疵则应当向甲方支付因此造成的损失。</w:t>
      </w:r>
    </w:p>
    <w:p w14:paraId="0260F047">
      <w:pPr>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.乙方对自身提供的报价文件、资质、承诺等均客观、真实，不得虚构或隐瞒事实影响本合同的履行，否则乙方应当对甲方承担缔约过失责任，赔偿甲方的损失。</w:t>
      </w:r>
    </w:p>
    <w:p w14:paraId="0C3A67ED">
      <w:pPr>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第四条　包装和运输</w:t>
      </w:r>
    </w:p>
    <w:p w14:paraId="1C4321FC">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乙方提供的货物均应按符合采购文件要求的包装材料、包装标准、包装方式进行包装，包装应满足运输距离、防潮、防震、防锈和防破损装卸等要求包装，以保证货物安全运达甲方指定地点，且每一包装单元内应附详细的装箱单和质量合格证。甲方验收后发现货物或货物包装不符合要求的，甲方有权拒收并且不视为违约。</w:t>
      </w:r>
    </w:p>
    <w:p w14:paraId="13CD852E">
      <w:pPr>
        <w:snapToGrid w:val="0"/>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2.货物的运输方式：</w:t>
      </w:r>
      <w:r>
        <w:rPr>
          <w:rFonts w:hint="eastAsia" w:ascii="宋体" w:hAnsi="宋体"/>
          <w:color w:val="auto"/>
          <w:szCs w:val="21"/>
          <w:highlight w:val="none"/>
          <w:u w:val="single"/>
        </w:rPr>
        <w:t>乙方自定；交货地点：广西区内甲方指定地点。</w:t>
      </w:r>
    </w:p>
    <w:p w14:paraId="3E006F04">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3.乙方负责货物运输、卸货，货物运输合理损耗及计算方法：</w:t>
      </w:r>
      <w:r>
        <w:rPr>
          <w:rFonts w:hint="eastAsia" w:ascii="宋体" w:hAnsi="宋体"/>
          <w:color w:val="auto"/>
          <w:szCs w:val="21"/>
          <w:highlight w:val="none"/>
          <w:u w:val="single"/>
        </w:rPr>
        <w:t>由乙方负责</w:t>
      </w:r>
      <w:r>
        <w:rPr>
          <w:rFonts w:hint="eastAsia" w:ascii="宋体" w:hAnsi="宋体"/>
          <w:color w:val="auto"/>
          <w:szCs w:val="21"/>
          <w:highlight w:val="none"/>
        </w:rPr>
        <w:t>。</w:t>
      </w:r>
    </w:p>
    <w:p w14:paraId="43A00828">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4.乙方在货物发运手续办理完毕后二十四小时内或货到甲方四十八小时前通知甲方，以准备接货。</w:t>
      </w:r>
    </w:p>
    <w:p w14:paraId="2FD525FB">
      <w:pPr>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第五条　产品的交付和验收</w:t>
      </w:r>
    </w:p>
    <w:p w14:paraId="68CF4F3D">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交货时间及地点：</w:t>
      </w:r>
      <w:r>
        <w:rPr>
          <w:rFonts w:hint="eastAsia" w:ascii="宋体" w:hAnsi="宋体"/>
          <w:color w:val="auto"/>
          <w:szCs w:val="21"/>
          <w:highlight w:val="none"/>
          <w:u w:val="single"/>
        </w:rPr>
        <w:t xml:space="preserve">                                </w:t>
      </w:r>
      <w:r>
        <w:rPr>
          <w:rFonts w:hint="eastAsia" w:ascii="宋体" w:hAnsi="宋体"/>
          <w:color w:val="auto"/>
          <w:szCs w:val="21"/>
          <w:highlight w:val="none"/>
        </w:rPr>
        <w:t>。全部产品从乙方到甲方指定地点所发生包括但不限于运费、保险费、装卸费、仓储费及其他一切费用由乙方承担。货物装卸、转运需要装卸、运输工具的由乙方自行负责。</w:t>
      </w:r>
    </w:p>
    <w:p w14:paraId="71BD8E2D">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乙方应严格执行合同约定的供货周期，保质、保量的完成产品的供货。在货物到达指定地点后，甲方有权依据招标文件规定的技术要求、国家有关质量标准与投标文件的承诺对数量、包装、规格、品牌、质量、随付单证等清点进行到货验收，对于不符合要求的货物，甲方有权拒绝接收并要求乙方另行发货。乙方另行发出的货物后未在本条第1款约定的时间内完成安装调试的，按逾期交付处理。未经到货验收的货物乙方不得安装调试，已经安装的甲方有权拒绝进行产品验收。</w:t>
      </w:r>
    </w:p>
    <w:p w14:paraId="0367BD21">
      <w:pPr>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.乙方应在货物托运前24小时及货物预计抵达指定交货地点的24小时前以书面方式通知甲方进行到货验收及场地准备工作，并取得甲方收到通知的回执。</w:t>
      </w:r>
    </w:p>
    <w:p w14:paraId="3627BE17">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书面通知应包括但不限于合同编号、产品名称及装箱清单、运输方式、运输服务商及联系方式、运单号、发运人、发运时间、预计到达时间。</w:t>
      </w:r>
    </w:p>
    <w:p w14:paraId="52624668">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未按约定提前通知的，甲方有权拒绝到货验收，乙方自行承担责任和风险。</w:t>
      </w:r>
    </w:p>
    <w:p w14:paraId="1576A8DD">
      <w:pPr>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.甲方可根据实际需要情况调整乙方交货时间和地点，但要求提前供货的应给与乙方必要、合理准备时间。</w:t>
      </w:r>
    </w:p>
    <w:p w14:paraId="434B9DD8">
      <w:pPr>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乙方交货同时应将所提供货物的装箱清单、产品合格证书、用户手册、原厂保修卡、随机资料、工具和备品、备件等交付给甲方，如有缺失应予补齐；乙方不能补齐的，按本条第2款约定的交货不合格处理。除另有约定外，本合同不接受分批交付。</w:t>
      </w:r>
    </w:p>
    <w:p w14:paraId="5F99FB74">
      <w:pPr>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.乙方交货前应对产品作出全面检查和对验收文件进行整理，并列出清单，作为甲方收货验收和使用的技术条件依据，检验的结果应随货物交甲方。</w:t>
      </w:r>
    </w:p>
    <w:p w14:paraId="7902DDD5">
      <w:pPr>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乙方提供的中标产品使用年限介于0年到10年之间的，交货验收时要求生产日期不早于12个月，中标产品使用年限大于等于10年的，交货验收时要求生产日期不早于24个月，如生产日期早于上述要求，甲方有权拒绝验收货物，且乙方应向甲方支付货款的5%的违约金。</w:t>
      </w:r>
    </w:p>
    <w:p w14:paraId="082CB027">
      <w:pPr>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乙方应完成产品交付并安装调试至能够正常使用，甲方应当在全部货物完成安装调试之日起七个工作日内组织验收。如因甲方原因暂时不能安装调试的货物，经双方签字确认后可延期组织验收。货物验收合格后由甲、乙双方签署货物验收合格单（加盖甲方公章方为有效），甲、乙双方各执一份。</w:t>
      </w:r>
    </w:p>
    <w:p w14:paraId="24BC79E7">
      <w:pPr>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9</w:t>
      </w:r>
      <w:r>
        <w:rPr>
          <w:rFonts w:hint="eastAsia" w:ascii="宋体" w:hAnsi="宋体"/>
          <w:color w:val="auto"/>
          <w:szCs w:val="21"/>
          <w:highlight w:val="none"/>
        </w:rPr>
        <w:t>.对技术复杂的货物，甲方应请国家认可的专业检测机构参与初步验收及最终验收，并由其出具质量检测报告。</w:t>
      </w:r>
    </w:p>
    <w:p w14:paraId="44D5C8DC">
      <w:pPr>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根据规定或因产品技术性强而需要相关部门检测结果作为验收依据或需要有相关部门组织、参加的，应委托相关部门先行检测或邀请相关部门组织、参加产品验收。检测、验收所需费用由乙方负责。压力容器的检验检定应在乙方送货前完成。</w:t>
      </w:r>
    </w:p>
    <w:p w14:paraId="516B5D0F">
      <w:pPr>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11</w:t>
      </w:r>
      <w:r>
        <w:rPr>
          <w:rFonts w:hint="eastAsia" w:ascii="宋体" w:hAnsi="宋体"/>
          <w:color w:val="auto"/>
          <w:szCs w:val="21"/>
          <w:highlight w:val="none"/>
        </w:rPr>
        <w:t>.甲方委托第三方组织的验收项目，其验收时间以该项目验收方案确定的验收时间为准，验收结果以该项目验收报告结论为准。在验收过程中发现乙方有违约情形的，甲方有权暂不支付已到达支付条件的货款，待乙方违约问题解决后再行办理货款结算。</w:t>
      </w:r>
    </w:p>
    <w:p w14:paraId="52AD5713">
      <w:pPr>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12</w:t>
      </w:r>
      <w:r>
        <w:rPr>
          <w:rFonts w:hint="eastAsia" w:ascii="宋体" w:hAnsi="宋体"/>
          <w:color w:val="auto"/>
          <w:szCs w:val="21"/>
          <w:highlight w:val="none"/>
        </w:rPr>
        <w:t>.甲乙双方对产品质量有争议协商不成且必须通过检测才能判断时，甲方有权委托具有相应资质的检测单位按照相关标准进行检测，质量检测合格的检测费用由甲方承担，质量检测不合格的检测费用由乙方承担，乙方应当在5日内更换符合本合同质量要求的合格产品，由此产生的费用由乙方承担，并承担相应违约责任。</w:t>
      </w:r>
    </w:p>
    <w:p w14:paraId="55E0721E">
      <w:pPr>
        <w:snapToGrid w:val="0"/>
        <w:spacing w:line="400" w:lineRule="exact"/>
        <w:ind w:firstLine="420" w:firstLineChars="200"/>
        <w:rPr>
          <w:rFonts w:hint="eastAsia" w:ascii="宋体" w:hAnsi="宋体"/>
          <w:color w:val="auto"/>
          <w:szCs w:val="21"/>
          <w:highlight w:val="none"/>
        </w:rPr>
      </w:pPr>
      <w:r>
        <w:rPr>
          <w:rFonts w:ascii="宋体" w:hAnsi="宋体"/>
          <w:color w:val="auto"/>
          <w:szCs w:val="21"/>
          <w:highlight w:val="none"/>
        </w:rPr>
        <w:t>13</w:t>
      </w:r>
      <w:r>
        <w:rPr>
          <w:rFonts w:hint="eastAsia" w:ascii="宋体" w:hAnsi="宋体"/>
          <w:color w:val="auto"/>
          <w:szCs w:val="21"/>
          <w:highlight w:val="none"/>
        </w:rPr>
        <w:t>.验收时乙方必须在现场，验收完毕后作出验收结果报告；验收费用按招标文件约定承担方负责。</w:t>
      </w:r>
    </w:p>
    <w:p w14:paraId="5ADB7A00">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4</w:t>
      </w:r>
      <w:r>
        <w:rPr>
          <w:rFonts w:hint="eastAsia" w:ascii="宋体" w:hAnsi="宋体"/>
          <w:color w:val="auto"/>
          <w:szCs w:val="21"/>
          <w:highlight w:val="none"/>
        </w:rPr>
        <w:t>.甲方对验收有异议的，在验收后十个工作日内以书面形式向乙方提出，乙方应自收到甲方书面异议后五个工作日内及时予以解决。</w:t>
      </w:r>
    </w:p>
    <w:p w14:paraId="0808E682">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5</w:t>
      </w:r>
      <w:r>
        <w:rPr>
          <w:rFonts w:hint="eastAsia" w:ascii="宋体" w:hAnsi="宋体"/>
          <w:color w:val="auto"/>
          <w:szCs w:val="21"/>
          <w:highlight w:val="none"/>
        </w:rPr>
        <w:t>.货物安装调试完毕并经甲方验收合格前货物毁损、灭失的风险均由乙方承担。</w:t>
      </w:r>
    </w:p>
    <w:p w14:paraId="7D2E72B4">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6</w:t>
      </w:r>
      <w:r>
        <w:rPr>
          <w:rFonts w:hint="eastAsia" w:ascii="宋体" w:hAnsi="宋体"/>
          <w:color w:val="auto"/>
          <w:szCs w:val="21"/>
          <w:highlight w:val="none"/>
        </w:rPr>
        <w:t>.其他未尽事宜参照《关于印发广西壮族自治区政府采购项目履约验收管理办法的通知》[桂财采〔2015〕22号]以及《财政部关于进一步加强政府采购需求和履约验收管理的指导意见》[财库〔2016〕205号]规定执行。</w:t>
      </w:r>
    </w:p>
    <w:p w14:paraId="4075D0A1">
      <w:pPr>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第六条  安装调试和培训</w:t>
      </w:r>
    </w:p>
    <w:p w14:paraId="4C7C69B8">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1.甲方在乙方对货物进行安装调试时应提供必要安装条件（如场地、电源、水源等）。</w:t>
      </w:r>
    </w:p>
    <w:p w14:paraId="2A2F6970">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2.产品到货验收完毕后，乙方可对产品进行安装调试，并培训甲方的使用操作人员，直到设备运行符合技术要求，甲方使用人员熟练掌握全部功能及基本维修，甲方方可进行最终验收。</w:t>
      </w:r>
    </w:p>
    <w:p w14:paraId="0B932AD0">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乙方对甲方人员的培训不再另行收费，甲方不支付乙方培训甲方的任何费用。培训时间、地点：</w:t>
      </w:r>
      <w:r>
        <w:rPr>
          <w:rFonts w:hint="eastAsia" w:ascii="宋体" w:hAnsi="宋体"/>
          <w:color w:val="auto"/>
          <w:szCs w:val="21"/>
          <w:highlight w:val="none"/>
          <w:u w:val="single"/>
        </w:rPr>
        <w:t>由甲方决定，乙方无条件满足甲方要求</w:t>
      </w:r>
      <w:r>
        <w:rPr>
          <w:rFonts w:hint="eastAsia" w:ascii="宋体" w:hAnsi="宋体"/>
          <w:color w:val="auto"/>
          <w:szCs w:val="21"/>
          <w:highlight w:val="none"/>
        </w:rPr>
        <w:t>。</w:t>
      </w:r>
    </w:p>
    <w:p w14:paraId="151C7FD4">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产品安装期间乙方应严格做好安全防护措施，设置安全警示标识，及时消除安全隐患，做到安全施工、文明施工，承担相关费用。安装期间发生安全事故的，责任由乙方承担，由此造成甲方、乙方人员或者第三方损失的，乙方予以赔偿。</w:t>
      </w:r>
    </w:p>
    <w:p w14:paraId="0B2BA277">
      <w:pPr>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第七条　付款方式</w:t>
      </w:r>
    </w:p>
    <w:p w14:paraId="198BA9D2">
      <w:pPr>
        <w:snapToGrid w:val="0"/>
        <w:spacing w:line="400" w:lineRule="exact"/>
        <w:ind w:firstLine="420" w:firstLineChars="200"/>
        <w:rPr>
          <w:rFonts w:hint="eastAsia" w:ascii="宋体" w:hAnsi="宋体" w:cs="宋体"/>
          <w:color w:val="auto"/>
          <w:highlight w:val="none"/>
        </w:rPr>
      </w:pPr>
      <w:r>
        <w:rPr>
          <w:rFonts w:hint="eastAsia" w:ascii="宋体" w:hAnsi="宋体"/>
          <w:color w:val="auto"/>
          <w:szCs w:val="21"/>
          <w:highlight w:val="none"/>
          <w:u w:val="single"/>
        </w:rPr>
        <w:t>1.</w:t>
      </w:r>
      <w:r>
        <w:rPr>
          <w:rFonts w:hint="eastAsia" w:ascii="宋体" w:hAnsi="宋体" w:cs="宋体"/>
          <w:color w:val="auto"/>
          <w:highlight w:val="none"/>
        </w:rPr>
        <w:t>当采购数量与实际使用数量不一致时，乙方应根据实际使用量供货，合同的最终结算金额按实际使用量乘以成交单价进行计算，但不得超出合同价的10%。</w:t>
      </w:r>
    </w:p>
    <w:p w14:paraId="12C81ADA">
      <w:pPr>
        <w:snapToGrid w:val="0"/>
        <w:spacing w:line="400" w:lineRule="exact"/>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2.付款：</w:t>
      </w:r>
    </w:p>
    <w:p w14:paraId="609881BF">
      <w:pPr>
        <w:snapToGrid w:val="0"/>
        <w:spacing w:line="400" w:lineRule="exact"/>
        <w:ind w:firstLine="420" w:firstLineChars="200"/>
        <w:rPr>
          <w:rFonts w:hint="eastAsia" w:ascii="宋体" w:hAnsi="宋体"/>
          <w:color w:val="auto"/>
          <w:szCs w:val="21"/>
          <w:highlight w:val="none"/>
          <w:u w:val="none"/>
        </w:rPr>
      </w:pPr>
      <w:r>
        <w:rPr>
          <w:rFonts w:hint="eastAsia" w:ascii="宋体" w:hAnsi="宋体" w:eastAsia="宋体" w:cs="宋体"/>
          <w:color w:val="auto"/>
          <w:kern w:val="0"/>
          <w:sz w:val="21"/>
          <w:szCs w:val="21"/>
          <w:highlight w:val="none"/>
          <w:u w:val="none"/>
          <w:lang w:val="en-US" w:eastAsia="zh-CN" w:bidi="ar"/>
        </w:rPr>
        <w:t>（1）</w:t>
      </w:r>
      <w:r>
        <w:rPr>
          <w:rFonts w:hint="eastAsia" w:ascii="宋体" w:hAnsi="宋体" w:cs="宋体"/>
          <w:color w:val="auto"/>
          <w:kern w:val="0"/>
          <w:szCs w:val="21"/>
          <w:highlight w:val="none"/>
          <w:lang w:bidi="ar"/>
        </w:rPr>
        <w:t xml:space="preserve"> 全部货物运抵</w:t>
      </w:r>
      <w:r>
        <w:rPr>
          <w:rFonts w:hint="eastAsia" w:ascii="宋体" w:hAnsi="宋体" w:cs="宋体"/>
          <w:color w:val="auto"/>
          <w:kern w:val="0"/>
          <w:szCs w:val="21"/>
          <w:highlight w:val="none"/>
          <w:lang w:val="en-US" w:eastAsia="zh-CN" w:bidi="ar"/>
        </w:rPr>
        <w:t>甲方</w:t>
      </w:r>
      <w:r>
        <w:rPr>
          <w:rFonts w:hint="eastAsia" w:ascii="宋体" w:hAnsi="宋体" w:cs="宋体"/>
          <w:color w:val="auto"/>
          <w:kern w:val="0"/>
          <w:szCs w:val="21"/>
          <w:highlight w:val="none"/>
          <w:lang w:bidi="ar"/>
        </w:rPr>
        <w:t>指定地点，经</w:t>
      </w:r>
      <w:r>
        <w:rPr>
          <w:rFonts w:hint="eastAsia" w:ascii="宋体" w:hAnsi="宋体" w:cs="宋体"/>
          <w:color w:val="auto"/>
          <w:kern w:val="0"/>
          <w:szCs w:val="21"/>
          <w:highlight w:val="none"/>
          <w:lang w:val="en-US" w:eastAsia="zh-CN" w:bidi="ar"/>
        </w:rPr>
        <w:t>甲方</w:t>
      </w:r>
      <w:r>
        <w:rPr>
          <w:rFonts w:hint="eastAsia" w:ascii="宋体" w:hAnsi="宋体" w:cs="宋体"/>
          <w:color w:val="auto"/>
          <w:kern w:val="0"/>
          <w:szCs w:val="21"/>
          <w:highlight w:val="none"/>
          <w:lang w:bidi="ar"/>
        </w:rPr>
        <w:t>到货验收合格后，</w:t>
      </w:r>
      <w:r>
        <w:rPr>
          <w:rFonts w:hint="eastAsia" w:ascii="宋体" w:hAnsi="宋体" w:cs="宋体"/>
          <w:color w:val="auto"/>
          <w:kern w:val="0"/>
          <w:szCs w:val="21"/>
          <w:highlight w:val="none"/>
          <w:lang w:val="en-US" w:eastAsia="zh-CN" w:bidi="ar"/>
        </w:rPr>
        <w:t>乙方</w:t>
      </w:r>
      <w:r>
        <w:rPr>
          <w:rFonts w:hint="eastAsia" w:ascii="宋体" w:hAnsi="宋体" w:cs="宋体"/>
          <w:color w:val="auto"/>
          <w:kern w:val="0"/>
          <w:szCs w:val="21"/>
          <w:highlight w:val="none"/>
          <w:lang w:bidi="ar"/>
        </w:rPr>
        <w:t>向</w:t>
      </w:r>
      <w:r>
        <w:rPr>
          <w:rFonts w:hint="eastAsia" w:ascii="宋体" w:hAnsi="宋体" w:cs="宋体"/>
          <w:color w:val="auto"/>
          <w:kern w:val="0"/>
          <w:szCs w:val="21"/>
          <w:highlight w:val="none"/>
          <w:lang w:val="en-US" w:eastAsia="zh-CN" w:bidi="ar"/>
        </w:rPr>
        <w:t>甲方</w:t>
      </w:r>
      <w:r>
        <w:rPr>
          <w:rFonts w:hint="eastAsia" w:ascii="宋体" w:hAnsi="宋体" w:cs="宋体"/>
          <w:color w:val="auto"/>
          <w:kern w:val="0"/>
          <w:szCs w:val="21"/>
          <w:highlight w:val="none"/>
          <w:lang w:bidi="ar"/>
        </w:rPr>
        <w:t>提交付款所需材料，</w:t>
      </w:r>
      <w:r>
        <w:rPr>
          <w:rFonts w:hint="eastAsia" w:ascii="宋体" w:hAnsi="宋体" w:cs="宋体"/>
          <w:color w:val="auto"/>
          <w:kern w:val="0"/>
          <w:szCs w:val="21"/>
          <w:highlight w:val="none"/>
          <w:lang w:val="en-US" w:eastAsia="zh-CN" w:bidi="ar"/>
        </w:rPr>
        <w:t>甲方</w:t>
      </w:r>
      <w:r>
        <w:rPr>
          <w:rFonts w:hint="eastAsia" w:ascii="宋体" w:hAnsi="宋体" w:cs="宋体"/>
          <w:color w:val="auto"/>
          <w:kern w:val="0"/>
          <w:szCs w:val="21"/>
          <w:highlight w:val="none"/>
          <w:lang w:bidi="ar"/>
        </w:rPr>
        <w:t>对付款材料审核无误后的10个工作日内，支付合同总金额的50%。</w:t>
      </w:r>
    </w:p>
    <w:p w14:paraId="533BA985">
      <w:pPr>
        <w:snapToGrid w:val="0"/>
        <w:spacing w:line="400" w:lineRule="exact"/>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（2） 全部货物安装、调试完毕，经</w:t>
      </w:r>
      <w:r>
        <w:rPr>
          <w:rFonts w:hint="eastAsia" w:ascii="宋体" w:hAnsi="宋体"/>
          <w:color w:val="auto"/>
          <w:szCs w:val="21"/>
          <w:highlight w:val="none"/>
          <w:u w:val="none"/>
          <w:lang w:val="en-US" w:eastAsia="zh-CN"/>
        </w:rPr>
        <w:t>甲方</w:t>
      </w:r>
      <w:r>
        <w:rPr>
          <w:rFonts w:hint="eastAsia" w:ascii="宋体" w:hAnsi="宋体"/>
          <w:color w:val="auto"/>
          <w:szCs w:val="21"/>
          <w:highlight w:val="none"/>
          <w:u w:val="none"/>
        </w:rPr>
        <w:t>最终验收合格后，</w:t>
      </w:r>
      <w:r>
        <w:rPr>
          <w:rFonts w:hint="eastAsia" w:ascii="宋体" w:hAnsi="宋体"/>
          <w:color w:val="auto"/>
          <w:szCs w:val="21"/>
          <w:highlight w:val="none"/>
          <w:u w:val="none"/>
          <w:lang w:val="en-US" w:eastAsia="zh-CN"/>
        </w:rPr>
        <w:t>乙方</w:t>
      </w:r>
      <w:r>
        <w:rPr>
          <w:rFonts w:hint="eastAsia" w:ascii="宋体" w:hAnsi="宋体"/>
          <w:color w:val="auto"/>
          <w:szCs w:val="21"/>
          <w:highlight w:val="none"/>
          <w:u w:val="none"/>
        </w:rPr>
        <w:t>向</w:t>
      </w:r>
      <w:r>
        <w:rPr>
          <w:rFonts w:hint="eastAsia" w:ascii="宋体" w:hAnsi="宋体"/>
          <w:color w:val="auto"/>
          <w:szCs w:val="21"/>
          <w:highlight w:val="none"/>
          <w:u w:val="none"/>
          <w:lang w:val="en-US" w:eastAsia="zh-CN"/>
        </w:rPr>
        <w:t>甲方</w:t>
      </w:r>
      <w:r>
        <w:rPr>
          <w:rFonts w:hint="eastAsia" w:ascii="宋体" w:hAnsi="宋体"/>
          <w:color w:val="auto"/>
          <w:szCs w:val="21"/>
          <w:highlight w:val="none"/>
          <w:u w:val="none"/>
        </w:rPr>
        <w:t>提交付款所需材料，</w:t>
      </w:r>
      <w:r>
        <w:rPr>
          <w:rFonts w:hint="eastAsia" w:ascii="宋体" w:hAnsi="宋体"/>
          <w:color w:val="auto"/>
          <w:szCs w:val="21"/>
          <w:highlight w:val="none"/>
          <w:u w:val="none"/>
          <w:lang w:val="en-US" w:eastAsia="zh-CN"/>
        </w:rPr>
        <w:t>甲方</w:t>
      </w:r>
      <w:r>
        <w:rPr>
          <w:rFonts w:hint="eastAsia" w:ascii="宋体" w:hAnsi="宋体"/>
          <w:color w:val="auto"/>
          <w:szCs w:val="21"/>
          <w:highlight w:val="none"/>
          <w:u w:val="none"/>
        </w:rPr>
        <w:t>对付款材料审核无误后的10个工作日内，支付合同总金额的50%。</w:t>
      </w:r>
    </w:p>
    <w:p w14:paraId="57360B91">
      <w:pPr>
        <w:snapToGrid w:val="0"/>
        <w:spacing w:line="400" w:lineRule="exact"/>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（3）</w:t>
      </w:r>
      <w:r>
        <w:rPr>
          <w:rFonts w:hint="eastAsia" w:ascii="宋体" w:hAnsi="宋体"/>
          <w:color w:val="auto"/>
          <w:szCs w:val="21"/>
          <w:highlight w:val="none"/>
          <w:u w:val="none"/>
          <w:lang w:val="en-US" w:eastAsia="zh-CN"/>
        </w:rPr>
        <w:t>乙方</w:t>
      </w:r>
      <w:r>
        <w:rPr>
          <w:rFonts w:hint="eastAsia" w:ascii="宋体" w:hAnsi="宋体"/>
          <w:color w:val="auto"/>
          <w:szCs w:val="21"/>
          <w:highlight w:val="none"/>
          <w:u w:val="none"/>
        </w:rPr>
        <w:t>应在每次付款前向</w:t>
      </w:r>
      <w:r>
        <w:rPr>
          <w:rFonts w:hint="eastAsia" w:ascii="宋体" w:hAnsi="宋体"/>
          <w:color w:val="auto"/>
          <w:szCs w:val="21"/>
          <w:highlight w:val="none"/>
          <w:u w:val="none"/>
          <w:lang w:val="en-US" w:eastAsia="zh-CN"/>
        </w:rPr>
        <w:t>甲方</w:t>
      </w:r>
      <w:r>
        <w:rPr>
          <w:rFonts w:hint="eastAsia" w:ascii="宋体" w:hAnsi="宋体"/>
          <w:color w:val="auto"/>
          <w:szCs w:val="21"/>
          <w:highlight w:val="none"/>
          <w:u w:val="none"/>
        </w:rPr>
        <w:t>开具相应金额的合法、有效、完整的增值税发票。</w:t>
      </w:r>
      <w:r>
        <w:rPr>
          <w:rFonts w:hint="eastAsia" w:ascii="宋体" w:hAnsi="宋体"/>
          <w:color w:val="auto"/>
          <w:szCs w:val="21"/>
          <w:highlight w:val="none"/>
          <w:u w:val="none"/>
          <w:lang w:val="en-US" w:eastAsia="zh-CN"/>
        </w:rPr>
        <w:t>乙方</w:t>
      </w:r>
      <w:r>
        <w:rPr>
          <w:rFonts w:hint="eastAsia" w:ascii="宋体" w:hAnsi="宋体"/>
          <w:color w:val="auto"/>
          <w:szCs w:val="21"/>
          <w:highlight w:val="none"/>
          <w:u w:val="none"/>
        </w:rPr>
        <w:t>未按时提供发票的，</w:t>
      </w:r>
      <w:r>
        <w:rPr>
          <w:rFonts w:hint="eastAsia" w:ascii="宋体" w:hAnsi="宋体"/>
          <w:color w:val="auto"/>
          <w:szCs w:val="21"/>
          <w:highlight w:val="none"/>
          <w:u w:val="none"/>
          <w:lang w:val="en-US" w:eastAsia="zh-CN"/>
        </w:rPr>
        <w:t>甲方</w:t>
      </w:r>
      <w:r>
        <w:rPr>
          <w:rFonts w:hint="eastAsia" w:ascii="宋体" w:hAnsi="宋体"/>
          <w:color w:val="auto"/>
          <w:szCs w:val="21"/>
          <w:highlight w:val="none"/>
          <w:u w:val="none"/>
        </w:rPr>
        <w:t>有权顺延支付相应款项，且不承担逾期付款违约责任。</w:t>
      </w:r>
    </w:p>
    <w:p w14:paraId="7D9FC146">
      <w:pPr>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第八条　履约保证金</w:t>
      </w:r>
    </w:p>
    <w:p w14:paraId="47DE8564">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1.履约保证金金额：按中标金额（即合同金额）的5%收取，双方签订合同后5个工作日内，乙方缴纳至甲方指定账户。</w:t>
      </w:r>
    </w:p>
    <w:p w14:paraId="4BFF0557">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2.履约保证金递交方式：支票、汇票、本票，或者银行、保险机构出具的保函等非现金方式。</w:t>
      </w:r>
    </w:p>
    <w:p w14:paraId="4C4BDC75">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履约保证金退付的方式、时间及条件：乙方按承诺履约，产品安装验收合格，乙方向甲方提供《广西壮族自治区政府采购项目合同验收书》（详见桂财采〔2015〕22号），甲方在收到合格材料后5个工作日内办理退还手续（不计利息）（如有涉及违约行为的，扣除违约金后退还）。</w:t>
      </w:r>
    </w:p>
    <w:p w14:paraId="0CA5E6AE">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4.不予退还的情形：签订合同后，如乙方不按双方签订的合同规定履约，则其全部履约保证金不予退还。</w:t>
      </w:r>
    </w:p>
    <w:p w14:paraId="0805A3F0">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5.履约保证金指定账户：</w:t>
      </w:r>
    </w:p>
    <w:p w14:paraId="1A3FEA26">
      <w:pPr>
        <w:snapToGrid w:val="0"/>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开户名称：</w:t>
      </w:r>
      <w:r>
        <w:rPr>
          <w:rFonts w:hint="eastAsia" w:ascii="宋体" w:hAnsi="宋体"/>
          <w:color w:val="auto"/>
          <w:szCs w:val="21"/>
          <w:highlight w:val="none"/>
          <w:u w:val="single"/>
        </w:rPr>
        <w:t>广西医科大学附属口腔医院</w:t>
      </w:r>
    </w:p>
    <w:p w14:paraId="18C708B6">
      <w:pPr>
        <w:snapToGrid w:val="0"/>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交通银行南宁市桃源支行 </w:t>
      </w:r>
    </w:p>
    <w:p w14:paraId="6C6C7FEF">
      <w:pPr>
        <w:snapToGrid w:val="0"/>
        <w:spacing w:line="40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银行账号：</w:t>
      </w:r>
      <w:r>
        <w:rPr>
          <w:rFonts w:hint="eastAsia" w:ascii="宋体" w:hAnsi="宋体"/>
          <w:color w:val="auto"/>
          <w:szCs w:val="21"/>
          <w:highlight w:val="none"/>
          <w:u w:val="single"/>
        </w:rPr>
        <w:t xml:space="preserve"> 451060505018010029090  </w:t>
      </w:r>
    </w:p>
    <w:p w14:paraId="599EB09B">
      <w:pPr>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第九条  税费</w:t>
      </w:r>
    </w:p>
    <w:p w14:paraId="0CE82F6A">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本合同执行中相关的一切税费均由乙方负担。</w:t>
      </w:r>
    </w:p>
    <w:p w14:paraId="0F7397DE">
      <w:pPr>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第十条  质量保证及售后服务</w:t>
      </w:r>
    </w:p>
    <w:p w14:paraId="2BF4DE8D">
      <w:pPr>
        <w:snapToGrid w:val="0"/>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1.本合同产品的质量保证期为自产品验收合格次日起至少</w:t>
      </w:r>
      <w:r>
        <w:rPr>
          <w:rFonts w:hint="eastAsia" w:ascii="宋体" w:hAnsi="宋体" w:cs="Arial"/>
          <w:color w:val="auto"/>
          <w:szCs w:val="21"/>
          <w:highlight w:val="none"/>
          <w:u w:val="single"/>
        </w:rPr>
        <w:t xml:space="preserve">  </w:t>
      </w:r>
      <w:r>
        <w:rPr>
          <w:rFonts w:ascii="宋体" w:hAnsi="宋体" w:cs="Arial"/>
          <w:color w:val="auto"/>
          <w:szCs w:val="21"/>
          <w:highlight w:val="none"/>
          <w:u w:val="single"/>
        </w:rPr>
        <w:t>3</w:t>
      </w:r>
      <w:r>
        <w:rPr>
          <w:rFonts w:hint="eastAsia" w:ascii="宋体" w:hAnsi="宋体" w:cs="Arial"/>
          <w:color w:val="auto"/>
          <w:szCs w:val="21"/>
          <w:highlight w:val="none"/>
          <w:u w:val="single"/>
        </w:rPr>
        <w:t xml:space="preserve"> 年</w:t>
      </w:r>
      <w:r>
        <w:rPr>
          <w:rFonts w:hint="eastAsia" w:ascii="宋体" w:hAnsi="宋体" w:cs="Arial"/>
          <w:color w:val="auto"/>
          <w:szCs w:val="21"/>
          <w:highlight w:val="none"/>
        </w:rPr>
        <w:t>（制造商承诺保修期超过此期限的以较长时间为准）。在质量保证期内，货物出现质量问题，乙方应当在甲方通知起</w:t>
      </w:r>
      <w:r>
        <w:rPr>
          <w:rFonts w:hint="eastAsia" w:ascii="宋体" w:hAnsi="宋体" w:cs="Arial"/>
          <w:color w:val="auto"/>
          <w:szCs w:val="21"/>
          <w:highlight w:val="none"/>
          <w:u w:val="single"/>
        </w:rPr>
        <w:t xml:space="preserve"> </w:t>
      </w:r>
      <w:r>
        <w:rPr>
          <w:rFonts w:ascii="宋体" w:hAnsi="宋体" w:cs="Arial"/>
          <w:color w:val="auto"/>
          <w:szCs w:val="21"/>
          <w:highlight w:val="none"/>
          <w:u w:val="single"/>
        </w:rPr>
        <w:t>2</w:t>
      </w:r>
      <w:r>
        <w:rPr>
          <w:rFonts w:hint="eastAsia" w:ascii="宋体" w:hAnsi="宋体" w:cs="Arial"/>
          <w:color w:val="auto"/>
          <w:szCs w:val="21"/>
          <w:highlight w:val="none"/>
          <w:u w:val="single"/>
        </w:rPr>
        <w:t xml:space="preserve"> 小时</w:t>
      </w:r>
      <w:r>
        <w:rPr>
          <w:rFonts w:hint="eastAsia" w:ascii="宋体" w:hAnsi="宋体" w:cs="Arial"/>
          <w:color w:val="auto"/>
          <w:szCs w:val="21"/>
          <w:highlight w:val="none"/>
        </w:rPr>
        <w:t>内响应，如经远程技术指导不能解决故障的，</w:t>
      </w:r>
      <w:r>
        <w:rPr>
          <w:rFonts w:hint="eastAsia" w:ascii="宋体" w:hAnsi="宋体" w:cs="Arial"/>
          <w:b/>
          <w:color w:val="auto"/>
          <w:szCs w:val="21"/>
          <w:highlight w:val="none"/>
          <w:u w:val="single"/>
        </w:rPr>
        <w:t xml:space="preserve"> </w:t>
      </w:r>
      <w:r>
        <w:rPr>
          <w:rFonts w:ascii="宋体" w:hAnsi="宋体" w:cs="Arial"/>
          <w:b/>
          <w:color w:val="auto"/>
          <w:szCs w:val="21"/>
          <w:highlight w:val="none"/>
          <w:u w:val="single"/>
        </w:rPr>
        <w:t>12</w:t>
      </w:r>
      <w:r>
        <w:rPr>
          <w:rFonts w:hint="eastAsia" w:ascii="宋体" w:hAnsi="宋体" w:cs="Arial"/>
          <w:b/>
          <w:color w:val="auto"/>
          <w:szCs w:val="21"/>
          <w:highlight w:val="none"/>
          <w:u w:val="single"/>
        </w:rPr>
        <w:t xml:space="preserve"> 小时内</w:t>
      </w:r>
      <w:r>
        <w:rPr>
          <w:rFonts w:hint="eastAsia" w:ascii="宋体" w:hAnsi="宋体" w:cs="Arial"/>
          <w:color w:val="auto"/>
          <w:szCs w:val="21"/>
          <w:highlight w:val="none"/>
        </w:rPr>
        <w:t>免费上门进行维护、维修、更换，接到通知后</w:t>
      </w:r>
      <w:r>
        <w:rPr>
          <w:rFonts w:hint="eastAsia" w:ascii="宋体" w:hAnsi="宋体" w:cs="Arial"/>
          <w:b/>
          <w:color w:val="auto"/>
          <w:szCs w:val="21"/>
          <w:highlight w:val="none"/>
          <w:u w:val="single"/>
        </w:rPr>
        <w:t xml:space="preserve">  </w:t>
      </w:r>
      <w:r>
        <w:rPr>
          <w:rFonts w:ascii="宋体" w:hAnsi="宋体" w:cs="Arial"/>
          <w:b/>
          <w:color w:val="auto"/>
          <w:szCs w:val="21"/>
          <w:highlight w:val="none"/>
          <w:u w:val="single"/>
        </w:rPr>
        <w:t>24</w:t>
      </w:r>
      <w:r>
        <w:rPr>
          <w:rFonts w:hint="eastAsia" w:ascii="宋体" w:hAnsi="宋体" w:cs="Arial"/>
          <w:b/>
          <w:color w:val="auto"/>
          <w:szCs w:val="21"/>
          <w:highlight w:val="none"/>
          <w:u w:val="single"/>
        </w:rPr>
        <w:t xml:space="preserve"> 小时内</w:t>
      </w:r>
      <w:r>
        <w:rPr>
          <w:rFonts w:hint="eastAsia" w:ascii="宋体" w:hAnsi="宋体" w:cs="Arial"/>
          <w:color w:val="auto"/>
          <w:szCs w:val="21"/>
          <w:highlight w:val="none"/>
        </w:rPr>
        <w:t>完成维修工作，并提供维护报告。维护维修更换零配件的应提供使用原厂、全新零配件并经甲方确认。</w:t>
      </w:r>
    </w:p>
    <w:p w14:paraId="597BDEC9">
      <w:pPr>
        <w:snapToGrid w:val="0"/>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2.乙方对其交付产品的质量承担保证责任，因产品设计、生产、存储、运输、工艺、材料缺陷或安装、质保不当等原因发生质量故障的，无论产品的保修期是否经过，均由乙方承担责任，赔偿由此给甲方、第三人造成的全部损失。</w:t>
      </w:r>
    </w:p>
    <w:p w14:paraId="56CB622C">
      <w:pPr>
        <w:snapToGrid w:val="0"/>
        <w:spacing w:line="400" w:lineRule="exact"/>
        <w:ind w:firstLine="420" w:firstLineChars="200"/>
        <w:rPr>
          <w:rFonts w:hint="eastAsia" w:ascii="宋体" w:hAnsi="宋体" w:cs="Arial"/>
          <w:color w:val="auto"/>
          <w:szCs w:val="21"/>
          <w:highlight w:val="none"/>
        </w:rPr>
      </w:pPr>
      <w:r>
        <w:rPr>
          <w:rFonts w:ascii="宋体" w:hAnsi="宋体" w:cs="Arial"/>
          <w:color w:val="auto"/>
          <w:szCs w:val="21"/>
          <w:highlight w:val="none"/>
        </w:rPr>
        <w:t>3</w:t>
      </w:r>
      <w:r>
        <w:rPr>
          <w:rFonts w:hint="eastAsia" w:ascii="宋体" w:hAnsi="宋体" w:cs="Arial"/>
          <w:color w:val="auto"/>
          <w:szCs w:val="21"/>
          <w:highlight w:val="none"/>
        </w:rPr>
        <w:t>.按质保要求，产品满三个月之后，质量保证期内，如发生重要或核心部件两次及以上故障，或相同故障经三次维修不能解决的，甲方有权要求乙方无条件退款退货并赔偿损失。</w:t>
      </w:r>
    </w:p>
    <w:p w14:paraId="62B1D144">
      <w:pPr>
        <w:snapToGrid w:val="0"/>
        <w:spacing w:line="400" w:lineRule="exact"/>
        <w:ind w:firstLine="420" w:firstLineChars="200"/>
        <w:rPr>
          <w:rFonts w:hint="eastAsia" w:ascii="宋体" w:hAnsi="宋体" w:cs="Arial"/>
          <w:color w:val="auto"/>
          <w:szCs w:val="21"/>
          <w:highlight w:val="none"/>
        </w:rPr>
      </w:pPr>
      <w:r>
        <w:rPr>
          <w:rFonts w:ascii="宋体" w:hAnsi="宋体" w:cs="Arial"/>
          <w:color w:val="auto"/>
          <w:szCs w:val="21"/>
          <w:highlight w:val="none"/>
        </w:rPr>
        <w:t>4</w:t>
      </w:r>
      <w:r>
        <w:rPr>
          <w:rFonts w:hint="eastAsia" w:ascii="宋体" w:hAnsi="宋体" w:cs="Arial"/>
          <w:color w:val="auto"/>
          <w:szCs w:val="21"/>
          <w:highlight w:val="none"/>
        </w:rPr>
        <w:t>.质量保证期内，超过约定期限未能修复设备的，乙方应在两日内提供不低于合同设备功能标准的备用设备，保证甲方业务工作的连续性。</w:t>
      </w:r>
    </w:p>
    <w:p w14:paraId="36A93B28">
      <w:pPr>
        <w:snapToGrid w:val="0"/>
        <w:spacing w:line="400" w:lineRule="exact"/>
        <w:ind w:firstLine="420" w:firstLineChars="200"/>
        <w:rPr>
          <w:rFonts w:ascii="宋体" w:hAnsi="宋体" w:cs="Arial"/>
          <w:color w:val="auto"/>
          <w:szCs w:val="21"/>
          <w:highlight w:val="none"/>
        </w:rPr>
      </w:pPr>
      <w:r>
        <w:rPr>
          <w:rFonts w:ascii="宋体" w:hAnsi="宋体" w:cs="Arial"/>
          <w:color w:val="auto"/>
          <w:szCs w:val="21"/>
          <w:highlight w:val="none"/>
        </w:rPr>
        <w:t>5</w:t>
      </w:r>
      <w:r>
        <w:rPr>
          <w:rFonts w:hint="eastAsia" w:ascii="宋体" w:hAnsi="宋体" w:cs="Arial"/>
          <w:color w:val="auto"/>
          <w:szCs w:val="21"/>
          <w:highlight w:val="none"/>
        </w:rPr>
        <w:t>.乙方逾期未按本条约定进行维修、更换或维修、更换后设备达不到设计、标称的功能、参数的，甲方有权自行或委托第三人进行维修、更换，由此产生的费用由乙方承担。经过甲方或第三人维修、更换后的产品，乙方继续按本合同约定承担质量保修责任。乙方未及时履行保修义务导致的损失均由乙方承担。</w:t>
      </w:r>
    </w:p>
    <w:p w14:paraId="28EADCC5">
      <w:pPr>
        <w:snapToGrid w:val="0"/>
        <w:spacing w:line="400" w:lineRule="exact"/>
        <w:ind w:left="-61" w:firstLine="514"/>
        <w:rPr>
          <w:rFonts w:ascii="宋体" w:hAnsi="宋体" w:cs="Arial"/>
          <w:color w:val="auto"/>
          <w:szCs w:val="21"/>
          <w:highlight w:val="none"/>
        </w:rPr>
      </w:pPr>
      <w:r>
        <w:rPr>
          <w:rFonts w:ascii="宋体" w:hAnsi="宋体" w:cs="Arial"/>
          <w:color w:val="auto"/>
          <w:szCs w:val="21"/>
          <w:highlight w:val="none"/>
        </w:rPr>
        <w:t>6</w:t>
      </w:r>
      <w:r>
        <w:rPr>
          <w:rFonts w:hint="eastAsia" w:ascii="宋体" w:hAnsi="宋体" w:cs="Arial"/>
          <w:color w:val="auto"/>
          <w:szCs w:val="21"/>
          <w:highlight w:val="none"/>
        </w:rPr>
        <w:t>.产品重要或核心零部件经过维修后，自维修合格之日起，质量保证期重新开始计算。</w:t>
      </w:r>
    </w:p>
    <w:p w14:paraId="035E789E">
      <w:pPr>
        <w:snapToGrid w:val="0"/>
        <w:spacing w:line="400" w:lineRule="exact"/>
        <w:ind w:left="-61" w:firstLine="514"/>
        <w:rPr>
          <w:rFonts w:hint="eastAsia" w:ascii="宋体" w:hAnsi="宋体" w:cs="Arial"/>
          <w:color w:val="auto"/>
          <w:szCs w:val="21"/>
          <w:highlight w:val="none"/>
        </w:rPr>
      </w:pPr>
      <w:r>
        <w:rPr>
          <w:rFonts w:hint="eastAsia" w:ascii="宋体" w:hAnsi="宋体" w:cs="Arial"/>
          <w:color w:val="auto"/>
          <w:szCs w:val="21"/>
          <w:highlight w:val="none"/>
        </w:rPr>
        <w:t>7.在保修期内，乙方负责对货物出现的质量、故障及安全问题负责处理解决并承担一切费用。若甲方因乙方拒绝承担该项责任而另行委托第三方维修，由此产生的费用由乙方承担。</w:t>
      </w:r>
    </w:p>
    <w:p w14:paraId="21F4E754">
      <w:pPr>
        <w:snapToGrid w:val="0"/>
        <w:spacing w:line="400" w:lineRule="exact"/>
        <w:ind w:left="-61" w:firstLine="514"/>
        <w:rPr>
          <w:rFonts w:hint="eastAsia" w:ascii="宋体" w:hAnsi="宋体" w:cs="Arial"/>
          <w:color w:val="auto"/>
          <w:szCs w:val="21"/>
          <w:highlight w:val="none"/>
        </w:rPr>
      </w:pPr>
      <w:r>
        <w:rPr>
          <w:rFonts w:hint="eastAsia" w:ascii="宋体" w:hAnsi="宋体" w:cs="Arial"/>
          <w:color w:val="auto"/>
          <w:szCs w:val="21"/>
          <w:highlight w:val="none"/>
        </w:rPr>
        <w:t>8.对于经维修、更换后仍存在质量、故障及安全问题的货物，甲方有权根据实际情况按以下办法处理：</w:t>
      </w:r>
    </w:p>
    <w:p w14:paraId="06D4DC32">
      <w:pPr>
        <w:snapToGrid w:val="0"/>
        <w:spacing w:line="400" w:lineRule="exact"/>
        <w:ind w:left="-61" w:firstLine="514"/>
        <w:rPr>
          <w:rFonts w:hint="eastAsia" w:ascii="宋体" w:hAnsi="宋体" w:cs="Arial"/>
          <w:color w:val="auto"/>
          <w:szCs w:val="21"/>
          <w:highlight w:val="none"/>
        </w:rPr>
      </w:pPr>
      <w:r>
        <w:rPr>
          <w:rFonts w:hint="eastAsia" w:ascii="宋体" w:hAnsi="宋体" w:cs="Arial"/>
          <w:color w:val="auto"/>
          <w:szCs w:val="21"/>
          <w:highlight w:val="none"/>
        </w:rPr>
        <w:t>（1）更换：由乙方承担所发生的全部费用。</w:t>
      </w:r>
    </w:p>
    <w:p w14:paraId="2D2493D3">
      <w:pPr>
        <w:snapToGrid w:val="0"/>
        <w:spacing w:line="400" w:lineRule="exact"/>
        <w:ind w:left="-61" w:firstLine="514"/>
        <w:rPr>
          <w:rFonts w:hint="eastAsia" w:ascii="宋体" w:hAnsi="宋体" w:cs="Arial"/>
          <w:color w:val="auto"/>
          <w:szCs w:val="21"/>
          <w:highlight w:val="none"/>
        </w:rPr>
      </w:pPr>
      <w:r>
        <w:rPr>
          <w:rFonts w:hint="eastAsia" w:ascii="宋体" w:hAnsi="宋体" w:cs="Arial"/>
          <w:color w:val="auto"/>
          <w:szCs w:val="21"/>
          <w:highlight w:val="none"/>
        </w:rPr>
        <w:t>（2）贬值处理：由甲乙双方合议定价，无法合议定价的以评估价进行认定，因评估而产生的费用由乙方承担，乙方不愿承担评估费的则甲方有权按照本条第三款规定的退货处理。</w:t>
      </w:r>
    </w:p>
    <w:p w14:paraId="3714D2EC">
      <w:pPr>
        <w:snapToGrid w:val="0"/>
        <w:spacing w:line="400" w:lineRule="exact"/>
        <w:ind w:left="-61" w:firstLine="514"/>
        <w:rPr>
          <w:rFonts w:hint="eastAsia" w:ascii="宋体" w:hAnsi="宋体" w:cs="Arial"/>
          <w:color w:val="auto"/>
          <w:szCs w:val="21"/>
          <w:highlight w:val="none"/>
        </w:rPr>
      </w:pPr>
      <w:r>
        <w:rPr>
          <w:rFonts w:hint="eastAsia" w:ascii="宋体" w:hAnsi="宋体" w:cs="Arial"/>
          <w:color w:val="auto"/>
          <w:szCs w:val="21"/>
          <w:highlight w:val="none"/>
        </w:rPr>
        <w:t>（3）退货：乙方应退还甲方支付存在质量、故障及安全问题的货物的货款，同时应承担该货物的直接费用（人工、运输、保险、检验、货款利息及银行手续费等）。</w:t>
      </w:r>
    </w:p>
    <w:p w14:paraId="5385BB51">
      <w:pPr>
        <w:snapToGrid w:val="0"/>
        <w:spacing w:line="400" w:lineRule="exact"/>
        <w:ind w:left="-61" w:firstLine="514"/>
        <w:rPr>
          <w:rFonts w:hint="eastAsia" w:ascii="宋体" w:hAnsi="宋体" w:cs="Arial"/>
          <w:color w:val="auto"/>
          <w:szCs w:val="21"/>
          <w:highlight w:val="none"/>
        </w:rPr>
      </w:pPr>
      <w:r>
        <w:rPr>
          <w:rFonts w:hint="eastAsia" w:ascii="宋体" w:hAnsi="宋体" w:cs="Arial"/>
          <w:color w:val="auto"/>
          <w:szCs w:val="21"/>
          <w:highlight w:val="none"/>
        </w:rPr>
        <w:t>9.货物因人为因素出现的故障不在免费保修范围内。货物质量保证期届满后的维修或人为因素引发的故障由乙方按投标文件承诺执行，乙方不得拒绝维修。</w:t>
      </w:r>
    </w:p>
    <w:p w14:paraId="272E426F">
      <w:pPr>
        <w:snapToGrid w:val="0"/>
        <w:spacing w:line="400" w:lineRule="exact"/>
        <w:ind w:left="-61" w:firstLine="514"/>
        <w:rPr>
          <w:rFonts w:ascii="宋体" w:hAnsi="宋体" w:cs="Arial"/>
          <w:color w:val="auto"/>
          <w:szCs w:val="21"/>
          <w:highlight w:val="none"/>
        </w:rPr>
      </w:pPr>
      <w:r>
        <w:rPr>
          <w:rFonts w:ascii="宋体" w:hAnsi="宋体" w:cs="Arial"/>
          <w:color w:val="auto"/>
          <w:szCs w:val="21"/>
          <w:highlight w:val="none"/>
        </w:rPr>
        <w:t>10</w:t>
      </w:r>
      <w:r>
        <w:rPr>
          <w:rFonts w:hint="eastAsia" w:ascii="宋体" w:hAnsi="宋体" w:cs="Arial"/>
          <w:color w:val="auto"/>
          <w:szCs w:val="21"/>
          <w:highlight w:val="none"/>
        </w:rPr>
        <w:t>.采购文件及乙方在质量保证或售后服务承诺中对质量保修及售后服务有其他更高的要求且对甲方维护权利更有利约定的以该约定为准。</w:t>
      </w:r>
    </w:p>
    <w:p w14:paraId="7CA04823">
      <w:pPr>
        <w:snapToGrid w:val="0"/>
        <w:spacing w:line="400" w:lineRule="exact"/>
        <w:ind w:left="-61" w:firstLine="514"/>
        <w:rPr>
          <w:rFonts w:hint="eastAsia" w:ascii="宋体" w:hAnsi="宋体" w:cs="Arial"/>
          <w:color w:val="auto"/>
          <w:szCs w:val="21"/>
          <w:highlight w:val="none"/>
        </w:rPr>
      </w:pPr>
      <w:r>
        <w:rPr>
          <w:rFonts w:ascii="宋体" w:hAnsi="宋体" w:cs="Arial"/>
          <w:color w:val="auto"/>
          <w:szCs w:val="21"/>
          <w:highlight w:val="none"/>
        </w:rPr>
        <w:t>11</w:t>
      </w:r>
      <w:r>
        <w:rPr>
          <w:rFonts w:hint="eastAsia" w:ascii="宋体" w:hAnsi="宋体" w:cs="Arial"/>
          <w:color w:val="auto"/>
          <w:szCs w:val="21"/>
          <w:highlight w:val="none"/>
        </w:rPr>
        <w:t>.乙方提供的服务承诺和售后服务及保修期责任等其它具体约定事项。（见合同附件）</w:t>
      </w:r>
    </w:p>
    <w:p w14:paraId="253CE961">
      <w:pPr>
        <w:pStyle w:val="14"/>
        <w:snapToGrid w:val="0"/>
        <w:spacing w:line="400" w:lineRule="exact"/>
        <w:ind w:firstLine="422" w:firstLineChars="200"/>
        <w:rPr>
          <w:rFonts w:hint="eastAsia" w:hAnsi="宋体"/>
          <w:b/>
          <w:color w:val="auto"/>
          <w:sz w:val="21"/>
          <w:highlight w:val="none"/>
        </w:rPr>
      </w:pPr>
      <w:r>
        <w:rPr>
          <w:rFonts w:hint="eastAsia" w:hAnsi="宋体"/>
          <w:b/>
          <w:color w:val="auto"/>
          <w:sz w:val="21"/>
          <w:highlight w:val="none"/>
        </w:rPr>
        <w:t>第十一条  违约责任</w:t>
      </w:r>
    </w:p>
    <w:p w14:paraId="679CA109">
      <w:pPr>
        <w:pStyle w:val="14"/>
        <w:snapToGrid w:val="0"/>
        <w:spacing w:line="400" w:lineRule="exact"/>
        <w:ind w:firstLine="420" w:firstLineChars="200"/>
        <w:rPr>
          <w:rFonts w:hint="eastAsia" w:ascii="宋体" w:hAnsi="宋体" w:cs="Arial"/>
          <w:bCs/>
          <w:color w:val="auto"/>
          <w:szCs w:val="21"/>
          <w:highlight w:val="none"/>
        </w:rPr>
      </w:pPr>
      <w:r>
        <w:rPr>
          <w:rFonts w:hint="eastAsia" w:ascii="宋体" w:hAnsi="宋体" w:cs="Arial"/>
          <w:bCs/>
          <w:color w:val="auto"/>
          <w:szCs w:val="21"/>
          <w:highlight w:val="none"/>
        </w:rPr>
        <w:t>1.若乙方未按本合同约定或甲方发货通知要求的期限交货、安装或完成本合同约定的其他工作的，每逾期一天，乙方应按本合同总价款的3‰向甲方支付违约金，逾期违约金累计不超过违约货款额5%；逾期15天，甲方有权选择单方解除本合同并要求乙方支付合同总价款30%的违约金。甲方无故延期付货款的，每天向乙方偿付延期货款额3‰违约金，甲方违约金支付总额不超过延期货款额1%。</w:t>
      </w:r>
    </w:p>
    <w:p w14:paraId="10F30689">
      <w:pPr>
        <w:snapToGrid w:val="0"/>
        <w:spacing w:line="380" w:lineRule="exact"/>
        <w:ind w:firstLine="420" w:firstLineChars="200"/>
        <w:rPr>
          <w:rFonts w:hint="eastAsia" w:ascii="宋体" w:hAnsi="宋体" w:cs="Arial"/>
          <w:bCs/>
          <w:color w:val="auto"/>
          <w:szCs w:val="21"/>
          <w:highlight w:val="none"/>
        </w:rPr>
      </w:pPr>
      <w:r>
        <w:rPr>
          <w:rFonts w:hint="eastAsia" w:ascii="宋体" w:hAnsi="宋体" w:cs="Arial"/>
          <w:bCs/>
          <w:color w:val="auto"/>
          <w:szCs w:val="21"/>
          <w:highlight w:val="none"/>
        </w:rPr>
        <w:t>2经过甲方验收，乙方交付的产品数量、包装、规格、品牌、质量、随附单证等与合同约定不一致的，视为交付不合格，甲方有权采取下列任何一种措施追究乙方违约责任：</w:t>
      </w:r>
    </w:p>
    <w:p w14:paraId="1C157E33">
      <w:pPr>
        <w:snapToGrid w:val="0"/>
        <w:spacing w:line="380" w:lineRule="exact"/>
        <w:ind w:firstLine="420" w:firstLineChars="200"/>
        <w:rPr>
          <w:rFonts w:hint="eastAsia" w:ascii="宋体" w:hAnsi="宋体" w:cs="Arial"/>
          <w:bCs/>
          <w:color w:val="auto"/>
          <w:szCs w:val="21"/>
          <w:highlight w:val="none"/>
        </w:rPr>
      </w:pPr>
      <w:r>
        <w:rPr>
          <w:rFonts w:hint="eastAsia" w:ascii="宋体" w:hAnsi="宋体" w:cs="Arial"/>
          <w:bCs/>
          <w:color w:val="auto"/>
          <w:szCs w:val="21"/>
          <w:highlight w:val="none"/>
        </w:rPr>
        <w:t>（1）拒绝接受不合格产品，要求乙方在5日内无条件更换、补足或修理、重做，由此产生的费用由乙方承担，因此延误交货期的乙方承担相应的违约责任，逾期15日仍未更换、补足或更换、补足后仍不符合合同约定的，甲方有权选择单方解除本合同或部分解除本合同并要求乙方支付解除合同部分价款30%作为违约金；</w:t>
      </w:r>
    </w:p>
    <w:p w14:paraId="2C8A9990">
      <w:pPr>
        <w:snapToGrid w:val="0"/>
        <w:spacing w:line="380" w:lineRule="exact"/>
        <w:ind w:firstLine="420" w:firstLineChars="200"/>
        <w:rPr>
          <w:rFonts w:hint="eastAsia" w:ascii="宋体" w:hAnsi="宋体" w:cs="Arial"/>
          <w:bCs/>
          <w:color w:val="auto"/>
          <w:szCs w:val="21"/>
          <w:highlight w:val="none"/>
        </w:rPr>
      </w:pPr>
      <w:r>
        <w:rPr>
          <w:rFonts w:hint="eastAsia" w:ascii="宋体" w:hAnsi="宋体" w:cs="Arial"/>
          <w:bCs/>
          <w:color w:val="auto"/>
          <w:szCs w:val="21"/>
          <w:highlight w:val="none"/>
        </w:rPr>
        <w:t>（2）已经接收的产品要求乙方在5日内无条件退货并退还甲方已支付的全部价款并支付退货部分价款30%的违约金；</w:t>
      </w:r>
    </w:p>
    <w:p w14:paraId="53FA3B16">
      <w:pPr>
        <w:snapToGrid w:val="0"/>
        <w:spacing w:line="380" w:lineRule="exact"/>
        <w:ind w:firstLine="420" w:firstLineChars="200"/>
        <w:rPr>
          <w:rFonts w:hint="eastAsia" w:ascii="宋体" w:hAnsi="宋体" w:cs="Arial"/>
          <w:bCs/>
          <w:color w:val="auto"/>
          <w:szCs w:val="21"/>
          <w:highlight w:val="none"/>
        </w:rPr>
      </w:pPr>
      <w:r>
        <w:rPr>
          <w:rFonts w:hint="eastAsia" w:ascii="宋体" w:hAnsi="宋体" w:cs="Arial"/>
          <w:bCs/>
          <w:color w:val="auto"/>
          <w:szCs w:val="21"/>
          <w:highlight w:val="none"/>
        </w:rPr>
        <w:t>（3）选择不退换货的，甲方有权根据情况以质论价减少价款并要求乙方支付本合同总价款的10%作为违约金。</w:t>
      </w:r>
    </w:p>
    <w:p w14:paraId="28AB81D6">
      <w:pPr>
        <w:snapToGrid w:val="0"/>
        <w:spacing w:line="380" w:lineRule="exact"/>
        <w:ind w:firstLine="420" w:firstLineChars="200"/>
        <w:rPr>
          <w:rFonts w:hint="eastAsia" w:ascii="宋体" w:hAnsi="宋体" w:cs="Arial"/>
          <w:bCs/>
          <w:color w:val="auto"/>
          <w:szCs w:val="21"/>
          <w:highlight w:val="none"/>
        </w:rPr>
      </w:pPr>
      <w:r>
        <w:rPr>
          <w:rFonts w:hint="eastAsia" w:ascii="宋体" w:hAnsi="宋体" w:cs="Arial"/>
          <w:bCs/>
          <w:color w:val="auto"/>
          <w:szCs w:val="21"/>
          <w:highlight w:val="none"/>
        </w:rPr>
        <w:t>3.乙方应当保证有权销售本合同的所有产品，不会因此侵犯到第三人的所有权、知识产权等一切权利也未对产品设置任何负担，属于第三人拥有知识产权的已经取得第三人合法授权，甲方有权不受限制的使用。若因违反本款约定引起的第三方权利纠纷的由乙方负责交涉并承担全部责任，如甲方因此向第三方承担了相关责任有权向乙方追偿全部损失。若因此导致甲方经济损失的，乙方应当予以赔偿，赔偿范围包括但不限于实际发生的经济损失、使用该产品所需的授权费以及解决争议发生的一切费用（包括但不限于律师费、诉讼费、鉴定费、保全费、财产保全保函费、差旅费等）均由乙方承担。如果不能取得使用许可需要另行购买产品的，所需费用由乙方承担，并赔偿甲方因此受到的损失。</w:t>
      </w:r>
    </w:p>
    <w:p w14:paraId="13273D61">
      <w:pPr>
        <w:snapToGrid w:val="0"/>
        <w:spacing w:line="380" w:lineRule="exact"/>
        <w:ind w:firstLine="420" w:firstLineChars="200"/>
        <w:rPr>
          <w:rFonts w:hint="eastAsia" w:ascii="宋体" w:hAnsi="宋体" w:cs="Arial"/>
          <w:bCs/>
          <w:color w:val="auto"/>
          <w:szCs w:val="21"/>
          <w:highlight w:val="none"/>
        </w:rPr>
      </w:pPr>
      <w:r>
        <w:rPr>
          <w:rFonts w:hint="eastAsia" w:ascii="宋体" w:hAnsi="宋体" w:cs="Arial"/>
          <w:bCs/>
          <w:color w:val="auto"/>
          <w:szCs w:val="21"/>
          <w:highlight w:val="none"/>
        </w:rPr>
        <w:t>4.因包装、运输引起的货物损坏，按质量不合格处罚，甲方有权要求乙方支重新交付合格的货物并要求乙方向甲方支付违约货款额5%违约金并赔偿甲方经济损失。</w:t>
      </w:r>
    </w:p>
    <w:p w14:paraId="33C87209">
      <w:pPr>
        <w:snapToGrid w:val="0"/>
        <w:spacing w:line="380" w:lineRule="exact"/>
        <w:ind w:firstLine="420" w:firstLineChars="200"/>
        <w:rPr>
          <w:rFonts w:hint="eastAsia" w:ascii="宋体" w:hAnsi="宋体" w:cs="Arial"/>
          <w:bCs/>
          <w:color w:val="auto"/>
          <w:szCs w:val="21"/>
          <w:highlight w:val="none"/>
        </w:rPr>
      </w:pPr>
      <w:r>
        <w:rPr>
          <w:rFonts w:hint="eastAsia" w:ascii="宋体" w:hAnsi="宋体" w:cs="Arial"/>
          <w:bCs/>
          <w:color w:val="auto"/>
          <w:szCs w:val="21"/>
          <w:highlight w:val="none"/>
        </w:rPr>
        <w:t>5.货物验收结果为不合格且乙方无法通过更换、重做等补救措施达到合格标准的，视为乙方根本性违约，甲方有权解除本合同，乙方应退还甲方已付全部费用并向甲方支付合同合计金额30%的违约金。</w:t>
      </w:r>
    </w:p>
    <w:p w14:paraId="1FD34F9D">
      <w:pPr>
        <w:snapToGrid w:val="0"/>
        <w:spacing w:line="380" w:lineRule="exact"/>
        <w:ind w:firstLine="420" w:firstLineChars="200"/>
        <w:rPr>
          <w:rFonts w:hint="eastAsia" w:ascii="宋体" w:hAnsi="宋体" w:cs="Arial"/>
          <w:bCs/>
          <w:color w:val="auto"/>
          <w:szCs w:val="21"/>
          <w:highlight w:val="none"/>
        </w:rPr>
      </w:pPr>
      <w:r>
        <w:rPr>
          <w:rFonts w:hint="eastAsia" w:ascii="宋体" w:hAnsi="宋体" w:cs="Arial"/>
          <w:bCs/>
          <w:color w:val="auto"/>
          <w:szCs w:val="21"/>
          <w:highlight w:val="none"/>
        </w:rPr>
        <w:t>6.乙方未按本合同和投标文件中规定的服务承诺提供售后服务的，乙方应按本合同合计金额5%向甲方支付违约金。</w:t>
      </w:r>
    </w:p>
    <w:p w14:paraId="01A0FE46">
      <w:pPr>
        <w:snapToGrid w:val="0"/>
        <w:spacing w:line="380" w:lineRule="exact"/>
        <w:ind w:firstLine="420" w:firstLineChars="200"/>
        <w:rPr>
          <w:rFonts w:hint="eastAsia" w:ascii="宋体" w:hAnsi="宋体" w:cs="Arial"/>
          <w:bCs/>
          <w:color w:val="auto"/>
          <w:szCs w:val="21"/>
          <w:highlight w:val="none"/>
        </w:rPr>
      </w:pPr>
      <w:r>
        <w:rPr>
          <w:rFonts w:hint="eastAsia" w:ascii="宋体" w:hAnsi="宋体" w:cs="Arial"/>
          <w:bCs/>
          <w:color w:val="auto"/>
          <w:szCs w:val="21"/>
          <w:highlight w:val="none"/>
        </w:rPr>
        <w:t>7.乙方未经甲方同意，不得更换项目人员，否则，更换一个应赔偿甲方500元违约金，更换项目人员超过半数的，甲方有权解除合同并要求乙方支付合同金额的30%的违约金。</w:t>
      </w:r>
    </w:p>
    <w:p w14:paraId="1626E1DE">
      <w:pPr>
        <w:snapToGrid w:val="0"/>
        <w:spacing w:line="380" w:lineRule="exact"/>
        <w:ind w:firstLine="420" w:firstLineChars="200"/>
        <w:rPr>
          <w:rFonts w:hint="eastAsia" w:ascii="宋体" w:hAnsi="宋体" w:cs="Arial"/>
          <w:bCs/>
          <w:color w:val="auto"/>
          <w:szCs w:val="21"/>
          <w:highlight w:val="none"/>
        </w:rPr>
      </w:pPr>
      <w:r>
        <w:rPr>
          <w:rFonts w:hint="eastAsia" w:ascii="宋体" w:hAnsi="宋体" w:cs="Arial"/>
          <w:bCs/>
          <w:color w:val="auto"/>
          <w:szCs w:val="21"/>
          <w:highlight w:val="none"/>
        </w:rPr>
        <w:t>8.本合同签订及履行过程中，未经甲方书面同意，乙方不得将本合同的权利义务以任何方式转让给第三人，否则甲方有权选择单方解除本合同并要求乙方支付合同总价款30%的违约金，并赔偿给甲方造成的损失。</w:t>
      </w:r>
    </w:p>
    <w:p w14:paraId="57CAC105">
      <w:pPr>
        <w:snapToGrid w:val="0"/>
        <w:spacing w:line="380" w:lineRule="exact"/>
        <w:ind w:firstLine="420" w:firstLineChars="200"/>
        <w:rPr>
          <w:rFonts w:hint="eastAsia" w:ascii="宋体" w:hAnsi="宋体" w:cs="Arial"/>
          <w:bCs/>
          <w:color w:val="auto"/>
          <w:szCs w:val="21"/>
          <w:highlight w:val="none"/>
        </w:rPr>
      </w:pPr>
      <w:r>
        <w:rPr>
          <w:rFonts w:ascii="宋体" w:hAnsi="宋体" w:cs="Arial"/>
          <w:bCs/>
          <w:color w:val="auto"/>
          <w:szCs w:val="21"/>
          <w:highlight w:val="none"/>
        </w:rPr>
        <w:t>9</w:t>
      </w:r>
      <w:r>
        <w:rPr>
          <w:rFonts w:hint="eastAsia" w:ascii="宋体" w:hAnsi="宋体" w:cs="Arial"/>
          <w:bCs/>
          <w:color w:val="auto"/>
          <w:szCs w:val="21"/>
          <w:highlight w:val="none"/>
        </w:rPr>
        <w:t>.本合同签订后，乙方要求提前解除合同的，应向甲方支付本合同总价款30%的违约金，退还甲方已支付的全部费用并赔偿由此给甲方造成的全部损失。</w:t>
      </w:r>
    </w:p>
    <w:p w14:paraId="2123833E">
      <w:pPr>
        <w:snapToGrid w:val="0"/>
        <w:spacing w:line="380" w:lineRule="exact"/>
        <w:ind w:firstLine="420" w:firstLineChars="200"/>
        <w:rPr>
          <w:rFonts w:hint="eastAsia" w:ascii="宋体" w:hAnsi="宋体" w:cs="Arial"/>
          <w:bCs/>
          <w:color w:val="auto"/>
          <w:szCs w:val="21"/>
          <w:highlight w:val="none"/>
        </w:rPr>
      </w:pPr>
      <w:r>
        <w:rPr>
          <w:rFonts w:hint="eastAsia" w:ascii="宋体" w:hAnsi="宋体" w:cs="Arial"/>
          <w:bCs/>
          <w:color w:val="auto"/>
          <w:szCs w:val="21"/>
          <w:highlight w:val="none"/>
        </w:rPr>
        <w:t>1</w:t>
      </w:r>
      <w:r>
        <w:rPr>
          <w:rFonts w:ascii="宋体" w:hAnsi="宋体" w:cs="Arial"/>
          <w:bCs/>
          <w:color w:val="auto"/>
          <w:szCs w:val="21"/>
          <w:highlight w:val="none"/>
        </w:rPr>
        <w:t>0</w:t>
      </w:r>
      <w:r>
        <w:rPr>
          <w:rFonts w:hint="eastAsia" w:ascii="宋体" w:hAnsi="宋体" w:cs="Arial"/>
          <w:bCs/>
          <w:color w:val="auto"/>
          <w:szCs w:val="21"/>
          <w:highlight w:val="none"/>
        </w:rPr>
        <w:t>.按本合同约定甲方选择解除合同的，自甲方解除合同的书面通知送达乙方之日起合同解除，乙方应赔偿由此给甲方造成的全部损失。甲方不支付乙方任何费用，乙方对解除合同有异议的异议期为7日。乙方应当在合同解除后5日内退还甲方支付的所有费用（如有），自费运回所交付的货物，付清违约金、赔偿金。</w:t>
      </w:r>
    </w:p>
    <w:p w14:paraId="5A0960A6">
      <w:pPr>
        <w:snapToGrid w:val="0"/>
        <w:spacing w:line="380" w:lineRule="exact"/>
        <w:ind w:firstLine="420" w:firstLineChars="200"/>
        <w:rPr>
          <w:rFonts w:hint="eastAsia" w:ascii="宋体" w:hAnsi="宋体" w:cs="Arial"/>
          <w:bCs/>
          <w:color w:val="auto"/>
          <w:szCs w:val="21"/>
          <w:highlight w:val="none"/>
        </w:rPr>
      </w:pPr>
      <w:r>
        <w:rPr>
          <w:rFonts w:hint="eastAsia" w:ascii="宋体" w:hAnsi="宋体" w:cs="Arial"/>
          <w:bCs/>
          <w:color w:val="auto"/>
          <w:szCs w:val="21"/>
          <w:highlight w:val="none"/>
        </w:rPr>
        <w:t>1</w:t>
      </w:r>
      <w:r>
        <w:rPr>
          <w:rFonts w:ascii="宋体" w:hAnsi="宋体" w:cs="Arial"/>
          <w:bCs/>
          <w:color w:val="auto"/>
          <w:szCs w:val="21"/>
          <w:highlight w:val="none"/>
        </w:rPr>
        <w:t>1</w:t>
      </w:r>
      <w:r>
        <w:rPr>
          <w:rFonts w:hint="eastAsia" w:ascii="宋体" w:hAnsi="宋体" w:cs="Arial"/>
          <w:bCs/>
          <w:color w:val="auto"/>
          <w:szCs w:val="21"/>
          <w:highlight w:val="none"/>
        </w:rPr>
        <w:t>.乙方应当支付给甲方的违约金、赔偿金，甲方有权从履约保证金及未支付的货款中扣除，违约金不足以赔偿给甲方因乙方违约而遭受的损失的，甲方仍有权向乙方进行追偿。</w:t>
      </w:r>
    </w:p>
    <w:p w14:paraId="422CDFA5">
      <w:pPr>
        <w:snapToGrid w:val="0"/>
        <w:spacing w:line="380" w:lineRule="exact"/>
        <w:ind w:firstLine="420" w:firstLineChars="200"/>
        <w:rPr>
          <w:rFonts w:hint="eastAsia" w:ascii="宋体" w:hAnsi="宋体" w:cs="Arial"/>
          <w:bCs/>
          <w:color w:val="auto"/>
          <w:szCs w:val="21"/>
          <w:highlight w:val="none"/>
        </w:rPr>
      </w:pPr>
      <w:r>
        <w:rPr>
          <w:rFonts w:hint="eastAsia" w:ascii="宋体" w:hAnsi="宋体" w:cs="Arial"/>
          <w:bCs/>
          <w:color w:val="auto"/>
          <w:szCs w:val="21"/>
          <w:highlight w:val="none"/>
        </w:rPr>
        <w:t>1</w:t>
      </w:r>
      <w:r>
        <w:rPr>
          <w:rFonts w:ascii="宋体" w:hAnsi="宋体" w:cs="Arial"/>
          <w:bCs/>
          <w:color w:val="auto"/>
          <w:szCs w:val="21"/>
          <w:highlight w:val="none"/>
        </w:rPr>
        <w:t>2</w:t>
      </w:r>
      <w:r>
        <w:rPr>
          <w:rFonts w:hint="eastAsia" w:ascii="宋体" w:hAnsi="宋体" w:cs="Arial"/>
          <w:bCs/>
          <w:color w:val="auto"/>
          <w:szCs w:val="21"/>
          <w:highlight w:val="none"/>
        </w:rPr>
        <w:t>.甲乙双方有其它违约行为的，由违约方向对方支付违约内容涉及货款额的5%，违约内容涉及货款额的5%不足以赔偿经济损失的按实际赔偿。</w:t>
      </w:r>
    </w:p>
    <w:p w14:paraId="47A2D988">
      <w:pPr>
        <w:snapToGrid w:val="0"/>
        <w:spacing w:line="380" w:lineRule="exact"/>
        <w:ind w:firstLine="420" w:firstLineChars="200"/>
        <w:rPr>
          <w:rFonts w:hint="eastAsia" w:ascii="宋体" w:hAnsi="宋体" w:cs="Arial"/>
          <w:bCs/>
          <w:color w:val="auto"/>
          <w:szCs w:val="21"/>
          <w:highlight w:val="none"/>
        </w:rPr>
      </w:pPr>
      <w:r>
        <w:rPr>
          <w:rFonts w:hint="eastAsia" w:ascii="宋体" w:hAnsi="宋体" w:cs="Arial"/>
          <w:bCs/>
          <w:color w:val="auto"/>
          <w:szCs w:val="21"/>
          <w:highlight w:val="none"/>
        </w:rPr>
        <w:t>1</w:t>
      </w:r>
      <w:r>
        <w:rPr>
          <w:rFonts w:ascii="宋体" w:hAnsi="宋体" w:cs="Arial"/>
          <w:bCs/>
          <w:color w:val="auto"/>
          <w:szCs w:val="21"/>
          <w:highlight w:val="none"/>
        </w:rPr>
        <w:t>3</w:t>
      </w:r>
      <w:r>
        <w:rPr>
          <w:rFonts w:hint="eastAsia" w:ascii="宋体" w:hAnsi="宋体" w:cs="Arial"/>
          <w:bCs/>
          <w:color w:val="auto"/>
          <w:szCs w:val="21"/>
          <w:highlight w:val="none"/>
        </w:rPr>
        <w:t>.本合同约定的违约责任或经济损失包括但不限于直接损失、预期利益损失、向第三人支付的违约金、赔偿金、因维权所产生的律师费、诉讼费、保全费、保全保函费、执行费、鉴定费、公证费、评估费等。</w:t>
      </w:r>
    </w:p>
    <w:p w14:paraId="112172CB">
      <w:pPr>
        <w:pStyle w:val="14"/>
        <w:snapToGrid w:val="0"/>
        <w:spacing w:line="400" w:lineRule="exact"/>
        <w:ind w:firstLine="413" w:firstLineChars="196"/>
        <w:rPr>
          <w:rFonts w:hAnsi="宋体"/>
          <w:b/>
          <w:color w:val="auto"/>
          <w:sz w:val="21"/>
          <w:highlight w:val="none"/>
        </w:rPr>
      </w:pPr>
      <w:r>
        <w:rPr>
          <w:rFonts w:hAnsi="宋体"/>
          <w:b/>
          <w:color w:val="auto"/>
          <w:sz w:val="21"/>
          <w:highlight w:val="none"/>
        </w:rPr>
        <w:t>第十</w:t>
      </w:r>
      <w:r>
        <w:rPr>
          <w:rFonts w:hint="eastAsia" w:hAnsi="宋体"/>
          <w:b/>
          <w:color w:val="auto"/>
          <w:sz w:val="21"/>
          <w:highlight w:val="none"/>
        </w:rPr>
        <w:t>二</w:t>
      </w:r>
      <w:r>
        <w:rPr>
          <w:rFonts w:hAnsi="宋体"/>
          <w:b/>
          <w:color w:val="auto"/>
          <w:sz w:val="21"/>
          <w:highlight w:val="none"/>
        </w:rPr>
        <w:t>条  不可抗力事件处</w:t>
      </w:r>
    </w:p>
    <w:p w14:paraId="0E2BAA90">
      <w:pPr>
        <w:pStyle w:val="14"/>
        <w:snapToGrid w:val="0"/>
        <w:spacing w:line="400" w:lineRule="exact"/>
        <w:ind w:firstLine="420" w:firstLineChars="200"/>
        <w:rPr>
          <w:rFonts w:hint="eastAsia" w:hAnsi="宋体"/>
          <w:color w:val="auto"/>
          <w:sz w:val="21"/>
          <w:highlight w:val="none"/>
        </w:rPr>
      </w:pPr>
      <w:r>
        <w:rPr>
          <w:rFonts w:hint="eastAsia" w:hAnsi="宋体"/>
          <w:color w:val="auto"/>
          <w:sz w:val="21"/>
          <w:highlight w:val="none"/>
        </w:rPr>
        <w:t>1.在合同有效期内，任何一方因不可抗力事件导致不能履行合同，则合同履行期可延长，其延长期与不可抗力影响期相同。</w:t>
      </w:r>
    </w:p>
    <w:p w14:paraId="5CAE315B">
      <w:pPr>
        <w:pStyle w:val="14"/>
        <w:snapToGrid w:val="0"/>
        <w:spacing w:line="400" w:lineRule="exact"/>
        <w:ind w:firstLine="420" w:firstLineChars="200"/>
        <w:rPr>
          <w:rFonts w:hint="eastAsia" w:hAnsi="宋体"/>
          <w:color w:val="auto"/>
          <w:sz w:val="21"/>
          <w:highlight w:val="none"/>
        </w:rPr>
      </w:pPr>
      <w:r>
        <w:rPr>
          <w:rFonts w:hint="eastAsia" w:hAnsi="宋体"/>
          <w:color w:val="auto"/>
          <w:sz w:val="21"/>
          <w:highlight w:val="none"/>
        </w:rPr>
        <w:t>2.不可抗力事件发生后，应立即通知对方，并寄送有关权威机构出具的证明。</w:t>
      </w:r>
    </w:p>
    <w:p w14:paraId="4EE9B9BF">
      <w:pPr>
        <w:pStyle w:val="14"/>
        <w:snapToGrid w:val="0"/>
        <w:spacing w:line="400" w:lineRule="exact"/>
        <w:ind w:firstLine="420" w:firstLineChars="200"/>
        <w:rPr>
          <w:rFonts w:hAnsi="宋体"/>
          <w:color w:val="auto"/>
          <w:sz w:val="21"/>
          <w:highlight w:val="none"/>
        </w:rPr>
      </w:pPr>
      <w:r>
        <w:rPr>
          <w:rFonts w:hint="eastAsia" w:hAnsi="宋体"/>
          <w:color w:val="auto"/>
          <w:sz w:val="21"/>
          <w:highlight w:val="none"/>
        </w:rPr>
        <w:t>3.不可抗力事件延续一百二十天以上，双方应通过友好协商，确定是否继续履行合同。</w:t>
      </w:r>
    </w:p>
    <w:p w14:paraId="1F7C5FD8">
      <w:pPr>
        <w:snapToGrid w:val="0"/>
        <w:spacing w:line="400" w:lineRule="exact"/>
        <w:ind w:firstLine="422" w:firstLineChars="200"/>
        <w:rPr>
          <w:rFonts w:ascii="宋体" w:hAnsi="宋体"/>
          <w:color w:val="auto"/>
          <w:szCs w:val="21"/>
          <w:highlight w:val="none"/>
        </w:rPr>
      </w:pPr>
      <w:r>
        <w:rPr>
          <w:rFonts w:hint="eastAsia" w:ascii="宋体" w:hAnsi="宋体"/>
          <w:b/>
          <w:color w:val="auto"/>
          <w:szCs w:val="21"/>
          <w:highlight w:val="none"/>
        </w:rPr>
        <w:t>第十三条  合同争议解决</w:t>
      </w:r>
    </w:p>
    <w:p w14:paraId="42F7EAD5">
      <w:pPr>
        <w:snapToGrid w:val="0"/>
        <w:spacing w:line="400" w:lineRule="exact"/>
        <w:ind w:left="-61" w:firstLine="514"/>
        <w:rPr>
          <w:rFonts w:hint="eastAsia" w:ascii="宋体" w:hAnsi="宋体"/>
          <w:color w:val="auto"/>
          <w:szCs w:val="21"/>
          <w:highlight w:val="none"/>
        </w:rPr>
      </w:pPr>
      <w:r>
        <w:rPr>
          <w:rFonts w:hint="eastAsia" w:ascii="宋体" w:hAnsi="宋体"/>
          <w:color w:val="auto"/>
          <w:szCs w:val="21"/>
          <w:highlight w:val="none"/>
        </w:rPr>
        <w:t>1.因履行本合同引起的或与本合同有关的争议，甲乙双方应首先通过友好协商解决，如果协商不能解决，可向甲方所在地人民法院提起诉讼。</w:t>
      </w:r>
    </w:p>
    <w:p w14:paraId="0C5EABE0">
      <w:pPr>
        <w:snapToGrid w:val="0"/>
        <w:spacing w:line="400" w:lineRule="exact"/>
        <w:ind w:left="-61" w:firstLine="514"/>
        <w:rPr>
          <w:rFonts w:ascii="宋体" w:hAnsi="宋体"/>
          <w:color w:val="auto"/>
          <w:szCs w:val="21"/>
          <w:highlight w:val="none"/>
        </w:rPr>
      </w:pPr>
      <w:r>
        <w:rPr>
          <w:rFonts w:hint="eastAsia" w:ascii="宋体" w:hAnsi="宋体"/>
          <w:color w:val="auto"/>
          <w:szCs w:val="21"/>
          <w:highlight w:val="none"/>
        </w:rPr>
        <w:t>2.诉讼期间，甲方为保障正常的运营，可选择由乙方继续提供服务（如售后服务）、甲方按照服务时间结算费用或者另行委托第三方提供服务、公开招标等方式，不视为甲方违约。</w:t>
      </w:r>
    </w:p>
    <w:p w14:paraId="0D1A08DD">
      <w:p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第十四条　合同的变更、终止与转让</w:t>
      </w:r>
    </w:p>
    <w:p w14:paraId="754407DF">
      <w:pPr>
        <w:snapToGrid w:val="0"/>
        <w:spacing w:line="400" w:lineRule="exact"/>
        <w:ind w:left="-61" w:firstLine="514"/>
        <w:rPr>
          <w:rFonts w:hint="eastAsia" w:ascii="宋体" w:hAnsi="宋体"/>
          <w:color w:val="auto"/>
          <w:szCs w:val="21"/>
          <w:highlight w:val="none"/>
        </w:rPr>
      </w:pPr>
      <w:r>
        <w:rPr>
          <w:rFonts w:hint="eastAsia" w:ascii="宋体" w:hAnsi="宋体"/>
          <w:color w:val="auto"/>
          <w:szCs w:val="21"/>
          <w:highlight w:val="none"/>
        </w:rPr>
        <w:t>1.除《中华人民共和国政府采购法》第五十条规定的情形外，本合同一经签订，甲乙双方不得擅自变更、中止或终止。</w:t>
      </w:r>
    </w:p>
    <w:p w14:paraId="7482BD75">
      <w:pPr>
        <w:snapToGrid w:val="0"/>
        <w:spacing w:line="400" w:lineRule="exact"/>
        <w:ind w:left="-61" w:firstLine="514"/>
        <w:rPr>
          <w:rFonts w:ascii="宋体" w:hAnsi="宋体"/>
          <w:color w:val="auto"/>
          <w:szCs w:val="21"/>
          <w:highlight w:val="none"/>
        </w:rPr>
      </w:pPr>
      <w:r>
        <w:rPr>
          <w:rFonts w:hint="eastAsia" w:ascii="宋体" w:hAnsi="宋体"/>
          <w:color w:val="auto"/>
          <w:szCs w:val="21"/>
          <w:highlight w:val="none"/>
        </w:rPr>
        <w:t>2.未经甲方书面同意，乙方不得擅自转让（无进口资格的乙方委托进口货物除外）其应履行的合同义务。</w:t>
      </w:r>
    </w:p>
    <w:p w14:paraId="14004744">
      <w:pPr>
        <w:snapToGrid w:val="0"/>
        <w:spacing w:line="380" w:lineRule="exact"/>
        <w:ind w:firstLine="422" w:firstLineChars="200"/>
        <w:outlineLvl w:val="3"/>
        <w:rPr>
          <w:rFonts w:ascii="宋体" w:hAnsi="宋体" w:cs="Arial"/>
          <w:b/>
          <w:color w:val="auto"/>
          <w:szCs w:val="21"/>
          <w:highlight w:val="none"/>
        </w:rPr>
      </w:pPr>
      <w:r>
        <w:rPr>
          <w:rFonts w:hint="eastAsia" w:ascii="宋体" w:hAnsi="宋体" w:cs="Arial"/>
          <w:b/>
          <w:color w:val="auto"/>
          <w:szCs w:val="21"/>
          <w:highlight w:val="none"/>
        </w:rPr>
        <w:t>第十五条  通知与送达</w:t>
      </w:r>
    </w:p>
    <w:p w14:paraId="196B45FE">
      <w:pPr>
        <w:snapToGrid w:val="0"/>
        <w:spacing w:line="380" w:lineRule="exact"/>
        <w:ind w:firstLine="420" w:firstLineChars="200"/>
        <w:rPr>
          <w:rFonts w:ascii="宋体" w:hAnsi="宋体" w:cs="Arial"/>
          <w:bCs/>
          <w:color w:val="auto"/>
          <w:szCs w:val="21"/>
          <w:highlight w:val="none"/>
        </w:rPr>
      </w:pPr>
      <w:r>
        <w:rPr>
          <w:rFonts w:hint="eastAsia" w:ascii="宋体" w:hAnsi="宋体" w:cs="Arial"/>
          <w:bCs/>
          <w:color w:val="auto"/>
          <w:szCs w:val="21"/>
          <w:highlight w:val="none"/>
        </w:rPr>
        <w:t>1.本协议项下对合同一方对另外一方的任何通知或请求，应当发送至接收方在合同中约定的地址、联系人和通信终端。一方当事人变更名称、地址、联系人或通信终端等信息的，应当在变更后3日内及时书面通知对方当事人，对方当事人实际收到变更通知前的送达仍为有效送达，电子送达与书面送达具有同等法律效力。</w:t>
      </w:r>
    </w:p>
    <w:p w14:paraId="010EC805">
      <w:pPr>
        <w:snapToGrid w:val="0"/>
        <w:spacing w:line="380" w:lineRule="exact"/>
        <w:ind w:firstLine="420" w:firstLineChars="200"/>
        <w:outlineLvl w:val="2"/>
        <w:rPr>
          <w:rFonts w:ascii="宋体" w:hAnsi="宋体" w:cs="Arial"/>
          <w:bCs/>
          <w:color w:val="auto"/>
          <w:szCs w:val="21"/>
          <w:highlight w:val="none"/>
        </w:rPr>
      </w:pPr>
      <w:r>
        <w:rPr>
          <w:rFonts w:hint="eastAsia" w:ascii="宋体" w:hAnsi="宋体" w:cs="Arial"/>
          <w:bCs/>
          <w:color w:val="auto"/>
          <w:szCs w:val="21"/>
          <w:highlight w:val="none"/>
        </w:rPr>
        <w:t>2.任何一方当事人向对/他方所发出的通知或请求送达时间：</w:t>
      </w:r>
    </w:p>
    <w:p w14:paraId="7B677AFB">
      <w:pPr>
        <w:snapToGrid w:val="0"/>
        <w:spacing w:line="380" w:lineRule="exact"/>
        <w:ind w:firstLine="420" w:firstLineChars="200"/>
        <w:rPr>
          <w:rFonts w:ascii="宋体" w:hAnsi="宋体" w:cs="Arial"/>
          <w:bCs/>
          <w:color w:val="auto"/>
          <w:szCs w:val="21"/>
          <w:highlight w:val="none"/>
        </w:rPr>
      </w:pPr>
      <w:r>
        <w:rPr>
          <w:rFonts w:hint="eastAsia" w:ascii="宋体" w:hAnsi="宋体" w:cs="Arial"/>
          <w:bCs/>
          <w:color w:val="auto"/>
          <w:szCs w:val="21"/>
          <w:highlight w:val="none"/>
        </w:rPr>
        <w:t>（1）如果是传真，则在发送当日视为送达；</w:t>
      </w:r>
    </w:p>
    <w:p w14:paraId="59C7A0C8">
      <w:pPr>
        <w:snapToGrid w:val="0"/>
        <w:spacing w:line="380" w:lineRule="exact"/>
        <w:ind w:firstLine="420" w:firstLineChars="200"/>
        <w:rPr>
          <w:rFonts w:ascii="宋体" w:hAnsi="宋体" w:cs="Arial"/>
          <w:bCs/>
          <w:color w:val="auto"/>
          <w:szCs w:val="21"/>
          <w:highlight w:val="none"/>
        </w:rPr>
      </w:pPr>
      <w:r>
        <w:rPr>
          <w:rFonts w:hint="eastAsia" w:ascii="宋体" w:hAnsi="宋体" w:cs="Arial"/>
          <w:bCs/>
          <w:color w:val="auto"/>
          <w:szCs w:val="21"/>
          <w:highlight w:val="none"/>
        </w:rPr>
        <w:t>（2）如果是短信/微信/电子邮件，自电子文件内容在发送方正确填写地址且未被系统退回的情况下，进入对方数据电文接收系统当日视为送达。</w:t>
      </w:r>
    </w:p>
    <w:p w14:paraId="70A6491F">
      <w:pPr>
        <w:snapToGrid w:val="0"/>
        <w:spacing w:line="380" w:lineRule="exact"/>
        <w:ind w:firstLine="420" w:firstLineChars="200"/>
        <w:rPr>
          <w:rFonts w:ascii="宋体" w:hAnsi="宋体" w:cs="Arial"/>
          <w:bCs/>
          <w:color w:val="auto"/>
          <w:szCs w:val="21"/>
          <w:highlight w:val="none"/>
        </w:rPr>
      </w:pPr>
      <w:r>
        <w:rPr>
          <w:rFonts w:hint="eastAsia" w:ascii="宋体" w:hAnsi="宋体" w:cs="Arial"/>
          <w:bCs/>
          <w:color w:val="auto"/>
          <w:szCs w:val="21"/>
          <w:highlight w:val="none"/>
        </w:rPr>
        <w:t>（3）如果是信函，在挂号信交邮后第三日视为送达；</w:t>
      </w:r>
    </w:p>
    <w:p w14:paraId="36D21996">
      <w:pPr>
        <w:snapToGrid w:val="0"/>
        <w:spacing w:line="380" w:lineRule="exact"/>
        <w:ind w:firstLine="420" w:firstLineChars="200"/>
        <w:rPr>
          <w:rFonts w:ascii="宋体" w:hAnsi="宋体" w:cs="Arial"/>
          <w:bCs/>
          <w:color w:val="auto"/>
          <w:szCs w:val="21"/>
          <w:highlight w:val="none"/>
        </w:rPr>
      </w:pPr>
      <w:r>
        <w:rPr>
          <w:rFonts w:hint="eastAsia" w:ascii="宋体" w:hAnsi="宋体" w:cs="Arial"/>
          <w:bCs/>
          <w:color w:val="auto"/>
          <w:szCs w:val="21"/>
          <w:highlight w:val="none"/>
        </w:rPr>
        <w:t>（4）如果是派人专程送达，则在收件人签收之日视为收到；</w:t>
      </w:r>
    </w:p>
    <w:p w14:paraId="08F62014">
      <w:pPr>
        <w:snapToGrid w:val="0"/>
        <w:spacing w:line="380" w:lineRule="exact"/>
        <w:ind w:firstLine="420" w:firstLineChars="200"/>
        <w:rPr>
          <w:rFonts w:ascii="宋体" w:hAnsi="宋体" w:cs="Arial"/>
          <w:bCs/>
          <w:color w:val="auto"/>
          <w:szCs w:val="21"/>
          <w:highlight w:val="none"/>
        </w:rPr>
      </w:pPr>
      <w:r>
        <w:rPr>
          <w:rFonts w:hint="eastAsia" w:ascii="宋体" w:hAnsi="宋体" w:cs="Arial"/>
          <w:bCs/>
          <w:color w:val="auto"/>
          <w:szCs w:val="21"/>
          <w:highlight w:val="none"/>
        </w:rPr>
        <w:t>（5）如果同时使用几种通知方式的，以其中较快到达接收方者为准。</w:t>
      </w:r>
    </w:p>
    <w:p w14:paraId="4F14A2CB">
      <w:pPr>
        <w:snapToGrid w:val="0"/>
        <w:spacing w:line="380" w:lineRule="exact"/>
        <w:ind w:firstLine="420" w:firstLineChars="200"/>
        <w:rPr>
          <w:rFonts w:ascii="宋体" w:hAnsi="宋体" w:cs="Arial"/>
          <w:bCs/>
          <w:color w:val="auto"/>
          <w:szCs w:val="21"/>
          <w:highlight w:val="none"/>
        </w:rPr>
      </w:pPr>
      <w:r>
        <w:rPr>
          <w:rFonts w:hint="eastAsia" w:ascii="宋体" w:hAnsi="宋体" w:cs="Arial"/>
          <w:bCs/>
          <w:color w:val="auto"/>
          <w:szCs w:val="21"/>
          <w:highlight w:val="none"/>
        </w:rPr>
        <w:t>（6）若送达日为非工作日，则视为在下一工作日送达。</w:t>
      </w:r>
    </w:p>
    <w:p w14:paraId="03E67957">
      <w:pPr>
        <w:snapToGrid w:val="0"/>
        <w:spacing w:line="380" w:lineRule="exact"/>
        <w:ind w:firstLine="420" w:firstLineChars="200"/>
        <w:rPr>
          <w:rFonts w:ascii="宋体" w:hAnsi="宋体" w:cs="Arial"/>
          <w:bCs/>
          <w:color w:val="auto"/>
          <w:szCs w:val="21"/>
          <w:highlight w:val="none"/>
        </w:rPr>
      </w:pPr>
      <w:r>
        <w:rPr>
          <w:rFonts w:hint="eastAsia" w:ascii="宋体" w:hAnsi="宋体" w:cs="Arial"/>
          <w:bCs/>
          <w:color w:val="auto"/>
          <w:szCs w:val="21"/>
          <w:highlight w:val="none"/>
        </w:rPr>
        <w:t>3.本合同约定的地址、联系人及电子通信终端等信息亦为双方工作联系往来、法律文书及争议解决时人民法院和/或仲裁机构的法律文书送达地址。人民法院和/或仲裁机构的诉讼文书（含裁判文书）向任何合同任何一方当事人的上述地址和/或工商登记公示地址（居民身份证登记地址）送达的，视为有效送达。当事人对电子通信终端的联系送达适用于争议解决时的送达。</w:t>
      </w:r>
    </w:p>
    <w:p w14:paraId="5B4EDDC8">
      <w:pPr>
        <w:snapToGrid w:val="0"/>
        <w:spacing w:line="380" w:lineRule="exact"/>
        <w:ind w:firstLine="420" w:firstLineChars="200"/>
        <w:rPr>
          <w:rFonts w:ascii="宋体" w:hAnsi="宋体" w:cs="Arial"/>
          <w:b/>
          <w:color w:val="auto"/>
          <w:szCs w:val="21"/>
          <w:highlight w:val="none"/>
        </w:rPr>
      </w:pPr>
      <w:r>
        <w:rPr>
          <w:rFonts w:hint="eastAsia" w:ascii="宋体" w:hAnsi="宋体" w:cs="Arial"/>
          <w:bCs/>
          <w:color w:val="auto"/>
          <w:szCs w:val="21"/>
          <w:highlight w:val="none"/>
        </w:rPr>
        <w:t>4.合同送达条款与争议解决条款均为独立条款，不受合同整体或其他条款的效力的影响。</w:t>
      </w:r>
    </w:p>
    <w:p w14:paraId="3E0CE283">
      <w:pPr>
        <w:snapToGrid w:val="0"/>
        <w:spacing w:line="380" w:lineRule="exact"/>
        <w:ind w:firstLine="422" w:firstLineChars="200"/>
        <w:outlineLvl w:val="3"/>
        <w:rPr>
          <w:rFonts w:ascii="宋体" w:hAnsi="宋体" w:cs="Arial"/>
          <w:b/>
          <w:color w:val="auto"/>
          <w:szCs w:val="21"/>
          <w:highlight w:val="none"/>
        </w:rPr>
      </w:pPr>
      <w:r>
        <w:rPr>
          <w:rFonts w:hint="eastAsia" w:ascii="宋体" w:hAnsi="宋体" w:cs="Arial"/>
          <w:b/>
          <w:color w:val="auto"/>
          <w:szCs w:val="21"/>
          <w:highlight w:val="none"/>
        </w:rPr>
        <w:t>第十六条  合同组成及相互关系</w:t>
      </w:r>
    </w:p>
    <w:p w14:paraId="52DAE0CD">
      <w:pPr>
        <w:snapToGrid w:val="0"/>
        <w:spacing w:line="380" w:lineRule="exact"/>
        <w:ind w:firstLine="420" w:firstLineChars="200"/>
        <w:rPr>
          <w:rFonts w:ascii="宋体" w:hAnsi="宋体" w:cs="Arial"/>
          <w:bCs/>
          <w:color w:val="auto"/>
          <w:szCs w:val="21"/>
          <w:highlight w:val="none"/>
        </w:rPr>
      </w:pPr>
      <w:r>
        <w:rPr>
          <w:rFonts w:hint="eastAsia" w:ascii="宋体" w:hAnsi="宋体" w:cs="Arial"/>
          <w:bCs/>
          <w:color w:val="auto"/>
          <w:szCs w:val="21"/>
          <w:highlight w:val="none"/>
        </w:rPr>
        <w:t xml:space="preserve">1.本合同的采购文件（含招标答疑）、符合招标要求的投标文件、中标通知书、本合同履行过程中双方签章确认的协议或其他文件均为本合同的组成部分，若合同组成文件之间发生矛盾的，以下排列顺序为合同组成文件之间的优先解释顺序： </w:t>
      </w:r>
    </w:p>
    <w:p w14:paraId="34FCC00D">
      <w:pPr>
        <w:snapToGrid w:val="0"/>
        <w:spacing w:line="380" w:lineRule="exact"/>
        <w:ind w:firstLine="420" w:firstLineChars="200"/>
        <w:rPr>
          <w:rFonts w:ascii="宋体" w:hAnsi="宋体" w:cs="Arial"/>
          <w:bCs/>
          <w:color w:val="auto"/>
          <w:szCs w:val="21"/>
          <w:highlight w:val="none"/>
        </w:rPr>
      </w:pPr>
      <w:r>
        <w:rPr>
          <w:rFonts w:hint="eastAsia" w:ascii="宋体" w:hAnsi="宋体" w:cs="Arial"/>
          <w:bCs/>
          <w:color w:val="auto"/>
          <w:szCs w:val="21"/>
          <w:highlight w:val="none"/>
        </w:rPr>
        <w:t>（1）本合同及其附件；</w:t>
      </w:r>
    </w:p>
    <w:p w14:paraId="6D7D37FB">
      <w:pPr>
        <w:snapToGrid w:val="0"/>
        <w:spacing w:line="380" w:lineRule="exact"/>
        <w:ind w:firstLine="420" w:firstLineChars="200"/>
        <w:rPr>
          <w:rFonts w:ascii="宋体" w:hAnsi="宋体" w:cs="Arial"/>
          <w:bCs/>
          <w:color w:val="auto"/>
          <w:szCs w:val="21"/>
          <w:highlight w:val="none"/>
        </w:rPr>
      </w:pPr>
      <w:r>
        <w:rPr>
          <w:rFonts w:hint="eastAsia" w:ascii="宋体" w:hAnsi="宋体" w:cs="Arial"/>
          <w:bCs/>
          <w:color w:val="auto"/>
          <w:szCs w:val="21"/>
          <w:highlight w:val="none"/>
        </w:rPr>
        <w:t>（2）中标通知书；</w:t>
      </w:r>
    </w:p>
    <w:p w14:paraId="184810FC">
      <w:pPr>
        <w:snapToGrid w:val="0"/>
        <w:spacing w:line="380" w:lineRule="exact"/>
        <w:ind w:firstLine="420" w:firstLineChars="200"/>
        <w:rPr>
          <w:rFonts w:ascii="宋体" w:hAnsi="宋体" w:cs="Arial"/>
          <w:bCs/>
          <w:color w:val="auto"/>
          <w:szCs w:val="21"/>
          <w:highlight w:val="none"/>
        </w:rPr>
      </w:pPr>
      <w:r>
        <w:rPr>
          <w:rFonts w:hint="eastAsia" w:ascii="宋体" w:hAnsi="宋体" w:cs="Arial"/>
          <w:bCs/>
          <w:color w:val="auto"/>
          <w:szCs w:val="21"/>
          <w:highlight w:val="none"/>
        </w:rPr>
        <w:t>（3）符合招标要求的投标文件；</w:t>
      </w:r>
    </w:p>
    <w:p w14:paraId="4CEE432E">
      <w:pPr>
        <w:snapToGrid w:val="0"/>
        <w:spacing w:line="380" w:lineRule="exact"/>
        <w:ind w:firstLine="420" w:firstLineChars="200"/>
        <w:rPr>
          <w:rFonts w:ascii="宋体" w:hAnsi="宋体" w:cs="Arial"/>
          <w:bCs/>
          <w:color w:val="auto"/>
          <w:szCs w:val="21"/>
          <w:highlight w:val="none"/>
        </w:rPr>
      </w:pPr>
      <w:r>
        <w:rPr>
          <w:rFonts w:hint="eastAsia" w:ascii="宋体" w:hAnsi="宋体" w:cs="Arial"/>
          <w:bCs/>
          <w:color w:val="auto"/>
          <w:szCs w:val="21"/>
          <w:highlight w:val="none"/>
        </w:rPr>
        <w:t>（4）采购文件(招标答疑)；</w:t>
      </w:r>
    </w:p>
    <w:p w14:paraId="0EFCA7BF">
      <w:pPr>
        <w:snapToGrid w:val="0"/>
        <w:spacing w:line="380" w:lineRule="exact"/>
        <w:ind w:firstLine="420" w:firstLineChars="200"/>
        <w:rPr>
          <w:rFonts w:ascii="宋体" w:hAnsi="宋体" w:cs="Arial"/>
          <w:bCs/>
          <w:color w:val="auto"/>
          <w:szCs w:val="21"/>
          <w:highlight w:val="none"/>
        </w:rPr>
      </w:pPr>
      <w:r>
        <w:rPr>
          <w:rFonts w:hint="eastAsia" w:ascii="宋体" w:hAnsi="宋体" w:cs="Arial"/>
          <w:bCs/>
          <w:color w:val="auto"/>
          <w:szCs w:val="21"/>
          <w:highlight w:val="none"/>
        </w:rPr>
        <w:t>（5）标准、规范及有关技术文件；</w:t>
      </w:r>
    </w:p>
    <w:p w14:paraId="6B1FA251">
      <w:pPr>
        <w:snapToGrid w:val="0"/>
        <w:spacing w:line="380" w:lineRule="exact"/>
        <w:ind w:firstLine="420" w:firstLineChars="200"/>
        <w:rPr>
          <w:rFonts w:ascii="宋体" w:hAnsi="宋体" w:cs="Arial"/>
          <w:bCs/>
          <w:color w:val="auto"/>
          <w:szCs w:val="21"/>
          <w:highlight w:val="none"/>
        </w:rPr>
      </w:pPr>
      <w:r>
        <w:rPr>
          <w:rFonts w:hint="eastAsia" w:ascii="宋体" w:hAnsi="宋体" w:cs="Arial"/>
          <w:bCs/>
          <w:color w:val="auto"/>
          <w:szCs w:val="21"/>
          <w:highlight w:val="none"/>
        </w:rPr>
        <w:t>（6）其他合同文件。</w:t>
      </w:r>
    </w:p>
    <w:p w14:paraId="66305AA8">
      <w:pPr>
        <w:snapToGrid w:val="0"/>
        <w:spacing w:line="380" w:lineRule="exact"/>
        <w:ind w:firstLine="420" w:firstLineChars="200"/>
        <w:rPr>
          <w:rFonts w:ascii="宋体" w:hAnsi="宋体" w:cs="Arial"/>
          <w:bCs/>
          <w:color w:val="auto"/>
          <w:szCs w:val="21"/>
          <w:highlight w:val="none"/>
        </w:rPr>
      </w:pPr>
      <w:r>
        <w:rPr>
          <w:rFonts w:hint="eastAsia" w:ascii="宋体" w:hAnsi="宋体" w:cs="Arial"/>
          <w:bCs/>
          <w:color w:val="auto"/>
          <w:szCs w:val="21"/>
          <w:highlight w:val="none"/>
        </w:rPr>
        <w:t>2.本合同履行过程中双方签章确认的协议或其他文件均为本合同的组成部分。</w:t>
      </w:r>
    </w:p>
    <w:p w14:paraId="017B88C4">
      <w:pPr>
        <w:snapToGrid w:val="0"/>
        <w:spacing w:line="380" w:lineRule="exact"/>
        <w:ind w:firstLine="420" w:firstLineChars="200"/>
        <w:rPr>
          <w:rFonts w:ascii="宋体" w:hAnsi="宋体" w:cs="Arial"/>
          <w:bCs/>
          <w:color w:val="auto"/>
          <w:szCs w:val="21"/>
          <w:highlight w:val="none"/>
        </w:rPr>
      </w:pPr>
      <w:r>
        <w:rPr>
          <w:rFonts w:hint="eastAsia" w:ascii="宋体" w:hAnsi="宋体" w:cs="Arial"/>
          <w:bCs/>
          <w:color w:val="auto"/>
          <w:szCs w:val="21"/>
          <w:highlight w:val="none"/>
        </w:rPr>
        <w:t>3.前述文件应认为是互为补充和解释的，如有互相矛盾之处，以前述文件所列顺序作为其优先解释的顺序，但如果某一文件对甲方权利维护更有利或对乙方有更高、更严格要求的以该文件内容为准。</w:t>
      </w:r>
    </w:p>
    <w:p w14:paraId="316A3156">
      <w:pPr>
        <w:snapToGrid w:val="0"/>
        <w:spacing w:line="380" w:lineRule="exact"/>
        <w:ind w:firstLine="420" w:firstLineChars="200"/>
        <w:rPr>
          <w:rFonts w:ascii="宋体" w:hAnsi="宋体" w:cs="Arial"/>
          <w:color w:val="auto"/>
          <w:szCs w:val="21"/>
          <w:highlight w:val="none"/>
        </w:rPr>
      </w:pPr>
      <w:r>
        <w:rPr>
          <w:rFonts w:hint="eastAsia" w:ascii="宋体" w:hAnsi="宋体" w:cs="Arial"/>
          <w:bCs/>
          <w:color w:val="auto"/>
          <w:szCs w:val="21"/>
          <w:highlight w:val="none"/>
        </w:rPr>
        <w:t>4.前述各项文件包括双方就该合同组成文件所作出的补充和修改，属于同一项文件的，应以最新签署的为准。</w:t>
      </w:r>
      <w:r>
        <w:rPr>
          <w:rFonts w:hint="eastAsia" w:ascii="宋体" w:hAnsi="宋体" w:cs="Arial"/>
          <w:color w:val="auto"/>
          <w:szCs w:val="21"/>
          <w:highlight w:val="none"/>
        </w:rPr>
        <w:t>前述文件应认为是互为补充和解释的，如有互相矛盾之处，以前述文件所列顺序作为其优先解释的顺序，但如果某一文件对甲方权利维护更有利或对乙方有更高、更严格要求的以该文件内容为准。</w:t>
      </w:r>
    </w:p>
    <w:p w14:paraId="48869576">
      <w:pPr>
        <w:snapToGrid w:val="0"/>
        <w:spacing w:line="380" w:lineRule="exact"/>
        <w:ind w:firstLine="420" w:firstLineChars="200"/>
        <w:rPr>
          <w:rFonts w:ascii="宋体" w:hAnsi="宋体" w:cs="Arial"/>
          <w:color w:val="auto"/>
          <w:szCs w:val="21"/>
          <w:highlight w:val="none"/>
        </w:rPr>
      </w:pPr>
      <w:r>
        <w:rPr>
          <w:rFonts w:hint="eastAsia" w:ascii="宋体" w:hAnsi="宋体" w:cs="Arial"/>
          <w:color w:val="auto"/>
          <w:szCs w:val="21"/>
          <w:highlight w:val="none"/>
        </w:rPr>
        <w:t>5.前述各项文件包括双方就该合同组成文件所作出的补充和修改，属于同一项文件的，应以最新签署的为准。</w:t>
      </w:r>
    </w:p>
    <w:p w14:paraId="666C68AC">
      <w:pPr>
        <w:snapToGrid w:val="0"/>
        <w:spacing w:line="380" w:lineRule="exact"/>
        <w:ind w:firstLine="422" w:firstLineChars="200"/>
        <w:rPr>
          <w:rFonts w:ascii="宋体" w:hAnsi="宋体" w:cs="Arial"/>
          <w:b/>
          <w:color w:val="auto"/>
          <w:szCs w:val="21"/>
          <w:highlight w:val="none"/>
        </w:rPr>
      </w:pPr>
      <w:r>
        <w:rPr>
          <w:rFonts w:hint="eastAsia" w:ascii="宋体" w:hAnsi="宋体" w:cs="Arial"/>
          <w:b/>
          <w:color w:val="auto"/>
          <w:szCs w:val="21"/>
          <w:highlight w:val="none"/>
        </w:rPr>
        <w:t>第十七条　合同生效及其它</w:t>
      </w:r>
    </w:p>
    <w:p w14:paraId="2AB9D941">
      <w:pPr>
        <w:snapToGrid w:val="0"/>
        <w:spacing w:line="380" w:lineRule="exact"/>
        <w:ind w:firstLine="420" w:firstLineChars="200"/>
        <w:rPr>
          <w:rFonts w:ascii="宋体" w:hAnsi="宋体" w:cs="Arial"/>
          <w:color w:val="auto"/>
          <w:szCs w:val="21"/>
          <w:highlight w:val="none"/>
        </w:rPr>
      </w:pPr>
      <w:r>
        <w:rPr>
          <w:rFonts w:hint="eastAsia" w:ascii="宋体" w:hAnsi="宋体" w:cs="Arial"/>
          <w:color w:val="auto"/>
          <w:szCs w:val="21"/>
          <w:highlight w:val="none"/>
        </w:rPr>
        <w:t>1.本合同履行期限为：</w:t>
      </w:r>
      <w:r>
        <w:rPr>
          <w:rFonts w:hint="eastAsia" w:ascii="宋体" w:hAnsi="宋体" w:cs="Arial"/>
          <w:color w:val="auto"/>
          <w:szCs w:val="21"/>
          <w:highlight w:val="none"/>
          <w:u w:val="single"/>
        </w:rPr>
        <w:t>按照本合同约定</w:t>
      </w:r>
      <w:r>
        <w:rPr>
          <w:rFonts w:hint="eastAsia" w:ascii="宋体" w:hAnsi="宋体" w:cs="Arial"/>
          <w:color w:val="auto"/>
          <w:szCs w:val="21"/>
          <w:highlight w:val="none"/>
        </w:rPr>
        <w:t>；合同履行地点为：</w:t>
      </w:r>
      <w:r>
        <w:rPr>
          <w:rFonts w:hint="eastAsia" w:ascii="宋体" w:hAnsi="宋体" w:cs="Arial"/>
          <w:color w:val="auto"/>
          <w:szCs w:val="21"/>
          <w:highlight w:val="none"/>
          <w:u w:val="single"/>
        </w:rPr>
        <w:t>广西南宁市</w:t>
      </w:r>
      <w:r>
        <w:rPr>
          <w:rFonts w:hint="eastAsia" w:ascii="宋体" w:hAnsi="宋体" w:cs="Arial"/>
          <w:color w:val="auto"/>
          <w:szCs w:val="21"/>
          <w:highlight w:val="none"/>
        </w:rPr>
        <w:t>；合同履行的方式：</w:t>
      </w:r>
      <w:r>
        <w:rPr>
          <w:rFonts w:hint="eastAsia" w:ascii="宋体" w:hAnsi="宋体" w:cs="Arial"/>
          <w:color w:val="auto"/>
          <w:szCs w:val="21"/>
          <w:highlight w:val="none"/>
          <w:u w:val="single"/>
        </w:rPr>
        <w:t>按照本合同约定</w:t>
      </w:r>
      <w:r>
        <w:rPr>
          <w:rFonts w:hint="eastAsia" w:ascii="宋体" w:hAnsi="宋体" w:cs="Arial"/>
          <w:color w:val="auto"/>
          <w:szCs w:val="21"/>
          <w:highlight w:val="none"/>
        </w:rPr>
        <w:t>。</w:t>
      </w:r>
    </w:p>
    <w:p w14:paraId="3D0CC00B">
      <w:pPr>
        <w:snapToGrid w:val="0"/>
        <w:spacing w:line="380" w:lineRule="exact"/>
        <w:ind w:firstLine="420" w:firstLineChars="200"/>
        <w:rPr>
          <w:rFonts w:ascii="宋体" w:hAnsi="宋体" w:cs="Arial"/>
          <w:color w:val="auto"/>
          <w:szCs w:val="21"/>
          <w:highlight w:val="none"/>
        </w:rPr>
      </w:pPr>
      <w:r>
        <w:rPr>
          <w:rFonts w:ascii="宋体" w:hAnsi="宋体" w:cs="Arial"/>
          <w:color w:val="auto"/>
          <w:szCs w:val="21"/>
          <w:highlight w:val="none"/>
        </w:rPr>
        <w:t>2</w:t>
      </w:r>
      <w:r>
        <w:rPr>
          <w:rFonts w:hint="eastAsia" w:ascii="宋体" w:hAnsi="宋体" w:cs="Arial"/>
          <w:color w:val="auto"/>
          <w:szCs w:val="21"/>
          <w:highlight w:val="none"/>
        </w:rPr>
        <w:t>.合同经双方法定代表人或授权代表签字并加盖单位公章后生效。本合同一式五份，具有同等法律效力。</w:t>
      </w:r>
      <w:r>
        <w:rPr>
          <w:rFonts w:hint="eastAsia" w:ascii="宋体" w:hAnsi="宋体" w:cs="Arial"/>
          <w:color w:val="auto"/>
          <w:spacing w:val="4"/>
          <w:szCs w:val="21"/>
          <w:highlight w:val="none"/>
        </w:rPr>
        <w:t>采购代理机构</w:t>
      </w:r>
      <w:r>
        <w:rPr>
          <w:rFonts w:hint="eastAsia" w:ascii="宋体" w:hAnsi="宋体" w:cs="Arial"/>
          <w:color w:val="auto"/>
          <w:szCs w:val="21"/>
          <w:highlight w:val="none"/>
        </w:rPr>
        <w:t>一份，甲方三份，乙方一份。</w:t>
      </w:r>
    </w:p>
    <w:p w14:paraId="2514697F">
      <w:pPr>
        <w:snapToGrid w:val="0"/>
        <w:spacing w:line="380" w:lineRule="exact"/>
        <w:ind w:firstLine="420" w:firstLineChars="200"/>
        <w:rPr>
          <w:rFonts w:ascii="宋体" w:hAnsi="宋体" w:cs="Arial"/>
          <w:color w:val="auto"/>
          <w:szCs w:val="21"/>
          <w:highlight w:val="none"/>
        </w:rPr>
      </w:pPr>
      <w:r>
        <w:rPr>
          <w:rFonts w:ascii="宋体" w:hAnsi="宋体" w:cs="Arial"/>
          <w:color w:val="auto"/>
          <w:szCs w:val="21"/>
          <w:highlight w:val="none"/>
        </w:rPr>
        <w:t>3</w:t>
      </w:r>
      <w:r>
        <w:rPr>
          <w:rFonts w:hint="eastAsia" w:ascii="宋体" w:hAnsi="宋体" w:cs="Arial"/>
          <w:color w:val="auto"/>
          <w:szCs w:val="21"/>
          <w:highlight w:val="none"/>
        </w:rPr>
        <w:t>.合同执行中涉及采购资金和采购内容修改或补充的，须签书面补充协议方可作为主合同不可分割的一部分。</w:t>
      </w:r>
    </w:p>
    <w:p w14:paraId="2694C86A">
      <w:pPr>
        <w:snapToGrid w:val="0"/>
        <w:spacing w:line="400" w:lineRule="exact"/>
        <w:ind w:firstLine="420" w:firstLineChars="200"/>
        <w:rPr>
          <w:rFonts w:hint="eastAsia" w:ascii="宋体" w:hAnsi="宋体"/>
          <w:color w:val="auto"/>
          <w:szCs w:val="21"/>
          <w:highlight w:val="none"/>
        </w:rPr>
      </w:pPr>
      <w:r>
        <w:rPr>
          <w:rFonts w:ascii="宋体" w:hAnsi="宋体" w:cs="Arial"/>
          <w:color w:val="auto"/>
          <w:szCs w:val="21"/>
          <w:highlight w:val="none"/>
        </w:rPr>
        <w:t>4</w:t>
      </w:r>
      <w:r>
        <w:rPr>
          <w:rFonts w:hint="eastAsia" w:ascii="宋体" w:hAnsi="宋体" w:cs="Arial"/>
          <w:color w:val="auto"/>
          <w:szCs w:val="21"/>
          <w:highlight w:val="none"/>
        </w:rPr>
        <w:t>.本合同未尽事宜，遵照《中华人民共和国民法典》有关条文执行。</w:t>
      </w:r>
    </w:p>
    <w:tbl>
      <w:tblPr>
        <w:tblStyle w:val="27"/>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7"/>
        <w:gridCol w:w="4927"/>
      </w:tblGrid>
      <w:tr w14:paraId="7570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5DF75BE2">
            <w:pPr>
              <w:snapToGrid w:val="0"/>
              <w:spacing w:line="400" w:lineRule="exact"/>
              <w:rPr>
                <w:rFonts w:ascii="宋体" w:hAnsi="宋体"/>
                <w:color w:val="auto"/>
                <w:szCs w:val="21"/>
                <w:highlight w:val="none"/>
              </w:rPr>
            </w:pPr>
            <w:r>
              <w:rPr>
                <w:rFonts w:hint="eastAsia" w:ascii="宋体" w:hAnsi="宋体"/>
                <w:color w:val="auto"/>
                <w:szCs w:val="21"/>
                <w:highlight w:val="none"/>
              </w:rPr>
              <w:t xml:space="preserve">甲方（章）           </w:t>
            </w:r>
          </w:p>
          <w:p w14:paraId="1B75BD5C">
            <w:pPr>
              <w:snapToGrid w:val="0"/>
              <w:spacing w:line="400" w:lineRule="exact"/>
              <w:rPr>
                <w:rFonts w:ascii="宋体" w:hAnsi="宋体"/>
                <w:color w:val="auto"/>
                <w:szCs w:val="21"/>
                <w:highlight w:val="none"/>
              </w:rPr>
            </w:pPr>
          </w:p>
          <w:p w14:paraId="3C11E77C">
            <w:pPr>
              <w:snapToGrid w:val="0"/>
              <w:spacing w:line="400" w:lineRule="exact"/>
              <w:ind w:firstLine="945" w:firstLineChars="450"/>
              <w:jc w:val="right"/>
              <w:rPr>
                <w:rFonts w:ascii="宋体" w:hAnsi="宋体"/>
                <w:color w:val="auto"/>
                <w:szCs w:val="21"/>
                <w:highlight w:val="none"/>
              </w:rPr>
            </w:pPr>
            <w:r>
              <w:rPr>
                <w:rFonts w:hint="eastAsia" w:ascii="宋体" w:hAnsi="宋体"/>
                <w:color w:val="auto"/>
                <w:szCs w:val="21"/>
                <w:highlight w:val="none"/>
              </w:rPr>
              <w:t>年   月   日</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86DCB7F">
            <w:pPr>
              <w:snapToGrid w:val="0"/>
              <w:spacing w:line="400" w:lineRule="exact"/>
              <w:rPr>
                <w:rFonts w:ascii="宋体" w:hAnsi="宋体"/>
                <w:color w:val="auto"/>
                <w:szCs w:val="21"/>
                <w:highlight w:val="none"/>
              </w:rPr>
            </w:pPr>
            <w:r>
              <w:rPr>
                <w:rFonts w:hint="eastAsia" w:ascii="宋体" w:hAnsi="宋体"/>
                <w:color w:val="auto"/>
                <w:szCs w:val="21"/>
                <w:highlight w:val="none"/>
              </w:rPr>
              <w:t xml:space="preserve">乙方（章）              </w:t>
            </w:r>
          </w:p>
          <w:p w14:paraId="5CEB8A71">
            <w:pPr>
              <w:snapToGrid w:val="0"/>
              <w:spacing w:line="400" w:lineRule="exact"/>
              <w:rPr>
                <w:rFonts w:ascii="宋体" w:hAnsi="宋体"/>
                <w:color w:val="auto"/>
                <w:szCs w:val="21"/>
                <w:highlight w:val="none"/>
              </w:rPr>
            </w:pPr>
          </w:p>
          <w:p w14:paraId="5E9ECCCD">
            <w:pPr>
              <w:snapToGrid w:val="0"/>
              <w:spacing w:line="400" w:lineRule="exact"/>
              <w:jc w:val="right"/>
              <w:rPr>
                <w:rFonts w:ascii="宋体" w:hAnsi="宋体"/>
                <w:color w:val="auto"/>
                <w:szCs w:val="21"/>
                <w:highlight w:val="none"/>
              </w:rPr>
            </w:pPr>
            <w:r>
              <w:rPr>
                <w:rFonts w:hint="eastAsia" w:ascii="宋体" w:hAnsi="宋体"/>
                <w:color w:val="auto"/>
                <w:szCs w:val="21"/>
                <w:highlight w:val="none"/>
              </w:rPr>
              <w:t xml:space="preserve"> 年   月   日</w:t>
            </w:r>
          </w:p>
        </w:tc>
      </w:tr>
      <w:tr w14:paraId="7BA5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714C7B0">
            <w:pPr>
              <w:snapToGrid w:val="0"/>
              <w:spacing w:line="400" w:lineRule="exact"/>
              <w:rPr>
                <w:rFonts w:ascii="宋体" w:hAnsi="宋体"/>
                <w:color w:val="auto"/>
                <w:szCs w:val="21"/>
                <w:highlight w:val="none"/>
              </w:rPr>
            </w:pPr>
            <w:r>
              <w:rPr>
                <w:rFonts w:hint="eastAsia" w:ascii="宋体" w:hAnsi="宋体"/>
                <w:color w:val="auto"/>
                <w:szCs w:val="21"/>
                <w:highlight w:val="none"/>
              </w:rPr>
              <w:t>单位地址：</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7893D2DC">
            <w:pPr>
              <w:snapToGrid w:val="0"/>
              <w:spacing w:line="400" w:lineRule="exact"/>
              <w:rPr>
                <w:rFonts w:ascii="宋体" w:hAnsi="宋体"/>
                <w:color w:val="auto"/>
                <w:szCs w:val="21"/>
                <w:highlight w:val="none"/>
              </w:rPr>
            </w:pPr>
            <w:r>
              <w:rPr>
                <w:rFonts w:hint="eastAsia" w:ascii="宋体" w:hAnsi="宋体"/>
                <w:color w:val="auto"/>
                <w:szCs w:val="21"/>
                <w:highlight w:val="none"/>
              </w:rPr>
              <w:t>单位地址：</w:t>
            </w:r>
          </w:p>
        </w:tc>
      </w:tr>
      <w:tr w14:paraId="54744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0D4C5CB8">
            <w:pPr>
              <w:snapToGrid w:val="0"/>
              <w:spacing w:line="400" w:lineRule="exact"/>
              <w:rPr>
                <w:rFonts w:ascii="宋体" w:hAnsi="宋体"/>
                <w:color w:val="auto"/>
                <w:szCs w:val="21"/>
                <w:highlight w:val="none"/>
              </w:rPr>
            </w:pPr>
            <w:r>
              <w:rPr>
                <w:rFonts w:hint="eastAsia" w:ascii="宋体" w:hAnsi="宋体"/>
                <w:color w:val="auto"/>
                <w:szCs w:val="21"/>
                <w:highlight w:val="none"/>
              </w:rPr>
              <w:t>法定代表人：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CE5F451">
            <w:pPr>
              <w:snapToGrid w:val="0"/>
              <w:spacing w:line="400" w:lineRule="exact"/>
              <w:rPr>
                <w:rFonts w:ascii="宋体" w:hAnsi="宋体"/>
                <w:color w:val="auto"/>
                <w:szCs w:val="21"/>
                <w:highlight w:val="none"/>
              </w:rPr>
            </w:pPr>
            <w:r>
              <w:rPr>
                <w:rFonts w:hint="eastAsia" w:ascii="宋体" w:hAnsi="宋体"/>
                <w:color w:val="auto"/>
                <w:szCs w:val="21"/>
                <w:highlight w:val="none"/>
              </w:rPr>
              <w:t>法定代表人：</w:t>
            </w:r>
          </w:p>
        </w:tc>
      </w:tr>
      <w:tr w14:paraId="75AE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583B3039">
            <w:pPr>
              <w:snapToGrid w:val="0"/>
              <w:spacing w:line="400" w:lineRule="exact"/>
              <w:rPr>
                <w:rFonts w:ascii="宋体" w:hAnsi="宋体"/>
                <w:color w:val="auto"/>
                <w:szCs w:val="21"/>
                <w:highlight w:val="none"/>
              </w:rPr>
            </w:pPr>
            <w:r>
              <w:rPr>
                <w:rFonts w:hint="eastAsia" w:ascii="宋体" w:hAnsi="宋体"/>
                <w:color w:val="auto"/>
                <w:szCs w:val="21"/>
                <w:highlight w:val="none"/>
              </w:rPr>
              <w:t>委托代理人：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2BDA3F3A">
            <w:pPr>
              <w:snapToGrid w:val="0"/>
              <w:spacing w:line="400" w:lineRule="exact"/>
              <w:rPr>
                <w:rFonts w:ascii="宋体" w:hAnsi="宋体"/>
                <w:color w:val="auto"/>
                <w:szCs w:val="21"/>
                <w:highlight w:val="none"/>
              </w:rPr>
            </w:pPr>
            <w:r>
              <w:rPr>
                <w:rFonts w:hint="eastAsia" w:ascii="宋体" w:hAnsi="宋体"/>
                <w:color w:val="auto"/>
                <w:szCs w:val="21"/>
                <w:highlight w:val="none"/>
              </w:rPr>
              <w:t>委托代理人：</w:t>
            </w:r>
          </w:p>
        </w:tc>
      </w:tr>
      <w:tr w14:paraId="6B70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33E62D43">
            <w:pPr>
              <w:snapToGrid w:val="0"/>
              <w:spacing w:line="400" w:lineRule="exact"/>
              <w:rPr>
                <w:rFonts w:ascii="宋体" w:hAnsi="宋体"/>
                <w:color w:val="auto"/>
                <w:szCs w:val="21"/>
                <w:highlight w:val="none"/>
              </w:rPr>
            </w:pPr>
            <w:r>
              <w:rPr>
                <w:rFonts w:hint="eastAsia" w:ascii="宋体" w:hAnsi="宋体"/>
                <w:color w:val="auto"/>
                <w:szCs w:val="21"/>
                <w:highlight w:val="none"/>
              </w:rPr>
              <w:t>电话：</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77B4F24F">
            <w:pPr>
              <w:snapToGrid w:val="0"/>
              <w:spacing w:line="400" w:lineRule="exact"/>
              <w:rPr>
                <w:rFonts w:ascii="宋体" w:hAnsi="宋体"/>
                <w:color w:val="auto"/>
                <w:szCs w:val="21"/>
                <w:highlight w:val="none"/>
              </w:rPr>
            </w:pPr>
            <w:r>
              <w:rPr>
                <w:rFonts w:hint="eastAsia" w:ascii="宋体" w:hAnsi="宋体"/>
                <w:color w:val="auto"/>
                <w:szCs w:val="21"/>
                <w:highlight w:val="none"/>
              </w:rPr>
              <w:t>电话：</w:t>
            </w:r>
          </w:p>
        </w:tc>
      </w:tr>
      <w:tr w14:paraId="43EB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98F9FDE">
            <w:pPr>
              <w:snapToGrid w:val="0"/>
              <w:spacing w:line="400" w:lineRule="exact"/>
              <w:rPr>
                <w:rFonts w:ascii="宋体" w:hAnsi="宋体"/>
                <w:color w:val="auto"/>
                <w:szCs w:val="21"/>
                <w:highlight w:val="none"/>
              </w:rPr>
            </w:pPr>
            <w:r>
              <w:rPr>
                <w:rFonts w:hint="eastAsia" w:ascii="宋体" w:hAnsi="宋体"/>
                <w:color w:val="auto"/>
                <w:szCs w:val="21"/>
                <w:highlight w:val="none"/>
              </w:rPr>
              <w:t>电子邮箱：</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FAA18E2">
            <w:pPr>
              <w:snapToGrid w:val="0"/>
              <w:spacing w:line="400" w:lineRule="exact"/>
              <w:rPr>
                <w:rFonts w:ascii="宋体" w:hAnsi="宋体"/>
                <w:color w:val="auto"/>
                <w:szCs w:val="21"/>
                <w:highlight w:val="none"/>
              </w:rPr>
            </w:pPr>
            <w:r>
              <w:rPr>
                <w:rFonts w:hint="eastAsia" w:ascii="宋体" w:hAnsi="宋体"/>
                <w:color w:val="auto"/>
                <w:szCs w:val="21"/>
                <w:highlight w:val="none"/>
              </w:rPr>
              <w:t>电子邮箱：</w:t>
            </w:r>
          </w:p>
        </w:tc>
      </w:tr>
      <w:tr w14:paraId="01F7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65845386">
            <w:pPr>
              <w:snapToGrid w:val="0"/>
              <w:spacing w:line="400" w:lineRule="exact"/>
              <w:rPr>
                <w:rFonts w:ascii="宋体" w:hAnsi="宋体"/>
                <w:color w:val="auto"/>
                <w:szCs w:val="21"/>
                <w:highlight w:val="none"/>
              </w:rPr>
            </w:pPr>
            <w:r>
              <w:rPr>
                <w:rFonts w:hint="eastAsia" w:ascii="宋体" w:hAnsi="宋体"/>
                <w:color w:val="auto"/>
                <w:szCs w:val="21"/>
                <w:highlight w:val="none"/>
              </w:rPr>
              <w:t>开户银行：</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255748FD">
            <w:pPr>
              <w:snapToGrid w:val="0"/>
              <w:spacing w:line="400" w:lineRule="exact"/>
              <w:rPr>
                <w:rFonts w:ascii="宋体" w:hAnsi="宋体"/>
                <w:color w:val="auto"/>
                <w:szCs w:val="21"/>
                <w:highlight w:val="none"/>
              </w:rPr>
            </w:pPr>
            <w:r>
              <w:rPr>
                <w:rFonts w:hint="eastAsia" w:ascii="宋体" w:hAnsi="宋体"/>
                <w:color w:val="auto"/>
                <w:szCs w:val="21"/>
                <w:highlight w:val="none"/>
              </w:rPr>
              <w:t>开户银行：</w:t>
            </w:r>
          </w:p>
        </w:tc>
      </w:tr>
      <w:tr w14:paraId="0FFD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7840C149">
            <w:pPr>
              <w:snapToGrid w:val="0"/>
              <w:spacing w:line="400" w:lineRule="exact"/>
              <w:rPr>
                <w:rFonts w:ascii="宋体" w:hAnsi="宋体"/>
                <w:color w:val="auto"/>
                <w:szCs w:val="21"/>
                <w:highlight w:val="none"/>
              </w:rPr>
            </w:pPr>
            <w:r>
              <w:rPr>
                <w:rFonts w:hint="eastAsia" w:ascii="宋体" w:hAnsi="宋体"/>
                <w:color w:val="auto"/>
                <w:szCs w:val="21"/>
                <w:highlight w:val="none"/>
              </w:rPr>
              <w:t>账号：</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2B9E3C83">
            <w:pPr>
              <w:snapToGrid w:val="0"/>
              <w:spacing w:line="400" w:lineRule="exact"/>
              <w:rPr>
                <w:rFonts w:ascii="宋体" w:hAnsi="宋体"/>
                <w:color w:val="auto"/>
                <w:szCs w:val="21"/>
                <w:highlight w:val="none"/>
              </w:rPr>
            </w:pPr>
            <w:r>
              <w:rPr>
                <w:rFonts w:hint="eastAsia" w:ascii="宋体" w:hAnsi="宋体"/>
                <w:color w:val="auto"/>
                <w:szCs w:val="21"/>
                <w:highlight w:val="none"/>
              </w:rPr>
              <w:t>账号：</w:t>
            </w:r>
          </w:p>
        </w:tc>
      </w:tr>
      <w:tr w14:paraId="5929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41AAF500">
            <w:pPr>
              <w:snapToGrid w:val="0"/>
              <w:rPr>
                <w:rFonts w:ascii="宋体" w:hAnsi="宋体"/>
                <w:color w:val="auto"/>
                <w:szCs w:val="21"/>
                <w:highlight w:val="none"/>
              </w:rPr>
            </w:pPr>
            <w:r>
              <w:rPr>
                <w:rFonts w:hint="eastAsia" w:ascii="宋体" w:hAnsi="宋体"/>
                <w:color w:val="auto"/>
                <w:szCs w:val="21"/>
                <w:highlight w:val="none"/>
              </w:rPr>
              <w:t>纳税人识别号或统一社会信用代码：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1B0DEE9">
            <w:pPr>
              <w:snapToGrid w:val="0"/>
              <w:rPr>
                <w:rFonts w:ascii="宋体" w:hAnsi="宋体"/>
                <w:color w:val="auto"/>
                <w:szCs w:val="21"/>
                <w:highlight w:val="none"/>
              </w:rPr>
            </w:pPr>
            <w:r>
              <w:rPr>
                <w:rFonts w:hint="eastAsia" w:ascii="宋体" w:hAnsi="宋体"/>
                <w:color w:val="auto"/>
                <w:szCs w:val="21"/>
                <w:highlight w:val="none"/>
              </w:rPr>
              <w:t>纳税人识别号或统一社会信用代码：</w:t>
            </w:r>
          </w:p>
        </w:tc>
      </w:tr>
      <w:tr w14:paraId="0AA4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263605A">
            <w:pPr>
              <w:snapToGrid w:val="0"/>
              <w:spacing w:line="400" w:lineRule="exact"/>
              <w:rPr>
                <w:rFonts w:ascii="宋体" w:hAnsi="宋体"/>
                <w:color w:val="auto"/>
                <w:szCs w:val="21"/>
                <w:highlight w:val="none"/>
              </w:rPr>
            </w:pPr>
            <w:r>
              <w:rPr>
                <w:rFonts w:hint="eastAsia" w:ascii="宋体" w:hAnsi="宋体"/>
                <w:color w:val="auto"/>
                <w:szCs w:val="21"/>
                <w:highlight w:val="none"/>
              </w:rPr>
              <w:t>邮政编码：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5336CDF">
            <w:pPr>
              <w:snapToGrid w:val="0"/>
              <w:spacing w:line="400" w:lineRule="exact"/>
              <w:rPr>
                <w:rFonts w:ascii="宋体" w:hAnsi="宋体"/>
                <w:color w:val="auto"/>
                <w:szCs w:val="21"/>
                <w:highlight w:val="none"/>
              </w:rPr>
            </w:pPr>
            <w:r>
              <w:rPr>
                <w:rFonts w:hint="eastAsia" w:ascii="宋体" w:hAnsi="宋体"/>
                <w:color w:val="auto"/>
                <w:szCs w:val="21"/>
                <w:highlight w:val="none"/>
              </w:rPr>
              <w:t>邮政编码：</w:t>
            </w:r>
          </w:p>
        </w:tc>
      </w:tr>
    </w:tbl>
    <w:p w14:paraId="6BF00B96">
      <w:pPr>
        <w:snapToGrid w:val="0"/>
        <w:spacing w:line="400" w:lineRule="exact"/>
        <w:jc w:val="center"/>
        <w:rPr>
          <w:rFonts w:ascii="宋体" w:cs="宋体"/>
          <w:b/>
          <w:bCs/>
          <w:color w:val="auto"/>
          <w:sz w:val="32"/>
          <w:szCs w:val="32"/>
          <w:highlight w:val="none"/>
        </w:rPr>
      </w:pPr>
    </w:p>
    <w:p w14:paraId="67266945">
      <w:pPr>
        <w:snapToGrid w:val="0"/>
        <w:spacing w:line="400" w:lineRule="exact"/>
        <w:jc w:val="center"/>
        <w:rPr>
          <w:rFonts w:hint="eastAsia" w:ascii="宋体" w:cs="宋体"/>
          <w:b/>
          <w:bCs/>
          <w:color w:val="auto"/>
          <w:sz w:val="32"/>
          <w:szCs w:val="32"/>
          <w:highlight w:val="none"/>
        </w:rPr>
      </w:pPr>
      <w:bookmarkStart w:id="260" w:name="_Hlk159659464"/>
    </w:p>
    <w:p w14:paraId="08C231FB">
      <w:pPr>
        <w:snapToGrid w:val="0"/>
        <w:spacing w:line="400" w:lineRule="exact"/>
        <w:jc w:val="center"/>
        <w:rPr>
          <w:rFonts w:hint="eastAsia" w:ascii="宋体" w:cs="宋体"/>
          <w:b/>
          <w:bCs/>
          <w:color w:val="auto"/>
          <w:sz w:val="32"/>
          <w:szCs w:val="32"/>
          <w:highlight w:val="none"/>
        </w:rPr>
      </w:pPr>
    </w:p>
    <w:p w14:paraId="1DDEBD7F">
      <w:pPr>
        <w:snapToGrid w:val="0"/>
        <w:spacing w:line="400" w:lineRule="exact"/>
        <w:jc w:val="center"/>
        <w:rPr>
          <w:rFonts w:hint="eastAsia" w:ascii="宋体" w:cs="宋体"/>
          <w:b/>
          <w:bCs/>
          <w:color w:val="auto"/>
          <w:sz w:val="32"/>
          <w:szCs w:val="32"/>
          <w:highlight w:val="none"/>
        </w:rPr>
      </w:pPr>
    </w:p>
    <w:p w14:paraId="4AC8213E">
      <w:pPr>
        <w:snapToGrid w:val="0"/>
        <w:spacing w:line="400" w:lineRule="exact"/>
        <w:jc w:val="center"/>
        <w:rPr>
          <w:rFonts w:hint="eastAsia" w:ascii="宋体" w:cs="宋体"/>
          <w:b/>
          <w:bCs/>
          <w:color w:val="auto"/>
          <w:sz w:val="32"/>
          <w:szCs w:val="32"/>
          <w:highlight w:val="none"/>
        </w:rPr>
      </w:pPr>
    </w:p>
    <w:p w14:paraId="239B29F3">
      <w:pPr>
        <w:snapToGrid w:val="0"/>
        <w:spacing w:line="400" w:lineRule="exact"/>
        <w:jc w:val="center"/>
        <w:rPr>
          <w:rFonts w:hint="eastAsia" w:ascii="宋体" w:cs="宋体"/>
          <w:b/>
          <w:bCs/>
          <w:color w:val="auto"/>
          <w:sz w:val="32"/>
          <w:szCs w:val="32"/>
          <w:highlight w:val="none"/>
        </w:rPr>
      </w:pPr>
    </w:p>
    <w:bookmarkEnd w:id="260"/>
    <w:p w14:paraId="7E751233">
      <w:pPr>
        <w:widowControl/>
        <w:spacing w:beforeAutospacing="1" w:line="360" w:lineRule="auto"/>
        <w:jc w:val="left"/>
        <w:rPr>
          <w:rFonts w:ascii="宋体" w:cs="宋体"/>
          <w:color w:val="auto"/>
          <w:highlight w:val="none"/>
        </w:rPr>
        <w:sectPr>
          <w:pgSz w:w="11906" w:h="16838"/>
          <w:pgMar w:top="1134" w:right="1134" w:bottom="1134" w:left="1134" w:header="720" w:footer="720" w:gutter="0"/>
          <w:cols w:space="720" w:num="1"/>
          <w:docGrid w:type="lines" w:linePitch="331" w:charSpace="0"/>
        </w:sectPr>
      </w:pPr>
    </w:p>
    <w:p w14:paraId="41DFCF18">
      <w:pPr>
        <w:pStyle w:val="14"/>
        <w:spacing w:line="360" w:lineRule="auto"/>
        <w:ind w:left="178" w:leftChars="85"/>
        <w:rPr>
          <w:rFonts w:cs="宋体"/>
          <w:color w:val="auto"/>
          <w:highlight w:val="none"/>
        </w:rPr>
      </w:pPr>
    </w:p>
    <w:p w14:paraId="5DED4712">
      <w:pPr>
        <w:pStyle w:val="14"/>
        <w:tabs>
          <w:tab w:val="left" w:pos="2472"/>
        </w:tabs>
        <w:spacing w:line="460" w:lineRule="exact"/>
        <w:jc w:val="center"/>
        <w:rPr>
          <w:rFonts w:cs="宋体"/>
          <w:b/>
          <w:color w:val="auto"/>
          <w:sz w:val="36"/>
          <w:highlight w:val="none"/>
        </w:rPr>
      </w:pPr>
    </w:p>
    <w:p w14:paraId="2A577034">
      <w:pPr>
        <w:pStyle w:val="14"/>
        <w:tabs>
          <w:tab w:val="left" w:pos="2472"/>
        </w:tabs>
        <w:spacing w:line="460" w:lineRule="exact"/>
        <w:jc w:val="center"/>
        <w:rPr>
          <w:rFonts w:cs="宋体"/>
          <w:b/>
          <w:color w:val="auto"/>
          <w:sz w:val="36"/>
          <w:highlight w:val="none"/>
        </w:rPr>
      </w:pPr>
    </w:p>
    <w:p w14:paraId="3268726E">
      <w:pPr>
        <w:pStyle w:val="14"/>
        <w:tabs>
          <w:tab w:val="left" w:pos="2472"/>
        </w:tabs>
        <w:spacing w:line="460" w:lineRule="exact"/>
        <w:jc w:val="center"/>
        <w:rPr>
          <w:rFonts w:cs="宋体"/>
          <w:b/>
          <w:color w:val="auto"/>
          <w:sz w:val="36"/>
          <w:highlight w:val="none"/>
        </w:rPr>
      </w:pPr>
    </w:p>
    <w:p w14:paraId="389E6A7D">
      <w:pPr>
        <w:pStyle w:val="14"/>
        <w:tabs>
          <w:tab w:val="left" w:pos="2472"/>
        </w:tabs>
        <w:spacing w:line="460" w:lineRule="exact"/>
        <w:jc w:val="center"/>
        <w:rPr>
          <w:rFonts w:cs="宋体"/>
          <w:b/>
          <w:color w:val="auto"/>
          <w:sz w:val="36"/>
          <w:highlight w:val="none"/>
        </w:rPr>
      </w:pPr>
    </w:p>
    <w:p w14:paraId="5FB716BA">
      <w:pPr>
        <w:pStyle w:val="14"/>
        <w:tabs>
          <w:tab w:val="left" w:pos="2472"/>
        </w:tabs>
        <w:spacing w:line="460" w:lineRule="exact"/>
        <w:jc w:val="center"/>
        <w:rPr>
          <w:rFonts w:cs="宋体"/>
          <w:b/>
          <w:color w:val="auto"/>
          <w:sz w:val="36"/>
          <w:highlight w:val="none"/>
        </w:rPr>
      </w:pPr>
    </w:p>
    <w:p w14:paraId="4B27B5FD">
      <w:pPr>
        <w:pStyle w:val="14"/>
        <w:tabs>
          <w:tab w:val="left" w:pos="2472"/>
        </w:tabs>
        <w:spacing w:line="460" w:lineRule="exact"/>
        <w:jc w:val="center"/>
        <w:rPr>
          <w:rFonts w:cs="宋体"/>
          <w:b/>
          <w:color w:val="auto"/>
          <w:sz w:val="36"/>
          <w:highlight w:val="none"/>
        </w:rPr>
      </w:pPr>
    </w:p>
    <w:p w14:paraId="6F9B4164">
      <w:pPr>
        <w:pStyle w:val="14"/>
        <w:tabs>
          <w:tab w:val="left" w:pos="2472"/>
        </w:tabs>
        <w:spacing w:line="460" w:lineRule="exact"/>
        <w:jc w:val="center"/>
        <w:rPr>
          <w:rFonts w:cs="宋体"/>
          <w:b/>
          <w:color w:val="auto"/>
          <w:sz w:val="36"/>
          <w:highlight w:val="none"/>
        </w:rPr>
      </w:pPr>
    </w:p>
    <w:p w14:paraId="11DFEE28">
      <w:pPr>
        <w:pStyle w:val="14"/>
        <w:tabs>
          <w:tab w:val="left" w:pos="2472"/>
        </w:tabs>
        <w:spacing w:line="460" w:lineRule="exact"/>
        <w:jc w:val="center"/>
        <w:rPr>
          <w:rFonts w:cs="宋体"/>
          <w:b/>
          <w:color w:val="auto"/>
          <w:sz w:val="36"/>
          <w:highlight w:val="none"/>
        </w:rPr>
      </w:pPr>
    </w:p>
    <w:p w14:paraId="14A5B94E">
      <w:pPr>
        <w:pStyle w:val="14"/>
        <w:tabs>
          <w:tab w:val="left" w:pos="2472"/>
        </w:tabs>
        <w:spacing w:line="460" w:lineRule="exact"/>
        <w:jc w:val="center"/>
        <w:rPr>
          <w:rFonts w:cs="宋体"/>
          <w:b/>
          <w:color w:val="auto"/>
          <w:sz w:val="36"/>
          <w:highlight w:val="none"/>
        </w:rPr>
      </w:pPr>
    </w:p>
    <w:p w14:paraId="7CB5F8B2">
      <w:pPr>
        <w:pStyle w:val="14"/>
        <w:tabs>
          <w:tab w:val="left" w:pos="2472"/>
        </w:tabs>
        <w:spacing w:line="460" w:lineRule="exact"/>
        <w:jc w:val="center"/>
        <w:outlineLvl w:val="0"/>
        <w:rPr>
          <w:rFonts w:cs="宋体"/>
          <w:b/>
          <w:color w:val="auto"/>
          <w:sz w:val="36"/>
          <w:highlight w:val="none"/>
        </w:rPr>
      </w:pPr>
      <w:bookmarkStart w:id="261" w:name="_Toc27021"/>
      <w:bookmarkStart w:id="262" w:name="_Toc19166"/>
      <w:bookmarkStart w:id="263" w:name="_Toc10298"/>
      <w:bookmarkStart w:id="264" w:name="_Toc22714"/>
      <w:bookmarkStart w:id="265" w:name="_Toc23759"/>
      <w:bookmarkStart w:id="266" w:name="_Toc8784"/>
      <w:bookmarkStart w:id="267" w:name="_Toc7880"/>
      <w:bookmarkStart w:id="268" w:name="_Toc8074"/>
      <w:bookmarkStart w:id="269" w:name="_Toc21691"/>
      <w:bookmarkStart w:id="270" w:name="_Toc20288"/>
      <w:bookmarkStart w:id="271" w:name="_Toc14291"/>
      <w:r>
        <w:rPr>
          <w:rFonts w:hint="eastAsia" w:cs="宋体"/>
          <w:b/>
          <w:color w:val="auto"/>
          <w:sz w:val="36"/>
          <w:highlight w:val="none"/>
        </w:rPr>
        <w:t>第六章 投标文件格式</w:t>
      </w:r>
      <w:bookmarkEnd w:id="261"/>
      <w:bookmarkEnd w:id="262"/>
      <w:bookmarkEnd w:id="263"/>
      <w:bookmarkEnd w:id="264"/>
      <w:bookmarkEnd w:id="265"/>
      <w:bookmarkEnd w:id="266"/>
      <w:bookmarkEnd w:id="267"/>
      <w:bookmarkEnd w:id="268"/>
      <w:bookmarkEnd w:id="269"/>
      <w:bookmarkEnd w:id="270"/>
      <w:bookmarkEnd w:id="271"/>
    </w:p>
    <w:p w14:paraId="028BBBF7">
      <w:pPr>
        <w:widowControl/>
        <w:spacing w:beforeAutospacing="1" w:line="360" w:lineRule="auto"/>
        <w:jc w:val="left"/>
        <w:rPr>
          <w:rFonts w:ascii="宋体" w:cs="宋体"/>
          <w:color w:val="auto"/>
          <w:szCs w:val="20"/>
          <w:highlight w:val="none"/>
        </w:rPr>
        <w:sectPr>
          <w:pgSz w:w="11906" w:h="16838"/>
          <w:pgMar w:top="1134" w:right="1134" w:bottom="1134" w:left="1134" w:header="720" w:footer="720" w:gutter="0"/>
          <w:cols w:space="720" w:num="1"/>
          <w:docGrid w:type="lines" w:linePitch="331" w:charSpace="0"/>
        </w:sectPr>
      </w:pPr>
    </w:p>
    <w:p w14:paraId="13DE195A">
      <w:pPr>
        <w:pStyle w:val="14"/>
        <w:jc w:val="center"/>
        <w:outlineLvl w:val="1"/>
        <w:rPr>
          <w:rFonts w:cs="宋体"/>
          <w:b/>
          <w:bCs/>
          <w:color w:val="auto"/>
          <w:sz w:val="28"/>
          <w:szCs w:val="28"/>
          <w:highlight w:val="none"/>
        </w:rPr>
      </w:pPr>
      <w:bookmarkStart w:id="272" w:name="_Toc16447"/>
      <w:bookmarkStart w:id="273" w:name="_Toc30455"/>
      <w:bookmarkStart w:id="274" w:name="_Toc29743"/>
      <w:bookmarkStart w:id="275" w:name="_Toc26915"/>
      <w:bookmarkStart w:id="276" w:name="_Toc247"/>
      <w:r>
        <w:rPr>
          <w:rFonts w:hint="eastAsia" w:cs="宋体"/>
          <w:b/>
          <w:bCs/>
          <w:color w:val="auto"/>
          <w:sz w:val="28"/>
          <w:szCs w:val="28"/>
          <w:highlight w:val="none"/>
        </w:rPr>
        <w:t>第一节 资格文件格式</w:t>
      </w:r>
      <w:bookmarkEnd w:id="272"/>
      <w:bookmarkEnd w:id="273"/>
      <w:bookmarkEnd w:id="274"/>
      <w:bookmarkEnd w:id="275"/>
      <w:bookmarkEnd w:id="276"/>
    </w:p>
    <w:p w14:paraId="199D7FAB">
      <w:pPr>
        <w:pStyle w:val="14"/>
        <w:spacing w:line="360" w:lineRule="auto"/>
        <w:ind w:firstLine="420"/>
        <w:rPr>
          <w:rFonts w:cs="宋体"/>
          <w:color w:val="auto"/>
          <w:sz w:val="24"/>
          <w:szCs w:val="24"/>
          <w:highlight w:val="none"/>
        </w:rPr>
      </w:pPr>
    </w:p>
    <w:p w14:paraId="33114354">
      <w:pPr>
        <w:pStyle w:val="14"/>
        <w:spacing w:line="360" w:lineRule="auto"/>
        <w:ind w:firstLine="420"/>
        <w:rPr>
          <w:rFonts w:cs="宋体"/>
          <w:b/>
          <w:bCs/>
          <w:color w:val="auto"/>
          <w:sz w:val="24"/>
          <w:szCs w:val="24"/>
          <w:highlight w:val="none"/>
        </w:rPr>
      </w:pPr>
      <w:r>
        <w:rPr>
          <w:rFonts w:hint="eastAsia" w:cs="宋体"/>
          <w:b/>
          <w:bCs/>
          <w:color w:val="auto"/>
          <w:sz w:val="28"/>
          <w:szCs w:val="28"/>
          <w:highlight w:val="none"/>
        </w:rPr>
        <w:t>1.资格文件封面的格式</w:t>
      </w:r>
      <w:r>
        <w:rPr>
          <w:rFonts w:hint="eastAsia" w:cs="宋体"/>
          <w:b/>
          <w:color w:val="auto"/>
          <w:sz w:val="28"/>
          <w:szCs w:val="28"/>
          <w:highlight w:val="none"/>
        </w:rPr>
        <w:t>（参照此格式自拟）</w:t>
      </w:r>
      <w:r>
        <w:rPr>
          <w:rFonts w:hint="eastAsia" w:cs="宋体"/>
          <w:b/>
          <w:bCs/>
          <w:color w:val="auto"/>
          <w:sz w:val="28"/>
          <w:szCs w:val="28"/>
          <w:highlight w:val="none"/>
        </w:rPr>
        <w:t>：</w:t>
      </w:r>
      <w:r>
        <w:rPr>
          <w:rFonts w:hint="eastAsia" w:cs="宋体"/>
          <w:b/>
          <w:bCs/>
          <w:color w:val="auto"/>
          <w:sz w:val="24"/>
          <w:szCs w:val="24"/>
          <w:highlight w:val="none"/>
        </w:rPr>
        <w:t xml:space="preserve"> </w:t>
      </w:r>
    </w:p>
    <w:p w14:paraId="65C3B8CE">
      <w:pPr>
        <w:pStyle w:val="7"/>
        <w:rPr>
          <w:color w:val="auto"/>
          <w:highlight w:val="none"/>
        </w:rPr>
      </w:pPr>
    </w:p>
    <w:p w14:paraId="4E866CE5">
      <w:pPr>
        <w:snapToGrid w:val="0"/>
        <w:spacing w:before="165" w:beforeLines="50" w:after="50"/>
        <w:rPr>
          <w:rFonts w:ascii="宋体" w:cs="宋体"/>
          <w:bCs/>
          <w:color w:val="auto"/>
          <w:sz w:val="32"/>
          <w:szCs w:val="20"/>
          <w:highlight w:val="none"/>
        </w:rPr>
      </w:pPr>
      <w:r>
        <w:rPr>
          <w:rFonts w:hint="eastAsia" w:ascii="宋体" w:cs="宋体"/>
          <w:color w:val="auto"/>
          <w:sz w:val="24"/>
          <w:highlight w:val="none"/>
        </w:rPr>
        <w:t xml:space="preserve">                                                         </w:t>
      </w:r>
      <w:r>
        <w:rPr>
          <w:rFonts w:hint="eastAsia" w:ascii="宋体" w:cs="宋体"/>
          <w:bCs/>
          <w:color w:val="auto"/>
          <w:highlight w:val="none"/>
        </w:rPr>
        <w:t>电子投标文件</w:t>
      </w:r>
    </w:p>
    <w:p w14:paraId="58D450A6">
      <w:pPr>
        <w:snapToGrid w:val="0"/>
        <w:spacing w:before="165" w:beforeLines="50" w:after="50"/>
        <w:rPr>
          <w:rFonts w:ascii="宋体" w:cs="宋体"/>
          <w:color w:val="auto"/>
          <w:sz w:val="24"/>
          <w:szCs w:val="20"/>
          <w:highlight w:val="none"/>
        </w:rPr>
      </w:pPr>
    </w:p>
    <w:p w14:paraId="34B7C79E">
      <w:pPr>
        <w:snapToGrid w:val="0"/>
        <w:spacing w:before="165" w:beforeLines="50" w:after="50"/>
        <w:jc w:val="center"/>
        <w:rPr>
          <w:rFonts w:ascii="宋体" w:cs="宋体"/>
          <w:b/>
          <w:color w:val="auto"/>
          <w:sz w:val="32"/>
          <w:szCs w:val="32"/>
          <w:highlight w:val="none"/>
        </w:rPr>
      </w:pPr>
    </w:p>
    <w:p w14:paraId="51953496">
      <w:pPr>
        <w:snapToGrid w:val="0"/>
        <w:spacing w:before="165" w:beforeLines="50" w:after="50"/>
        <w:jc w:val="center"/>
        <w:rPr>
          <w:rFonts w:ascii="宋体" w:cs="宋体"/>
          <w:b/>
          <w:color w:val="auto"/>
          <w:sz w:val="24"/>
          <w:szCs w:val="20"/>
          <w:highlight w:val="none"/>
        </w:rPr>
      </w:pPr>
      <w:r>
        <w:rPr>
          <w:rFonts w:hint="eastAsia" w:ascii="宋体" w:cs="宋体"/>
          <w:b/>
          <w:color w:val="auto"/>
          <w:sz w:val="32"/>
          <w:szCs w:val="32"/>
          <w:highlight w:val="none"/>
        </w:rPr>
        <w:t>资格文件</w:t>
      </w:r>
    </w:p>
    <w:p w14:paraId="32FB9F51">
      <w:pPr>
        <w:snapToGrid w:val="0"/>
        <w:spacing w:before="165" w:beforeLines="50" w:after="50"/>
        <w:rPr>
          <w:rFonts w:ascii="宋体" w:cs="宋体"/>
          <w:bCs/>
          <w:color w:val="auto"/>
          <w:sz w:val="24"/>
          <w:szCs w:val="20"/>
          <w:highlight w:val="none"/>
        </w:rPr>
      </w:pPr>
    </w:p>
    <w:p w14:paraId="0061FAE2">
      <w:pPr>
        <w:snapToGrid w:val="0"/>
        <w:spacing w:before="165" w:beforeLines="50" w:after="50"/>
        <w:rPr>
          <w:rFonts w:ascii="宋体" w:cs="宋体"/>
          <w:bCs/>
          <w:color w:val="auto"/>
          <w:sz w:val="24"/>
          <w:szCs w:val="20"/>
          <w:highlight w:val="none"/>
        </w:rPr>
      </w:pPr>
    </w:p>
    <w:p w14:paraId="30D05E88">
      <w:pPr>
        <w:snapToGrid w:val="0"/>
        <w:spacing w:before="165" w:beforeLines="50" w:after="50"/>
        <w:rPr>
          <w:rFonts w:ascii="宋体" w:cs="宋体"/>
          <w:bCs/>
          <w:color w:val="auto"/>
          <w:sz w:val="24"/>
          <w:szCs w:val="20"/>
          <w:highlight w:val="none"/>
        </w:rPr>
      </w:pPr>
    </w:p>
    <w:p w14:paraId="67BE9BBA">
      <w:pPr>
        <w:snapToGrid w:val="0"/>
        <w:spacing w:before="165" w:beforeLines="50" w:after="50"/>
        <w:rPr>
          <w:rFonts w:ascii="宋体" w:cs="宋体"/>
          <w:bCs/>
          <w:color w:val="auto"/>
          <w:sz w:val="24"/>
          <w:szCs w:val="20"/>
          <w:highlight w:val="none"/>
        </w:rPr>
      </w:pPr>
    </w:p>
    <w:p w14:paraId="1DB647A3">
      <w:pPr>
        <w:snapToGrid w:val="0"/>
        <w:spacing w:before="165" w:beforeLines="50" w:after="50"/>
        <w:rPr>
          <w:rFonts w:ascii="宋体" w:cs="宋体"/>
          <w:bCs/>
          <w:color w:val="auto"/>
          <w:sz w:val="24"/>
          <w:szCs w:val="20"/>
          <w:highlight w:val="none"/>
        </w:rPr>
      </w:pPr>
    </w:p>
    <w:p w14:paraId="50149965">
      <w:pPr>
        <w:snapToGrid w:val="0"/>
        <w:spacing w:before="165" w:beforeLines="50" w:after="50"/>
        <w:rPr>
          <w:rFonts w:ascii="宋体" w:cs="宋体"/>
          <w:bCs/>
          <w:color w:val="auto"/>
          <w:sz w:val="24"/>
          <w:szCs w:val="20"/>
          <w:highlight w:val="none"/>
        </w:rPr>
      </w:pPr>
    </w:p>
    <w:p w14:paraId="7B6A3E18">
      <w:pPr>
        <w:snapToGrid w:val="0"/>
        <w:spacing w:before="165" w:beforeLines="50" w:after="50"/>
        <w:rPr>
          <w:rFonts w:ascii="宋体" w:cs="宋体"/>
          <w:bCs/>
          <w:color w:val="auto"/>
          <w:sz w:val="24"/>
          <w:szCs w:val="20"/>
          <w:highlight w:val="none"/>
        </w:rPr>
      </w:pPr>
    </w:p>
    <w:p w14:paraId="70C88CCE">
      <w:pPr>
        <w:snapToGrid w:val="0"/>
        <w:spacing w:before="165" w:beforeLines="50" w:after="50"/>
        <w:ind w:firstLine="540" w:firstLineChars="225"/>
        <w:rPr>
          <w:rFonts w:ascii="宋体" w:cs="宋体"/>
          <w:bCs/>
          <w:color w:val="auto"/>
          <w:sz w:val="24"/>
          <w:szCs w:val="20"/>
          <w:highlight w:val="none"/>
        </w:rPr>
      </w:pPr>
      <w:r>
        <w:rPr>
          <w:rFonts w:hint="eastAsia" w:ascii="宋体" w:cs="宋体"/>
          <w:bCs/>
          <w:color w:val="auto"/>
          <w:sz w:val="24"/>
          <w:highlight w:val="none"/>
        </w:rPr>
        <w:t>项目名称：</w:t>
      </w:r>
    </w:p>
    <w:p w14:paraId="308B97FE">
      <w:pPr>
        <w:snapToGrid w:val="0"/>
        <w:spacing w:before="165" w:beforeLines="50" w:after="50"/>
        <w:ind w:firstLine="540" w:firstLineChars="225"/>
        <w:rPr>
          <w:rFonts w:ascii="宋体" w:cs="宋体"/>
          <w:bCs/>
          <w:color w:val="auto"/>
          <w:sz w:val="24"/>
          <w:highlight w:val="none"/>
        </w:rPr>
      </w:pPr>
    </w:p>
    <w:p w14:paraId="26492A32">
      <w:pPr>
        <w:snapToGrid w:val="0"/>
        <w:spacing w:before="165" w:beforeLines="50" w:after="50"/>
        <w:ind w:firstLine="540" w:firstLineChars="225"/>
        <w:rPr>
          <w:rFonts w:ascii="宋体" w:cs="宋体"/>
          <w:bCs/>
          <w:color w:val="auto"/>
          <w:sz w:val="24"/>
          <w:highlight w:val="none"/>
        </w:rPr>
      </w:pPr>
      <w:r>
        <w:rPr>
          <w:rFonts w:hint="eastAsia" w:ascii="宋体" w:cs="宋体"/>
          <w:bCs/>
          <w:color w:val="auto"/>
          <w:sz w:val="24"/>
          <w:highlight w:val="none"/>
        </w:rPr>
        <w:t>项目编号：</w:t>
      </w:r>
    </w:p>
    <w:p w14:paraId="734D7D82">
      <w:pPr>
        <w:snapToGrid w:val="0"/>
        <w:spacing w:before="165" w:beforeLines="50" w:after="50"/>
        <w:ind w:firstLine="540" w:firstLineChars="225"/>
        <w:rPr>
          <w:rFonts w:ascii="宋体" w:cs="宋体"/>
          <w:bCs/>
          <w:color w:val="auto"/>
          <w:sz w:val="24"/>
          <w:highlight w:val="none"/>
        </w:rPr>
      </w:pPr>
    </w:p>
    <w:p w14:paraId="4808EF41">
      <w:pPr>
        <w:snapToGrid w:val="0"/>
        <w:spacing w:before="165" w:beforeLines="50" w:after="50"/>
        <w:ind w:firstLine="540" w:firstLineChars="225"/>
        <w:rPr>
          <w:rFonts w:ascii="宋体" w:cs="宋体"/>
          <w:bCs/>
          <w:color w:val="auto"/>
          <w:sz w:val="24"/>
          <w:highlight w:val="none"/>
        </w:rPr>
      </w:pPr>
      <w:r>
        <w:rPr>
          <w:rFonts w:hint="eastAsia" w:ascii="宋体" w:cs="宋体"/>
          <w:bCs/>
          <w:color w:val="auto"/>
          <w:sz w:val="24"/>
          <w:highlight w:val="none"/>
        </w:rPr>
        <w:t>所投分标（如有则填写，无分标时填写“无”或者留空）：</w:t>
      </w:r>
    </w:p>
    <w:p w14:paraId="73F9ABC0">
      <w:pPr>
        <w:snapToGrid w:val="0"/>
        <w:spacing w:before="165" w:beforeLines="50" w:after="50"/>
        <w:ind w:firstLine="540" w:firstLineChars="225"/>
        <w:rPr>
          <w:rFonts w:ascii="宋体" w:cs="宋体"/>
          <w:bCs/>
          <w:color w:val="auto"/>
          <w:sz w:val="24"/>
          <w:highlight w:val="none"/>
        </w:rPr>
      </w:pPr>
    </w:p>
    <w:p w14:paraId="40B972B1">
      <w:pPr>
        <w:snapToGrid w:val="0"/>
        <w:spacing w:before="165" w:beforeLines="50" w:after="50"/>
        <w:ind w:firstLine="540" w:firstLineChars="225"/>
        <w:rPr>
          <w:rFonts w:ascii="宋体" w:cs="宋体"/>
          <w:bCs/>
          <w:color w:val="auto"/>
          <w:sz w:val="24"/>
          <w:highlight w:val="none"/>
        </w:rPr>
      </w:pPr>
      <w:r>
        <w:rPr>
          <w:rFonts w:hint="eastAsia" w:ascii="宋体" w:cs="宋体"/>
          <w:bCs/>
          <w:color w:val="auto"/>
          <w:sz w:val="24"/>
          <w:highlight w:val="none"/>
        </w:rPr>
        <w:t>投标人名称：</w:t>
      </w:r>
    </w:p>
    <w:p w14:paraId="0857C715">
      <w:pPr>
        <w:pStyle w:val="6"/>
        <w:snapToGrid w:val="0"/>
        <w:spacing w:before="50" w:after="50"/>
        <w:ind w:firstLine="540" w:firstLineChars="225"/>
        <w:rPr>
          <w:rFonts w:ascii="宋体" w:cs="宋体"/>
          <w:bCs/>
          <w:color w:val="auto"/>
          <w:sz w:val="24"/>
          <w:szCs w:val="24"/>
          <w:highlight w:val="none"/>
        </w:rPr>
      </w:pPr>
    </w:p>
    <w:p w14:paraId="017F2F7A">
      <w:pPr>
        <w:pStyle w:val="6"/>
        <w:snapToGrid w:val="0"/>
        <w:spacing w:before="50" w:after="50"/>
        <w:ind w:firstLine="960" w:firstLineChars="400"/>
        <w:rPr>
          <w:rFonts w:ascii="宋体" w:cs="宋体"/>
          <w:bCs/>
          <w:color w:val="auto"/>
          <w:sz w:val="24"/>
          <w:szCs w:val="24"/>
          <w:highlight w:val="none"/>
        </w:rPr>
      </w:pPr>
    </w:p>
    <w:p w14:paraId="3DB56F9A">
      <w:pPr>
        <w:snapToGrid w:val="0"/>
        <w:spacing w:before="165" w:beforeLines="50" w:after="50"/>
        <w:ind w:firstLine="645"/>
        <w:jc w:val="center"/>
        <w:rPr>
          <w:rFonts w:ascii="宋体" w:cs="宋体"/>
          <w:color w:val="auto"/>
          <w:sz w:val="24"/>
          <w:highlight w:val="none"/>
        </w:rPr>
      </w:pPr>
      <w:r>
        <w:rPr>
          <w:rFonts w:hint="eastAsia" w:ascii="宋体" w:cs="宋体"/>
          <w:color w:val="auto"/>
          <w:sz w:val="24"/>
          <w:highlight w:val="none"/>
        </w:rPr>
        <w:t>年    月    日</w:t>
      </w:r>
    </w:p>
    <w:p w14:paraId="41D73B65">
      <w:pPr>
        <w:widowControl/>
        <w:spacing w:line="360" w:lineRule="auto"/>
        <w:jc w:val="left"/>
        <w:rPr>
          <w:rFonts w:ascii="宋体" w:cs="宋体"/>
          <w:color w:val="auto"/>
          <w:sz w:val="30"/>
          <w:szCs w:val="20"/>
          <w:highlight w:val="none"/>
        </w:rPr>
        <w:sectPr>
          <w:pgSz w:w="11906" w:h="16838"/>
          <w:pgMar w:top="1134" w:right="1134" w:bottom="1134" w:left="1134" w:header="720" w:footer="720" w:gutter="0"/>
          <w:cols w:space="720" w:num="1"/>
          <w:docGrid w:type="lines" w:linePitch="331" w:charSpace="0"/>
        </w:sectPr>
      </w:pPr>
    </w:p>
    <w:p w14:paraId="669CDB1D">
      <w:pPr>
        <w:rPr>
          <w:rFonts w:ascii="宋体" w:cs="宋体"/>
          <w:b/>
          <w:color w:val="auto"/>
          <w:kern w:val="0"/>
          <w:sz w:val="28"/>
          <w:szCs w:val="28"/>
          <w:highlight w:val="none"/>
        </w:rPr>
      </w:pPr>
      <w:r>
        <w:rPr>
          <w:rFonts w:hint="eastAsia" w:ascii="宋体" w:cs="宋体"/>
          <w:b/>
          <w:color w:val="auto"/>
          <w:kern w:val="0"/>
          <w:sz w:val="28"/>
          <w:szCs w:val="28"/>
          <w:highlight w:val="none"/>
        </w:rPr>
        <w:t>2.资格文件目录</w:t>
      </w:r>
    </w:p>
    <w:p w14:paraId="6508C5D9">
      <w:pPr>
        <w:snapToGrid w:val="0"/>
        <w:spacing w:line="360" w:lineRule="auto"/>
        <w:rPr>
          <w:rFonts w:ascii="宋体" w:cs="宋体"/>
          <w:color w:val="auto"/>
          <w:kern w:val="0"/>
          <w:sz w:val="24"/>
          <w:highlight w:val="none"/>
        </w:rPr>
      </w:pPr>
      <w:r>
        <w:rPr>
          <w:rFonts w:hint="eastAsia" w:ascii="宋体" w:cs="宋体"/>
          <w:color w:val="auto"/>
          <w:kern w:val="0"/>
          <w:sz w:val="24"/>
          <w:highlight w:val="none"/>
        </w:rPr>
        <w:t>根据招标文件规定及投标人提供的材料自行编写目录（部分格式后附）。</w:t>
      </w:r>
    </w:p>
    <w:p w14:paraId="7756C7C9">
      <w:pPr>
        <w:snapToGrid w:val="0"/>
        <w:spacing w:line="360" w:lineRule="auto"/>
        <w:rPr>
          <w:rFonts w:ascii="宋体" w:cs="宋体"/>
          <w:b/>
          <w:color w:val="auto"/>
          <w:kern w:val="0"/>
          <w:sz w:val="32"/>
          <w:szCs w:val="32"/>
          <w:highlight w:val="none"/>
          <w:lang w:val="zh-CN"/>
        </w:rPr>
      </w:pPr>
    </w:p>
    <w:p w14:paraId="5E305C65">
      <w:pPr>
        <w:snapToGrid w:val="0"/>
        <w:spacing w:line="360" w:lineRule="auto"/>
        <w:ind w:firstLine="5160" w:firstLineChars="2150"/>
        <w:rPr>
          <w:rFonts w:ascii="宋体" w:cs="宋体"/>
          <w:color w:val="auto"/>
          <w:kern w:val="0"/>
          <w:sz w:val="24"/>
          <w:highlight w:val="none"/>
          <w:lang w:val="zh-CN"/>
        </w:rPr>
      </w:pPr>
    </w:p>
    <w:p w14:paraId="2573ECA9">
      <w:pPr>
        <w:snapToGrid w:val="0"/>
        <w:spacing w:line="360" w:lineRule="auto"/>
        <w:ind w:right="480"/>
        <w:jc w:val="center"/>
        <w:rPr>
          <w:rFonts w:ascii="宋体" w:cs="宋体"/>
          <w:b/>
          <w:color w:val="auto"/>
          <w:kern w:val="0"/>
          <w:sz w:val="32"/>
          <w:szCs w:val="32"/>
          <w:highlight w:val="none"/>
          <w:lang w:val="zh-CN"/>
        </w:rPr>
      </w:pPr>
    </w:p>
    <w:p w14:paraId="2C6A9DE8">
      <w:pPr>
        <w:snapToGrid w:val="0"/>
        <w:spacing w:before="50" w:after="120" w:afterLines="50" w:line="360" w:lineRule="auto"/>
        <w:jc w:val="both"/>
        <w:rPr>
          <w:rFonts w:hint="eastAsia" w:ascii="宋体" w:hAnsi="宋体" w:eastAsia="宋体" w:cs="宋体"/>
          <w:b/>
          <w:color w:val="auto"/>
          <w:kern w:val="0"/>
          <w:sz w:val="28"/>
          <w:szCs w:val="28"/>
          <w:highlight w:val="none"/>
        </w:rPr>
      </w:pPr>
      <w:r>
        <w:rPr>
          <w:rFonts w:hint="eastAsia" w:ascii="宋体" w:cs="宋体"/>
          <w:b/>
          <w:color w:val="auto"/>
          <w:kern w:val="0"/>
          <w:sz w:val="32"/>
          <w:szCs w:val="32"/>
          <w:highlight w:val="none"/>
        </w:rPr>
        <w:br w:type="page"/>
      </w:r>
      <w:r>
        <w:rPr>
          <w:rFonts w:hint="eastAsia" w:ascii="宋体" w:hAnsi="宋体" w:eastAsia="宋体" w:cs="宋体"/>
          <w:b/>
          <w:color w:val="auto"/>
          <w:kern w:val="0"/>
          <w:sz w:val="28"/>
          <w:szCs w:val="28"/>
          <w:highlight w:val="none"/>
        </w:rPr>
        <w:t>3.</w:t>
      </w:r>
      <w:r>
        <w:rPr>
          <w:rFonts w:hint="eastAsia" w:ascii="宋体" w:hAnsi="宋体" w:eastAsia="宋体" w:cs="宋体"/>
          <w:b/>
          <w:color w:val="auto"/>
          <w:kern w:val="2"/>
          <w:sz w:val="28"/>
          <w:szCs w:val="28"/>
          <w:highlight w:val="none"/>
        </w:rPr>
        <w:t>投标人直接控股股东信息表</w:t>
      </w:r>
      <w:r>
        <w:rPr>
          <w:rFonts w:hint="eastAsia" w:ascii="宋体" w:hAnsi="宋体" w:eastAsia="宋体" w:cs="宋体"/>
          <w:b/>
          <w:color w:val="auto"/>
          <w:sz w:val="28"/>
          <w:szCs w:val="28"/>
          <w:highlight w:val="none"/>
          <w:lang w:eastAsia="zh-CN"/>
        </w:rPr>
        <w:t>格式</w:t>
      </w:r>
      <w:r>
        <w:rPr>
          <w:rFonts w:hint="eastAsia" w:ascii="宋体" w:hAnsi="宋体" w:eastAsia="宋体" w:cs="宋体"/>
          <w:color w:val="auto"/>
          <w:sz w:val="28"/>
          <w:szCs w:val="28"/>
          <w:highlight w:val="none"/>
          <w:lang w:eastAsia="zh-CN"/>
        </w:rPr>
        <w:t>：</w:t>
      </w:r>
    </w:p>
    <w:p w14:paraId="0764627C">
      <w:pPr>
        <w:snapToGrid w:val="0"/>
        <w:spacing w:before="50" w:after="120" w:afterLines="50" w:line="360" w:lineRule="auto"/>
        <w:jc w:val="center"/>
        <w:rPr>
          <w:rFonts w:hint="eastAsia" w:ascii="仿宋_GB2312" w:hAnsi="仿宋" w:eastAsia="仿宋_GB2312" w:cs="仿宋_GB2312"/>
          <w:b/>
          <w:color w:val="auto"/>
          <w:kern w:val="0"/>
          <w:sz w:val="32"/>
          <w:szCs w:val="32"/>
          <w:highlight w:val="none"/>
        </w:rPr>
      </w:pPr>
      <w:r>
        <w:rPr>
          <w:rFonts w:hint="eastAsia" w:ascii="宋体" w:hAnsi="宋体" w:eastAsia="宋体" w:cs="宋体"/>
          <w:b/>
          <w:color w:val="auto"/>
          <w:kern w:val="2"/>
          <w:sz w:val="28"/>
          <w:szCs w:val="28"/>
          <w:highlight w:val="none"/>
        </w:rPr>
        <w:t>投标人直接控股股东信息表</w:t>
      </w:r>
    </w:p>
    <w:tbl>
      <w:tblPr>
        <w:tblStyle w:val="27"/>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14:paraId="0CF11085">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A81964A">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A07D7DF">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5747027">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090687E">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3505109">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57063F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A70EDF">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9783C1">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894229">
            <w:pPr>
              <w:spacing w:line="360" w:lineRule="auto"/>
              <w:jc w:val="center"/>
              <w:rPr>
                <w:rFonts w:hint="eastAsia"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D20281">
            <w:pPr>
              <w:spacing w:line="360" w:lineRule="auto"/>
              <w:jc w:val="center"/>
              <w:rPr>
                <w:rFonts w:hint="eastAsia"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30DA94">
            <w:pPr>
              <w:spacing w:line="360" w:lineRule="auto"/>
              <w:jc w:val="center"/>
              <w:rPr>
                <w:rFonts w:hint="eastAsia" w:ascii="宋体" w:hAnsi="宋体" w:cs="宋体"/>
                <w:color w:val="auto"/>
                <w:kern w:val="0"/>
                <w:sz w:val="24"/>
                <w:highlight w:val="none"/>
              </w:rPr>
            </w:pPr>
          </w:p>
        </w:tc>
      </w:tr>
      <w:tr w14:paraId="4C39EE9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CD38356">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BA2687">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5D4901">
            <w:pPr>
              <w:spacing w:line="360" w:lineRule="auto"/>
              <w:jc w:val="center"/>
              <w:rPr>
                <w:rFonts w:hint="eastAsia"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A71365">
            <w:pPr>
              <w:spacing w:line="360" w:lineRule="auto"/>
              <w:jc w:val="center"/>
              <w:rPr>
                <w:rFonts w:hint="eastAsia"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8CCE2A">
            <w:pPr>
              <w:spacing w:line="360" w:lineRule="auto"/>
              <w:jc w:val="center"/>
              <w:rPr>
                <w:rFonts w:hint="eastAsia" w:ascii="宋体" w:hAnsi="宋体" w:cs="宋体"/>
                <w:color w:val="auto"/>
                <w:kern w:val="0"/>
                <w:sz w:val="24"/>
                <w:highlight w:val="none"/>
              </w:rPr>
            </w:pPr>
          </w:p>
        </w:tc>
      </w:tr>
      <w:tr w14:paraId="446A2BB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6A670C">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AEF75F">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283ACD">
            <w:pPr>
              <w:spacing w:line="360" w:lineRule="auto"/>
              <w:jc w:val="center"/>
              <w:rPr>
                <w:rFonts w:hint="eastAsia"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46EB06">
            <w:pPr>
              <w:spacing w:line="360" w:lineRule="auto"/>
              <w:jc w:val="center"/>
              <w:rPr>
                <w:rFonts w:hint="eastAsia"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7D58025">
            <w:pPr>
              <w:spacing w:line="360" w:lineRule="auto"/>
              <w:jc w:val="center"/>
              <w:rPr>
                <w:rFonts w:hint="eastAsia" w:ascii="宋体" w:hAnsi="宋体" w:cs="宋体"/>
                <w:color w:val="auto"/>
                <w:kern w:val="0"/>
                <w:sz w:val="24"/>
                <w:highlight w:val="none"/>
              </w:rPr>
            </w:pPr>
          </w:p>
        </w:tc>
      </w:tr>
      <w:tr w14:paraId="59020B5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4FAAB11">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CA2C6E">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582F37">
            <w:pPr>
              <w:spacing w:line="360" w:lineRule="auto"/>
              <w:jc w:val="center"/>
              <w:rPr>
                <w:rFonts w:hint="eastAsia"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F333D9">
            <w:pPr>
              <w:spacing w:line="360" w:lineRule="auto"/>
              <w:jc w:val="center"/>
              <w:rPr>
                <w:rFonts w:hint="eastAsia"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0E0A2C">
            <w:pPr>
              <w:spacing w:line="360" w:lineRule="auto"/>
              <w:jc w:val="center"/>
              <w:rPr>
                <w:rFonts w:hint="eastAsia" w:ascii="宋体" w:hAnsi="宋体" w:cs="宋体"/>
                <w:color w:val="auto"/>
                <w:kern w:val="0"/>
                <w:sz w:val="24"/>
                <w:highlight w:val="none"/>
              </w:rPr>
            </w:pPr>
          </w:p>
        </w:tc>
      </w:tr>
    </w:tbl>
    <w:p w14:paraId="28BAADDA">
      <w:pPr>
        <w:snapToGrid w:val="0"/>
        <w:spacing w:line="360" w:lineRule="auto"/>
        <w:jc w:val="left"/>
        <w:rPr>
          <w:rFonts w:hint="eastAsia" w:ascii="宋体" w:hAnsi="宋体"/>
          <w:color w:val="auto"/>
          <w:sz w:val="24"/>
          <w:szCs w:val="24"/>
          <w:highlight w:val="none"/>
        </w:rPr>
      </w:pPr>
    </w:p>
    <w:p w14:paraId="61898378">
      <w:pPr>
        <w:snapToGrid w:val="0"/>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注：</w:t>
      </w:r>
    </w:p>
    <w:p w14:paraId="7AFD1DF1">
      <w:pPr>
        <w:snapToGrid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B117B0F">
      <w:pPr>
        <w:snapToGrid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2.本表所指的控股关系仅限于直接控股关系，不包括间接的控股关系。公司实际控制人与公司之间的关系不属于本表所指的直接控股关系。</w:t>
      </w:r>
    </w:p>
    <w:p w14:paraId="2017DC3D">
      <w:pPr>
        <w:snapToGrid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投标人</w:t>
      </w:r>
      <w:r>
        <w:rPr>
          <w:rFonts w:hint="eastAsia" w:ascii="宋体" w:hAnsi="宋体"/>
          <w:color w:val="auto"/>
          <w:sz w:val="24"/>
          <w:szCs w:val="24"/>
          <w:highlight w:val="none"/>
        </w:rPr>
        <w:t>不存在直接控股股东的，则填“无”。</w:t>
      </w:r>
    </w:p>
    <w:p w14:paraId="58EF3F29">
      <w:pPr>
        <w:snapToGrid w:val="0"/>
        <w:spacing w:line="360" w:lineRule="auto"/>
        <w:jc w:val="left"/>
        <w:rPr>
          <w:rFonts w:hint="eastAsia" w:ascii="宋体" w:hAnsi="宋体"/>
          <w:color w:val="auto"/>
          <w:sz w:val="24"/>
          <w:highlight w:val="none"/>
        </w:rPr>
      </w:pPr>
    </w:p>
    <w:p w14:paraId="6B08DE78">
      <w:pPr>
        <w:snapToGrid w:val="0"/>
        <w:spacing w:line="360" w:lineRule="auto"/>
        <w:jc w:val="left"/>
        <w:rPr>
          <w:rFonts w:hint="eastAsia" w:ascii="宋体" w:hAnsi="宋体"/>
          <w:color w:val="auto"/>
          <w:sz w:val="24"/>
          <w:highlight w:val="none"/>
        </w:rPr>
      </w:pPr>
    </w:p>
    <w:p w14:paraId="787EE0C7">
      <w:pPr>
        <w:snapToGrid w:val="0"/>
        <w:spacing w:line="360" w:lineRule="auto"/>
        <w:ind w:firstLine="0" w:firstLineChars="0"/>
        <w:jc w:val="center"/>
        <w:rPr>
          <w:rFonts w:hint="eastAsia" w:ascii="宋体" w:hAnsi="宋体" w:eastAsia="宋体" w:cs="Times New Roman"/>
          <w:color w:val="auto"/>
          <w:kern w:val="2"/>
          <w:sz w:val="24"/>
          <w:highlight w:val="none"/>
          <w:lang w:val="zh-CN"/>
        </w:rPr>
      </w:pPr>
      <w:r>
        <w:rPr>
          <w:rFonts w:hint="eastAsia" w:ascii="宋体" w:hAnsi="宋体" w:eastAsia="宋体" w:cs="Times New Roman"/>
          <w:color w:val="auto"/>
          <w:kern w:val="2"/>
          <w:sz w:val="24"/>
          <w:highlight w:val="none"/>
          <w:lang w:val="en-US" w:eastAsia="zh-CN"/>
        </w:rPr>
        <w:t xml:space="preserve">   </w:t>
      </w:r>
      <w:r>
        <w:rPr>
          <w:rFonts w:hint="eastAsia" w:ascii="宋体" w:hAnsi="宋体" w:eastAsia="宋体" w:cs="Times New Roman"/>
          <w:color w:val="auto"/>
          <w:kern w:val="2"/>
          <w:sz w:val="24"/>
          <w:highlight w:val="none"/>
          <w:lang w:val="zh-CN"/>
        </w:rPr>
        <w:t>投标人名称（盖公章）：</w:t>
      </w:r>
    </w:p>
    <w:p w14:paraId="1F8072A6">
      <w:pPr>
        <w:snapToGrid w:val="0"/>
        <w:spacing w:line="360" w:lineRule="auto"/>
        <w:ind w:firstLine="0" w:firstLineChars="0"/>
        <w:jc w:val="center"/>
        <w:rPr>
          <w:rFonts w:hint="eastAsia" w:ascii="宋体" w:hAnsi="宋体" w:eastAsia="宋体" w:cs="Times New Roman"/>
          <w:color w:val="auto"/>
          <w:kern w:val="2"/>
          <w:sz w:val="24"/>
          <w:highlight w:val="none"/>
          <w:lang w:val="zh-CN"/>
        </w:rPr>
      </w:pPr>
      <w:r>
        <w:rPr>
          <w:rFonts w:hint="eastAsia" w:ascii="宋体" w:hAnsi="宋体" w:eastAsia="宋体" w:cs="Times New Roman"/>
          <w:color w:val="auto"/>
          <w:kern w:val="2"/>
          <w:sz w:val="24"/>
          <w:highlight w:val="none"/>
          <w:lang w:val="en-US" w:eastAsia="zh-CN"/>
        </w:rPr>
        <w:t xml:space="preserve">     </w:t>
      </w:r>
      <w:r>
        <w:rPr>
          <w:rFonts w:hint="eastAsia" w:ascii="宋体" w:hAnsi="宋体" w:eastAsia="宋体" w:cs="Times New Roman"/>
          <w:color w:val="auto"/>
          <w:kern w:val="2"/>
          <w:sz w:val="24"/>
          <w:highlight w:val="none"/>
          <w:lang w:val="zh-CN"/>
        </w:rPr>
        <w:t>日期</w:t>
      </w:r>
      <w:r>
        <w:rPr>
          <w:rFonts w:hint="eastAsia" w:ascii="宋体" w:hAnsi="宋体" w:eastAsia="宋体" w:cs="Times New Roman"/>
          <w:color w:val="auto"/>
          <w:kern w:val="2"/>
          <w:sz w:val="24"/>
          <w:highlight w:val="none"/>
        </w:rPr>
        <w:t>：</w:t>
      </w:r>
      <w:r>
        <w:rPr>
          <w:rFonts w:hint="eastAsia" w:ascii="宋体" w:hAnsi="宋体" w:eastAsia="宋体" w:cs="Times New Roman"/>
          <w:color w:val="auto"/>
          <w:kern w:val="2"/>
          <w:sz w:val="24"/>
          <w:highlight w:val="none"/>
          <w:lang w:val="en-US" w:eastAsia="zh-CN"/>
        </w:rPr>
        <w:t xml:space="preserve">    </w:t>
      </w:r>
      <w:r>
        <w:rPr>
          <w:rFonts w:hint="eastAsia" w:ascii="宋体" w:hAnsi="宋体" w:eastAsia="宋体" w:cs="Times New Roman"/>
          <w:color w:val="auto"/>
          <w:kern w:val="2"/>
          <w:sz w:val="24"/>
          <w:highlight w:val="none"/>
        </w:rPr>
        <w:t>年</w:t>
      </w:r>
      <w:r>
        <w:rPr>
          <w:rFonts w:hint="eastAsia" w:ascii="宋体" w:hAnsi="宋体" w:eastAsia="宋体" w:cs="Times New Roman"/>
          <w:color w:val="auto"/>
          <w:kern w:val="2"/>
          <w:sz w:val="24"/>
          <w:highlight w:val="none"/>
          <w:lang w:val="en-US" w:eastAsia="zh-CN"/>
        </w:rPr>
        <w:t xml:space="preserve">    </w:t>
      </w:r>
      <w:r>
        <w:rPr>
          <w:rFonts w:hint="eastAsia" w:ascii="宋体" w:hAnsi="宋体" w:eastAsia="宋体" w:cs="Times New Roman"/>
          <w:color w:val="auto"/>
          <w:kern w:val="2"/>
          <w:sz w:val="24"/>
          <w:highlight w:val="none"/>
          <w:lang w:val="zh-CN"/>
        </w:rPr>
        <w:t>月</w:t>
      </w:r>
      <w:r>
        <w:rPr>
          <w:rFonts w:hint="eastAsia" w:ascii="宋体" w:hAnsi="宋体" w:eastAsia="宋体" w:cs="Times New Roman"/>
          <w:color w:val="auto"/>
          <w:kern w:val="2"/>
          <w:sz w:val="24"/>
          <w:highlight w:val="none"/>
          <w:lang w:val="en-US" w:eastAsia="zh-CN"/>
        </w:rPr>
        <w:t xml:space="preserve">    </w:t>
      </w:r>
      <w:r>
        <w:rPr>
          <w:rFonts w:hint="eastAsia" w:ascii="宋体" w:hAnsi="宋体" w:eastAsia="宋体" w:cs="Times New Roman"/>
          <w:color w:val="auto"/>
          <w:kern w:val="2"/>
          <w:sz w:val="24"/>
          <w:highlight w:val="none"/>
          <w:lang w:val="zh-CN"/>
        </w:rPr>
        <w:t>日</w:t>
      </w:r>
    </w:p>
    <w:p w14:paraId="0AFB2719">
      <w:pPr>
        <w:snapToGrid w:val="0"/>
        <w:jc w:val="both"/>
        <w:rPr>
          <w:rFonts w:hint="eastAsia" w:ascii="宋体" w:hAnsi="宋体"/>
          <w:b/>
          <w:color w:val="auto"/>
          <w:sz w:val="28"/>
          <w:szCs w:val="28"/>
          <w:highlight w:val="none"/>
        </w:rPr>
      </w:pPr>
      <w:r>
        <w:rPr>
          <w:rFonts w:hint="eastAsia" w:ascii="宋体" w:hAnsi="宋体"/>
          <w:b/>
          <w:color w:val="auto"/>
          <w:sz w:val="28"/>
          <w:szCs w:val="28"/>
          <w:highlight w:val="none"/>
        </w:rPr>
        <w:br w:type="page"/>
      </w:r>
      <w:r>
        <w:rPr>
          <w:rFonts w:hint="eastAsia" w:ascii="宋体" w:hAnsi="宋体" w:cs="宋体"/>
          <w:b/>
          <w:color w:val="auto"/>
          <w:kern w:val="0"/>
          <w:sz w:val="28"/>
          <w:szCs w:val="28"/>
          <w:highlight w:val="none"/>
          <w:lang w:val="en-US" w:eastAsia="zh-CN"/>
        </w:rPr>
        <w:t>4.</w:t>
      </w:r>
      <w:r>
        <w:rPr>
          <w:rFonts w:hint="eastAsia" w:ascii="宋体" w:hAnsi="宋体"/>
          <w:b/>
          <w:color w:val="auto"/>
          <w:sz w:val="28"/>
          <w:szCs w:val="28"/>
          <w:highlight w:val="none"/>
        </w:rPr>
        <w:t>投标人直接管理关系信息表</w:t>
      </w:r>
      <w:r>
        <w:rPr>
          <w:rFonts w:hint="eastAsia" w:ascii="宋体" w:hAnsi="宋体" w:cs="宋体"/>
          <w:b/>
          <w:color w:val="auto"/>
          <w:sz w:val="28"/>
          <w:szCs w:val="28"/>
          <w:highlight w:val="none"/>
          <w:lang w:eastAsia="zh-CN"/>
        </w:rPr>
        <w:t>格式</w:t>
      </w:r>
      <w:r>
        <w:rPr>
          <w:rFonts w:hint="eastAsia"/>
          <w:color w:val="auto"/>
          <w:sz w:val="28"/>
          <w:szCs w:val="28"/>
          <w:highlight w:val="none"/>
          <w:lang w:eastAsia="zh-CN"/>
        </w:rPr>
        <w:t>：</w:t>
      </w:r>
    </w:p>
    <w:p w14:paraId="4AD470A1">
      <w:pPr>
        <w:snapToGrid w:val="0"/>
        <w:spacing w:line="360" w:lineRule="auto"/>
        <w:jc w:val="center"/>
        <w:rPr>
          <w:rFonts w:hint="eastAsia" w:ascii="宋体" w:hAnsi="宋体"/>
          <w:b/>
          <w:color w:val="auto"/>
          <w:sz w:val="32"/>
          <w:szCs w:val="32"/>
          <w:highlight w:val="none"/>
        </w:rPr>
      </w:pPr>
    </w:p>
    <w:p w14:paraId="20CA5A44">
      <w:pPr>
        <w:snapToGrid w:val="0"/>
        <w:spacing w:line="360" w:lineRule="auto"/>
        <w:jc w:val="center"/>
        <w:rPr>
          <w:rFonts w:hint="eastAsia" w:ascii="宋体" w:hAnsi="宋体"/>
          <w:color w:val="auto"/>
          <w:sz w:val="32"/>
          <w:szCs w:val="32"/>
          <w:highlight w:val="none"/>
        </w:rPr>
      </w:pPr>
      <w:r>
        <w:rPr>
          <w:rFonts w:hint="eastAsia" w:ascii="宋体" w:hAnsi="宋体"/>
          <w:b/>
          <w:color w:val="auto"/>
          <w:sz w:val="28"/>
          <w:szCs w:val="28"/>
          <w:highlight w:val="none"/>
        </w:rPr>
        <w:t>投标人直接管理关系信息表</w:t>
      </w:r>
    </w:p>
    <w:tbl>
      <w:tblPr>
        <w:tblStyle w:val="27"/>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3690348D">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CA6DB03">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CFAB42B">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3DF3383">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B085BF7">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543E0E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DFA208">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C630F0">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DF2127">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44523F">
            <w:pPr>
              <w:spacing w:line="360" w:lineRule="auto"/>
              <w:jc w:val="center"/>
              <w:rPr>
                <w:rFonts w:hint="eastAsia" w:ascii="宋体" w:hAnsi="宋体" w:cs="宋体"/>
                <w:color w:val="auto"/>
                <w:kern w:val="0"/>
                <w:sz w:val="24"/>
                <w:highlight w:val="none"/>
              </w:rPr>
            </w:pPr>
          </w:p>
        </w:tc>
      </w:tr>
      <w:tr w14:paraId="6D6F349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E5A38F">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148620">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18D62E1">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D4C944">
            <w:pPr>
              <w:spacing w:line="360" w:lineRule="auto"/>
              <w:jc w:val="center"/>
              <w:rPr>
                <w:rFonts w:hint="eastAsia" w:ascii="宋体" w:hAnsi="宋体" w:cs="宋体"/>
                <w:color w:val="auto"/>
                <w:kern w:val="0"/>
                <w:sz w:val="24"/>
                <w:highlight w:val="none"/>
              </w:rPr>
            </w:pPr>
          </w:p>
        </w:tc>
      </w:tr>
      <w:tr w14:paraId="7B7545AA">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309D29">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A52B5E">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617A7D">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A70791A">
            <w:pPr>
              <w:spacing w:line="360" w:lineRule="auto"/>
              <w:jc w:val="center"/>
              <w:rPr>
                <w:rFonts w:hint="eastAsia" w:ascii="宋体" w:hAnsi="宋体" w:cs="宋体"/>
                <w:color w:val="auto"/>
                <w:kern w:val="0"/>
                <w:sz w:val="24"/>
                <w:highlight w:val="none"/>
              </w:rPr>
            </w:pPr>
          </w:p>
        </w:tc>
      </w:tr>
      <w:tr w14:paraId="2E7D637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5ACFBE7">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ADDF034">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1CC146">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35FCF3">
            <w:pPr>
              <w:spacing w:line="360" w:lineRule="auto"/>
              <w:jc w:val="center"/>
              <w:rPr>
                <w:rFonts w:hint="eastAsia" w:ascii="宋体" w:hAnsi="宋体" w:cs="宋体"/>
                <w:color w:val="auto"/>
                <w:kern w:val="0"/>
                <w:sz w:val="24"/>
                <w:highlight w:val="none"/>
              </w:rPr>
            </w:pPr>
          </w:p>
        </w:tc>
      </w:tr>
    </w:tbl>
    <w:p w14:paraId="78E1E10C">
      <w:pPr>
        <w:snapToGrid w:val="0"/>
        <w:spacing w:line="360" w:lineRule="auto"/>
        <w:jc w:val="left"/>
        <w:rPr>
          <w:rFonts w:hint="eastAsia" w:ascii="宋体" w:hAnsi="宋体"/>
          <w:color w:val="auto"/>
          <w:sz w:val="21"/>
          <w:szCs w:val="21"/>
          <w:highlight w:val="none"/>
        </w:rPr>
      </w:pPr>
    </w:p>
    <w:p w14:paraId="4FD8EF5B">
      <w:pPr>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4C13226D">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1.管理关系：是指不具有出资持股关系的其他单位之间存在的管理与被管理关系，如一些上下级关系的事业单位和团体组织。</w:t>
      </w:r>
    </w:p>
    <w:p w14:paraId="397CA282">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6"/>
          <w:sz w:val="24"/>
          <w:szCs w:val="24"/>
          <w:highlight w:val="none"/>
        </w:rPr>
        <w:t>本表所指的管理关系仅限于直接管理关系，不包括间接的管理关系。</w:t>
      </w:r>
    </w:p>
    <w:p w14:paraId="1F83D21E">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不存在直接管理关系的，则填“无”。</w:t>
      </w:r>
    </w:p>
    <w:p w14:paraId="7029AD32">
      <w:pPr>
        <w:snapToGrid w:val="0"/>
        <w:spacing w:line="360" w:lineRule="auto"/>
        <w:jc w:val="left"/>
        <w:rPr>
          <w:color w:val="auto"/>
          <w:sz w:val="24"/>
          <w:highlight w:val="none"/>
        </w:rPr>
      </w:pPr>
    </w:p>
    <w:p w14:paraId="41277698">
      <w:pPr>
        <w:snapToGrid w:val="0"/>
        <w:spacing w:line="360" w:lineRule="auto"/>
        <w:jc w:val="left"/>
        <w:rPr>
          <w:rFonts w:ascii="宋体" w:hAnsi="宋体"/>
          <w:color w:val="auto"/>
          <w:sz w:val="24"/>
          <w:highlight w:val="none"/>
        </w:rPr>
      </w:pPr>
    </w:p>
    <w:p w14:paraId="10D27072">
      <w:pPr>
        <w:snapToGrid w:val="0"/>
        <w:spacing w:line="360" w:lineRule="auto"/>
        <w:jc w:val="left"/>
        <w:rPr>
          <w:rFonts w:hint="eastAsia" w:ascii="宋体" w:hAnsi="宋体"/>
          <w:color w:val="auto"/>
          <w:sz w:val="24"/>
          <w:highlight w:val="none"/>
        </w:rPr>
      </w:pPr>
    </w:p>
    <w:p w14:paraId="2451FC0D">
      <w:pPr>
        <w:snapToGrid/>
        <w:spacing w:line="360" w:lineRule="auto"/>
        <w:ind w:firstLine="0" w:firstLineChars="0"/>
        <w:jc w:val="center"/>
        <w:rPr>
          <w:rFonts w:hint="eastAsia" w:ascii="宋体" w:hAnsi="宋体" w:eastAsia="宋体" w:cs="宋体"/>
          <w:b w:val="0"/>
          <w:bCs w:val="0"/>
          <w:color w:val="auto"/>
          <w:kern w:val="0"/>
          <w:sz w:val="24"/>
          <w:highlight w:val="none"/>
          <w:lang w:val="zh-CN"/>
        </w:rPr>
      </w:pPr>
      <w:r>
        <w:rPr>
          <w:rFonts w:hint="eastAsia" w:ascii="宋体" w:hAnsi="宋体" w:eastAsia="宋体" w:cs="宋体"/>
          <w:b w:val="0"/>
          <w:bCs w:val="0"/>
          <w:color w:val="auto"/>
          <w:kern w:val="0"/>
          <w:sz w:val="24"/>
          <w:highlight w:val="none"/>
          <w:lang w:val="zh-CN"/>
        </w:rPr>
        <w:t>投标人名称（盖公章）：</w:t>
      </w:r>
    </w:p>
    <w:p w14:paraId="7F4A930D">
      <w:pPr>
        <w:snapToGrid/>
        <w:spacing w:line="360" w:lineRule="auto"/>
        <w:ind w:firstLine="0" w:firstLineChars="0"/>
        <w:jc w:val="center"/>
        <w:rPr>
          <w:rFonts w:hint="eastAsia" w:ascii="宋体" w:cs="宋体"/>
          <w:b/>
          <w:color w:val="auto"/>
          <w:kern w:val="0"/>
          <w:sz w:val="32"/>
          <w:szCs w:val="32"/>
          <w:highlight w:val="none"/>
        </w:rPr>
      </w:pPr>
      <w:r>
        <w:rPr>
          <w:rFonts w:hint="eastAsia" w:ascii="宋体" w:hAnsi="宋体" w:eastAsia="宋体" w:cs="宋体"/>
          <w:b w:val="0"/>
          <w:bCs w:val="0"/>
          <w:color w:val="auto"/>
          <w:kern w:val="0"/>
          <w:sz w:val="24"/>
          <w:highlight w:val="none"/>
          <w:lang w:val="en-US" w:eastAsia="zh-CN"/>
        </w:rPr>
        <w:t xml:space="preserve">  </w:t>
      </w:r>
      <w:r>
        <w:rPr>
          <w:rFonts w:hint="eastAsia" w:ascii="宋体" w:hAnsi="宋体" w:eastAsia="宋体" w:cs="宋体"/>
          <w:b w:val="0"/>
          <w:bCs w:val="0"/>
          <w:color w:val="auto"/>
          <w:kern w:val="0"/>
          <w:sz w:val="24"/>
          <w:highlight w:val="none"/>
          <w:lang w:val="zh-CN"/>
        </w:rPr>
        <w:t>日期</w:t>
      </w:r>
      <w:r>
        <w:rPr>
          <w:rFonts w:hint="eastAsia" w:ascii="宋体" w:hAnsi="宋体" w:eastAsia="宋体" w:cs="宋体"/>
          <w:b w:val="0"/>
          <w:bCs w:val="0"/>
          <w:color w:val="auto"/>
          <w:kern w:val="0"/>
          <w:sz w:val="24"/>
          <w:highlight w:val="none"/>
        </w:rPr>
        <w:t>：</w:t>
      </w:r>
      <w:r>
        <w:rPr>
          <w:rFonts w:hint="eastAsia" w:ascii="宋体" w:hAnsi="宋体" w:eastAsia="宋体" w:cs="宋体"/>
          <w:b w:val="0"/>
          <w:bCs w:val="0"/>
          <w:color w:val="auto"/>
          <w:kern w:val="0"/>
          <w:sz w:val="24"/>
          <w:highlight w:val="none"/>
          <w:lang w:val="en-US" w:eastAsia="zh-CN"/>
        </w:rPr>
        <w:t xml:space="preserve">    </w:t>
      </w:r>
      <w:r>
        <w:rPr>
          <w:rFonts w:hint="eastAsia" w:ascii="宋体" w:hAnsi="宋体" w:eastAsia="宋体" w:cs="宋体"/>
          <w:b w:val="0"/>
          <w:bCs w:val="0"/>
          <w:color w:val="auto"/>
          <w:kern w:val="0"/>
          <w:sz w:val="24"/>
          <w:highlight w:val="none"/>
        </w:rPr>
        <w:t>年</w:t>
      </w:r>
      <w:r>
        <w:rPr>
          <w:rFonts w:hint="eastAsia" w:ascii="宋体" w:hAnsi="宋体" w:eastAsia="宋体" w:cs="宋体"/>
          <w:b w:val="0"/>
          <w:bCs w:val="0"/>
          <w:color w:val="auto"/>
          <w:kern w:val="0"/>
          <w:sz w:val="24"/>
          <w:highlight w:val="none"/>
          <w:lang w:val="en-US" w:eastAsia="zh-CN"/>
        </w:rPr>
        <w:t xml:space="preserve">    </w:t>
      </w:r>
      <w:r>
        <w:rPr>
          <w:rFonts w:hint="eastAsia" w:ascii="宋体" w:hAnsi="宋体" w:eastAsia="宋体" w:cs="宋体"/>
          <w:b w:val="0"/>
          <w:bCs w:val="0"/>
          <w:color w:val="auto"/>
          <w:kern w:val="0"/>
          <w:sz w:val="24"/>
          <w:highlight w:val="none"/>
          <w:lang w:val="zh-CN"/>
        </w:rPr>
        <w:t>月</w:t>
      </w:r>
      <w:r>
        <w:rPr>
          <w:rFonts w:hint="eastAsia" w:ascii="宋体" w:hAnsi="宋体" w:eastAsia="宋体" w:cs="宋体"/>
          <w:b w:val="0"/>
          <w:bCs w:val="0"/>
          <w:color w:val="auto"/>
          <w:kern w:val="0"/>
          <w:sz w:val="24"/>
          <w:highlight w:val="none"/>
          <w:lang w:val="en-US" w:eastAsia="zh-CN"/>
        </w:rPr>
        <w:t xml:space="preserve">    </w:t>
      </w:r>
      <w:r>
        <w:rPr>
          <w:rFonts w:hint="eastAsia" w:ascii="宋体" w:hAnsi="宋体" w:eastAsia="宋体" w:cs="宋体"/>
          <w:b w:val="0"/>
          <w:bCs w:val="0"/>
          <w:color w:val="auto"/>
          <w:kern w:val="0"/>
          <w:sz w:val="24"/>
          <w:highlight w:val="none"/>
          <w:lang w:val="zh-CN"/>
        </w:rPr>
        <w:t>日</w:t>
      </w:r>
    </w:p>
    <w:p w14:paraId="1F260B3B">
      <w:pPr>
        <w:snapToGrid w:val="0"/>
        <w:spacing w:line="360" w:lineRule="auto"/>
        <w:ind w:right="480"/>
        <w:rPr>
          <w:rFonts w:hint="eastAsia" w:ascii="宋体" w:cs="宋体"/>
          <w:b/>
          <w:color w:val="auto"/>
          <w:kern w:val="0"/>
          <w:sz w:val="32"/>
          <w:szCs w:val="32"/>
          <w:highlight w:val="none"/>
        </w:rPr>
      </w:pPr>
    </w:p>
    <w:p w14:paraId="162694AA">
      <w:pPr>
        <w:snapToGrid w:val="0"/>
        <w:spacing w:line="360" w:lineRule="auto"/>
        <w:ind w:right="480"/>
        <w:rPr>
          <w:rFonts w:hint="eastAsia" w:ascii="宋体" w:cs="宋体"/>
          <w:b/>
          <w:color w:val="auto"/>
          <w:kern w:val="0"/>
          <w:sz w:val="32"/>
          <w:szCs w:val="32"/>
          <w:highlight w:val="none"/>
        </w:rPr>
      </w:pPr>
    </w:p>
    <w:p w14:paraId="43A8DB24">
      <w:pPr>
        <w:snapToGrid w:val="0"/>
        <w:spacing w:line="360" w:lineRule="auto"/>
        <w:ind w:right="480"/>
        <w:rPr>
          <w:rFonts w:hint="eastAsia" w:ascii="宋体" w:cs="宋体"/>
          <w:b/>
          <w:color w:val="auto"/>
          <w:kern w:val="0"/>
          <w:sz w:val="32"/>
          <w:szCs w:val="32"/>
          <w:highlight w:val="none"/>
        </w:rPr>
      </w:pPr>
    </w:p>
    <w:p w14:paraId="26AA0DF6">
      <w:pPr>
        <w:rPr>
          <w:rFonts w:hint="eastAsia" w:ascii="宋体" w:cs="宋体"/>
          <w:b/>
          <w:color w:val="auto"/>
          <w:sz w:val="28"/>
          <w:szCs w:val="28"/>
          <w:highlight w:val="none"/>
        </w:rPr>
      </w:pPr>
      <w:r>
        <w:rPr>
          <w:rFonts w:hint="eastAsia" w:ascii="宋体" w:cs="宋体"/>
          <w:b/>
          <w:color w:val="auto"/>
          <w:sz w:val="28"/>
          <w:szCs w:val="28"/>
          <w:highlight w:val="none"/>
        </w:rPr>
        <w:br w:type="page"/>
      </w:r>
    </w:p>
    <w:p w14:paraId="7000BB1E">
      <w:pPr>
        <w:snapToGrid w:val="0"/>
        <w:spacing w:line="360" w:lineRule="auto"/>
        <w:ind w:right="480"/>
        <w:rPr>
          <w:rFonts w:ascii="宋体" w:cs="宋体"/>
          <w:b/>
          <w:color w:val="auto"/>
          <w:kern w:val="0"/>
          <w:sz w:val="32"/>
          <w:szCs w:val="32"/>
          <w:highlight w:val="none"/>
        </w:rPr>
      </w:pPr>
      <w:r>
        <w:rPr>
          <w:rFonts w:hint="eastAsia" w:ascii="宋体" w:cs="宋体"/>
          <w:b/>
          <w:color w:val="auto"/>
          <w:sz w:val="28"/>
          <w:szCs w:val="28"/>
          <w:highlight w:val="none"/>
          <w:lang w:val="en-US" w:eastAsia="zh-CN"/>
        </w:rPr>
        <w:t>5.</w:t>
      </w:r>
      <w:r>
        <w:rPr>
          <w:rFonts w:hint="eastAsia" w:ascii="宋体" w:cs="宋体"/>
          <w:b/>
          <w:color w:val="auto"/>
          <w:sz w:val="28"/>
          <w:szCs w:val="28"/>
          <w:highlight w:val="none"/>
        </w:rPr>
        <w:t>声明函的格式</w:t>
      </w:r>
      <w:r>
        <w:rPr>
          <w:rFonts w:hint="eastAsia"/>
          <w:color w:val="auto"/>
          <w:sz w:val="28"/>
          <w:szCs w:val="28"/>
          <w:highlight w:val="none"/>
        </w:rPr>
        <w:t>：</w:t>
      </w:r>
    </w:p>
    <w:p w14:paraId="34F3B4DF">
      <w:pPr>
        <w:pStyle w:val="17"/>
        <w:rPr>
          <w:color w:val="auto"/>
          <w:highlight w:val="none"/>
        </w:rPr>
      </w:pPr>
    </w:p>
    <w:p w14:paraId="10504B9D">
      <w:pPr>
        <w:snapToGrid w:val="0"/>
        <w:spacing w:before="50" w:after="165" w:afterLines="50"/>
        <w:jc w:val="center"/>
        <w:rPr>
          <w:rFonts w:ascii="宋体" w:cs="宋体"/>
          <w:b/>
          <w:color w:val="auto"/>
          <w:sz w:val="28"/>
          <w:szCs w:val="28"/>
          <w:highlight w:val="none"/>
        </w:rPr>
      </w:pPr>
      <w:r>
        <w:rPr>
          <w:rFonts w:hint="eastAsia" w:ascii="宋体" w:cs="宋体"/>
          <w:b/>
          <w:color w:val="auto"/>
          <w:sz w:val="28"/>
          <w:szCs w:val="28"/>
          <w:highlight w:val="none"/>
        </w:rPr>
        <w:t>声明函</w:t>
      </w:r>
    </w:p>
    <w:p w14:paraId="5218ACEE">
      <w:pPr>
        <w:tabs>
          <w:tab w:val="left" w:pos="7200"/>
        </w:tabs>
        <w:spacing w:line="440" w:lineRule="exact"/>
        <w:rPr>
          <w:rFonts w:ascii="宋体" w:cs="宋体"/>
          <w:color w:val="auto"/>
          <w:szCs w:val="21"/>
          <w:highlight w:val="none"/>
        </w:rPr>
      </w:pPr>
      <w:r>
        <w:rPr>
          <w:rFonts w:hint="eastAsia" w:ascii="宋体" w:cs="宋体"/>
          <w:color w:val="auto"/>
          <w:szCs w:val="21"/>
          <w:highlight w:val="none"/>
        </w:rPr>
        <w:t>致：</w:t>
      </w:r>
      <w:r>
        <w:rPr>
          <w:rFonts w:hint="eastAsia" w:ascii="宋体" w:cs="宋体"/>
          <w:color w:val="auto"/>
          <w:szCs w:val="21"/>
          <w:highlight w:val="none"/>
          <w:u w:val="single"/>
        </w:rPr>
        <w:t xml:space="preserve"> </w:t>
      </w:r>
      <w:bookmarkStart w:id="277" w:name="PO_3000001919_PM031"/>
      <w:r>
        <w:rPr>
          <w:rFonts w:hint="eastAsia" w:ascii="宋体" w:cs="宋体"/>
          <w:color w:val="auto"/>
          <w:szCs w:val="21"/>
          <w:highlight w:val="none"/>
          <w:u w:val="single"/>
        </w:rPr>
        <w:t>广西科联招标中心有限公司</w:t>
      </w:r>
      <w:bookmarkEnd w:id="277"/>
    </w:p>
    <w:p w14:paraId="156E0EE8">
      <w:pPr>
        <w:pStyle w:val="17"/>
        <w:spacing w:line="440" w:lineRule="exact"/>
        <w:ind w:firstLine="420" w:firstLineChars="200"/>
        <w:rPr>
          <w:color w:val="auto"/>
          <w:sz w:val="21"/>
          <w:szCs w:val="21"/>
          <w:highlight w:val="none"/>
        </w:rPr>
      </w:pPr>
      <w:r>
        <w:rPr>
          <w:rFonts w:hint="eastAsia" w:ascii="宋体" w:cs="宋体"/>
          <w:i/>
          <w:iCs/>
          <w:color w:val="auto"/>
          <w:sz w:val="21"/>
          <w:szCs w:val="21"/>
          <w:highlight w:val="none"/>
          <w:u w:val="single"/>
        </w:rPr>
        <w:t>（投标人名称）</w:t>
      </w:r>
      <w:r>
        <w:rPr>
          <w:rFonts w:hint="eastAsia" w:ascii="宋体" w:cs="宋体"/>
          <w:color w:val="auto"/>
          <w:sz w:val="21"/>
          <w:szCs w:val="21"/>
          <w:highlight w:val="none"/>
        </w:rPr>
        <w:t>系中华人民共和国合法供应商，经营地址</w:t>
      </w:r>
      <w:r>
        <w:rPr>
          <w:rFonts w:hint="eastAsia" w:ascii="宋体" w:cs="宋体"/>
          <w:color w:val="auto"/>
          <w:sz w:val="21"/>
          <w:szCs w:val="21"/>
          <w:highlight w:val="none"/>
          <w:u w:val="single"/>
        </w:rPr>
        <w:t xml:space="preserve">                              </w:t>
      </w:r>
      <w:r>
        <w:rPr>
          <w:rFonts w:hint="eastAsia" w:ascii="宋体" w:cs="宋体"/>
          <w:color w:val="auto"/>
          <w:sz w:val="21"/>
          <w:szCs w:val="21"/>
          <w:highlight w:val="none"/>
        </w:rPr>
        <w:t>。</w:t>
      </w:r>
    </w:p>
    <w:p w14:paraId="4DB197E5">
      <w:pPr>
        <w:snapToGrid w:val="0"/>
        <w:spacing w:line="440" w:lineRule="exact"/>
        <w:ind w:firstLine="420" w:firstLineChars="200"/>
        <w:jc w:val="left"/>
        <w:rPr>
          <w:rFonts w:ascii="宋体"/>
          <w:color w:val="auto"/>
          <w:szCs w:val="21"/>
          <w:highlight w:val="none"/>
        </w:rPr>
      </w:pPr>
      <w:r>
        <w:rPr>
          <w:rFonts w:hint="eastAsia" w:ascii="宋体"/>
          <w:color w:val="auto"/>
          <w:szCs w:val="21"/>
          <w:highlight w:val="none"/>
        </w:rPr>
        <w:t>我方愿意参加贵方组织的</w:t>
      </w:r>
      <w:r>
        <w:rPr>
          <w:rFonts w:hint="eastAsia" w:ascii="宋体"/>
          <w:i/>
          <w:iCs/>
          <w:color w:val="auto"/>
          <w:szCs w:val="21"/>
          <w:highlight w:val="none"/>
          <w:u w:val="single"/>
        </w:rPr>
        <w:t xml:space="preserve">（项目名称）     </w:t>
      </w:r>
      <w:r>
        <w:rPr>
          <w:rFonts w:hint="eastAsia" w:ascii="宋体"/>
          <w:color w:val="auto"/>
          <w:szCs w:val="21"/>
          <w:highlight w:val="none"/>
        </w:rPr>
        <w:t>（项目编号：</w:t>
      </w:r>
      <w:r>
        <w:rPr>
          <w:rFonts w:hint="eastAsia" w:ascii="宋体"/>
          <w:color w:val="auto"/>
          <w:szCs w:val="21"/>
          <w:highlight w:val="none"/>
          <w:u w:val="single"/>
        </w:rPr>
        <w:t xml:space="preserve">                </w:t>
      </w:r>
      <w:r>
        <w:rPr>
          <w:rFonts w:hint="eastAsia" w:ascii="宋体"/>
          <w:color w:val="auto"/>
          <w:szCs w:val="21"/>
          <w:highlight w:val="none"/>
        </w:rPr>
        <w:t>）项目的投标，为便于贵方公正、择优地确定中标人，我方就本次投标有关事项郑重声明如下：</w:t>
      </w:r>
    </w:p>
    <w:p w14:paraId="4C3A55A4">
      <w:pPr>
        <w:pStyle w:val="17"/>
        <w:spacing w:line="440" w:lineRule="exact"/>
        <w:ind w:firstLine="420" w:firstLineChars="200"/>
        <w:rPr>
          <w:color w:val="auto"/>
          <w:sz w:val="21"/>
          <w:szCs w:val="21"/>
          <w:highlight w:val="none"/>
        </w:rPr>
      </w:pPr>
      <w:r>
        <w:rPr>
          <w:rFonts w:hint="eastAsia" w:ascii="宋体" w:cs="宋体"/>
          <w:color w:val="auto"/>
          <w:sz w:val="21"/>
          <w:szCs w:val="21"/>
          <w:highlight w:val="none"/>
        </w:rPr>
        <w:t>1、我方向贵方提交的所有投标文件、资料都是准确的和真实的。</w:t>
      </w:r>
    </w:p>
    <w:p w14:paraId="764C646F">
      <w:pPr>
        <w:snapToGrid w:val="0"/>
        <w:spacing w:line="440" w:lineRule="exact"/>
        <w:ind w:firstLine="420" w:firstLineChars="200"/>
        <w:jc w:val="left"/>
        <w:rPr>
          <w:rFonts w:ascii="宋体"/>
          <w:color w:val="auto"/>
          <w:szCs w:val="21"/>
          <w:highlight w:val="none"/>
        </w:rPr>
      </w:pPr>
      <w:r>
        <w:rPr>
          <w:rFonts w:hint="eastAsia" w:ascii="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46E110F">
      <w:pPr>
        <w:spacing w:line="440" w:lineRule="exact"/>
        <w:ind w:firstLine="420" w:firstLineChars="200"/>
        <w:contextualSpacing/>
        <w:rPr>
          <w:rFonts w:ascii="宋体" w:cs="宋体"/>
          <w:color w:val="auto"/>
          <w:szCs w:val="21"/>
          <w:highlight w:val="none"/>
        </w:rPr>
      </w:pPr>
      <w:r>
        <w:rPr>
          <w:rFonts w:hint="eastAsia" w:ascii="宋体" w:cs="宋体"/>
          <w:color w:val="auto"/>
          <w:szCs w:val="21"/>
          <w:highlight w:val="none"/>
        </w:rPr>
        <w:t>3、在此，我方宣布同意如下：</w:t>
      </w:r>
    </w:p>
    <w:p w14:paraId="22F60053">
      <w:pPr>
        <w:spacing w:line="440" w:lineRule="exact"/>
        <w:ind w:firstLine="420" w:firstLineChars="200"/>
        <w:contextualSpacing/>
        <w:rPr>
          <w:rFonts w:ascii="宋体" w:cs="宋体"/>
          <w:color w:val="auto"/>
          <w:szCs w:val="21"/>
          <w:highlight w:val="none"/>
        </w:rPr>
      </w:pPr>
      <w:r>
        <w:rPr>
          <w:rFonts w:hint="eastAsia" w:ascii="宋体" w:cs="宋体"/>
          <w:color w:val="auto"/>
          <w:szCs w:val="21"/>
          <w:highlight w:val="none"/>
        </w:rPr>
        <w:t>（1）将按招标文件的约定履行合同责任和义务；</w:t>
      </w:r>
    </w:p>
    <w:p w14:paraId="2387579D">
      <w:pPr>
        <w:spacing w:line="440" w:lineRule="exact"/>
        <w:ind w:firstLine="420" w:firstLineChars="200"/>
        <w:contextualSpacing/>
        <w:rPr>
          <w:rFonts w:ascii="宋体" w:cs="宋体"/>
          <w:color w:val="auto"/>
          <w:szCs w:val="21"/>
          <w:highlight w:val="none"/>
        </w:rPr>
      </w:pPr>
      <w:r>
        <w:rPr>
          <w:rFonts w:hint="eastAsia" w:ascii="宋体" w:cs="宋体"/>
          <w:color w:val="auto"/>
          <w:szCs w:val="21"/>
          <w:highlight w:val="none"/>
        </w:rPr>
        <w:t>（2）已详细审查招标文件的全部</w:t>
      </w:r>
      <w:r>
        <w:rPr>
          <w:rFonts w:hint="eastAsia" w:ascii="宋体" w:cs="宋体"/>
          <w:color w:val="auto"/>
          <w:kern w:val="0"/>
          <w:szCs w:val="21"/>
          <w:highlight w:val="none"/>
        </w:rPr>
        <w:t>内容</w:t>
      </w:r>
      <w:r>
        <w:rPr>
          <w:rFonts w:hint="eastAsia" w:ascii="宋体" w:cs="宋体"/>
          <w:color w:val="auto"/>
          <w:szCs w:val="21"/>
          <w:highlight w:val="none"/>
        </w:rPr>
        <w:t>，包括澄清或者更正公告（如有）；</w:t>
      </w:r>
    </w:p>
    <w:p w14:paraId="291BF725">
      <w:pPr>
        <w:spacing w:line="440" w:lineRule="exact"/>
        <w:ind w:firstLine="420" w:firstLineChars="200"/>
        <w:contextualSpacing/>
        <w:rPr>
          <w:rFonts w:ascii="宋体" w:cs="宋体"/>
          <w:color w:val="auto"/>
          <w:szCs w:val="21"/>
          <w:highlight w:val="none"/>
        </w:rPr>
      </w:pPr>
      <w:r>
        <w:rPr>
          <w:rFonts w:hint="eastAsia" w:ascii="宋体" w:cs="宋体"/>
          <w:color w:val="auto"/>
          <w:szCs w:val="21"/>
          <w:highlight w:val="none"/>
        </w:rPr>
        <w:t>（3）同意提供按照贵方可能要求的与投标有关的一切数据或者资料。</w:t>
      </w:r>
    </w:p>
    <w:p w14:paraId="6F21AB57">
      <w:pPr>
        <w:spacing w:line="440" w:lineRule="exact"/>
        <w:ind w:firstLine="420" w:firstLineChars="200"/>
        <w:rPr>
          <w:rFonts w:ascii="宋体"/>
          <w:color w:val="auto"/>
          <w:szCs w:val="21"/>
          <w:highlight w:val="none"/>
        </w:rPr>
      </w:pPr>
      <w:r>
        <w:rPr>
          <w:rFonts w:hint="eastAsia" w:ascii="宋体"/>
          <w:color w:val="auto"/>
          <w:szCs w:val="21"/>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14:paraId="55FCA061">
      <w:pPr>
        <w:spacing w:line="440" w:lineRule="exact"/>
        <w:ind w:firstLine="420" w:firstLineChars="200"/>
        <w:contextualSpacing/>
        <w:rPr>
          <w:rFonts w:ascii="宋体" w:cs="宋体"/>
          <w:i/>
          <w:iCs/>
          <w:color w:val="auto"/>
          <w:szCs w:val="21"/>
          <w:highlight w:val="none"/>
        </w:rPr>
      </w:pPr>
      <w:r>
        <w:rPr>
          <w:rFonts w:hint="eastAsia" w:ascii="宋体"/>
          <w:color w:val="auto"/>
          <w:szCs w:val="21"/>
          <w:highlight w:val="none"/>
        </w:rPr>
        <w:t>5、</w:t>
      </w:r>
      <w:r>
        <w:rPr>
          <w:rFonts w:hint="eastAsia" w:ascii="宋体" w:cs="宋体"/>
          <w:color w:val="auto"/>
          <w:szCs w:val="21"/>
          <w:highlight w:val="none"/>
        </w:rPr>
        <w:t>根据《中华人民共和国政府采购法实施条例》第五十条要求对政府采购合同进行公告，但政府采购合同中涉及国家秘密、商业秘密的内容除外。我方就对本次投标文件进行注明如下：</w:t>
      </w:r>
      <w:r>
        <w:rPr>
          <w:rFonts w:hint="eastAsia" w:ascii="宋体" w:cs="宋体"/>
          <w:i/>
          <w:iCs/>
          <w:color w:val="auto"/>
          <w:szCs w:val="21"/>
          <w:highlight w:val="none"/>
        </w:rPr>
        <w:t>（两项内容中必须选择一项）</w:t>
      </w:r>
    </w:p>
    <w:p w14:paraId="75E3B519">
      <w:pPr>
        <w:spacing w:line="440" w:lineRule="exact"/>
        <w:ind w:firstLine="420" w:firstLineChars="200"/>
        <w:contextualSpacing/>
        <w:rPr>
          <w:rFonts w:ascii="宋体" w:cs="宋体"/>
          <w:color w:val="auto"/>
          <w:szCs w:val="21"/>
          <w:highlight w:val="none"/>
        </w:rPr>
      </w:pPr>
      <w:r>
        <w:rPr>
          <w:rFonts w:hint="eastAsia" w:ascii="宋体" w:cs="宋体"/>
          <w:color w:val="auto"/>
          <w:szCs w:val="21"/>
          <w:highlight w:val="none"/>
        </w:rPr>
        <w:t>□我方本次投标文件</w:t>
      </w:r>
      <w:r>
        <w:rPr>
          <w:rFonts w:hint="eastAsia" w:ascii="宋体" w:cs="宋体"/>
          <w:color w:val="auto"/>
          <w:kern w:val="0"/>
          <w:szCs w:val="21"/>
          <w:highlight w:val="none"/>
        </w:rPr>
        <w:t>内容中</w:t>
      </w:r>
      <w:r>
        <w:rPr>
          <w:rFonts w:hint="eastAsia" w:ascii="宋体" w:cs="宋体"/>
          <w:color w:val="auto"/>
          <w:szCs w:val="21"/>
          <w:highlight w:val="none"/>
        </w:rPr>
        <w:t>未</w:t>
      </w:r>
      <w:r>
        <w:rPr>
          <w:rFonts w:hint="eastAsia" w:ascii="宋体" w:cs="宋体"/>
          <w:color w:val="auto"/>
          <w:kern w:val="0"/>
          <w:szCs w:val="21"/>
          <w:highlight w:val="none"/>
        </w:rPr>
        <w:t>涉及商业秘密。</w:t>
      </w:r>
    </w:p>
    <w:p w14:paraId="4AB8E77A">
      <w:pPr>
        <w:spacing w:line="440" w:lineRule="exact"/>
        <w:ind w:firstLine="420" w:firstLineChars="200"/>
        <w:contextualSpacing/>
        <w:rPr>
          <w:rFonts w:ascii="宋体" w:cs="宋体"/>
          <w:color w:val="auto"/>
          <w:szCs w:val="21"/>
          <w:highlight w:val="none"/>
        </w:rPr>
      </w:pPr>
      <w:r>
        <w:rPr>
          <w:rFonts w:hint="eastAsia" w:ascii="宋体" w:cs="宋体"/>
          <w:color w:val="auto"/>
          <w:szCs w:val="21"/>
          <w:highlight w:val="none"/>
        </w:rPr>
        <w:t>□我方本次投标文件</w:t>
      </w:r>
      <w:r>
        <w:rPr>
          <w:rFonts w:hint="eastAsia" w:ascii="宋体" w:cs="宋体"/>
          <w:color w:val="auto"/>
          <w:kern w:val="0"/>
          <w:szCs w:val="21"/>
          <w:highlight w:val="none"/>
        </w:rPr>
        <w:t>涉及商业秘密的内容有：</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2EE25048">
      <w:pPr>
        <w:snapToGrid w:val="0"/>
        <w:spacing w:line="440" w:lineRule="exact"/>
        <w:ind w:firstLine="420" w:firstLineChars="200"/>
        <w:jc w:val="left"/>
        <w:rPr>
          <w:rFonts w:ascii="宋体"/>
          <w:color w:val="auto"/>
          <w:szCs w:val="21"/>
          <w:highlight w:val="none"/>
        </w:rPr>
      </w:pPr>
      <w:r>
        <w:rPr>
          <w:rFonts w:hint="eastAsia" w:ascii="宋体"/>
          <w:color w:val="auto"/>
          <w:szCs w:val="21"/>
          <w:highlight w:val="none"/>
        </w:rPr>
        <w:t xml:space="preserve">6、以上事项如有虚假或者隐瞒，我方愿意承担一切后果，并不再寻求任何旨在减轻或者免除法律责任的辩解。 </w:t>
      </w:r>
    </w:p>
    <w:p w14:paraId="6C715B50">
      <w:pPr>
        <w:tabs>
          <w:tab w:val="left" w:pos="939"/>
        </w:tabs>
        <w:spacing w:line="440" w:lineRule="exact"/>
        <w:ind w:left="141" w:leftChars="67" w:firstLine="315" w:firstLineChars="150"/>
        <w:contextualSpacing/>
        <w:rPr>
          <w:rFonts w:hint="eastAsia" w:ascii="宋体" w:cs="宋体"/>
          <w:color w:val="auto"/>
          <w:szCs w:val="21"/>
          <w:highlight w:val="none"/>
        </w:rPr>
      </w:pPr>
      <w:r>
        <w:rPr>
          <w:rFonts w:hint="eastAsia" w:ascii="宋体" w:cs="宋体"/>
          <w:color w:val="auto"/>
          <w:szCs w:val="21"/>
          <w:highlight w:val="none"/>
        </w:rPr>
        <w:t>特此承诺。</w:t>
      </w:r>
    </w:p>
    <w:p w14:paraId="4E1416D5">
      <w:pPr>
        <w:tabs>
          <w:tab w:val="left" w:pos="939"/>
        </w:tabs>
        <w:spacing w:line="440" w:lineRule="exact"/>
        <w:ind w:left="141" w:leftChars="67" w:firstLine="316" w:firstLineChars="150"/>
        <w:contextualSpacing/>
        <w:rPr>
          <w:rFonts w:ascii="宋体"/>
          <w:color w:val="auto"/>
          <w:sz w:val="21"/>
          <w:szCs w:val="21"/>
          <w:highlight w:val="none"/>
        </w:rPr>
      </w:pPr>
      <w:r>
        <w:rPr>
          <w:rFonts w:hint="eastAsia" w:ascii="宋体"/>
          <w:b/>
          <w:color w:val="auto"/>
          <w:sz w:val="21"/>
          <w:szCs w:val="21"/>
          <w:highlight w:val="none"/>
        </w:rPr>
        <w:t>注： 如为联合体投标，盖章处须加盖联合体各方公章，否则</w:t>
      </w:r>
      <w:r>
        <w:rPr>
          <w:rFonts w:hint="eastAsia" w:ascii="宋体" w:cs="宋体"/>
          <w:b/>
          <w:bCs/>
          <w:color w:val="auto"/>
          <w:sz w:val="21"/>
          <w:szCs w:val="21"/>
          <w:highlight w:val="none"/>
        </w:rPr>
        <w:t>其投标文件作无效响应处理</w:t>
      </w:r>
      <w:r>
        <w:rPr>
          <w:rFonts w:hint="eastAsia" w:ascii="宋体"/>
          <w:b/>
          <w:color w:val="auto"/>
          <w:sz w:val="21"/>
          <w:szCs w:val="21"/>
          <w:highlight w:val="none"/>
        </w:rPr>
        <w:t>。</w:t>
      </w:r>
    </w:p>
    <w:p w14:paraId="283FEA53">
      <w:pPr>
        <w:snapToGrid w:val="0"/>
        <w:spacing w:before="50" w:after="331" w:afterLines="100" w:line="360" w:lineRule="auto"/>
        <w:jc w:val="left"/>
        <w:rPr>
          <w:rFonts w:ascii="宋体" w:cs="宋体"/>
          <w:color w:val="auto"/>
          <w:sz w:val="24"/>
          <w:highlight w:val="none"/>
        </w:rPr>
      </w:pPr>
      <w:r>
        <w:rPr>
          <w:rFonts w:hint="eastAsia" w:ascii="宋体" w:cs="宋体"/>
          <w:color w:val="auto"/>
          <w:sz w:val="24"/>
          <w:highlight w:val="none"/>
        </w:rPr>
        <w:t xml:space="preserve">                                     </w:t>
      </w:r>
    </w:p>
    <w:p w14:paraId="574F22C3">
      <w:pPr>
        <w:snapToGrid w:val="0"/>
        <w:spacing w:before="50" w:after="331" w:afterLines="100" w:line="360" w:lineRule="auto"/>
        <w:ind w:left="7428" w:leftChars="2223" w:hanging="2760" w:hangingChars="1150"/>
        <w:jc w:val="left"/>
        <w:rPr>
          <w:rFonts w:cs="宋体"/>
          <w:b/>
          <w:bCs/>
          <w:color w:val="auto"/>
          <w:sz w:val="30"/>
          <w:szCs w:val="30"/>
          <w:highlight w:val="none"/>
        </w:rPr>
      </w:pPr>
      <w:r>
        <w:rPr>
          <w:rFonts w:hint="eastAsia" w:ascii="宋体" w:cs="宋体"/>
          <w:color w:val="auto"/>
          <w:sz w:val="24"/>
          <w:highlight w:val="none"/>
        </w:rPr>
        <w:t xml:space="preserve">  </w:t>
      </w:r>
      <w:r>
        <w:rPr>
          <w:rFonts w:hint="eastAsia" w:ascii="宋体" w:cs="宋体"/>
          <w:color w:val="auto"/>
          <w:kern w:val="0"/>
          <w:sz w:val="24"/>
          <w:highlight w:val="none"/>
          <w:lang w:val="zh-CN"/>
        </w:rPr>
        <w:t>投标人名称（盖公章）：</w:t>
      </w:r>
      <w:r>
        <w:rPr>
          <w:rFonts w:hint="eastAsia" w:ascii="宋体" w:cs="宋体"/>
          <w:color w:val="auto"/>
          <w:szCs w:val="21"/>
          <w:highlight w:val="none"/>
        </w:rPr>
        <w:t xml:space="preserve">                                     </w:t>
      </w:r>
      <w:r>
        <w:rPr>
          <w:rFonts w:hint="eastAsia" w:ascii="宋体" w:cs="宋体"/>
          <w:color w:val="auto"/>
          <w:sz w:val="24"/>
          <w:highlight w:val="none"/>
        </w:rPr>
        <w:t>年    月    日</w:t>
      </w:r>
    </w:p>
    <w:p w14:paraId="5370788A">
      <w:pPr>
        <w:widowControl/>
        <w:jc w:val="left"/>
        <w:rPr>
          <w:rFonts w:ascii="宋体" w:cs="宋体"/>
          <w:b/>
          <w:bCs/>
          <w:color w:val="auto"/>
          <w:sz w:val="30"/>
          <w:szCs w:val="30"/>
          <w:highlight w:val="none"/>
        </w:rPr>
        <w:sectPr>
          <w:pgSz w:w="11906" w:h="16838"/>
          <w:pgMar w:top="1134" w:right="1134" w:bottom="1134" w:left="1134" w:header="720" w:footer="720" w:gutter="0"/>
          <w:cols w:space="720" w:num="1"/>
          <w:docGrid w:type="lines" w:linePitch="331" w:charSpace="0"/>
        </w:sectPr>
      </w:pPr>
    </w:p>
    <w:p w14:paraId="6235F94D">
      <w:pPr>
        <w:pStyle w:val="14"/>
        <w:rPr>
          <w:rFonts w:cs="宋体"/>
          <w:b/>
          <w:bCs/>
          <w:color w:val="auto"/>
          <w:sz w:val="28"/>
          <w:szCs w:val="28"/>
          <w:highlight w:val="none"/>
        </w:rPr>
      </w:pPr>
      <w:r>
        <w:rPr>
          <w:rFonts w:hint="eastAsia" w:cs="宋体"/>
          <w:b/>
          <w:bCs/>
          <w:color w:val="auto"/>
          <w:sz w:val="28"/>
          <w:szCs w:val="28"/>
          <w:highlight w:val="none"/>
          <w:lang w:val="en-US" w:eastAsia="zh-CN"/>
        </w:rPr>
        <w:t>6</w:t>
      </w:r>
      <w:r>
        <w:rPr>
          <w:rFonts w:hint="eastAsia" w:cs="宋体"/>
          <w:b/>
          <w:bCs/>
          <w:color w:val="auto"/>
          <w:sz w:val="28"/>
          <w:szCs w:val="28"/>
          <w:highlight w:val="none"/>
        </w:rPr>
        <w:t>.联合体投标协议书的格式：</w:t>
      </w:r>
    </w:p>
    <w:p w14:paraId="1BADC3AF">
      <w:pPr>
        <w:pStyle w:val="14"/>
        <w:jc w:val="center"/>
        <w:rPr>
          <w:rFonts w:cs="宋体"/>
          <w:color w:val="auto"/>
          <w:sz w:val="28"/>
          <w:szCs w:val="28"/>
          <w:highlight w:val="none"/>
        </w:rPr>
      </w:pPr>
      <w:r>
        <w:rPr>
          <w:rFonts w:hint="eastAsia" w:cs="宋体"/>
          <w:b/>
          <w:bCs/>
          <w:color w:val="auto"/>
          <w:sz w:val="28"/>
          <w:szCs w:val="28"/>
          <w:highlight w:val="none"/>
        </w:rPr>
        <w:t>联合体投标协议书</w:t>
      </w:r>
    </w:p>
    <w:p w14:paraId="7C11C8C3">
      <w:pPr>
        <w:autoSpaceDE w:val="0"/>
        <w:autoSpaceDN w:val="0"/>
        <w:adjustRightInd w:val="0"/>
        <w:jc w:val="left"/>
        <w:rPr>
          <w:rFonts w:ascii="宋体" w:cs="宋体"/>
          <w:color w:val="auto"/>
          <w:kern w:val="0"/>
          <w:szCs w:val="21"/>
          <w:highlight w:val="none"/>
          <w:u w:val="single"/>
        </w:rPr>
      </w:pPr>
    </w:p>
    <w:p w14:paraId="5BF39EF1">
      <w:pPr>
        <w:autoSpaceDE w:val="0"/>
        <w:autoSpaceDN w:val="0"/>
        <w:adjustRightInd w:val="0"/>
        <w:spacing w:line="440" w:lineRule="exact"/>
        <w:jc w:val="left"/>
        <w:rPr>
          <w:rFonts w:ascii="宋体" w:cs="宋体"/>
          <w:color w:val="auto"/>
          <w:kern w:val="0"/>
          <w:szCs w:val="21"/>
          <w:highlight w:val="none"/>
        </w:rPr>
      </w:pP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（所有成员单位名称）自愿组成联合体，共同参加</w:t>
      </w:r>
      <w:r>
        <w:rPr>
          <w:rFonts w:hint="eastAsia" w:ascii="宋体" w:cs="宋体"/>
          <w:color w:val="auto"/>
          <w:kern w:val="0"/>
          <w:szCs w:val="21"/>
          <w:highlight w:val="none"/>
          <w:u w:val="single"/>
        </w:rPr>
        <w:t xml:space="preserve">    </w:t>
      </w:r>
      <w:bookmarkStart w:id="278" w:name="PO_3000001919_PM031_1"/>
      <w:r>
        <w:rPr>
          <w:rFonts w:hint="eastAsia" w:ascii="宋体" w:cs="宋体"/>
          <w:color w:val="auto"/>
          <w:kern w:val="0"/>
          <w:szCs w:val="21"/>
          <w:highlight w:val="none"/>
          <w:u w:val="single"/>
        </w:rPr>
        <w:t>广西科联招标中心有限公司</w:t>
      </w:r>
      <w:bookmarkEnd w:id="278"/>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组织的</w:t>
      </w:r>
      <w:r>
        <w:rPr>
          <w:rFonts w:hint="eastAsia" w:ascii="宋体" w:cs="宋体"/>
          <w:color w:val="auto"/>
          <w:kern w:val="0"/>
          <w:szCs w:val="21"/>
          <w:highlight w:val="none"/>
          <w:u w:val="single"/>
        </w:rPr>
        <w:t xml:space="preserve">   </w:t>
      </w:r>
      <w:r>
        <w:rPr>
          <w:rFonts w:hint="eastAsia" w:ascii="宋体" w:cs="宋体"/>
          <w:i/>
          <w:iCs/>
          <w:color w:val="auto"/>
          <w:kern w:val="0"/>
          <w:szCs w:val="21"/>
          <w:highlight w:val="none"/>
          <w:u w:val="single"/>
        </w:rPr>
        <w:t>（项目名称）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（项目编号：</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）投标。现就联合体投标事宜订立如下协议：</w:t>
      </w:r>
    </w:p>
    <w:p w14:paraId="6384A3DE">
      <w:pPr>
        <w:autoSpaceDE w:val="0"/>
        <w:autoSpaceDN w:val="0"/>
        <w:adjustRightInd w:val="0"/>
        <w:spacing w:line="440" w:lineRule="exact"/>
        <w:ind w:firstLine="420"/>
        <w:jc w:val="left"/>
        <w:rPr>
          <w:rFonts w:ascii="宋体" w:cs="宋体"/>
          <w:color w:val="auto"/>
          <w:kern w:val="0"/>
          <w:szCs w:val="21"/>
          <w:highlight w:val="none"/>
        </w:rPr>
      </w:pPr>
      <w:r>
        <w:rPr>
          <w:rFonts w:hint="eastAsia" w:ascii="宋体" w:cs="宋体"/>
          <w:color w:val="auto"/>
          <w:kern w:val="0"/>
          <w:szCs w:val="21"/>
          <w:highlight w:val="none"/>
        </w:rPr>
        <w:t>1、</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（某成员单位名称）为联合体名称牵头人。</w:t>
      </w:r>
    </w:p>
    <w:p w14:paraId="77C2D180">
      <w:pPr>
        <w:autoSpaceDE w:val="0"/>
        <w:autoSpaceDN w:val="0"/>
        <w:adjustRightInd w:val="0"/>
        <w:spacing w:line="440" w:lineRule="exact"/>
        <w:ind w:firstLine="420"/>
        <w:jc w:val="left"/>
        <w:rPr>
          <w:rFonts w:ascii="宋体" w:cs="宋体"/>
          <w:color w:val="auto"/>
          <w:kern w:val="0"/>
          <w:szCs w:val="21"/>
          <w:highlight w:val="none"/>
        </w:rPr>
      </w:pPr>
      <w:r>
        <w:rPr>
          <w:rFonts w:hint="eastAsia" w:ascii="宋体" w:cs="宋体"/>
          <w:color w:val="auto"/>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1DF02514">
      <w:pPr>
        <w:autoSpaceDE w:val="0"/>
        <w:autoSpaceDN w:val="0"/>
        <w:adjustRightInd w:val="0"/>
        <w:spacing w:line="440" w:lineRule="exact"/>
        <w:ind w:firstLine="420"/>
        <w:jc w:val="left"/>
        <w:rPr>
          <w:rFonts w:ascii="宋体" w:cs="宋体"/>
          <w:color w:val="auto"/>
          <w:kern w:val="0"/>
          <w:szCs w:val="21"/>
          <w:highlight w:val="none"/>
        </w:rPr>
      </w:pPr>
      <w:r>
        <w:rPr>
          <w:rFonts w:hint="eastAsia" w:ascii="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联合体各成员将严格按照招标文件、投标文件和合同的要求全面履行义务，并向采购人承担连带责任。</w:t>
      </w:r>
    </w:p>
    <w:p w14:paraId="5202F510">
      <w:pPr>
        <w:autoSpaceDE w:val="0"/>
        <w:autoSpaceDN w:val="0"/>
        <w:adjustRightInd w:val="0"/>
        <w:spacing w:line="440" w:lineRule="exact"/>
        <w:ind w:firstLine="420"/>
        <w:jc w:val="left"/>
        <w:rPr>
          <w:rFonts w:ascii="宋体" w:cs="宋体"/>
          <w:color w:val="auto"/>
          <w:kern w:val="0"/>
          <w:szCs w:val="21"/>
          <w:highlight w:val="none"/>
        </w:rPr>
      </w:pPr>
      <w:r>
        <w:rPr>
          <w:rFonts w:hint="eastAsia" w:ascii="宋体" w:cs="宋体"/>
          <w:color w:val="auto"/>
          <w:kern w:val="0"/>
          <w:szCs w:val="21"/>
          <w:highlight w:val="none"/>
        </w:rPr>
        <w:t>4、联合体各成员单位内部的职责分工如下：</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3F9A360C">
      <w:pPr>
        <w:pStyle w:val="14"/>
        <w:spacing w:line="440" w:lineRule="exact"/>
        <w:ind w:firstLine="420" w:firstLineChars="200"/>
        <w:rPr>
          <w:rFonts w:cs="宋体"/>
          <w:color w:val="auto"/>
          <w:szCs w:val="21"/>
          <w:highlight w:val="none"/>
        </w:rPr>
      </w:pPr>
      <w:r>
        <w:rPr>
          <w:rFonts w:hint="eastAsia" w:cs="宋体"/>
          <w:color w:val="auto"/>
          <w:kern w:val="0"/>
          <w:highlight w:val="none"/>
        </w:rPr>
        <w:t>5、本联合体中，</w:t>
      </w:r>
      <w:r>
        <w:rPr>
          <w:rFonts w:hint="eastAsia" w:cs="宋体"/>
          <w:color w:val="auto"/>
          <w:kern w:val="0"/>
          <w:szCs w:val="21"/>
          <w:highlight w:val="none"/>
          <w:u w:val="single"/>
        </w:rPr>
        <w:t xml:space="preserve">                                   </w:t>
      </w:r>
      <w:r>
        <w:rPr>
          <w:rFonts w:hint="eastAsia" w:cs="宋体"/>
          <w:color w:val="auto"/>
          <w:kern w:val="0"/>
          <w:highlight w:val="none"/>
          <w:u w:val="single"/>
        </w:rPr>
        <w:t>（某成员单位名称）为</w:t>
      </w:r>
      <w:r>
        <w:rPr>
          <w:rFonts w:hint="eastAsia" w:cs="宋体"/>
          <w:color w:val="auto"/>
          <w:kern w:val="0"/>
          <w:szCs w:val="21"/>
          <w:highlight w:val="none"/>
          <w:u w:val="single"/>
        </w:rPr>
        <w:t xml:space="preserve">        </w:t>
      </w:r>
      <w:r>
        <w:rPr>
          <w:rFonts w:hint="eastAsia" w:cs="宋体"/>
          <w:color w:val="auto"/>
          <w:highlight w:val="none"/>
        </w:rPr>
        <w:t>（请填写：中型、小型、微型）企业，其协议合同金额占联合体协议合同总金额的</w:t>
      </w:r>
      <w:r>
        <w:rPr>
          <w:rFonts w:hint="eastAsia" w:cs="宋体"/>
          <w:color w:val="auto"/>
          <w:kern w:val="0"/>
          <w:szCs w:val="21"/>
          <w:highlight w:val="none"/>
          <w:u w:val="single"/>
        </w:rPr>
        <w:t xml:space="preserve">        </w:t>
      </w:r>
      <w:r>
        <w:rPr>
          <w:rFonts w:hint="eastAsia" w:cs="宋体"/>
          <w:color w:val="auto"/>
          <w:highlight w:val="none"/>
        </w:rPr>
        <w:t>%。【如联合体成员中有小型、微型企业的，请填写此条，否则无需填写；如联合体成员中有多个小型、微型企业的，请逐一列出。】</w:t>
      </w:r>
    </w:p>
    <w:p w14:paraId="01E47F10">
      <w:pPr>
        <w:autoSpaceDE w:val="0"/>
        <w:autoSpaceDN w:val="0"/>
        <w:adjustRightInd w:val="0"/>
        <w:spacing w:line="440" w:lineRule="exact"/>
        <w:ind w:firstLine="420"/>
        <w:jc w:val="left"/>
        <w:rPr>
          <w:rFonts w:ascii="宋体" w:cs="宋体"/>
          <w:color w:val="auto"/>
          <w:kern w:val="0"/>
          <w:szCs w:val="21"/>
          <w:highlight w:val="none"/>
        </w:rPr>
      </w:pPr>
      <w:r>
        <w:rPr>
          <w:rFonts w:hint="eastAsia" w:ascii="宋体" w:cs="宋体"/>
          <w:color w:val="auto"/>
          <w:kern w:val="0"/>
          <w:szCs w:val="21"/>
          <w:highlight w:val="none"/>
        </w:rPr>
        <w:t>6、本协议书自签署之日起生效，合同履行完毕后自动失效。</w:t>
      </w:r>
    </w:p>
    <w:p w14:paraId="0D7549B2">
      <w:pPr>
        <w:autoSpaceDE w:val="0"/>
        <w:autoSpaceDN w:val="0"/>
        <w:adjustRightInd w:val="0"/>
        <w:spacing w:line="440" w:lineRule="exact"/>
        <w:ind w:firstLine="420"/>
        <w:jc w:val="left"/>
        <w:rPr>
          <w:rFonts w:ascii="宋体" w:cs="宋体"/>
          <w:color w:val="auto"/>
          <w:kern w:val="0"/>
          <w:szCs w:val="21"/>
          <w:highlight w:val="none"/>
        </w:rPr>
      </w:pPr>
      <w:r>
        <w:rPr>
          <w:rFonts w:hint="eastAsia" w:ascii="宋体" w:cs="宋体"/>
          <w:color w:val="auto"/>
          <w:kern w:val="0"/>
          <w:szCs w:val="21"/>
          <w:highlight w:val="none"/>
        </w:rPr>
        <w:t>7、本协议书一式</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份，联合体成员和采购代理机构各执一份。</w:t>
      </w:r>
    </w:p>
    <w:p w14:paraId="4CCABFC5">
      <w:pPr>
        <w:autoSpaceDE w:val="0"/>
        <w:autoSpaceDN w:val="0"/>
        <w:adjustRightInd w:val="0"/>
        <w:spacing w:line="440" w:lineRule="exact"/>
        <w:ind w:firstLine="420"/>
        <w:jc w:val="left"/>
        <w:rPr>
          <w:rFonts w:ascii="宋体" w:cs="宋体"/>
          <w:color w:val="auto"/>
          <w:kern w:val="0"/>
          <w:szCs w:val="21"/>
          <w:highlight w:val="none"/>
        </w:rPr>
      </w:pPr>
      <w:r>
        <w:rPr>
          <w:rFonts w:hint="eastAsia" w:ascii="宋体" w:cs="宋体"/>
          <w:color w:val="auto"/>
          <w:kern w:val="0"/>
          <w:szCs w:val="21"/>
          <w:highlight w:val="none"/>
        </w:rPr>
        <w:t>注：本协议书由法定代表人签字的，应附法定代表人身份证明；本协议书由委托代理人签字的，应附法定代表人授权委托书。</w:t>
      </w:r>
    </w:p>
    <w:p w14:paraId="107FCD39">
      <w:pPr>
        <w:autoSpaceDE w:val="0"/>
        <w:autoSpaceDN w:val="0"/>
        <w:adjustRightInd w:val="0"/>
        <w:spacing w:line="440" w:lineRule="exact"/>
        <w:jc w:val="left"/>
        <w:rPr>
          <w:rFonts w:ascii="宋体" w:cs="宋体"/>
          <w:color w:val="auto"/>
          <w:kern w:val="0"/>
          <w:szCs w:val="21"/>
          <w:highlight w:val="none"/>
        </w:rPr>
      </w:pPr>
      <w:r>
        <w:rPr>
          <w:rFonts w:hint="eastAsia" w:ascii="宋体" w:cs="宋体"/>
          <w:color w:val="auto"/>
          <w:kern w:val="0"/>
          <w:szCs w:val="21"/>
          <w:highlight w:val="none"/>
        </w:rPr>
        <w:t>牵头人名称：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（盖公章）</w:t>
      </w:r>
    </w:p>
    <w:p w14:paraId="162C3B10">
      <w:pPr>
        <w:autoSpaceDE w:val="0"/>
        <w:autoSpaceDN w:val="0"/>
        <w:adjustRightInd w:val="0"/>
        <w:spacing w:line="440" w:lineRule="exact"/>
        <w:jc w:val="left"/>
        <w:rPr>
          <w:rFonts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（签字或盖章）</w:t>
      </w:r>
    </w:p>
    <w:p w14:paraId="6FA2B88B">
      <w:pPr>
        <w:autoSpaceDE w:val="0"/>
        <w:autoSpaceDN w:val="0"/>
        <w:adjustRightInd w:val="0"/>
        <w:spacing w:line="440" w:lineRule="exact"/>
        <w:jc w:val="left"/>
        <w:rPr>
          <w:rFonts w:ascii="宋体" w:cs="宋体"/>
          <w:color w:val="auto"/>
          <w:kern w:val="0"/>
          <w:szCs w:val="21"/>
          <w:highlight w:val="none"/>
        </w:rPr>
      </w:pPr>
    </w:p>
    <w:p w14:paraId="297CBD78">
      <w:pPr>
        <w:autoSpaceDE w:val="0"/>
        <w:autoSpaceDN w:val="0"/>
        <w:adjustRightInd w:val="0"/>
        <w:spacing w:line="440" w:lineRule="exact"/>
        <w:jc w:val="left"/>
        <w:rPr>
          <w:rFonts w:ascii="宋体" w:cs="宋体"/>
          <w:color w:val="auto"/>
          <w:kern w:val="0"/>
          <w:szCs w:val="21"/>
          <w:highlight w:val="none"/>
        </w:rPr>
      </w:pPr>
      <w:r>
        <w:rPr>
          <w:rFonts w:hint="eastAsia" w:ascii="宋体" w:cs="宋体"/>
          <w:color w:val="auto"/>
          <w:kern w:val="0"/>
          <w:szCs w:val="21"/>
          <w:highlight w:val="none"/>
        </w:rPr>
        <w:t>成员一名称：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（盖公章）</w:t>
      </w:r>
    </w:p>
    <w:p w14:paraId="35565593">
      <w:pPr>
        <w:autoSpaceDE w:val="0"/>
        <w:autoSpaceDN w:val="0"/>
        <w:adjustRightInd w:val="0"/>
        <w:spacing w:line="440" w:lineRule="exact"/>
        <w:jc w:val="left"/>
        <w:rPr>
          <w:rFonts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（签字或盖章）</w:t>
      </w:r>
    </w:p>
    <w:p w14:paraId="3429A788">
      <w:pPr>
        <w:autoSpaceDE w:val="0"/>
        <w:autoSpaceDN w:val="0"/>
        <w:adjustRightInd w:val="0"/>
        <w:spacing w:line="440" w:lineRule="exact"/>
        <w:jc w:val="left"/>
        <w:rPr>
          <w:rFonts w:ascii="宋体" w:cs="宋体"/>
          <w:color w:val="auto"/>
          <w:kern w:val="0"/>
          <w:szCs w:val="21"/>
          <w:highlight w:val="none"/>
        </w:rPr>
      </w:pPr>
    </w:p>
    <w:p w14:paraId="0B559C19">
      <w:pPr>
        <w:autoSpaceDE w:val="0"/>
        <w:autoSpaceDN w:val="0"/>
        <w:adjustRightInd w:val="0"/>
        <w:spacing w:line="440" w:lineRule="exact"/>
        <w:jc w:val="left"/>
        <w:rPr>
          <w:rFonts w:ascii="宋体" w:cs="宋体"/>
          <w:color w:val="auto"/>
          <w:kern w:val="0"/>
          <w:szCs w:val="21"/>
          <w:highlight w:val="none"/>
        </w:rPr>
      </w:pPr>
      <w:r>
        <w:rPr>
          <w:rFonts w:hint="eastAsia" w:ascii="宋体" w:cs="宋体"/>
          <w:color w:val="auto"/>
          <w:kern w:val="0"/>
          <w:szCs w:val="21"/>
          <w:highlight w:val="none"/>
        </w:rPr>
        <w:t>成员二名称：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（盖公章）</w:t>
      </w:r>
    </w:p>
    <w:p w14:paraId="4E6C3CD9">
      <w:pPr>
        <w:pStyle w:val="14"/>
        <w:spacing w:line="440" w:lineRule="exact"/>
        <w:rPr>
          <w:rFonts w:cs="宋体"/>
          <w:color w:val="auto"/>
          <w:kern w:val="0"/>
          <w:szCs w:val="21"/>
          <w:highlight w:val="none"/>
        </w:rPr>
      </w:pPr>
      <w:r>
        <w:rPr>
          <w:rFonts w:hint="eastAsia" w:cs="宋体"/>
          <w:color w:val="auto"/>
          <w:kern w:val="0"/>
          <w:szCs w:val="21"/>
          <w:highlight w:val="none"/>
        </w:rPr>
        <w:t>法定代表人或其委托代理人：</w:t>
      </w:r>
      <w:r>
        <w:rPr>
          <w:rFonts w:hint="eastAsia" w:cs="宋体"/>
          <w:color w:val="auto"/>
          <w:kern w:val="0"/>
          <w:szCs w:val="21"/>
          <w:highlight w:val="none"/>
          <w:u w:val="single"/>
        </w:rPr>
        <w:t xml:space="preserve">                         </w:t>
      </w:r>
      <w:r>
        <w:rPr>
          <w:rFonts w:hint="eastAsia" w:cs="宋体"/>
          <w:color w:val="auto"/>
          <w:kern w:val="0"/>
          <w:szCs w:val="21"/>
          <w:highlight w:val="none"/>
        </w:rPr>
        <w:t>（签字或盖章）</w:t>
      </w:r>
    </w:p>
    <w:p w14:paraId="29988A91">
      <w:pPr>
        <w:pStyle w:val="6"/>
        <w:overflowPunct w:val="0"/>
        <w:spacing w:line="440" w:lineRule="exact"/>
        <w:ind w:firstLineChars="175"/>
        <w:rPr>
          <w:rFonts w:ascii="宋体" w:cs="宋体"/>
          <w:color w:val="auto"/>
          <w:sz w:val="24"/>
          <w:highlight w:val="none"/>
        </w:rPr>
      </w:pPr>
      <w:r>
        <w:rPr>
          <w:rFonts w:hint="eastAsia" w:ascii="宋体" w:cs="宋体"/>
          <w:color w:val="auto"/>
          <w:sz w:val="24"/>
          <w:highlight w:val="none"/>
        </w:rPr>
        <w:t>……</w:t>
      </w:r>
    </w:p>
    <w:p w14:paraId="4CFF51D9">
      <w:pPr>
        <w:pStyle w:val="6"/>
        <w:overflowPunct w:val="0"/>
        <w:spacing w:line="480" w:lineRule="exact"/>
        <w:ind w:firstLineChars="175"/>
        <w:rPr>
          <w:rFonts w:ascii="宋体" w:cs="宋体"/>
          <w:color w:val="auto"/>
          <w:sz w:val="24"/>
          <w:highlight w:val="none"/>
        </w:rPr>
      </w:pPr>
    </w:p>
    <w:p w14:paraId="035775B4">
      <w:pPr>
        <w:pStyle w:val="6"/>
        <w:overflowPunct w:val="0"/>
        <w:ind w:firstLine="7140" w:firstLineChars="2975"/>
        <w:rPr>
          <w:rFonts w:ascii="宋体" w:cs="宋体"/>
          <w:color w:val="auto"/>
          <w:sz w:val="24"/>
          <w:highlight w:val="none"/>
        </w:rPr>
      </w:pPr>
      <w:r>
        <w:rPr>
          <w:rFonts w:hint="eastAsia" w:ascii="宋体" w:cs="宋体"/>
          <w:color w:val="auto"/>
          <w:sz w:val="24"/>
          <w:highlight w:val="none"/>
        </w:rPr>
        <w:t xml:space="preserve"> </w:t>
      </w:r>
      <w:r>
        <w:rPr>
          <w:rFonts w:hint="eastAsia" w:ascii="宋体" w:cs="宋体"/>
          <w:color w:val="auto"/>
          <w:sz w:val="24"/>
          <w:highlight w:val="none"/>
        </w:rPr>
        <w:tab/>
      </w:r>
      <w:r>
        <w:rPr>
          <w:rFonts w:hint="eastAsia" w:ascii="宋体" w:cs="宋体"/>
          <w:color w:val="auto"/>
          <w:sz w:val="24"/>
          <w:highlight w:val="none"/>
        </w:rPr>
        <w:t xml:space="preserve">年  </w:t>
      </w:r>
      <w:r>
        <w:rPr>
          <w:rFonts w:hint="eastAsia" w:ascii="宋体" w:cs="宋体"/>
          <w:color w:val="auto"/>
          <w:sz w:val="24"/>
          <w:highlight w:val="none"/>
        </w:rPr>
        <w:tab/>
      </w:r>
      <w:r>
        <w:rPr>
          <w:rFonts w:hint="eastAsia" w:ascii="宋体" w:cs="宋体"/>
          <w:color w:val="auto"/>
          <w:sz w:val="24"/>
          <w:highlight w:val="none"/>
        </w:rPr>
        <w:t xml:space="preserve">月  </w:t>
      </w:r>
      <w:r>
        <w:rPr>
          <w:rFonts w:hint="eastAsia" w:ascii="宋体" w:cs="宋体"/>
          <w:color w:val="auto"/>
          <w:sz w:val="24"/>
          <w:highlight w:val="none"/>
        </w:rPr>
        <w:tab/>
      </w:r>
      <w:r>
        <w:rPr>
          <w:rFonts w:hint="eastAsia" w:ascii="宋体" w:cs="宋体"/>
          <w:color w:val="auto"/>
          <w:sz w:val="24"/>
          <w:highlight w:val="none"/>
        </w:rPr>
        <w:t>日</w:t>
      </w:r>
    </w:p>
    <w:p w14:paraId="6A40113B">
      <w:pPr>
        <w:pStyle w:val="14"/>
        <w:spacing w:line="600" w:lineRule="exact"/>
        <w:jc w:val="center"/>
        <w:rPr>
          <w:rFonts w:cs="宋体"/>
          <w:color w:val="auto"/>
          <w:highlight w:val="none"/>
        </w:rPr>
      </w:pPr>
    </w:p>
    <w:p w14:paraId="1F61414B">
      <w:pPr>
        <w:widowControl/>
        <w:spacing w:line="360" w:lineRule="auto"/>
        <w:jc w:val="left"/>
        <w:rPr>
          <w:rFonts w:ascii="宋体" w:cs="宋体"/>
          <w:color w:val="auto"/>
          <w:szCs w:val="21"/>
          <w:highlight w:val="none"/>
        </w:rPr>
        <w:sectPr>
          <w:pgSz w:w="11906" w:h="16838"/>
          <w:pgMar w:top="1134" w:right="1134" w:bottom="1134" w:left="1134" w:header="720" w:footer="720" w:gutter="0"/>
          <w:cols w:space="720" w:num="1"/>
          <w:docGrid w:type="lines" w:linePitch="331" w:charSpace="0"/>
        </w:sectPr>
      </w:pPr>
    </w:p>
    <w:p w14:paraId="6C72D745">
      <w:pPr>
        <w:pStyle w:val="14"/>
        <w:jc w:val="center"/>
        <w:outlineLvl w:val="1"/>
        <w:rPr>
          <w:rFonts w:cs="宋体"/>
          <w:color w:val="auto"/>
          <w:szCs w:val="21"/>
          <w:highlight w:val="none"/>
        </w:rPr>
      </w:pPr>
    </w:p>
    <w:p w14:paraId="0BDB621F">
      <w:pPr>
        <w:pStyle w:val="14"/>
        <w:jc w:val="center"/>
        <w:outlineLvl w:val="1"/>
        <w:rPr>
          <w:rFonts w:cs="宋体"/>
          <w:b/>
          <w:bCs/>
          <w:color w:val="auto"/>
          <w:sz w:val="28"/>
          <w:szCs w:val="28"/>
          <w:highlight w:val="none"/>
        </w:rPr>
      </w:pPr>
      <w:bookmarkStart w:id="279" w:name="_Toc15031"/>
      <w:bookmarkStart w:id="280" w:name="_Toc19686838"/>
      <w:bookmarkStart w:id="281" w:name="_Toc13859"/>
      <w:bookmarkStart w:id="282" w:name="_Toc22991"/>
      <w:bookmarkStart w:id="283" w:name="_Toc13558"/>
      <w:bookmarkStart w:id="284" w:name="_Toc32555"/>
      <w:r>
        <w:rPr>
          <w:rFonts w:hint="eastAsia" w:cs="宋体"/>
          <w:b/>
          <w:bCs/>
          <w:color w:val="auto"/>
          <w:sz w:val="28"/>
          <w:szCs w:val="28"/>
          <w:highlight w:val="none"/>
        </w:rPr>
        <w:t>第二节 商务</w:t>
      </w:r>
      <w:r>
        <w:rPr>
          <w:rFonts w:hint="eastAsia" w:cs="宋体"/>
          <w:b/>
          <w:bCs/>
          <w:color w:val="auto"/>
          <w:sz w:val="28"/>
          <w:szCs w:val="28"/>
          <w:highlight w:val="none"/>
          <w:lang w:val="en-US" w:eastAsia="zh-CN"/>
        </w:rPr>
        <w:t>技术</w:t>
      </w:r>
      <w:r>
        <w:rPr>
          <w:rFonts w:hint="eastAsia" w:cs="宋体"/>
          <w:b/>
          <w:bCs/>
          <w:color w:val="auto"/>
          <w:sz w:val="28"/>
          <w:szCs w:val="28"/>
          <w:highlight w:val="none"/>
        </w:rPr>
        <w:t>文件格式</w:t>
      </w:r>
      <w:bookmarkEnd w:id="279"/>
      <w:bookmarkEnd w:id="280"/>
      <w:bookmarkEnd w:id="281"/>
      <w:bookmarkEnd w:id="282"/>
      <w:bookmarkEnd w:id="283"/>
      <w:bookmarkEnd w:id="284"/>
    </w:p>
    <w:p w14:paraId="3D29486D">
      <w:pPr>
        <w:snapToGrid w:val="0"/>
        <w:spacing w:before="165" w:beforeLines="50" w:after="50"/>
        <w:rPr>
          <w:rFonts w:ascii="宋体" w:cs="宋体"/>
          <w:color w:val="auto"/>
          <w:sz w:val="30"/>
          <w:szCs w:val="20"/>
          <w:highlight w:val="none"/>
        </w:rPr>
      </w:pPr>
    </w:p>
    <w:p w14:paraId="3A407295">
      <w:pPr>
        <w:snapToGrid w:val="0"/>
        <w:spacing w:before="165" w:beforeLines="50" w:after="50"/>
        <w:rPr>
          <w:rFonts w:ascii="宋体" w:cs="宋体"/>
          <w:b/>
          <w:color w:val="auto"/>
          <w:sz w:val="28"/>
          <w:szCs w:val="28"/>
          <w:highlight w:val="none"/>
        </w:rPr>
      </w:pPr>
      <w:r>
        <w:rPr>
          <w:rFonts w:hint="eastAsia" w:ascii="宋体" w:cs="宋体"/>
          <w:b/>
          <w:color w:val="auto"/>
          <w:sz w:val="28"/>
          <w:szCs w:val="28"/>
          <w:highlight w:val="none"/>
        </w:rPr>
        <w:t>1.商务</w:t>
      </w:r>
      <w:r>
        <w:rPr>
          <w:rFonts w:hint="eastAsia" w:ascii="宋体" w:cs="宋体"/>
          <w:b/>
          <w:color w:val="auto"/>
          <w:sz w:val="28"/>
          <w:szCs w:val="28"/>
          <w:highlight w:val="none"/>
          <w:lang w:val="en-US" w:eastAsia="zh-CN"/>
        </w:rPr>
        <w:t>技术</w:t>
      </w:r>
      <w:r>
        <w:rPr>
          <w:rFonts w:hint="eastAsia" w:ascii="宋体" w:cs="宋体"/>
          <w:b/>
          <w:color w:val="auto"/>
          <w:sz w:val="28"/>
          <w:szCs w:val="28"/>
          <w:highlight w:val="none"/>
        </w:rPr>
        <w:t>文件封面的格式（参照此格式自拟）：</w:t>
      </w:r>
    </w:p>
    <w:p w14:paraId="5791BC7F">
      <w:pPr>
        <w:pStyle w:val="17"/>
        <w:rPr>
          <w:color w:val="auto"/>
          <w:highlight w:val="none"/>
        </w:rPr>
      </w:pPr>
    </w:p>
    <w:p w14:paraId="02CA0C85">
      <w:pPr>
        <w:snapToGrid w:val="0"/>
        <w:spacing w:before="165" w:beforeLines="50" w:after="50"/>
        <w:rPr>
          <w:rFonts w:ascii="宋体" w:cs="宋体"/>
          <w:bCs/>
          <w:color w:val="auto"/>
          <w:sz w:val="32"/>
          <w:szCs w:val="20"/>
          <w:highlight w:val="none"/>
        </w:rPr>
      </w:pPr>
      <w:r>
        <w:rPr>
          <w:rFonts w:hint="eastAsia" w:ascii="宋体" w:cs="宋体"/>
          <w:color w:val="auto"/>
          <w:sz w:val="24"/>
          <w:highlight w:val="none"/>
        </w:rPr>
        <w:t xml:space="preserve">                                                  </w:t>
      </w:r>
      <w:r>
        <w:rPr>
          <w:rFonts w:hint="eastAsia" w:ascii="宋体" w:cs="宋体"/>
          <w:bCs/>
          <w:color w:val="auto"/>
          <w:highlight w:val="none"/>
        </w:rPr>
        <w:t xml:space="preserve">             电子投标文件</w:t>
      </w:r>
    </w:p>
    <w:p w14:paraId="79B6A1F7">
      <w:pPr>
        <w:snapToGrid w:val="0"/>
        <w:spacing w:before="165" w:beforeLines="50" w:after="50"/>
        <w:rPr>
          <w:rFonts w:ascii="宋体" w:cs="宋体"/>
          <w:color w:val="auto"/>
          <w:sz w:val="24"/>
          <w:szCs w:val="20"/>
          <w:highlight w:val="none"/>
        </w:rPr>
      </w:pPr>
    </w:p>
    <w:p w14:paraId="60D1A000">
      <w:pPr>
        <w:snapToGrid w:val="0"/>
        <w:spacing w:before="165" w:beforeLines="50" w:after="50"/>
        <w:jc w:val="center"/>
        <w:rPr>
          <w:rFonts w:ascii="宋体" w:cs="宋体"/>
          <w:b/>
          <w:color w:val="auto"/>
          <w:sz w:val="32"/>
          <w:szCs w:val="32"/>
          <w:highlight w:val="none"/>
        </w:rPr>
      </w:pPr>
    </w:p>
    <w:p w14:paraId="704E448B">
      <w:pPr>
        <w:snapToGrid w:val="0"/>
        <w:spacing w:before="165" w:beforeLines="50" w:after="50"/>
        <w:jc w:val="center"/>
        <w:rPr>
          <w:rFonts w:ascii="宋体" w:cs="宋体"/>
          <w:b/>
          <w:color w:val="auto"/>
          <w:sz w:val="24"/>
          <w:szCs w:val="20"/>
          <w:highlight w:val="none"/>
        </w:rPr>
      </w:pPr>
      <w:r>
        <w:rPr>
          <w:rFonts w:hint="eastAsia" w:ascii="宋体" w:cs="宋体"/>
          <w:b/>
          <w:color w:val="auto"/>
          <w:sz w:val="32"/>
          <w:szCs w:val="32"/>
          <w:highlight w:val="none"/>
        </w:rPr>
        <w:t>商务</w:t>
      </w:r>
      <w:r>
        <w:rPr>
          <w:rFonts w:hint="eastAsia" w:ascii="宋体" w:cs="宋体"/>
          <w:b/>
          <w:color w:val="auto"/>
          <w:sz w:val="32"/>
          <w:szCs w:val="32"/>
          <w:highlight w:val="none"/>
          <w:lang w:val="en-US" w:eastAsia="zh-CN"/>
        </w:rPr>
        <w:t>技术</w:t>
      </w:r>
      <w:r>
        <w:rPr>
          <w:rFonts w:hint="eastAsia" w:ascii="宋体" w:cs="宋体"/>
          <w:b/>
          <w:color w:val="auto"/>
          <w:sz w:val="32"/>
          <w:szCs w:val="32"/>
          <w:highlight w:val="none"/>
        </w:rPr>
        <w:t>文件</w:t>
      </w:r>
    </w:p>
    <w:p w14:paraId="7C3ACBB9">
      <w:pPr>
        <w:snapToGrid w:val="0"/>
        <w:spacing w:before="165" w:beforeLines="50" w:after="50"/>
        <w:rPr>
          <w:rFonts w:ascii="宋体" w:cs="宋体"/>
          <w:bCs/>
          <w:color w:val="auto"/>
          <w:sz w:val="24"/>
          <w:szCs w:val="20"/>
          <w:highlight w:val="none"/>
        </w:rPr>
      </w:pPr>
    </w:p>
    <w:p w14:paraId="3F7FFD8D">
      <w:pPr>
        <w:snapToGrid w:val="0"/>
        <w:spacing w:before="165" w:beforeLines="50" w:after="50"/>
        <w:ind w:firstLine="540" w:firstLineChars="225"/>
        <w:rPr>
          <w:rFonts w:ascii="宋体" w:cs="宋体"/>
          <w:bCs/>
          <w:color w:val="auto"/>
          <w:sz w:val="24"/>
          <w:highlight w:val="none"/>
        </w:rPr>
      </w:pPr>
    </w:p>
    <w:p w14:paraId="1860B2F6">
      <w:pPr>
        <w:snapToGrid w:val="0"/>
        <w:spacing w:before="165" w:beforeLines="50" w:after="50"/>
        <w:ind w:firstLine="540" w:firstLineChars="225"/>
        <w:rPr>
          <w:rFonts w:ascii="宋体" w:cs="宋体"/>
          <w:bCs/>
          <w:color w:val="auto"/>
          <w:sz w:val="24"/>
          <w:highlight w:val="none"/>
        </w:rPr>
      </w:pPr>
    </w:p>
    <w:p w14:paraId="00537F33">
      <w:pPr>
        <w:snapToGrid w:val="0"/>
        <w:spacing w:before="165" w:beforeLines="50" w:after="50"/>
        <w:ind w:firstLine="540" w:firstLineChars="225"/>
        <w:rPr>
          <w:rFonts w:ascii="宋体" w:cs="宋体"/>
          <w:bCs/>
          <w:color w:val="auto"/>
          <w:sz w:val="24"/>
          <w:highlight w:val="none"/>
        </w:rPr>
      </w:pPr>
      <w:r>
        <w:rPr>
          <w:rFonts w:hint="eastAsia" w:ascii="宋体" w:cs="宋体"/>
          <w:bCs/>
          <w:color w:val="auto"/>
          <w:sz w:val="24"/>
          <w:highlight w:val="none"/>
        </w:rPr>
        <w:t>项目名称：</w:t>
      </w:r>
    </w:p>
    <w:p w14:paraId="30AEB145">
      <w:pPr>
        <w:snapToGrid w:val="0"/>
        <w:spacing w:before="165" w:beforeLines="50" w:after="50"/>
        <w:ind w:firstLine="540" w:firstLineChars="225"/>
        <w:rPr>
          <w:rFonts w:ascii="宋体" w:cs="宋体"/>
          <w:bCs/>
          <w:color w:val="auto"/>
          <w:sz w:val="24"/>
          <w:szCs w:val="20"/>
          <w:highlight w:val="none"/>
        </w:rPr>
      </w:pPr>
    </w:p>
    <w:p w14:paraId="6DB4343E">
      <w:pPr>
        <w:snapToGrid w:val="0"/>
        <w:spacing w:before="165" w:beforeLines="50" w:after="50"/>
        <w:ind w:firstLine="540" w:firstLineChars="225"/>
        <w:rPr>
          <w:rFonts w:ascii="宋体" w:cs="宋体"/>
          <w:bCs/>
          <w:color w:val="auto"/>
          <w:sz w:val="24"/>
          <w:highlight w:val="none"/>
        </w:rPr>
      </w:pPr>
      <w:r>
        <w:rPr>
          <w:rFonts w:hint="eastAsia" w:ascii="宋体" w:cs="宋体"/>
          <w:bCs/>
          <w:color w:val="auto"/>
          <w:sz w:val="24"/>
          <w:highlight w:val="none"/>
        </w:rPr>
        <w:t>项目编号：</w:t>
      </w:r>
    </w:p>
    <w:p w14:paraId="53B2006E">
      <w:pPr>
        <w:snapToGrid w:val="0"/>
        <w:spacing w:before="165" w:beforeLines="50" w:after="50"/>
        <w:ind w:firstLine="540" w:firstLineChars="225"/>
        <w:rPr>
          <w:rFonts w:ascii="宋体" w:cs="宋体"/>
          <w:bCs/>
          <w:color w:val="auto"/>
          <w:sz w:val="24"/>
          <w:szCs w:val="20"/>
          <w:highlight w:val="none"/>
        </w:rPr>
      </w:pPr>
      <w:r>
        <w:rPr>
          <w:rFonts w:hint="eastAsia" w:ascii="宋体" w:cs="宋体"/>
          <w:bCs/>
          <w:color w:val="auto"/>
          <w:sz w:val="24"/>
          <w:highlight w:val="none"/>
        </w:rPr>
        <w:t xml:space="preserve"> </w:t>
      </w:r>
    </w:p>
    <w:p w14:paraId="5C304252">
      <w:pPr>
        <w:snapToGrid w:val="0"/>
        <w:spacing w:before="165" w:beforeLines="50" w:after="50"/>
        <w:ind w:firstLine="540" w:firstLineChars="225"/>
        <w:rPr>
          <w:rFonts w:ascii="宋体" w:cs="宋体"/>
          <w:bCs/>
          <w:color w:val="auto"/>
          <w:sz w:val="24"/>
          <w:highlight w:val="none"/>
        </w:rPr>
      </w:pPr>
      <w:r>
        <w:rPr>
          <w:rFonts w:hint="eastAsia" w:ascii="宋体" w:cs="宋体"/>
          <w:bCs/>
          <w:color w:val="auto"/>
          <w:sz w:val="24"/>
          <w:highlight w:val="none"/>
        </w:rPr>
        <w:t>所投分标（如有则填写，无分标时填写“无”或者留空）：</w:t>
      </w:r>
    </w:p>
    <w:p w14:paraId="22D39D84">
      <w:pPr>
        <w:snapToGrid w:val="0"/>
        <w:spacing w:before="165" w:beforeLines="50" w:after="50"/>
        <w:ind w:firstLine="540" w:firstLineChars="225"/>
        <w:rPr>
          <w:rFonts w:ascii="宋体" w:cs="宋体"/>
          <w:bCs/>
          <w:color w:val="auto"/>
          <w:sz w:val="24"/>
          <w:szCs w:val="20"/>
          <w:highlight w:val="none"/>
        </w:rPr>
      </w:pPr>
    </w:p>
    <w:p w14:paraId="62E64082">
      <w:pPr>
        <w:pStyle w:val="6"/>
        <w:snapToGrid w:val="0"/>
        <w:spacing w:before="50" w:after="50"/>
        <w:ind w:firstLine="540" w:firstLineChars="225"/>
        <w:rPr>
          <w:rFonts w:ascii="宋体" w:cs="宋体"/>
          <w:bCs/>
          <w:color w:val="auto"/>
          <w:sz w:val="24"/>
          <w:szCs w:val="24"/>
          <w:highlight w:val="none"/>
        </w:rPr>
      </w:pPr>
      <w:r>
        <w:rPr>
          <w:rFonts w:hint="eastAsia" w:ascii="宋体" w:cs="宋体"/>
          <w:bCs/>
          <w:color w:val="auto"/>
          <w:sz w:val="24"/>
          <w:szCs w:val="24"/>
          <w:highlight w:val="none"/>
        </w:rPr>
        <w:t>投标人名称：</w:t>
      </w:r>
    </w:p>
    <w:p w14:paraId="444E4401">
      <w:pPr>
        <w:pStyle w:val="6"/>
        <w:snapToGrid w:val="0"/>
        <w:spacing w:before="50" w:after="50"/>
        <w:ind w:firstLine="540" w:firstLineChars="225"/>
        <w:rPr>
          <w:rFonts w:ascii="宋体" w:cs="宋体"/>
          <w:bCs/>
          <w:color w:val="auto"/>
          <w:sz w:val="24"/>
          <w:szCs w:val="24"/>
          <w:highlight w:val="none"/>
        </w:rPr>
      </w:pPr>
    </w:p>
    <w:p w14:paraId="5934045D">
      <w:pPr>
        <w:pStyle w:val="6"/>
        <w:snapToGrid w:val="0"/>
        <w:spacing w:before="50" w:after="50"/>
        <w:ind w:firstLine="960" w:firstLineChars="400"/>
        <w:rPr>
          <w:rFonts w:ascii="宋体" w:cs="宋体"/>
          <w:bCs/>
          <w:color w:val="auto"/>
          <w:sz w:val="24"/>
          <w:szCs w:val="24"/>
          <w:highlight w:val="none"/>
        </w:rPr>
      </w:pPr>
    </w:p>
    <w:p w14:paraId="5E2114B1">
      <w:pPr>
        <w:snapToGrid w:val="0"/>
        <w:spacing w:before="165" w:beforeLines="50" w:after="50"/>
        <w:ind w:firstLine="645"/>
        <w:rPr>
          <w:rFonts w:ascii="宋体" w:cs="宋体"/>
          <w:color w:val="auto"/>
          <w:sz w:val="24"/>
          <w:highlight w:val="none"/>
        </w:rPr>
      </w:pPr>
      <w:r>
        <w:rPr>
          <w:rFonts w:hint="eastAsia" w:ascii="宋体" w:cs="宋体"/>
          <w:color w:val="auto"/>
          <w:sz w:val="24"/>
          <w:highlight w:val="none"/>
        </w:rPr>
        <w:t xml:space="preserve">                        </w:t>
      </w:r>
    </w:p>
    <w:p w14:paraId="36113D75">
      <w:pPr>
        <w:snapToGrid w:val="0"/>
        <w:spacing w:before="165" w:beforeLines="50" w:after="50"/>
        <w:ind w:firstLine="645"/>
        <w:rPr>
          <w:rFonts w:ascii="宋体" w:cs="宋体"/>
          <w:color w:val="auto"/>
          <w:sz w:val="24"/>
          <w:highlight w:val="none"/>
        </w:rPr>
      </w:pPr>
    </w:p>
    <w:p w14:paraId="4045FBAA">
      <w:pPr>
        <w:snapToGrid w:val="0"/>
        <w:spacing w:before="165" w:beforeLines="50" w:after="50"/>
        <w:ind w:firstLine="4329" w:firstLineChars="1804"/>
        <w:rPr>
          <w:rFonts w:ascii="宋体" w:cs="宋体"/>
          <w:color w:val="auto"/>
          <w:sz w:val="24"/>
          <w:highlight w:val="none"/>
        </w:rPr>
      </w:pPr>
      <w:r>
        <w:rPr>
          <w:rFonts w:hint="eastAsia" w:ascii="宋体" w:cs="宋体"/>
          <w:color w:val="auto"/>
          <w:sz w:val="24"/>
          <w:highlight w:val="none"/>
        </w:rPr>
        <w:t>年   月   日</w:t>
      </w:r>
    </w:p>
    <w:p w14:paraId="6843FB1A">
      <w:pPr>
        <w:snapToGrid w:val="0"/>
        <w:spacing w:before="165" w:beforeLines="50" w:after="50"/>
        <w:rPr>
          <w:rFonts w:ascii="宋体" w:cs="宋体"/>
          <w:color w:val="auto"/>
          <w:sz w:val="24"/>
          <w:szCs w:val="20"/>
          <w:highlight w:val="none"/>
        </w:rPr>
      </w:pPr>
      <w:r>
        <w:rPr>
          <w:rFonts w:hint="eastAsia" w:ascii="宋体" w:cs="宋体"/>
          <w:color w:val="auto"/>
          <w:sz w:val="24"/>
          <w:szCs w:val="20"/>
          <w:highlight w:val="none"/>
        </w:rPr>
        <w:t xml:space="preserve"> </w:t>
      </w:r>
    </w:p>
    <w:p w14:paraId="299720AB">
      <w:pPr>
        <w:spacing w:line="360" w:lineRule="auto"/>
        <w:ind w:right="420"/>
        <w:rPr>
          <w:rFonts w:ascii="宋体" w:cs="宋体"/>
          <w:color w:val="auto"/>
          <w:sz w:val="24"/>
          <w:szCs w:val="20"/>
          <w:highlight w:val="none"/>
        </w:rPr>
      </w:pPr>
    </w:p>
    <w:p w14:paraId="3E9B0916">
      <w:pPr>
        <w:spacing w:line="360" w:lineRule="auto"/>
        <w:ind w:right="420"/>
        <w:rPr>
          <w:rFonts w:ascii="宋体" w:cs="宋体"/>
          <w:color w:val="auto"/>
          <w:sz w:val="24"/>
          <w:szCs w:val="20"/>
          <w:highlight w:val="none"/>
        </w:rPr>
      </w:pPr>
    </w:p>
    <w:p w14:paraId="48F705B5">
      <w:pPr>
        <w:spacing w:line="360" w:lineRule="auto"/>
        <w:ind w:right="420"/>
        <w:rPr>
          <w:rFonts w:ascii="宋体" w:cs="宋体"/>
          <w:color w:val="auto"/>
          <w:sz w:val="24"/>
          <w:szCs w:val="20"/>
          <w:highlight w:val="none"/>
        </w:rPr>
      </w:pPr>
    </w:p>
    <w:p w14:paraId="518FDCB8">
      <w:pPr>
        <w:spacing w:line="360" w:lineRule="auto"/>
        <w:ind w:right="420"/>
        <w:rPr>
          <w:rFonts w:ascii="宋体" w:cs="宋体"/>
          <w:color w:val="auto"/>
          <w:sz w:val="24"/>
          <w:szCs w:val="20"/>
          <w:highlight w:val="none"/>
        </w:rPr>
      </w:pPr>
    </w:p>
    <w:p w14:paraId="27CDB650">
      <w:pPr>
        <w:spacing w:line="360" w:lineRule="auto"/>
        <w:ind w:right="420"/>
        <w:rPr>
          <w:rFonts w:ascii="宋体" w:cs="宋体"/>
          <w:color w:val="auto"/>
          <w:sz w:val="24"/>
          <w:szCs w:val="20"/>
          <w:highlight w:val="none"/>
        </w:rPr>
      </w:pPr>
    </w:p>
    <w:p w14:paraId="5205665C">
      <w:pPr>
        <w:spacing w:line="360" w:lineRule="auto"/>
        <w:ind w:right="420"/>
        <w:rPr>
          <w:rFonts w:ascii="宋体" w:cs="宋体"/>
          <w:color w:val="auto"/>
          <w:sz w:val="24"/>
          <w:szCs w:val="20"/>
          <w:highlight w:val="none"/>
        </w:rPr>
      </w:pPr>
      <w:r>
        <w:rPr>
          <w:rFonts w:hint="eastAsia" w:ascii="宋体" w:cs="宋体"/>
          <w:b/>
          <w:bCs/>
          <w:color w:val="auto"/>
          <w:sz w:val="28"/>
          <w:szCs w:val="28"/>
          <w:highlight w:val="none"/>
        </w:rPr>
        <w:t>2.商务</w:t>
      </w:r>
      <w:r>
        <w:rPr>
          <w:rFonts w:hint="eastAsia" w:ascii="宋体" w:cs="宋体"/>
          <w:b/>
          <w:bCs/>
          <w:color w:val="auto"/>
          <w:sz w:val="28"/>
          <w:szCs w:val="28"/>
          <w:highlight w:val="none"/>
          <w:lang w:val="en-US" w:eastAsia="zh-CN"/>
        </w:rPr>
        <w:t>技术</w:t>
      </w:r>
      <w:r>
        <w:rPr>
          <w:rFonts w:hint="eastAsia" w:ascii="宋体" w:cs="宋体"/>
          <w:b/>
          <w:bCs/>
          <w:color w:val="auto"/>
          <w:sz w:val="28"/>
          <w:szCs w:val="28"/>
          <w:highlight w:val="none"/>
        </w:rPr>
        <w:t>文件目录</w:t>
      </w:r>
    </w:p>
    <w:p w14:paraId="5BFB5886">
      <w:pPr>
        <w:spacing w:line="360" w:lineRule="auto"/>
        <w:ind w:right="420"/>
        <w:rPr>
          <w:rFonts w:ascii="宋体" w:cs="宋体"/>
          <w:b/>
          <w:color w:val="auto"/>
          <w:kern w:val="0"/>
          <w:sz w:val="36"/>
          <w:szCs w:val="36"/>
          <w:highlight w:val="none"/>
        </w:rPr>
      </w:pPr>
      <w:r>
        <w:rPr>
          <w:rFonts w:hint="eastAsia" w:ascii="宋体" w:cs="宋体"/>
          <w:color w:val="auto"/>
          <w:kern w:val="0"/>
          <w:sz w:val="24"/>
          <w:highlight w:val="none"/>
        </w:rPr>
        <w:t>根据招标文件规定及投标人提供的材料自行编写目录（部分格式后附）。</w:t>
      </w:r>
    </w:p>
    <w:p w14:paraId="3FB6D120">
      <w:pPr>
        <w:rPr>
          <w:rFonts w:ascii="宋体" w:cs="宋体"/>
          <w:b/>
          <w:color w:val="auto"/>
          <w:kern w:val="0"/>
          <w:sz w:val="24"/>
          <w:highlight w:val="none"/>
        </w:rPr>
      </w:pPr>
    </w:p>
    <w:p w14:paraId="7E084A82">
      <w:pPr>
        <w:spacing w:line="360" w:lineRule="auto"/>
        <w:rPr>
          <w:rFonts w:ascii="宋体" w:cs="宋体"/>
          <w:b/>
          <w:bCs/>
          <w:color w:val="auto"/>
          <w:sz w:val="24"/>
          <w:highlight w:val="none"/>
        </w:rPr>
      </w:pPr>
    </w:p>
    <w:p w14:paraId="6AA19BB0">
      <w:pPr>
        <w:widowControl/>
        <w:spacing w:line="360" w:lineRule="auto"/>
        <w:jc w:val="left"/>
        <w:rPr>
          <w:rFonts w:ascii="宋体" w:cs="宋体"/>
          <w:color w:val="auto"/>
          <w:highlight w:val="none"/>
        </w:rPr>
        <w:sectPr>
          <w:pgSz w:w="11906" w:h="16838"/>
          <w:pgMar w:top="1134" w:right="1134" w:bottom="1134" w:left="1134" w:header="720" w:footer="720" w:gutter="0"/>
          <w:cols w:space="720" w:num="1"/>
          <w:docGrid w:type="lines" w:linePitch="331" w:charSpace="0"/>
        </w:sectPr>
      </w:pPr>
    </w:p>
    <w:p w14:paraId="4E748276">
      <w:pPr>
        <w:snapToGrid w:val="0"/>
        <w:spacing w:before="120" w:beforeLines="50" w:after="50"/>
        <w:rPr>
          <w:rFonts w:ascii="宋体" w:cs="宋体"/>
          <w:b/>
          <w:bCs/>
          <w:color w:val="auto"/>
          <w:sz w:val="28"/>
          <w:szCs w:val="28"/>
          <w:highlight w:val="none"/>
        </w:rPr>
      </w:pPr>
      <w:r>
        <w:rPr>
          <w:rFonts w:hint="eastAsia" w:ascii="宋体" w:cs="宋体"/>
          <w:b/>
          <w:bCs/>
          <w:color w:val="auto"/>
          <w:sz w:val="28"/>
          <w:szCs w:val="28"/>
          <w:highlight w:val="none"/>
        </w:rPr>
        <w:t>3.无串通投标行为的承诺函的格式：</w:t>
      </w:r>
    </w:p>
    <w:p w14:paraId="17F8A9C8">
      <w:pPr>
        <w:snapToGrid w:val="0"/>
        <w:spacing w:before="120" w:beforeLines="50" w:after="50"/>
        <w:ind w:left="420"/>
        <w:jc w:val="center"/>
        <w:rPr>
          <w:rFonts w:ascii="宋体" w:cs="宋体"/>
          <w:b/>
          <w:color w:val="auto"/>
          <w:sz w:val="28"/>
          <w:szCs w:val="28"/>
          <w:highlight w:val="none"/>
        </w:rPr>
      </w:pPr>
    </w:p>
    <w:p w14:paraId="4082B34B">
      <w:pPr>
        <w:snapToGrid w:val="0"/>
        <w:spacing w:before="120" w:beforeLines="50" w:after="50"/>
        <w:ind w:left="420"/>
        <w:jc w:val="center"/>
        <w:rPr>
          <w:rFonts w:ascii="宋体" w:cs="宋体"/>
          <w:b/>
          <w:color w:val="auto"/>
          <w:sz w:val="28"/>
          <w:szCs w:val="28"/>
          <w:highlight w:val="none"/>
        </w:rPr>
      </w:pPr>
      <w:r>
        <w:rPr>
          <w:rFonts w:hint="eastAsia" w:ascii="宋体" w:cs="宋体"/>
          <w:b/>
          <w:color w:val="auto"/>
          <w:sz w:val="28"/>
          <w:szCs w:val="28"/>
          <w:highlight w:val="none"/>
        </w:rPr>
        <w:t>参加本项目无</w:t>
      </w:r>
      <w:r>
        <w:rPr>
          <w:rFonts w:hint="eastAsia" w:ascii="宋体" w:cs="宋体"/>
          <w:b/>
          <w:bCs/>
          <w:color w:val="auto"/>
          <w:sz w:val="28"/>
          <w:szCs w:val="28"/>
          <w:highlight w:val="none"/>
        </w:rPr>
        <w:t>串通投标</w:t>
      </w:r>
      <w:r>
        <w:rPr>
          <w:rFonts w:hint="eastAsia" w:ascii="宋体" w:cs="宋体"/>
          <w:b/>
          <w:color w:val="auto"/>
          <w:sz w:val="28"/>
          <w:szCs w:val="28"/>
          <w:highlight w:val="none"/>
        </w:rPr>
        <w:t>行为的承诺函</w:t>
      </w:r>
    </w:p>
    <w:p w14:paraId="2913B9B5">
      <w:pPr>
        <w:snapToGrid w:val="0"/>
        <w:spacing w:before="120" w:beforeLines="50" w:after="50"/>
        <w:rPr>
          <w:rFonts w:ascii="宋体" w:cs="宋体"/>
          <w:b/>
          <w:color w:val="auto"/>
          <w:szCs w:val="21"/>
          <w:highlight w:val="none"/>
        </w:rPr>
      </w:pPr>
    </w:p>
    <w:p w14:paraId="7DB1927C">
      <w:pPr>
        <w:snapToGrid w:val="0"/>
        <w:spacing w:before="120" w:beforeLines="50" w:after="50" w:line="360" w:lineRule="auto"/>
        <w:jc w:val="left"/>
        <w:rPr>
          <w:rFonts w:ascii="宋体" w:cs="宋体"/>
          <w:b/>
          <w:color w:val="auto"/>
          <w:szCs w:val="21"/>
          <w:highlight w:val="none"/>
        </w:rPr>
      </w:pPr>
      <w:r>
        <w:rPr>
          <w:rFonts w:hint="eastAsia" w:ascii="宋体" w:cs="宋体"/>
          <w:b/>
          <w:color w:val="auto"/>
          <w:szCs w:val="21"/>
          <w:highlight w:val="none"/>
        </w:rPr>
        <w:t>一、我方承诺无下列相互串通投标的情形：</w:t>
      </w:r>
    </w:p>
    <w:p w14:paraId="24EDEEFE">
      <w:pPr>
        <w:snapToGrid w:val="0"/>
        <w:spacing w:before="120" w:beforeLines="50" w:after="50" w:line="360" w:lineRule="auto"/>
        <w:ind w:firstLine="411" w:firstLineChars="196"/>
        <w:jc w:val="left"/>
        <w:rPr>
          <w:rFonts w:ascii="宋体" w:cs="宋体"/>
          <w:color w:val="auto"/>
          <w:szCs w:val="21"/>
          <w:highlight w:val="none"/>
        </w:rPr>
      </w:pPr>
      <w:r>
        <w:rPr>
          <w:rFonts w:hint="eastAsia" w:ascii="宋体" w:cs="宋体"/>
          <w:color w:val="auto"/>
          <w:szCs w:val="21"/>
          <w:highlight w:val="none"/>
        </w:rPr>
        <w:t>1.不同投标人的投标文件由同一单位或者个人编制；或者不同投标人报名的IP地址一致的；</w:t>
      </w:r>
    </w:p>
    <w:p w14:paraId="0E96F4FD">
      <w:pPr>
        <w:snapToGrid w:val="0"/>
        <w:spacing w:before="120" w:beforeLines="50" w:after="50" w:line="360" w:lineRule="auto"/>
        <w:ind w:firstLine="411" w:firstLineChars="196"/>
        <w:jc w:val="left"/>
        <w:rPr>
          <w:rFonts w:ascii="宋体" w:cs="宋体"/>
          <w:color w:val="auto"/>
          <w:szCs w:val="21"/>
          <w:highlight w:val="none"/>
        </w:rPr>
      </w:pPr>
      <w:r>
        <w:rPr>
          <w:rFonts w:hint="eastAsia" w:ascii="宋体" w:cs="宋体"/>
          <w:color w:val="auto"/>
          <w:szCs w:val="21"/>
          <w:highlight w:val="none"/>
        </w:rPr>
        <w:t>2.不同投标人委托同一单位或者个人办理投标事宜；</w:t>
      </w:r>
    </w:p>
    <w:p w14:paraId="39DBCDC1">
      <w:pPr>
        <w:snapToGrid w:val="0"/>
        <w:spacing w:before="120" w:beforeLines="50" w:after="50" w:line="360" w:lineRule="auto"/>
        <w:ind w:firstLine="411" w:firstLineChars="196"/>
        <w:jc w:val="left"/>
        <w:rPr>
          <w:rFonts w:ascii="宋体" w:cs="宋体"/>
          <w:color w:val="auto"/>
          <w:szCs w:val="21"/>
          <w:highlight w:val="none"/>
        </w:rPr>
      </w:pPr>
      <w:r>
        <w:rPr>
          <w:rFonts w:hint="eastAsia" w:ascii="宋体" w:cs="宋体"/>
          <w:color w:val="auto"/>
          <w:szCs w:val="21"/>
          <w:highlight w:val="none"/>
        </w:rPr>
        <w:t>3.不同的投标人的投标文件载明的项目管理员为同一个人；</w:t>
      </w:r>
    </w:p>
    <w:p w14:paraId="2A07B0F6">
      <w:pPr>
        <w:snapToGrid w:val="0"/>
        <w:spacing w:before="120" w:beforeLines="50" w:after="50" w:line="360" w:lineRule="auto"/>
        <w:ind w:firstLine="411" w:firstLineChars="196"/>
        <w:jc w:val="left"/>
        <w:rPr>
          <w:rFonts w:ascii="宋体" w:cs="宋体"/>
          <w:color w:val="auto"/>
          <w:szCs w:val="21"/>
          <w:highlight w:val="none"/>
        </w:rPr>
      </w:pPr>
      <w:r>
        <w:rPr>
          <w:rFonts w:hint="eastAsia" w:ascii="宋体" w:cs="宋体"/>
          <w:color w:val="auto"/>
          <w:szCs w:val="21"/>
          <w:highlight w:val="none"/>
        </w:rPr>
        <w:t>4.不同投标人的投标文件异常一致或者投标报价呈规律性差异；</w:t>
      </w:r>
    </w:p>
    <w:p w14:paraId="44F8B467">
      <w:pPr>
        <w:snapToGrid w:val="0"/>
        <w:spacing w:before="120" w:beforeLines="50" w:after="50" w:line="360" w:lineRule="auto"/>
        <w:ind w:firstLine="411" w:firstLineChars="196"/>
        <w:jc w:val="left"/>
        <w:rPr>
          <w:rFonts w:ascii="宋体" w:cs="宋体"/>
          <w:color w:val="auto"/>
          <w:szCs w:val="21"/>
          <w:highlight w:val="none"/>
        </w:rPr>
      </w:pPr>
      <w:r>
        <w:rPr>
          <w:rFonts w:hint="eastAsia" w:ascii="宋体" w:cs="宋体"/>
          <w:color w:val="auto"/>
          <w:szCs w:val="21"/>
          <w:highlight w:val="none"/>
        </w:rPr>
        <w:t>5.不同投标人的投标文件相互混装；</w:t>
      </w:r>
    </w:p>
    <w:p w14:paraId="06E3980D">
      <w:pPr>
        <w:snapToGrid w:val="0"/>
        <w:spacing w:before="120" w:beforeLines="50" w:after="50" w:line="360" w:lineRule="auto"/>
        <w:ind w:firstLine="411" w:firstLineChars="196"/>
        <w:jc w:val="left"/>
        <w:rPr>
          <w:rFonts w:ascii="宋体" w:cs="宋体"/>
          <w:color w:val="auto"/>
          <w:szCs w:val="21"/>
          <w:highlight w:val="none"/>
        </w:rPr>
      </w:pPr>
      <w:r>
        <w:rPr>
          <w:rFonts w:ascii="宋体" w:cs="宋体"/>
          <w:color w:val="auto"/>
          <w:szCs w:val="21"/>
          <w:highlight w:val="none"/>
        </w:rPr>
        <w:t>6</w:t>
      </w:r>
      <w:r>
        <w:rPr>
          <w:rFonts w:hint="eastAsia" w:ascii="宋体" w:cs="宋体"/>
          <w:color w:val="auto"/>
          <w:szCs w:val="21"/>
          <w:highlight w:val="none"/>
        </w:rPr>
        <w:t>.不同投标人的投标保证金从同一单位或者个人账户转出。</w:t>
      </w:r>
    </w:p>
    <w:p w14:paraId="48105982">
      <w:pPr>
        <w:snapToGrid w:val="0"/>
        <w:spacing w:before="120" w:beforeLines="50" w:after="50" w:line="360" w:lineRule="auto"/>
        <w:jc w:val="left"/>
        <w:rPr>
          <w:rFonts w:ascii="宋体" w:cs="宋体"/>
          <w:color w:val="auto"/>
          <w:szCs w:val="21"/>
          <w:highlight w:val="none"/>
        </w:rPr>
      </w:pPr>
      <w:r>
        <w:rPr>
          <w:rFonts w:hint="eastAsia" w:ascii="宋体" w:cs="宋体"/>
          <w:b/>
          <w:color w:val="auto"/>
          <w:szCs w:val="21"/>
          <w:highlight w:val="none"/>
        </w:rPr>
        <w:t>二、我方承诺无下列恶意串通的情形：</w:t>
      </w:r>
    </w:p>
    <w:p w14:paraId="25A99742">
      <w:pPr>
        <w:snapToGrid w:val="0"/>
        <w:spacing w:before="120" w:beforeLines="50" w:after="50" w:line="360" w:lineRule="auto"/>
        <w:ind w:firstLine="411" w:firstLineChars="196"/>
        <w:jc w:val="left"/>
        <w:rPr>
          <w:rFonts w:ascii="宋体" w:cs="宋体"/>
          <w:color w:val="auto"/>
          <w:szCs w:val="21"/>
          <w:highlight w:val="none"/>
        </w:rPr>
      </w:pPr>
      <w:r>
        <w:rPr>
          <w:rFonts w:hint="eastAsia" w:ascii="宋体" w:cs="宋体"/>
          <w:color w:val="auto"/>
          <w:szCs w:val="21"/>
          <w:highlight w:val="none"/>
        </w:rPr>
        <w:t>1.投标人直接或者间接从采购人或者采购代理机构处获得其他投标人的相关信息并修改其投标文件；</w:t>
      </w:r>
    </w:p>
    <w:p w14:paraId="7A7F4A50">
      <w:pPr>
        <w:snapToGrid w:val="0"/>
        <w:spacing w:before="120" w:beforeLines="50" w:after="50" w:line="360" w:lineRule="auto"/>
        <w:ind w:firstLine="411" w:firstLineChars="196"/>
        <w:jc w:val="left"/>
        <w:rPr>
          <w:rFonts w:ascii="宋体" w:cs="宋体"/>
          <w:color w:val="auto"/>
          <w:szCs w:val="21"/>
          <w:highlight w:val="none"/>
        </w:rPr>
      </w:pPr>
      <w:r>
        <w:rPr>
          <w:rFonts w:hint="eastAsia" w:ascii="宋体" w:cs="宋体"/>
          <w:color w:val="auto"/>
          <w:szCs w:val="21"/>
          <w:highlight w:val="none"/>
        </w:rPr>
        <w:t>2.投标人按照采购人或者采购代理机构的授意撤换、修改投标文件；</w:t>
      </w:r>
    </w:p>
    <w:p w14:paraId="69DA024F">
      <w:pPr>
        <w:snapToGrid w:val="0"/>
        <w:spacing w:before="120" w:beforeLines="50" w:after="50" w:line="360" w:lineRule="auto"/>
        <w:ind w:firstLine="411" w:firstLineChars="196"/>
        <w:jc w:val="left"/>
        <w:rPr>
          <w:rFonts w:ascii="宋体" w:cs="宋体"/>
          <w:color w:val="auto"/>
          <w:szCs w:val="21"/>
          <w:highlight w:val="none"/>
        </w:rPr>
      </w:pPr>
      <w:r>
        <w:rPr>
          <w:rFonts w:hint="eastAsia" w:ascii="宋体" w:cs="宋体"/>
          <w:color w:val="auto"/>
          <w:szCs w:val="21"/>
          <w:highlight w:val="none"/>
        </w:rPr>
        <w:t>3.投标人之间协商报价、技术方案等投标文件的实质性内容；</w:t>
      </w:r>
    </w:p>
    <w:p w14:paraId="373808CB">
      <w:pPr>
        <w:snapToGrid w:val="0"/>
        <w:spacing w:before="120" w:beforeLines="50" w:after="50" w:line="360" w:lineRule="auto"/>
        <w:ind w:firstLine="411" w:firstLineChars="196"/>
        <w:jc w:val="left"/>
        <w:rPr>
          <w:rFonts w:ascii="宋体" w:cs="宋体"/>
          <w:color w:val="auto"/>
          <w:szCs w:val="21"/>
          <w:highlight w:val="none"/>
        </w:rPr>
      </w:pPr>
      <w:r>
        <w:rPr>
          <w:rFonts w:hint="eastAsia" w:ascii="宋体" w:cs="宋体"/>
          <w:color w:val="auto"/>
          <w:szCs w:val="21"/>
          <w:highlight w:val="none"/>
        </w:rPr>
        <w:t>4.属于同一集团、协会、商会等组织成员的投标人按照该组织要求协同参加政府采购活动；</w:t>
      </w:r>
    </w:p>
    <w:p w14:paraId="2F74824F">
      <w:pPr>
        <w:snapToGrid w:val="0"/>
        <w:spacing w:before="120" w:beforeLines="50" w:after="50" w:line="360" w:lineRule="auto"/>
        <w:ind w:firstLine="411" w:firstLineChars="196"/>
        <w:jc w:val="left"/>
        <w:rPr>
          <w:rFonts w:ascii="宋体" w:cs="宋体"/>
          <w:color w:val="auto"/>
          <w:szCs w:val="21"/>
          <w:highlight w:val="none"/>
        </w:rPr>
      </w:pPr>
      <w:r>
        <w:rPr>
          <w:rFonts w:hint="eastAsia" w:asci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6814D276">
      <w:pPr>
        <w:snapToGrid w:val="0"/>
        <w:spacing w:before="120" w:beforeLines="50" w:after="50" w:line="360" w:lineRule="auto"/>
        <w:ind w:firstLine="411" w:firstLineChars="196"/>
        <w:jc w:val="left"/>
        <w:rPr>
          <w:rFonts w:ascii="宋体" w:cs="宋体"/>
          <w:color w:val="auto"/>
          <w:szCs w:val="21"/>
          <w:highlight w:val="none"/>
        </w:rPr>
      </w:pPr>
      <w:r>
        <w:rPr>
          <w:rFonts w:hint="eastAsia" w:ascii="宋体" w:cs="宋体"/>
          <w:color w:val="auto"/>
          <w:szCs w:val="21"/>
          <w:highlight w:val="none"/>
        </w:rPr>
        <w:t>6.投标人之间商定部分投标人放弃参加政府采购活动或者放弃中标；</w:t>
      </w:r>
    </w:p>
    <w:p w14:paraId="0B0EA7E0">
      <w:pPr>
        <w:snapToGrid w:val="0"/>
        <w:spacing w:before="120" w:beforeLines="50" w:after="50" w:line="360" w:lineRule="auto"/>
        <w:ind w:firstLine="411" w:firstLineChars="196"/>
        <w:jc w:val="left"/>
        <w:rPr>
          <w:rFonts w:ascii="宋体" w:cs="宋体"/>
          <w:color w:val="auto"/>
          <w:szCs w:val="21"/>
          <w:highlight w:val="none"/>
        </w:rPr>
      </w:pPr>
      <w:r>
        <w:rPr>
          <w:rFonts w:hint="eastAsia" w:ascii="宋体" w:cs="宋体"/>
          <w:color w:val="auto"/>
          <w:szCs w:val="21"/>
          <w:highlight w:val="none"/>
        </w:rPr>
        <w:t>7.投标人与采购人或者采购代理机构之间、投标人相互之间，为谋求特定投标人中标或者排斥其他投标人的其他串通行为。</w:t>
      </w:r>
    </w:p>
    <w:p w14:paraId="608482FE">
      <w:pPr>
        <w:snapToGrid w:val="0"/>
        <w:spacing w:before="120" w:beforeLines="50" w:after="50" w:line="360" w:lineRule="auto"/>
        <w:ind w:firstLine="413" w:firstLineChars="196"/>
        <w:jc w:val="left"/>
        <w:rPr>
          <w:rFonts w:ascii="宋体" w:cs="宋体"/>
          <w:b/>
          <w:color w:val="auto"/>
          <w:szCs w:val="21"/>
          <w:highlight w:val="none"/>
        </w:rPr>
      </w:pPr>
      <w:r>
        <w:rPr>
          <w:rFonts w:hint="eastAsia" w:ascii="宋体" w:cs="宋体"/>
          <w:b/>
          <w:bCs/>
          <w:color w:val="auto"/>
          <w:szCs w:val="21"/>
          <w:highlight w:val="none"/>
        </w:rPr>
        <w:t>以上情形一经核查属实，接受政府采购监管部门对我方认定存在围标串标行为，我方愿意承担一切后果，并不再寻求任何旨在减轻或者免除法律责任的辩解</w:t>
      </w:r>
      <w:r>
        <w:rPr>
          <w:rFonts w:hint="eastAsia" w:ascii="宋体" w:cs="宋体"/>
          <w:b/>
          <w:color w:val="auto"/>
          <w:szCs w:val="21"/>
          <w:highlight w:val="none"/>
        </w:rPr>
        <w:t>。</w:t>
      </w:r>
    </w:p>
    <w:p w14:paraId="5C67DC33">
      <w:pPr>
        <w:pStyle w:val="17"/>
        <w:rPr>
          <w:rFonts w:ascii="宋体" w:cs="宋体"/>
          <w:b/>
          <w:color w:val="auto"/>
          <w:szCs w:val="21"/>
          <w:highlight w:val="none"/>
        </w:rPr>
      </w:pPr>
    </w:p>
    <w:p w14:paraId="403E9C97">
      <w:pPr>
        <w:pStyle w:val="17"/>
        <w:rPr>
          <w:rFonts w:ascii="宋体" w:cs="宋体"/>
          <w:b/>
          <w:color w:val="auto"/>
          <w:szCs w:val="21"/>
          <w:highlight w:val="none"/>
        </w:rPr>
      </w:pPr>
    </w:p>
    <w:p w14:paraId="5207779D">
      <w:pPr>
        <w:snapToGrid w:val="0"/>
        <w:spacing w:line="360" w:lineRule="auto"/>
        <w:ind w:firstLine="4935" w:firstLineChars="2350"/>
        <w:rPr>
          <w:rFonts w:ascii="宋体" w:cs="宋体"/>
          <w:color w:val="auto"/>
          <w:kern w:val="0"/>
          <w:sz w:val="24"/>
          <w:highlight w:val="none"/>
        </w:rPr>
      </w:pPr>
      <w:r>
        <w:rPr>
          <w:rFonts w:hint="eastAsia" w:ascii="宋体" w:cs="宋体"/>
          <w:color w:val="auto"/>
          <w:szCs w:val="21"/>
          <w:highlight w:val="none"/>
        </w:rPr>
        <w:t xml:space="preserve"> </w:t>
      </w:r>
      <w:r>
        <w:rPr>
          <w:rFonts w:hint="eastAsia" w:ascii="宋体" w:cs="宋体"/>
          <w:color w:val="auto"/>
          <w:kern w:val="0"/>
          <w:sz w:val="24"/>
          <w:highlight w:val="none"/>
          <w:lang w:val="zh-CN"/>
        </w:rPr>
        <w:t>投标人名称（盖公章）：</w:t>
      </w:r>
    </w:p>
    <w:p w14:paraId="6A2EBC64">
      <w:pPr>
        <w:snapToGrid w:val="0"/>
        <w:spacing w:line="360" w:lineRule="auto"/>
        <w:ind w:firstLine="5160" w:firstLineChars="2150"/>
        <w:rPr>
          <w:rFonts w:ascii="宋体" w:cs="宋体"/>
          <w:color w:val="auto"/>
          <w:kern w:val="0"/>
          <w:sz w:val="24"/>
          <w:highlight w:val="none"/>
          <w:lang w:val="zh-CN"/>
        </w:rPr>
      </w:pPr>
      <w:r>
        <w:rPr>
          <w:rFonts w:hint="eastAsia" w:ascii="宋体" w:cs="宋体"/>
          <w:color w:val="auto"/>
          <w:kern w:val="0"/>
          <w:sz w:val="24"/>
          <w:highlight w:val="none"/>
          <w:lang w:val="zh-CN"/>
        </w:rPr>
        <w:t>日期</w:t>
      </w:r>
      <w:r>
        <w:rPr>
          <w:rFonts w:hint="eastAsia" w:ascii="宋体" w:cs="宋体"/>
          <w:color w:val="auto"/>
          <w:kern w:val="0"/>
          <w:sz w:val="24"/>
          <w:highlight w:val="none"/>
        </w:rPr>
        <w:t xml:space="preserve">：  年  </w:t>
      </w:r>
      <w:r>
        <w:rPr>
          <w:rFonts w:hint="eastAsia" w:ascii="宋体" w:cs="宋体"/>
          <w:color w:val="auto"/>
          <w:kern w:val="0"/>
          <w:sz w:val="24"/>
          <w:highlight w:val="none"/>
          <w:lang w:val="zh-CN"/>
        </w:rPr>
        <w:t>月</w:t>
      </w:r>
      <w:r>
        <w:rPr>
          <w:rFonts w:hint="eastAsia" w:ascii="宋体" w:cs="宋体"/>
          <w:color w:val="auto"/>
          <w:kern w:val="0"/>
          <w:sz w:val="24"/>
          <w:highlight w:val="none"/>
        </w:rPr>
        <w:t xml:space="preserve">   </w:t>
      </w:r>
      <w:r>
        <w:rPr>
          <w:rFonts w:hint="eastAsia" w:ascii="宋体" w:cs="宋体"/>
          <w:color w:val="auto"/>
          <w:kern w:val="0"/>
          <w:sz w:val="24"/>
          <w:highlight w:val="none"/>
          <w:lang w:val="zh-CN"/>
        </w:rPr>
        <w:t>日</w:t>
      </w:r>
    </w:p>
    <w:p w14:paraId="744B6F22">
      <w:pPr>
        <w:pStyle w:val="14"/>
        <w:snapToGrid w:val="0"/>
        <w:spacing w:before="295" w:after="295" w:line="360" w:lineRule="auto"/>
        <w:rPr>
          <w:rFonts w:cs="宋体"/>
          <w:b/>
          <w:color w:val="auto"/>
          <w:sz w:val="28"/>
          <w:szCs w:val="28"/>
          <w:highlight w:val="none"/>
        </w:rPr>
      </w:pPr>
      <w:r>
        <w:rPr>
          <w:rFonts w:hint="eastAsia" w:cs="宋体"/>
          <w:b/>
          <w:color w:val="auto"/>
          <w:sz w:val="24"/>
          <w:highlight w:val="none"/>
        </w:rPr>
        <w:br w:type="page"/>
      </w:r>
      <w:r>
        <w:rPr>
          <w:rFonts w:hint="eastAsia" w:cs="宋体"/>
          <w:b/>
          <w:bCs/>
          <w:color w:val="auto"/>
          <w:sz w:val="28"/>
          <w:szCs w:val="28"/>
          <w:highlight w:val="none"/>
        </w:rPr>
        <w:t>4.法定代表人身份证明的格式：</w:t>
      </w:r>
    </w:p>
    <w:p w14:paraId="17B4CAA1">
      <w:pPr>
        <w:spacing w:before="240" w:beforeLines="100" w:after="120" w:afterLines="50"/>
        <w:ind w:left="540"/>
        <w:jc w:val="center"/>
        <w:rPr>
          <w:rFonts w:ascii="宋体" w:cs="宋体"/>
          <w:b/>
          <w:color w:val="auto"/>
          <w:sz w:val="32"/>
          <w:szCs w:val="32"/>
          <w:highlight w:val="none"/>
        </w:rPr>
      </w:pPr>
    </w:p>
    <w:p w14:paraId="59A1450E">
      <w:pPr>
        <w:spacing w:before="240" w:beforeLines="100" w:after="120" w:afterLines="50"/>
        <w:ind w:left="540"/>
        <w:jc w:val="center"/>
        <w:rPr>
          <w:rFonts w:ascii="宋体" w:cs="宋体"/>
          <w:color w:val="auto"/>
          <w:sz w:val="28"/>
          <w:szCs w:val="28"/>
          <w:highlight w:val="none"/>
        </w:rPr>
      </w:pPr>
      <w:r>
        <w:rPr>
          <w:rFonts w:hint="eastAsia" w:ascii="宋体" w:cs="宋体"/>
          <w:b/>
          <w:color w:val="auto"/>
          <w:sz w:val="28"/>
          <w:szCs w:val="28"/>
          <w:highlight w:val="none"/>
        </w:rPr>
        <w:t>法定代表人身份证明</w:t>
      </w:r>
    </w:p>
    <w:p w14:paraId="4B9725F2">
      <w:pPr>
        <w:spacing w:line="500" w:lineRule="exact"/>
        <w:ind w:left="540"/>
        <w:rPr>
          <w:rFonts w:ascii="宋体" w:cs="宋体"/>
          <w:color w:val="auto"/>
          <w:sz w:val="24"/>
          <w:highlight w:val="none"/>
        </w:rPr>
      </w:pPr>
      <w:r>
        <w:rPr>
          <w:rFonts w:hint="eastAsia" w:ascii="宋体" w:cs="宋体"/>
          <w:color w:val="auto"/>
          <w:sz w:val="24"/>
          <w:highlight w:val="none"/>
        </w:rPr>
        <w:t>投 标 人：</w:t>
      </w:r>
      <w:r>
        <w:rPr>
          <w:rFonts w:hint="eastAsia" w:ascii="宋体" w:cs="宋体"/>
          <w:color w:val="auto"/>
          <w:sz w:val="24"/>
          <w:highlight w:val="none"/>
          <w:u w:val="single"/>
        </w:rPr>
        <w:t xml:space="preserve">                                                        </w:t>
      </w:r>
    </w:p>
    <w:p w14:paraId="0DBA5919">
      <w:pPr>
        <w:spacing w:line="500" w:lineRule="exact"/>
        <w:ind w:left="540"/>
        <w:rPr>
          <w:rFonts w:ascii="宋体" w:cs="宋体"/>
          <w:color w:val="auto"/>
          <w:sz w:val="24"/>
          <w:highlight w:val="none"/>
        </w:rPr>
      </w:pPr>
      <w:r>
        <w:rPr>
          <w:rFonts w:hint="eastAsia" w:ascii="宋体" w:cs="宋体"/>
          <w:color w:val="auto"/>
          <w:sz w:val="24"/>
          <w:highlight w:val="none"/>
        </w:rPr>
        <w:t>地    址：</w:t>
      </w:r>
      <w:r>
        <w:rPr>
          <w:rFonts w:hint="eastAsia" w:ascii="宋体" w:cs="宋体"/>
          <w:color w:val="auto"/>
          <w:sz w:val="24"/>
          <w:highlight w:val="none"/>
          <w:u w:val="single"/>
        </w:rPr>
        <w:t xml:space="preserve">                                                        </w:t>
      </w:r>
    </w:p>
    <w:p w14:paraId="6E2FAA33">
      <w:pPr>
        <w:spacing w:line="500" w:lineRule="exact"/>
        <w:ind w:left="540"/>
        <w:rPr>
          <w:rFonts w:ascii="宋体" w:cs="宋体"/>
          <w:color w:val="auto"/>
          <w:sz w:val="24"/>
          <w:highlight w:val="none"/>
        </w:rPr>
      </w:pPr>
      <w:r>
        <w:rPr>
          <w:rFonts w:hint="eastAsia" w:ascii="宋体" w:cs="宋体"/>
          <w:color w:val="auto"/>
          <w:sz w:val="24"/>
          <w:highlight w:val="none"/>
        </w:rPr>
        <w:t>姓    名：</w:t>
      </w:r>
      <w:r>
        <w:rPr>
          <w:rFonts w:hint="eastAsia" w:ascii="宋体" w:cs="宋体"/>
          <w:color w:val="auto"/>
          <w:sz w:val="24"/>
          <w:highlight w:val="none"/>
          <w:u w:val="single"/>
        </w:rPr>
        <w:t xml:space="preserve">                          </w:t>
      </w:r>
      <w:r>
        <w:rPr>
          <w:rFonts w:hint="eastAsia" w:ascii="宋体" w:cs="宋体"/>
          <w:color w:val="auto"/>
          <w:sz w:val="24"/>
          <w:highlight w:val="none"/>
        </w:rPr>
        <w:t>性      别：</w:t>
      </w:r>
      <w:r>
        <w:rPr>
          <w:rFonts w:hint="eastAsia" w:ascii="宋体" w:cs="宋体"/>
          <w:color w:val="auto"/>
          <w:sz w:val="24"/>
          <w:highlight w:val="none"/>
          <w:u w:val="single"/>
        </w:rPr>
        <w:t xml:space="preserve">                </w:t>
      </w:r>
    </w:p>
    <w:p w14:paraId="10E06C95">
      <w:pPr>
        <w:spacing w:line="500" w:lineRule="exact"/>
        <w:ind w:left="540"/>
        <w:rPr>
          <w:rFonts w:ascii="宋体" w:cs="宋体"/>
          <w:color w:val="auto"/>
          <w:sz w:val="24"/>
          <w:highlight w:val="none"/>
          <w:u w:val="single"/>
        </w:rPr>
      </w:pPr>
      <w:r>
        <w:rPr>
          <w:rFonts w:hint="eastAsia" w:ascii="宋体" w:cs="宋体"/>
          <w:color w:val="auto"/>
          <w:sz w:val="24"/>
          <w:highlight w:val="none"/>
        </w:rPr>
        <w:t>年    龄：</w:t>
      </w:r>
      <w:r>
        <w:rPr>
          <w:rFonts w:hint="eastAsia" w:ascii="宋体" w:cs="宋体"/>
          <w:color w:val="auto"/>
          <w:sz w:val="24"/>
          <w:highlight w:val="none"/>
          <w:u w:val="single"/>
        </w:rPr>
        <w:t xml:space="preserve">                          </w:t>
      </w:r>
      <w:r>
        <w:rPr>
          <w:rFonts w:hint="eastAsia" w:ascii="宋体" w:cs="宋体"/>
          <w:color w:val="auto"/>
          <w:sz w:val="24"/>
          <w:highlight w:val="none"/>
        </w:rPr>
        <w:t>职      务：</w:t>
      </w:r>
      <w:r>
        <w:rPr>
          <w:rFonts w:hint="eastAsia" w:ascii="宋体" w:cs="宋体"/>
          <w:color w:val="auto"/>
          <w:sz w:val="24"/>
          <w:highlight w:val="none"/>
          <w:u w:val="single"/>
        </w:rPr>
        <w:t xml:space="preserve">                </w:t>
      </w:r>
    </w:p>
    <w:p w14:paraId="3B9C4D4F">
      <w:pPr>
        <w:spacing w:line="500" w:lineRule="exact"/>
        <w:ind w:left="540"/>
        <w:rPr>
          <w:rFonts w:ascii="宋体" w:cs="宋体"/>
          <w:color w:val="auto"/>
          <w:sz w:val="24"/>
          <w:highlight w:val="none"/>
        </w:rPr>
      </w:pPr>
      <w:r>
        <w:rPr>
          <w:rFonts w:hint="eastAsia" w:ascii="宋体" w:cs="宋体"/>
          <w:color w:val="auto"/>
          <w:sz w:val="24"/>
          <w:highlight w:val="none"/>
        </w:rPr>
        <w:t>身份证号码：</w:t>
      </w:r>
      <w:r>
        <w:rPr>
          <w:rFonts w:hint="eastAsia" w:ascii="宋体" w:cs="宋体"/>
          <w:color w:val="auto"/>
          <w:sz w:val="24"/>
          <w:highlight w:val="none"/>
          <w:u w:val="single"/>
        </w:rPr>
        <w:t xml:space="preserve">                                 </w:t>
      </w:r>
    </w:p>
    <w:p w14:paraId="1CCE0074">
      <w:pPr>
        <w:spacing w:line="500" w:lineRule="exact"/>
        <w:ind w:left="540"/>
        <w:rPr>
          <w:rFonts w:ascii="宋体" w:cs="宋体"/>
          <w:color w:val="auto"/>
          <w:sz w:val="24"/>
          <w:highlight w:val="none"/>
        </w:rPr>
      </w:pPr>
      <w:r>
        <w:rPr>
          <w:rFonts w:hint="eastAsia" w:ascii="宋体" w:cs="宋体"/>
          <w:color w:val="auto"/>
          <w:sz w:val="24"/>
          <w:highlight w:val="none"/>
        </w:rPr>
        <w:t>系</w:t>
      </w:r>
      <w:r>
        <w:rPr>
          <w:rFonts w:hint="eastAsia" w:ascii="宋体" w:cs="宋体"/>
          <w:color w:val="auto"/>
          <w:sz w:val="24"/>
          <w:highlight w:val="none"/>
          <w:u w:val="single"/>
        </w:rPr>
        <w:t xml:space="preserve">            （投标人名称）              </w:t>
      </w:r>
      <w:r>
        <w:rPr>
          <w:rFonts w:hint="eastAsia" w:ascii="宋体" w:cs="宋体"/>
          <w:color w:val="auto"/>
          <w:sz w:val="24"/>
          <w:highlight w:val="none"/>
        </w:rPr>
        <w:t>的法定代表人。</w:t>
      </w:r>
    </w:p>
    <w:p w14:paraId="4821BF46">
      <w:pPr>
        <w:spacing w:line="500" w:lineRule="exact"/>
        <w:ind w:left="540"/>
        <w:rPr>
          <w:rFonts w:ascii="宋体" w:cs="宋体"/>
          <w:color w:val="auto"/>
          <w:sz w:val="24"/>
          <w:highlight w:val="none"/>
        </w:rPr>
      </w:pPr>
      <w:r>
        <w:rPr>
          <w:rFonts w:hint="eastAsia" w:ascii="宋体" w:cs="宋体"/>
          <w:color w:val="auto"/>
          <w:sz w:val="24"/>
          <w:highlight w:val="none"/>
        </w:rPr>
        <w:t>特此证明。</w:t>
      </w:r>
    </w:p>
    <w:p w14:paraId="77E9AFFD">
      <w:pPr>
        <w:spacing w:line="500" w:lineRule="exact"/>
        <w:ind w:left="540"/>
        <w:rPr>
          <w:rFonts w:ascii="宋体" w:cs="宋体"/>
          <w:color w:val="auto"/>
          <w:sz w:val="24"/>
          <w:highlight w:val="none"/>
        </w:rPr>
      </w:pPr>
    </w:p>
    <w:p w14:paraId="1254630A">
      <w:pPr>
        <w:spacing w:line="500" w:lineRule="exact"/>
        <w:ind w:left="540"/>
        <w:rPr>
          <w:rFonts w:ascii="宋体" w:cs="宋体"/>
          <w:color w:val="auto"/>
          <w:sz w:val="24"/>
          <w:highlight w:val="none"/>
        </w:rPr>
      </w:pPr>
    </w:p>
    <w:p w14:paraId="0C224EDB">
      <w:pPr>
        <w:spacing w:line="500" w:lineRule="exact"/>
        <w:ind w:left="540"/>
        <w:rPr>
          <w:rFonts w:ascii="宋体" w:cs="宋体"/>
          <w:color w:val="auto"/>
          <w:sz w:val="24"/>
          <w:highlight w:val="none"/>
        </w:rPr>
      </w:pPr>
      <w:r>
        <w:rPr>
          <w:rFonts w:hint="eastAsia" w:ascii="宋体" w:cs="宋体"/>
          <w:color w:val="auto"/>
          <w:sz w:val="24"/>
          <w:highlight w:val="none"/>
        </w:rPr>
        <w:t>附件：法定代表人有效身份证正反面复印件</w:t>
      </w:r>
    </w:p>
    <w:p w14:paraId="467A60CA">
      <w:pPr>
        <w:spacing w:line="500" w:lineRule="exact"/>
        <w:ind w:left="540"/>
        <w:rPr>
          <w:rFonts w:ascii="宋体" w:cs="宋体"/>
          <w:color w:val="auto"/>
          <w:sz w:val="24"/>
          <w:highlight w:val="none"/>
        </w:rPr>
      </w:pPr>
    </w:p>
    <w:p w14:paraId="69800AC9">
      <w:pPr>
        <w:snapToGrid w:val="0"/>
        <w:spacing w:line="360" w:lineRule="auto"/>
        <w:ind w:firstLine="4935" w:firstLineChars="2350"/>
        <w:rPr>
          <w:rFonts w:ascii="宋体" w:cs="宋体"/>
          <w:color w:val="auto"/>
          <w:kern w:val="0"/>
          <w:sz w:val="24"/>
          <w:highlight w:val="none"/>
        </w:rPr>
      </w:pPr>
      <w:r>
        <w:rPr>
          <w:rFonts w:hint="eastAsia" w:ascii="宋体" w:cs="宋体"/>
          <w:color w:val="auto"/>
          <w:szCs w:val="21"/>
          <w:highlight w:val="none"/>
        </w:rPr>
        <w:t xml:space="preserve">  </w:t>
      </w:r>
      <w:r>
        <w:rPr>
          <w:rFonts w:hint="eastAsia" w:ascii="宋体" w:cs="宋体"/>
          <w:color w:val="auto"/>
          <w:kern w:val="0"/>
          <w:sz w:val="24"/>
          <w:highlight w:val="none"/>
          <w:lang w:val="zh-CN"/>
        </w:rPr>
        <w:t>投标人名称（盖公章）：</w:t>
      </w:r>
    </w:p>
    <w:p w14:paraId="17E7A90F">
      <w:pPr>
        <w:snapToGrid w:val="0"/>
        <w:spacing w:line="360" w:lineRule="auto"/>
        <w:ind w:firstLine="5160" w:firstLineChars="2150"/>
        <w:rPr>
          <w:rFonts w:ascii="宋体" w:cs="宋体"/>
          <w:color w:val="auto"/>
          <w:kern w:val="0"/>
          <w:sz w:val="24"/>
          <w:highlight w:val="none"/>
          <w:lang w:val="zh-CN"/>
        </w:rPr>
      </w:pPr>
      <w:r>
        <w:rPr>
          <w:rFonts w:hint="eastAsia" w:ascii="宋体" w:cs="宋体"/>
          <w:color w:val="auto"/>
          <w:kern w:val="0"/>
          <w:sz w:val="24"/>
          <w:highlight w:val="none"/>
          <w:lang w:val="zh-CN"/>
        </w:rPr>
        <w:t>日期</w:t>
      </w:r>
      <w:r>
        <w:rPr>
          <w:rFonts w:hint="eastAsia" w:ascii="宋体" w:cs="宋体"/>
          <w:color w:val="auto"/>
          <w:kern w:val="0"/>
          <w:sz w:val="24"/>
          <w:highlight w:val="none"/>
        </w:rPr>
        <w:t xml:space="preserve">：  年  </w:t>
      </w:r>
      <w:r>
        <w:rPr>
          <w:rFonts w:hint="eastAsia" w:ascii="宋体" w:cs="宋体"/>
          <w:color w:val="auto"/>
          <w:kern w:val="0"/>
          <w:sz w:val="24"/>
          <w:highlight w:val="none"/>
          <w:lang w:val="zh-CN"/>
        </w:rPr>
        <w:t>月</w:t>
      </w:r>
      <w:r>
        <w:rPr>
          <w:rFonts w:hint="eastAsia" w:ascii="宋体" w:cs="宋体"/>
          <w:color w:val="auto"/>
          <w:kern w:val="0"/>
          <w:sz w:val="24"/>
          <w:highlight w:val="none"/>
        </w:rPr>
        <w:t xml:space="preserve">   </w:t>
      </w:r>
      <w:r>
        <w:rPr>
          <w:rFonts w:hint="eastAsia" w:ascii="宋体" w:cs="宋体"/>
          <w:color w:val="auto"/>
          <w:kern w:val="0"/>
          <w:sz w:val="24"/>
          <w:highlight w:val="none"/>
          <w:lang w:val="zh-CN"/>
        </w:rPr>
        <w:t>日</w:t>
      </w:r>
    </w:p>
    <w:p w14:paraId="50381FA0">
      <w:pPr>
        <w:snapToGrid w:val="0"/>
        <w:spacing w:before="120" w:beforeLines="50" w:after="50"/>
        <w:jc w:val="center"/>
        <w:rPr>
          <w:rFonts w:ascii="宋体" w:cs="宋体"/>
          <w:b/>
          <w:color w:val="auto"/>
          <w:sz w:val="24"/>
          <w:highlight w:val="none"/>
        </w:rPr>
      </w:pPr>
    </w:p>
    <w:p w14:paraId="68EF4E64">
      <w:pPr>
        <w:snapToGrid w:val="0"/>
        <w:spacing w:before="120" w:beforeLines="50" w:after="50"/>
        <w:ind w:firstLine="600" w:firstLineChars="250"/>
        <w:jc w:val="left"/>
        <w:rPr>
          <w:rFonts w:ascii="宋体" w:cs="宋体"/>
          <w:color w:val="auto"/>
          <w:sz w:val="24"/>
          <w:highlight w:val="none"/>
        </w:rPr>
      </w:pPr>
      <w:r>
        <w:rPr>
          <w:rFonts w:hint="eastAsia" w:ascii="宋体" w:cs="宋体"/>
          <w:color w:val="auto"/>
          <w:sz w:val="24"/>
          <w:highlight w:val="none"/>
        </w:rPr>
        <w:t>注：自然人投标的无需提供</w:t>
      </w:r>
    </w:p>
    <w:p w14:paraId="39FE7F7D">
      <w:pPr>
        <w:snapToGrid w:val="0"/>
        <w:spacing w:before="120" w:beforeLines="50" w:after="50"/>
        <w:ind w:firstLine="600" w:firstLineChars="250"/>
        <w:jc w:val="left"/>
        <w:rPr>
          <w:rFonts w:ascii="宋体" w:cs="宋体"/>
          <w:color w:val="auto"/>
          <w:sz w:val="24"/>
          <w:highlight w:val="none"/>
        </w:rPr>
      </w:pPr>
    </w:p>
    <w:p w14:paraId="1E288F61">
      <w:pPr>
        <w:snapToGrid w:val="0"/>
        <w:spacing w:before="120" w:beforeLines="50" w:after="50"/>
        <w:ind w:firstLine="602" w:firstLineChars="250"/>
        <w:jc w:val="left"/>
        <w:rPr>
          <w:rFonts w:ascii="宋体" w:cs="宋体"/>
          <w:b/>
          <w:color w:val="auto"/>
          <w:sz w:val="24"/>
          <w:szCs w:val="20"/>
          <w:highlight w:val="none"/>
        </w:rPr>
      </w:pPr>
    </w:p>
    <w:tbl>
      <w:tblPr>
        <w:tblStyle w:val="27"/>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6C05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tcPr>
          <w:p w14:paraId="15433E26">
            <w:pPr>
              <w:spacing w:line="360" w:lineRule="auto"/>
              <w:rPr>
                <w:rFonts w:ascii="宋体" w:cs="宋体"/>
                <w:b/>
                <w:color w:val="auto"/>
                <w:sz w:val="24"/>
                <w:highlight w:val="none"/>
              </w:rPr>
            </w:pPr>
          </w:p>
          <w:p w14:paraId="6A9EAC3A">
            <w:pPr>
              <w:spacing w:line="360" w:lineRule="auto"/>
              <w:rPr>
                <w:rFonts w:ascii="宋体" w:cs="宋体"/>
                <w:b/>
                <w:color w:val="auto"/>
                <w:sz w:val="24"/>
                <w:highlight w:val="none"/>
              </w:rPr>
            </w:pPr>
            <w:r>
              <w:rPr>
                <w:rFonts w:hint="eastAsia" w:ascii="宋体" w:cs="宋体"/>
                <w:b/>
                <w:color w:val="auto"/>
                <w:sz w:val="24"/>
                <w:highlight w:val="none"/>
              </w:rPr>
              <w:t>法定代表人有效身份证复印件粘帖处（正、反面）</w:t>
            </w:r>
          </w:p>
        </w:tc>
      </w:tr>
    </w:tbl>
    <w:p w14:paraId="126F4382">
      <w:pPr>
        <w:pStyle w:val="14"/>
        <w:snapToGrid w:val="0"/>
        <w:spacing w:before="295" w:after="295" w:line="360" w:lineRule="auto"/>
        <w:ind w:hanging="3"/>
        <w:jc w:val="left"/>
        <w:rPr>
          <w:rFonts w:cs="宋体"/>
          <w:b/>
          <w:color w:val="auto"/>
          <w:sz w:val="28"/>
          <w:szCs w:val="28"/>
          <w:highlight w:val="none"/>
        </w:rPr>
      </w:pPr>
      <w:r>
        <w:rPr>
          <w:rFonts w:hint="eastAsia" w:cs="宋体"/>
          <w:b/>
          <w:color w:val="auto"/>
          <w:sz w:val="24"/>
          <w:highlight w:val="none"/>
        </w:rPr>
        <w:t>附件：</w:t>
      </w:r>
      <w:r>
        <w:rPr>
          <w:rFonts w:hint="eastAsia" w:cs="宋体"/>
          <w:b/>
          <w:color w:val="auto"/>
          <w:sz w:val="24"/>
          <w:highlight w:val="none"/>
        </w:rPr>
        <w:br w:type="page"/>
      </w:r>
      <w:r>
        <w:rPr>
          <w:rFonts w:hint="eastAsia" w:cs="宋体"/>
          <w:b/>
          <w:bCs/>
          <w:color w:val="auto"/>
          <w:sz w:val="28"/>
          <w:szCs w:val="28"/>
          <w:highlight w:val="none"/>
        </w:rPr>
        <w:t>5.法定代表人授权委托书的格式：</w:t>
      </w:r>
    </w:p>
    <w:p w14:paraId="53A86EF6">
      <w:pPr>
        <w:snapToGrid w:val="0"/>
        <w:spacing w:before="120" w:beforeLines="50" w:after="50"/>
        <w:jc w:val="center"/>
        <w:rPr>
          <w:rFonts w:ascii="宋体" w:cs="宋体"/>
          <w:b/>
          <w:color w:val="auto"/>
          <w:sz w:val="28"/>
          <w:szCs w:val="28"/>
          <w:highlight w:val="none"/>
        </w:rPr>
      </w:pPr>
      <w:r>
        <w:rPr>
          <w:rFonts w:hint="eastAsia" w:ascii="宋体" w:cs="宋体"/>
          <w:b/>
          <w:color w:val="auto"/>
          <w:sz w:val="28"/>
          <w:szCs w:val="28"/>
          <w:highlight w:val="none"/>
        </w:rPr>
        <w:t>法定代表人授权委托书</w:t>
      </w:r>
      <w:r>
        <w:rPr>
          <w:rFonts w:hint="eastAsia" w:ascii="宋体" w:cs="宋体"/>
          <w:b/>
          <w:bCs/>
          <w:color w:val="auto"/>
          <w:sz w:val="28"/>
          <w:szCs w:val="28"/>
          <w:highlight w:val="none"/>
        </w:rPr>
        <w:t>（如有委托时）</w:t>
      </w:r>
    </w:p>
    <w:p w14:paraId="6A064A94">
      <w:pPr>
        <w:snapToGrid w:val="0"/>
        <w:spacing w:before="120" w:beforeLines="50" w:after="50"/>
        <w:jc w:val="center"/>
        <w:rPr>
          <w:rFonts w:ascii="宋体" w:cs="宋体"/>
          <w:b/>
          <w:color w:val="auto"/>
          <w:sz w:val="24"/>
          <w:highlight w:val="none"/>
        </w:rPr>
      </w:pPr>
    </w:p>
    <w:p w14:paraId="09A18984">
      <w:pPr>
        <w:pStyle w:val="14"/>
        <w:spacing w:line="360" w:lineRule="exact"/>
        <w:ind w:firstLine="420" w:firstLineChars="200"/>
        <w:rPr>
          <w:rFonts w:cs="宋体"/>
          <w:color w:val="auto"/>
          <w:highlight w:val="none"/>
        </w:rPr>
      </w:pPr>
      <w:r>
        <w:rPr>
          <w:rFonts w:hint="eastAsia" w:cs="宋体"/>
          <w:color w:val="auto"/>
          <w:highlight w:val="none"/>
        </w:rPr>
        <w:t>致：</w:t>
      </w:r>
      <w:r>
        <w:rPr>
          <w:rFonts w:hint="eastAsia" w:cs="宋体"/>
          <w:color w:val="auto"/>
          <w:highlight w:val="none"/>
          <w:u w:val="single"/>
        </w:rPr>
        <w:t xml:space="preserve"> </w:t>
      </w:r>
      <w:bookmarkStart w:id="285" w:name="PO_3000001919_PM031_2"/>
      <w:r>
        <w:rPr>
          <w:rFonts w:hint="eastAsia" w:cs="宋体"/>
          <w:color w:val="auto"/>
          <w:highlight w:val="none"/>
          <w:u w:val="single"/>
        </w:rPr>
        <w:t>广西科联招标中心有限公司</w:t>
      </w:r>
      <w:bookmarkEnd w:id="285"/>
    </w:p>
    <w:p w14:paraId="51793671">
      <w:pPr>
        <w:pStyle w:val="14"/>
        <w:spacing w:line="360" w:lineRule="exact"/>
        <w:ind w:firstLine="420" w:firstLineChars="200"/>
        <w:rPr>
          <w:rFonts w:cs="宋体"/>
          <w:color w:val="auto"/>
          <w:highlight w:val="none"/>
        </w:rPr>
      </w:pPr>
      <w:r>
        <w:rPr>
          <w:rFonts w:hint="eastAsia" w:cs="宋体"/>
          <w:color w:val="auto"/>
          <w:highlight w:val="none"/>
        </w:rPr>
        <w:t>本人</w:t>
      </w:r>
      <w:r>
        <w:rPr>
          <w:rFonts w:hint="eastAsia" w:cs="宋体"/>
          <w:color w:val="auto"/>
          <w:highlight w:val="none"/>
          <w:u w:val="single"/>
        </w:rPr>
        <w:t xml:space="preserve">        </w:t>
      </w:r>
      <w:r>
        <w:rPr>
          <w:rFonts w:hint="eastAsia" w:cs="宋体"/>
          <w:color w:val="auto"/>
          <w:highlight w:val="none"/>
        </w:rPr>
        <w:t>（姓名）系</w:t>
      </w:r>
      <w:r>
        <w:rPr>
          <w:rFonts w:hint="eastAsia" w:cs="宋体"/>
          <w:color w:val="auto"/>
          <w:highlight w:val="none"/>
          <w:u w:val="single"/>
        </w:rPr>
        <w:t xml:space="preserve">                 </w:t>
      </w:r>
      <w:r>
        <w:rPr>
          <w:rFonts w:hint="eastAsia" w:cs="宋体"/>
          <w:color w:val="auto"/>
          <w:highlight w:val="none"/>
        </w:rPr>
        <w:t>（投标人名称）的法定代表人，现授权我单位在职正式员工</w:t>
      </w:r>
      <w:r>
        <w:rPr>
          <w:rFonts w:hint="eastAsia" w:cs="宋体"/>
          <w:color w:val="auto"/>
          <w:highlight w:val="none"/>
          <w:u w:val="single"/>
        </w:rPr>
        <w:t xml:space="preserve">        </w:t>
      </w:r>
      <w:r>
        <w:rPr>
          <w:rFonts w:hint="eastAsia" w:cs="宋体"/>
          <w:color w:val="auto"/>
          <w:highlight w:val="none"/>
        </w:rPr>
        <w:t>（姓名和职务）为我方代理人。代理人根据授权，以我方名义签署、澄清、说明、补正、递交、撤回、修改贵方组织的</w:t>
      </w:r>
      <w:r>
        <w:rPr>
          <w:rFonts w:hint="eastAsia" w:cs="宋体"/>
          <w:color w:val="auto"/>
          <w:highlight w:val="none"/>
          <w:u w:val="single"/>
        </w:rPr>
        <w:t xml:space="preserve">  </w:t>
      </w:r>
      <w:r>
        <w:rPr>
          <w:rFonts w:hint="eastAsia" w:cs="宋体"/>
          <w:i/>
          <w:iCs/>
          <w:color w:val="auto"/>
          <w:highlight w:val="none"/>
          <w:u w:val="single"/>
        </w:rPr>
        <w:t>（项目名称）</w:t>
      </w:r>
      <w:r>
        <w:rPr>
          <w:rFonts w:hint="eastAsia" w:cs="宋体"/>
          <w:color w:val="auto"/>
          <w:highlight w:val="none"/>
          <w:u w:val="single"/>
        </w:rPr>
        <w:t xml:space="preserve">   </w:t>
      </w:r>
      <w:r>
        <w:rPr>
          <w:rFonts w:hint="eastAsia" w:cs="宋体"/>
          <w:color w:val="auto"/>
          <w:highlight w:val="none"/>
        </w:rPr>
        <w:t>项目（项目编号：</w:t>
      </w:r>
      <w:r>
        <w:rPr>
          <w:rFonts w:hint="eastAsia" w:cs="宋体"/>
          <w:color w:val="auto"/>
          <w:highlight w:val="none"/>
          <w:u w:val="single"/>
        </w:rPr>
        <w:t xml:space="preserve">       </w:t>
      </w:r>
      <w:r>
        <w:rPr>
          <w:rFonts w:hint="eastAsia" w:cs="宋体"/>
          <w:color w:val="auto"/>
          <w:highlight w:val="none"/>
        </w:rPr>
        <w:t>）的投标文件、签订合同和处理一切有关事宜，其法律后果由我方承担。</w:t>
      </w:r>
    </w:p>
    <w:p w14:paraId="0B2DDCD6">
      <w:pPr>
        <w:pStyle w:val="14"/>
        <w:spacing w:line="360" w:lineRule="exact"/>
        <w:ind w:firstLine="420" w:firstLineChars="200"/>
        <w:rPr>
          <w:rFonts w:cs="宋体"/>
          <w:color w:val="auto"/>
          <w:highlight w:val="none"/>
        </w:rPr>
      </w:pPr>
      <w:r>
        <w:rPr>
          <w:rFonts w:hint="eastAsia" w:cs="宋体"/>
          <w:color w:val="auto"/>
          <w:highlight w:val="none"/>
        </w:rPr>
        <w:t>本授权书于</w:t>
      </w:r>
      <w:r>
        <w:rPr>
          <w:rFonts w:hint="eastAsia" w:cs="宋体"/>
          <w:color w:val="auto"/>
          <w:spacing w:val="10"/>
          <w:sz w:val="24"/>
          <w:highlight w:val="none"/>
          <w:u w:val="single"/>
        </w:rPr>
        <w:t xml:space="preserve">    </w:t>
      </w:r>
      <w:r>
        <w:rPr>
          <w:rFonts w:hint="eastAsia" w:cs="宋体"/>
          <w:color w:val="auto"/>
          <w:highlight w:val="none"/>
        </w:rPr>
        <w:t>年</w:t>
      </w:r>
      <w:r>
        <w:rPr>
          <w:rFonts w:hint="eastAsia" w:cs="宋体"/>
          <w:color w:val="auto"/>
          <w:spacing w:val="10"/>
          <w:sz w:val="24"/>
          <w:highlight w:val="none"/>
          <w:u w:val="single"/>
        </w:rPr>
        <w:t xml:space="preserve">    </w:t>
      </w:r>
      <w:r>
        <w:rPr>
          <w:rFonts w:hint="eastAsia" w:cs="宋体"/>
          <w:color w:val="auto"/>
          <w:highlight w:val="none"/>
        </w:rPr>
        <w:t>月</w:t>
      </w:r>
      <w:r>
        <w:rPr>
          <w:rFonts w:hint="eastAsia" w:cs="宋体"/>
          <w:color w:val="auto"/>
          <w:spacing w:val="10"/>
          <w:sz w:val="24"/>
          <w:highlight w:val="none"/>
          <w:u w:val="single"/>
        </w:rPr>
        <w:t xml:space="preserve">    </w:t>
      </w:r>
      <w:r>
        <w:rPr>
          <w:rFonts w:hint="eastAsia" w:cs="宋体"/>
          <w:color w:val="auto"/>
          <w:highlight w:val="none"/>
        </w:rPr>
        <w:t>日签字生效，委托期限：</w:t>
      </w:r>
      <w:r>
        <w:rPr>
          <w:rFonts w:hint="eastAsia" w:cs="宋体"/>
          <w:color w:val="auto"/>
          <w:spacing w:val="10"/>
          <w:sz w:val="24"/>
          <w:highlight w:val="none"/>
          <w:u w:val="single"/>
        </w:rPr>
        <w:t xml:space="preserve">          </w:t>
      </w:r>
      <w:r>
        <w:rPr>
          <w:rFonts w:hint="eastAsia" w:cs="宋体"/>
          <w:color w:val="auto"/>
          <w:highlight w:val="none"/>
        </w:rPr>
        <w:t>。</w:t>
      </w:r>
    </w:p>
    <w:p w14:paraId="5F92079D">
      <w:pPr>
        <w:pStyle w:val="14"/>
        <w:spacing w:line="360" w:lineRule="exact"/>
        <w:ind w:firstLine="420"/>
        <w:rPr>
          <w:rFonts w:cs="宋体"/>
          <w:color w:val="auto"/>
          <w:highlight w:val="none"/>
        </w:rPr>
      </w:pPr>
      <w:r>
        <w:rPr>
          <w:rFonts w:hint="eastAsia" w:cs="宋体"/>
          <w:color w:val="auto"/>
          <w:highlight w:val="none"/>
        </w:rPr>
        <w:t>代理人无转委托权。</w:t>
      </w:r>
    </w:p>
    <w:p w14:paraId="118C94CB">
      <w:pPr>
        <w:pStyle w:val="14"/>
        <w:spacing w:line="360" w:lineRule="exact"/>
        <w:ind w:firstLine="420"/>
        <w:rPr>
          <w:rFonts w:cs="宋体"/>
          <w:color w:val="auto"/>
          <w:highlight w:val="none"/>
        </w:rPr>
      </w:pPr>
    </w:p>
    <w:p w14:paraId="7B59374E">
      <w:pPr>
        <w:pStyle w:val="14"/>
        <w:spacing w:line="360" w:lineRule="exact"/>
        <w:ind w:firstLine="420"/>
        <w:rPr>
          <w:rFonts w:cs="宋体"/>
          <w:color w:val="auto"/>
          <w:highlight w:val="none"/>
          <w:u w:val="single"/>
        </w:rPr>
      </w:pPr>
      <w:r>
        <w:rPr>
          <w:rFonts w:hint="eastAsia" w:cs="宋体"/>
          <w:color w:val="auto"/>
          <w:highlight w:val="none"/>
        </w:rPr>
        <w:t>投标人名称（或联合体投标</w:t>
      </w:r>
      <w:r>
        <w:rPr>
          <w:rFonts w:hint="eastAsia" w:cs="宋体"/>
          <w:color w:val="auto"/>
          <w:kern w:val="0"/>
          <w:szCs w:val="21"/>
          <w:highlight w:val="none"/>
        </w:rPr>
        <w:t>牵头人名称</w:t>
      </w:r>
      <w:r>
        <w:rPr>
          <w:rFonts w:hint="eastAsia" w:cs="宋体"/>
          <w:color w:val="auto"/>
          <w:highlight w:val="none"/>
        </w:rPr>
        <w:t>）（盖公章）：</w:t>
      </w:r>
      <w:r>
        <w:rPr>
          <w:rFonts w:hint="eastAsia" w:cs="宋体"/>
          <w:color w:val="auto"/>
          <w:highlight w:val="none"/>
          <w:u w:val="single"/>
        </w:rPr>
        <w:t xml:space="preserve">                                    </w:t>
      </w:r>
    </w:p>
    <w:p w14:paraId="06EE431E">
      <w:pPr>
        <w:pStyle w:val="14"/>
        <w:spacing w:line="360" w:lineRule="exact"/>
        <w:ind w:firstLine="420"/>
        <w:rPr>
          <w:rFonts w:cs="宋体"/>
          <w:color w:val="auto"/>
          <w:highlight w:val="none"/>
          <w:u w:val="single"/>
        </w:rPr>
      </w:pPr>
      <w:r>
        <w:rPr>
          <w:rFonts w:hint="eastAsia" w:cs="宋体"/>
          <w:color w:val="auto"/>
          <w:highlight w:val="none"/>
        </w:rPr>
        <w:t>法定代表人（签字</w:t>
      </w:r>
      <w:r>
        <w:rPr>
          <w:rFonts w:hint="eastAsia" w:cs="宋体"/>
          <w:color w:val="auto"/>
          <w:kern w:val="0"/>
          <w:szCs w:val="21"/>
          <w:highlight w:val="none"/>
        </w:rPr>
        <w:t>或盖章</w:t>
      </w:r>
      <w:r>
        <w:rPr>
          <w:rFonts w:hint="eastAsia" w:cs="宋体"/>
          <w:color w:val="auto"/>
          <w:highlight w:val="none"/>
        </w:rPr>
        <w:t>）：</w:t>
      </w:r>
      <w:r>
        <w:rPr>
          <w:rFonts w:hint="eastAsia" w:cs="宋体"/>
          <w:color w:val="auto"/>
          <w:highlight w:val="none"/>
          <w:u w:val="single"/>
        </w:rPr>
        <w:t xml:space="preserve">                                     </w:t>
      </w:r>
    </w:p>
    <w:p w14:paraId="45E5F032">
      <w:pPr>
        <w:pStyle w:val="14"/>
        <w:spacing w:line="360" w:lineRule="exact"/>
        <w:ind w:firstLine="420"/>
        <w:rPr>
          <w:rFonts w:cs="宋体"/>
          <w:color w:val="auto"/>
          <w:highlight w:val="none"/>
          <w:u w:val="single"/>
        </w:rPr>
      </w:pPr>
      <w:r>
        <w:rPr>
          <w:rFonts w:hint="eastAsia" w:cs="宋体"/>
          <w:color w:val="auto"/>
          <w:highlight w:val="none"/>
        </w:rPr>
        <w:t>法定代表人身份证号码：</w:t>
      </w:r>
      <w:r>
        <w:rPr>
          <w:rFonts w:hint="eastAsia" w:cs="宋体"/>
          <w:color w:val="auto"/>
          <w:highlight w:val="none"/>
          <w:u w:val="single"/>
        </w:rPr>
        <w:t xml:space="preserve">                                   </w:t>
      </w:r>
    </w:p>
    <w:p w14:paraId="43A5D4E2">
      <w:pPr>
        <w:pStyle w:val="14"/>
        <w:spacing w:line="360" w:lineRule="exact"/>
        <w:ind w:firstLine="420" w:firstLineChars="200"/>
        <w:rPr>
          <w:rFonts w:cs="宋体"/>
          <w:color w:val="auto"/>
          <w:highlight w:val="none"/>
        </w:rPr>
      </w:pPr>
      <w:r>
        <w:rPr>
          <w:rFonts w:hint="eastAsia" w:cs="宋体"/>
          <w:color w:val="auto"/>
          <w:highlight w:val="none"/>
        </w:rPr>
        <w:t>委托代理人（签字</w:t>
      </w:r>
      <w:r>
        <w:rPr>
          <w:rFonts w:hint="eastAsia" w:cs="宋体"/>
          <w:color w:val="auto"/>
          <w:kern w:val="0"/>
          <w:szCs w:val="21"/>
          <w:highlight w:val="none"/>
        </w:rPr>
        <w:t>或盖章</w:t>
      </w:r>
      <w:r>
        <w:rPr>
          <w:rFonts w:hint="eastAsia" w:cs="宋体"/>
          <w:color w:val="auto"/>
          <w:highlight w:val="none"/>
        </w:rPr>
        <w:t>）：</w:t>
      </w:r>
      <w:r>
        <w:rPr>
          <w:rFonts w:hint="eastAsia" w:cs="宋体"/>
          <w:color w:val="auto"/>
          <w:highlight w:val="none"/>
          <w:u w:val="single"/>
        </w:rPr>
        <w:t xml:space="preserve">                                     </w:t>
      </w:r>
    </w:p>
    <w:p w14:paraId="0CAD80DF">
      <w:pPr>
        <w:pStyle w:val="14"/>
        <w:spacing w:line="360" w:lineRule="exact"/>
        <w:ind w:firstLine="420"/>
        <w:rPr>
          <w:rFonts w:cs="宋体"/>
          <w:color w:val="auto"/>
          <w:highlight w:val="none"/>
          <w:u w:val="single"/>
        </w:rPr>
      </w:pPr>
      <w:r>
        <w:rPr>
          <w:rFonts w:hint="eastAsia" w:cs="宋体"/>
          <w:color w:val="auto"/>
          <w:highlight w:val="none"/>
        </w:rPr>
        <w:t>委托代理人身份证号码：</w:t>
      </w:r>
      <w:r>
        <w:rPr>
          <w:rFonts w:hint="eastAsia" w:cs="宋体"/>
          <w:color w:val="auto"/>
          <w:highlight w:val="none"/>
          <w:u w:val="single"/>
        </w:rPr>
        <w:t xml:space="preserve">                                   </w:t>
      </w:r>
    </w:p>
    <w:p w14:paraId="761D9A58">
      <w:pPr>
        <w:pStyle w:val="14"/>
        <w:spacing w:line="360" w:lineRule="exact"/>
        <w:ind w:firstLine="420"/>
        <w:rPr>
          <w:rFonts w:cs="宋体"/>
          <w:color w:val="auto"/>
          <w:highlight w:val="none"/>
          <w:u w:val="single"/>
        </w:rPr>
      </w:pPr>
    </w:p>
    <w:p w14:paraId="1C38359D">
      <w:pPr>
        <w:pStyle w:val="14"/>
        <w:spacing w:line="360" w:lineRule="exact"/>
        <w:ind w:firstLine="420"/>
        <w:rPr>
          <w:rFonts w:cs="宋体"/>
          <w:color w:val="auto"/>
          <w:highlight w:val="none"/>
          <w:u w:val="single"/>
        </w:rPr>
      </w:pPr>
      <w:r>
        <w:rPr>
          <w:rFonts w:hint="eastAsia" w:cs="宋体"/>
          <w:color w:val="auto"/>
          <w:kern w:val="0"/>
          <w:szCs w:val="21"/>
          <w:highlight w:val="none"/>
        </w:rPr>
        <w:t>成员一名称</w:t>
      </w:r>
      <w:r>
        <w:rPr>
          <w:rFonts w:hint="eastAsia" w:cs="宋体"/>
          <w:color w:val="auto"/>
          <w:highlight w:val="none"/>
        </w:rPr>
        <w:t>（盖公章）：</w:t>
      </w:r>
      <w:r>
        <w:rPr>
          <w:rFonts w:hint="eastAsia" w:cs="宋体"/>
          <w:color w:val="auto"/>
          <w:highlight w:val="none"/>
          <w:u w:val="single"/>
        </w:rPr>
        <w:t xml:space="preserve">                                    </w:t>
      </w:r>
    </w:p>
    <w:p w14:paraId="58000D46">
      <w:pPr>
        <w:pStyle w:val="14"/>
        <w:spacing w:line="360" w:lineRule="exact"/>
        <w:ind w:firstLine="420"/>
        <w:rPr>
          <w:rFonts w:cs="宋体"/>
          <w:color w:val="auto"/>
          <w:highlight w:val="none"/>
          <w:u w:val="single"/>
        </w:rPr>
      </w:pPr>
      <w:r>
        <w:rPr>
          <w:rFonts w:hint="eastAsia" w:cs="宋体"/>
          <w:color w:val="auto"/>
          <w:highlight w:val="none"/>
        </w:rPr>
        <w:t>法定代表人（签字</w:t>
      </w:r>
      <w:r>
        <w:rPr>
          <w:rFonts w:hint="eastAsia" w:cs="宋体"/>
          <w:color w:val="auto"/>
          <w:kern w:val="0"/>
          <w:szCs w:val="21"/>
          <w:highlight w:val="none"/>
        </w:rPr>
        <w:t>或盖章</w:t>
      </w:r>
      <w:r>
        <w:rPr>
          <w:rFonts w:hint="eastAsia" w:cs="宋体"/>
          <w:color w:val="auto"/>
          <w:highlight w:val="none"/>
        </w:rPr>
        <w:t>）：</w:t>
      </w:r>
      <w:r>
        <w:rPr>
          <w:rFonts w:hint="eastAsia" w:cs="宋体"/>
          <w:color w:val="auto"/>
          <w:highlight w:val="none"/>
          <w:u w:val="single"/>
        </w:rPr>
        <w:t xml:space="preserve">                                      </w:t>
      </w:r>
    </w:p>
    <w:p w14:paraId="611EEDDE">
      <w:pPr>
        <w:pStyle w:val="7"/>
        <w:spacing w:line="360" w:lineRule="exact"/>
        <w:ind w:left="0" w:firstLine="420" w:firstLineChars="200"/>
        <w:rPr>
          <w:rFonts w:ascii="宋体" w:cs="宋体"/>
          <w:color w:val="auto"/>
          <w:highlight w:val="none"/>
          <w:u w:val="single"/>
        </w:rPr>
      </w:pPr>
      <w:r>
        <w:rPr>
          <w:rFonts w:hint="eastAsia" w:ascii="宋体" w:cs="宋体"/>
          <w:color w:val="auto"/>
          <w:highlight w:val="none"/>
        </w:rPr>
        <w:t>委托代理人（签字</w:t>
      </w:r>
      <w:r>
        <w:rPr>
          <w:rFonts w:hint="eastAsia" w:ascii="宋体" w:cs="宋体"/>
          <w:color w:val="auto"/>
          <w:kern w:val="0"/>
          <w:szCs w:val="21"/>
          <w:highlight w:val="none"/>
        </w:rPr>
        <w:t>或盖章</w:t>
      </w:r>
      <w:r>
        <w:rPr>
          <w:rFonts w:hint="eastAsia" w:ascii="宋体" w:cs="宋体"/>
          <w:color w:val="auto"/>
          <w:highlight w:val="none"/>
        </w:rPr>
        <w:t>）：</w:t>
      </w:r>
      <w:r>
        <w:rPr>
          <w:rFonts w:hint="eastAsia" w:ascii="宋体" w:cs="宋体"/>
          <w:color w:val="auto"/>
          <w:highlight w:val="none"/>
          <w:u w:val="single"/>
        </w:rPr>
        <w:t xml:space="preserve">                                      </w:t>
      </w:r>
    </w:p>
    <w:p w14:paraId="336679B2">
      <w:pPr>
        <w:spacing w:line="360" w:lineRule="exact"/>
        <w:ind w:firstLine="420" w:firstLineChars="200"/>
        <w:rPr>
          <w:color w:val="auto"/>
          <w:highlight w:val="none"/>
        </w:rPr>
      </w:pPr>
      <w:r>
        <w:rPr>
          <w:rFonts w:hint="eastAsia" w:ascii="宋体" w:cs="宋体"/>
          <w:color w:val="auto"/>
          <w:highlight w:val="none"/>
        </w:rPr>
        <w:t>委托代理人身份证号码：</w:t>
      </w:r>
      <w:r>
        <w:rPr>
          <w:rFonts w:hint="eastAsia" w:ascii="宋体" w:cs="宋体"/>
          <w:color w:val="auto"/>
          <w:highlight w:val="none"/>
          <w:u w:val="single"/>
        </w:rPr>
        <w:t xml:space="preserve">                                    </w:t>
      </w:r>
    </w:p>
    <w:p w14:paraId="59ABEAB5">
      <w:pPr>
        <w:pStyle w:val="14"/>
        <w:spacing w:line="360" w:lineRule="exact"/>
        <w:ind w:firstLine="420"/>
        <w:rPr>
          <w:rFonts w:cs="宋体"/>
          <w:color w:val="auto"/>
          <w:highlight w:val="none"/>
          <w:u w:val="single"/>
        </w:rPr>
      </w:pPr>
    </w:p>
    <w:p w14:paraId="7FA90C6A">
      <w:pPr>
        <w:autoSpaceDE w:val="0"/>
        <w:autoSpaceDN w:val="0"/>
        <w:adjustRightInd w:val="0"/>
        <w:spacing w:line="36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成员二名称（盖公章）：</w:t>
      </w:r>
      <w:r>
        <w:rPr>
          <w:rFonts w:hint="eastAsia" w:ascii="宋体" w:cs="宋体"/>
          <w:color w:val="auto"/>
          <w:kern w:val="0"/>
          <w:szCs w:val="21"/>
          <w:highlight w:val="none"/>
          <w:u w:val="single"/>
        </w:rPr>
        <w:t xml:space="preserve">                                    </w:t>
      </w:r>
    </w:p>
    <w:p w14:paraId="740205B2">
      <w:pPr>
        <w:autoSpaceDE w:val="0"/>
        <w:autoSpaceDN w:val="0"/>
        <w:adjustRightInd w:val="0"/>
        <w:spacing w:line="36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法定代表人（签字或盖章）：</w:t>
      </w:r>
      <w:r>
        <w:rPr>
          <w:rFonts w:hint="eastAsia" w:ascii="宋体" w:cs="宋体"/>
          <w:color w:val="auto"/>
          <w:kern w:val="0"/>
          <w:szCs w:val="21"/>
          <w:highlight w:val="none"/>
          <w:u w:val="single"/>
        </w:rPr>
        <w:t xml:space="preserve">                                      </w:t>
      </w:r>
    </w:p>
    <w:p w14:paraId="3CF16291">
      <w:pPr>
        <w:pStyle w:val="7"/>
        <w:spacing w:line="360" w:lineRule="exact"/>
        <w:ind w:left="0" w:firstLine="420" w:firstLineChars="200"/>
        <w:rPr>
          <w:rFonts w:ascii="宋体" w:cs="宋体"/>
          <w:color w:val="auto"/>
          <w:highlight w:val="none"/>
          <w:u w:val="single"/>
        </w:rPr>
      </w:pPr>
      <w:r>
        <w:rPr>
          <w:rFonts w:hint="eastAsia" w:ascii="宋体" w:cs="宋体"/>
          <w:color w:val="auto"/>
          <w:highlight w:val="none"/>
        </w:rPr>
        <w:t>委托代理人（签字</w:t>
      </w:r>
      <w:r>
        <w:rPr>
          <w:rFonts w:hint="eastAsia" w:ascii="宋体" w:cs="宋体"/>
          <w:color w:val="auto"/>
          <w:kern w:val="0"/>
          <w:szCs w:val="21"/>
          <w:highlight w:val="none"/>
        </w:rPr>
        <w:t>或盖章</w:t>
      </w:r>
      <w:r>
        <w:rPr>
          <w:rFonts w:hint="eastAsia" w:ascii="宋体" w:cs="宋体"/>
          <w:color w:val="auto"/>
          <w:highlight w:val="none"/>
        </w:rPr>
        <w:t>）：</w:t>
      </w:r>
      <w:r>
        <w:rPr>
          <w:rFonts w:hint="eastAsia" w:ascii="宋体" w:cs="宋体"/>
          <w:color w:val="auto"/>
          <w:highlight w:val="none"/>
          <w:u w:val="single"/>
        </w:rPr>
        <w:t xml:space="preserve">                                      </w:t>
      </w:r>
    </w:p>
    <w:p w14:paraId="627CA3C8">
      <w:pPr>
        <w:spacing w:line="360" w:lineRule="exact"/>
        <w:ind w:firstLine="420" w:firstLineChars="200"/>
        <w:rPr>
          <w:color w:val="auto"/>
          <w:highlight w:val="none"/>
        </w:rPr>
      </w:pPr>
      <w:r>
        <w:rPr>
          <w:rFonts w:hint="eastAsia" w:ascii="宋体" w:cs="宋体"/>
          <w:color w:val="auto"/>
          <w:highlight w:val="none"/>
        </w:rPr>
        <w:t>委托代理人身份证号码：</w:t>
      </w:r>
      <w:r>
        <w:rPr>
          <w:rFonts w:hint="eastAsia" w:ascii="宋体" w:cs="宋体"/>
          <w:color w:val="auto"/>
          <w:highlight w:val="none"/>
          <w:u w:val="single"/>
        </w:rPr>
        <w:t xml:space="preserve">                                    </w:t>
      </w:r>
    </w:p>
    <w:p w14:paraId="7B77F996">
      <w:pPr>
        <w:pStyle w:val="17"/>
        <w:spacing w:line="360" w:lineRule="exact"/>
        <w:rPr>
          <w:color w:val="auto"/>
          <w:highlight w:val="none"/>
        </w:rPr>
      </w:pPr>
    </w:p>
    <w:p w14:paraId="5A0CA25F">
      <w:pPr>
        <w:pStyle w:val="14"/>
        <w:spacing w:line="360" w:lineRule="exact"/>
        <w:ind w:firstLine="420" w:firstLineChars="200"/>
        <w:rPr>
          <w:rFonts w:cs="宋体"/>
          <w:color w:val="auto"/>
          <w:highlight w:val="none"/>
        </w:rPr>
      </w:pPr>
      <w:r>
        <w:rPr>
          <w:rFonts w:hint="eastAsia" w:cs="宋体"/>
          <w:color w:val="auto"/>
          <w:highlight w:val="none"/>
        </w:rPr>
        <w:t>......</w:t>
      </w:r>
    </w:p>
    <w:p w14:paraId="5791AB50">
      <w:pPr>
        <w:spacing w:line="360" w:lineRule="exact"/>
        <w:ind w:firstLine="420" w:firstLineChars="200"/>
        <w:rPr>
          <w:rFonts w:ascii="宋体" w:cs="宋体"/>
          <w:color w:val="auto"/>
          <w:szCs w:val="21"/>
          <w:highlight w:val="none"/>
        </w:rPr>
      </w:pPr>
      <w:r>
        <w:rPr>
          <w:rFonts w:hint="eastAsia" w:ascii="宋体" w:cs="宋体"/>
          <w:color w:val="auto"/>
          <w:szCs w:val="21"/>
          <w:highlight w:val="none"/>
        </w:rPr>
        <w:t>注：</w:t>
      </w:r>
    </w:p>
    <w:p w14:paraId="5EDE22FD">
      <w:pPr>
        <w:spacing w:line="360" w:lineRule="exact"/>
        <w:ind w:firstLine="420" w:firstLineChars="200"/>
        <w:rPr>
          <w:rFonts w:ascii="宋体" w:cs="宋体"/>
          <w:color w:val="auto"/>
          <w:szCs w:val="21"/>
          <w:highlight w:val="none"/>
        </w:rPr>
      </w:pPr>
      <w:r>
        <w:rPr>
          <w:rFonts w:hint="eastAsia" w:ascii="宋体" w:cs="宋体"/>
          <w:color w:val="auto"/>
          <w:szCs w:val="21"/>
          <w:highlight w:val="none"/>
        </w:rPr>
        <w:t>1.法定代表人和委托代理人必须在授权委托书上</w:t>
      </w:r>
      <w:r>
        <w:rPr>
          <w:rFonts w:hint="eastAsia" w:ascii="宋体" w:cs="宋体"/>
          <w:color w:val="auto"/>
          <w:kern w:val="0"/>
          <w:szCs w:val="21"/>
          <w:highlight w:val="none"/>
        </w:rPr>
        <w:t>签字或盖章</w:t>
      </w:r>
      <w:r>
        <w:rPr>
          <w:rFonts w:hint="eastAsia" w:ascii="宋体" w:cs="宋体"/>
          <w:color w:val="auto"/>
          <w:szCs w:val="21"/>
          <w:highlight w:val="none"/>
        </w:rPr>
        <w:t>，</w:t>
      </w:r>
      <w:r>
        <w:rPr>
          <w:rFonts w:hint="eastAsia" w:ascii="宋体" w:cs="宋体"/>
          <w:b/>
          <w:bCs/>
          <w:color w:val="auto"/>
          <w:szCs w:val="21"/>
          <w:highlight w:val="none"/>
        </w:rPr>
        <w:t>否则作无效投标处理</w:t>
      </w:r>
      <w:r>
        <w:rPr>
          <w:rFonts w:hint="eastAsia" w:ascii="宋体" w:cs="宋体"/>
          <w:color w:val="auto"/>
          <w:szCs w:val="21"/>
          <w:highlight w:val="none"/>
        </w:rPr>
        <w:t>。</w:t>
      </w:r>
    </w:p>
    <w:p w14:paraId="79BEEDA0">
      <w:pPr>
        <w:spacing w:line="360" w:lineRule="exact"/>
        <w:ind w:firstLine="420" w:firstLineChars="200"/>
        <w:rPr>
          <w:rFonts w:ascii="宋体" w:cs="宋体"/>
          <w:color w:val="auto"/>
          <w:szCs w:val="21"/>
          <w:highlight w:val="none"/>
        </w:rPr>
      </w:pPr>
      <w:r>
        <w:rPr>
          <w:rFonts w:hint="eastAsia" w:ascii="宋体" w:cs="宋体"/>
          <w:color w:val="auto"/>
          <w:szCs w:val="21"/>
          <w:highlight w:val="none"/>
        </w:rPr>
        <w:t>2.以联合体形式投标的，本授权委托书应由联合体牵头人的法定代表人按上述规定签署。</w:t>
      </w:r>
    </w:p>
    <w:p w14:paraId="1881222C">
      <w:pPr>
        <w:spacing w:line="360" w:lineRule="exact"/>
        <w:ind w:firstLine="420" w:firstLineChars="200"/>
        <w:rPr>
          <w:rFonts w:ascii="宋体" w:cs="宋体"/>
          <w:color w:val="auto"/>
          <w:szCs w:val="21"/>
          <w:highlight w:val="none"/>
        </w:rPr>
      </w:pPr>
      <w:r>
        <w:rPr>
          <w:rFonts w:hint="eastAsia" w:ascii="宋体" w:cs="宋体"/>
          <w:color w:val="auto"/>
          <w:szCs w:val="21"/>
          <w:highlight w:val="none"/>
        </w:rPr>
        <w:t>3.投标人为其他组织或者自然人时，本招标文件规定的法定代表人指负责人或者自然人。本招标文件所称负责人是指参加投标的其他组织营业执照上的负责人，本招标文件所称自然人指参与投标的自然人本人。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4636CDCD">
      <w:pPr>
        <w:spacing w:line="360" w:lineRule="exact"/>
        <w:ind w:firstLine="420" w:firstLineChars="200"/>
        <w:rPr>
          <w:rFonts w:ascii="宋体" w:cs="宋体"/>
          <w:color w:val="auto"/>
          <w:szCs w:val="21"/>
          <w:highlight w:val="none"/>
        </w:rPr>
      </w:pPr>
      <w:r>
        <w:rPr>
          <w:rFonts w:hint="eastAsia" w:ascii="宋体" w:cs="宋体"/>
          <w:color w:val="auto"/>
          <w:szCs w:val="21"/>
          <w:highlight w:val="none"/>
        </w:rPr>
        <w:t>4. 若为联合体投标须各方签字或盖章。</w:t>
      </w:r>
    </w:p>
    <w:p w14:paraId="43D252F5">
      <w:pPr>
        <w:spacing w:line="360" w:lineRule="auto"/>
        <w:rPr>
          <w:rFonts w:ascii="宋体" w:cs="宋体"/>
          <w:b/>
          <w:color w:val="auto"/>
          <w:sz w:val="24"/>
          <w:highlight w:val="none"/>
        </w:rPr>
      </w:pPr>
    </w:p>
    <w:p w14:paraId="4844B432">
      <w:pPr>
        <w:spacing w:line="360" w:lineRule="auto"/>
        <w:rPr>
          <w:rFonts w:ascii="宋体" w:cs="宋体"/>
          <w:b/>
          <w:color w:val="auto"/>
          <w:sz w:val="24"/>
          <w:highlight w:val="none"/>
        </w:rPr>
      </w:pPr>
      <w:r>
        <w:rPr>
          <w:rFonts w:hint="eastAsia" w:ascii="宋体" w:cs="宋体"/>
          <w:b/>
          <w:color w:val="auto"/>
          <w:sz w:val="24"/>
          <w:highlight w:val="none"/>
        </w:rPr>
        <w:t>附件：</w:t>
      </w:r>
    </w:p>
    <w:tbl>
      <w:tblPr>
        <w:tblStyle w:val="27"/>
        <w:tblpPr w:leftFromText="180" w:rightFromText="180" w:vertAnchor="text" w:horzAnchor="margin" w:tblpY="263"/>
        <w:tblW w:w="7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4EA7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tcPr>
          <w:p w14:paraId="54D399C0">
            <w:pPr>
              <w:spacing w:line="360" w:lineRule="auto"/>
              <w:rPr>
                <w:rFonts w:ascii="宋体" w:cs="宋体"/>
                <w:b/>
                <w:color w:val="auto"/>
                <w:sz w:val="24"/>
                <w:highlight w:val="none"/>
              </w:rPr>
            </w:pPr>
          </w:p>
          <w:p w14:paraId="3D37717E">
            <w:pPr>
              <w:spacing w:line="360" w:lineRule="auto"/>
              <w:rPr>
                <w:rFonts w:ascii="宋体" w:cs="宋体"/>
                <w:b/>
                <w:color w:val="auto"/>
                <w:sz w:val="24"/>
                <w:highlight w:val="none"/>
              </w:rPr>
            </w:pPr>
            <w:r>
              <w:rPr>
                <w:rFonts w:hint="eastAsia" w:ascii="宋体" w:cs="宋体"/>
                <w:b/>
                <w:bCs/>
                <w:color w:val="auto"/>
                <w:sz w:val="24"/>
                <w:highlight w:val="none"/>
              </w:rPr>
              <w:t>委托代理人有效</w:t>
            </w:r>
            <w:r>
              <w:rPr>
                <w:rFonts w:hint="eastAsia" w:ascii="宋体" w:cs="宋体"/>
                <w:b/>
                <w:color w:val="auto"/>
                <w:sz w:val="24"/>
                <w:highlight w:val="none"/>
              </w:rPr>
              <w:t>身份证复印件粘帖处（正、反面）</w:t>
            </w:r>
          </w:p>
        </w:tc>
      </w:tr>
    </w:tbl>
    <w:p w14:paraId="6B85B7D9">
      <w:pPr>
        <w:rPr>
          <w:rFonts w:ascii="宋体" w:cs="宋体"/>
          <w:b/>
          <w:color w:val="auto"/>
          <w:sz w:val="24"/>
          <w:szCs w:val="20"/>
          <w:highlight w:val="none"/>
        </w:rPr>
      </w:pPr>
      <w:r>
        <w:rPr>
          <w:rFonts w:hint="eastAsia" w:ascii="宋体" w:cs="宋体"/>
          <w:color w:val="auto"/>
          <w:sz w:val="24"/>
          <w:highlight w:val="none"/>
        </w:rPr>
        <w:br w:type="page"/>
      </w:r>
      <w:r>
        <w:rPr>
          <w:rFonts w:hint="eastAsia" w:ascii="宋体" w:cs="宋体"/>
          <w:b/>
          <w:color w:val="auto"/>
          <w:sz w:val="28"/>
          <w:szCs w:val="28"/>
          <w:highlight w:val="none"/>
        </w:rPr>
        <w:t>6.商务条款偏离表的格式：</w:t>
      </w:r>
    </w:p>
    <w:p w14:paraId="5DECD1EB">
      <w:pPr>
        <w:snapToGrid w:val="0"/>
        <w:spacing w:before="120" w:beforeLines="50" w:after="50"/>
        <w:rPr>
          <w:rFonts w:ascii="宋体" w:cs="宋体"/>
          <w:color w:val="auto"/>
          <w:highlight w:val="none"/>
        </w:rPr>
      </w:pPr>
    </w:p>
    <w:p w14:paraId="55BE54F3">
      <w:pPr>
        <w:jc w:val="center"/>
        <w:rPr>
          <w:rFonts w:ascii="宋体" w:cs="宋体"/>
          <w:b/>
          <w:bCs/>
          <w:color w:val="auto"/>
          <w:sz w:val="28"/>
          <w:szCs w:val="28"/>
          <w:highlight w:val="none"/>
        </w:rPr>
      </w:pPr>
      <w:r>
        <w:rPr>
          <w:rFonts w:hint="eastAsia" w:ascii="宋体" w:cs="宋体"/>
          <w:b/>
          <w:bCs/>
          <w:color w:val="auto"/>
          <w:sz w:val="28"/>
          <w:szCs w:val="28"/>
          <w:highlight w:val="none"/>
        </w:rPr>
        <w:t>商务条款偏离表</w:t>
      </w:r>
    </w:p>
    <w:p w14:paraId="1EB9911A">
      <w:pPr>
        <w:jc w:val="center"/>
        <w:rPr>
          <w:rFonts w:ascii="宋体" w:cs="宋体"/>
          <w:color w:val="auto"/>
          <w:sz w:val="30"/>
          <w:szCs w:val="20"/>
          <w:highlight w:val="none"/>
        </w:rPr>
      </w:pPr>
    </w:p>
    <w:p w14:paraId="3059E57E">
      <w:pPr>
        <w:spacing w:line="360" w:lineRule="auto"/>
        <w:contextualSpacing/>
        <w:rPr>
          <w:rFonts w:ascii="宋体" w:cs="宋体"/>
          <w:color w:val="auto"/>
          <w:sz w:val="24"/>
          <w:highlight w:val="none"/>
        </w:rPr>
      </w:pPr>
    </w:p>
    <w:p w14:paraId="616C5413">
      <w:pPr>
        <w:spacing w:line="480" w:lineRule="auto"/>
        <w:contextualSpacing/>
        <w:rPr>
          <w:rFonts w:ascii="宋体" w:cs="宋体"/>
          <w:color w:val="auto"/>
          <w:sz w:val="24"/>
          <w:highlight w:val="none"/>
          <w:u w:val="single"/>
        </w:rPr>
      </w:pPr>
      <w:r>
        <w:rPr>
          <w:rFonts w:hint="eastAsia" w:ascii="宋体" w:cs="宋体"/>
          <w:color w:val="auto"/>
          <w:sz w:val="24"/>
          <w:highlight w:val="none"/>
        </w:rPr>
        <w:t>项目名称：</w:t>
      </w:r>
      <w:r>
        <w:rPr>
          <w:rFonts w:hint="eastAsia" w:ascii="宋体" w:cs="宋体"/>
          <w:color w:val="auto"/>
          <w:sz w:val="24"/>
          <w:highlight w:val="none"/>
          <w:u w:val="single"/>
        </w:rPr>
        <w:t xml:space="preserve">                 </w:t>
      </w:r>
    </w:p>
    <w:p w14:paraId="318B67AD">
      <w:pPr>
        <w:spacing w:line="480" w:lineRule="auto"/>
        <w:contextualSpacing/>
        <w:jc w:val="left"/>
        <w:rPr>
          <w:rFonts w:ascii="宋体" w:cs="宋体"/>
          <w:color w:val="auto"/>
          <w:sz w:val="24"/>
          <w:highlight w:val="none"/>
        </w:rPr>
      </w:pPr>
      <w:r>
        <w:rPr>
          <w:rFonts w:hint="eastAsia" w:ascii="宋体" w:cs="宋体"/>
          <w:color w:val="auto"/>
          <w:sz w:val="24"/>
          <w:highlight w:val="none"/>
        </w:rPr>
        <w:t>项目编号：</w:t>
      </w:r>
      <w:r>
        <w:rPr>
          <w:rFonts w:hint="eastAsia" w:ascii="宋体" w:cs="宋体"/>
          <w:color w:val="auto"/>
          <w:sz w:val="24"/>
          <w:highlight w:val="none"/>
          <w:u w:val="single"/>
        </w:rPr>
        <w:t xml:space="preserve">                 </w:t>
      </w:r>
    </w:p>
    <w:p w14:paraId="78AC0733">
      <w:pPr>
        <w:pStyle w:val="14"/>
        <w:spacing w:line="480" w:lineRule="auto"/>
        <w:ind w:left="-422" w:leftChars="-201" w:firstLine="424"/>
        <w:rPr>
          <w:rFonts w:cs="宋体"/>
          <w:color w:val="auto"/>
          <w:sz w:val="24"/>
          <w:szCs w:val="24"/>
          <w:highlight w:val="none"/>
        </w:rPr>
      </w:pPr>
      <w:r>
        <w:rPr>
          <w:rFonts w:hint="eastAsia" w:cs="宋体"/>
          <w:color w:val="auto"/>
          <w:sz w:val="24"/>
          <w:szCs w:val="24"/>
          <w:highlight w:val="none"/>
        </w:rPr>
        <w:t>所投分标（此处有分标时填写具体分标号，无分标时填写“无”）：</w:t>
      </w:r>
      <w:r>
        <w:rPr>
          <w:rFonts w:hint="eastAsia" w:cs="宋体"/>
          <w:color w:val="auto"/>
          <w:sz w:val="24"/>
          <w:szCs w:val="24"/>
          <w:highlight w:val="none"/>
          <w:u w:val="single"/>
        </w:rPr>
        <w:t xml:space="preserve">           </w:t>
      </w:r>
    </w:p>
    <w:tbl>
      <w:tblPr>
        <w:tblStyle w:val="27"/>
        <w:tblW w:w="8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3429"/>
        <w:gridCol w:w="3229"/>
        <w:gridCol w:w="1611"/>
      </w:tblGrid>
      <w:tr w14:paraId="0631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24" w:type="dxa"/>
            <w:tcBorders>
              <w:top w:val="single" w:color="auto" w:sz="4" w:space="0"/>
              <w:left w:val="single" w:color="auto" w:sz="4" w:space="0"/>
              <w:bottom w:val="single" w:color="auto" w:sz="4" w:space="0"/>
              <w:right w:val="single" w:color="auto" w:sz="4" w:space="0"/>
            </w:tcBorders>
            <w:vAlign w:val="center"/>
          </w:tcPr>
          <w:p w14:paraId="0EFB55D3">
            <w:pPr>
              <w:spacing w:line="340" w:lineRule="exact"/>
              <w:jc w:val="center"/>
              <w:rPr>
                <w:rFonts w:ascii="宋体" w:cs="宋体"/>
                <w:color w:val="auto"/>
                <w:sz w:val="24"/>
                <w:szCs w:val="24"/>
                <w:highlight w:val="none"/>
              </w:rPr>
            </w:pPr>
            <w:r>
              <w:rPr>
                <w:rFonts w:hint="eastAsia" w:ascii="宋体" w:cs="宋体"/>
                <w:color w:val="auto"/>
                <w:sz w:val="24"/>
                <w:szCs w:val="24"/>
                <w:highlight w:val="none"/>
              </w:rPr>
              <w:t>项号</w:t>
            </w:r>
          </w:p>
        </w:tc>
        <w:tc>
          <w:tcPr>
            <w:tcW w:w="3429" w:type="dxa"/>
            <w:tcBorders>
              <w:top w:val="single" w:color="auto" w:sz="4" w:space="0"/>
              <w:left w:val="single" w:color="auto" w:sz="4" w:space="0"/>
              <w:bottom w:val="single" w:color="auto" w:sz="4" w:space="0"/>
              <w:right w:val="single" w:color="auto" w:sz="4" w:space="0"/>
            </w:tcBorders>
            <w:vAlign w:val="center"/>
          </w:tcPr>
          <w:p w14:paraId="42CD9045">
            <w:pPr>
              <w:spacing w:line="340" w:lineRule="exact"/>
              <w:jc w:val="center"/>
              <w:rPr>
                <w:rFonts w:ascii="宋体" w:cs="宋体"/>
                <w:color w:val="auto"/>
                <w:sz w:val="24"/>
                <w:szCs w:val="24"/>
                <w:highlight w:val="none"/>
              </w:rPr>
            </w:pPr>
            <w:r>
              <w:rPr>
                <w:rFonts w:hint="eastAsia" w:ascii="宋体" w:cs="宋体"/>
                <w:color w:val="auto"/>
                <w:sz w:val="24"/>
                <w:szCs w:val="24"/>
                <w:highlight w:val="none"/>
              </w:rPr>
              <w:t>招标文件的商务条款</w:t>
            </w:r>
          </w:p>
        </w:tc>
        <w:tc>
          <w:tcPr>
            <w:tcW w:w="3229" w:type="dxa"/>
            <w:tcBorders>
              <w:top w:val="single" w:color="auto" w:sz="4" w:space="0"/>
              <w:left w:val="single" w:color="auto" w:sz="4" w:space="0"/>
              <w:bottom w:val="single" w:color="auto" w:sz="4" w:space="0"/>
              <w:right w:val="single" w:color="auto" w:sz="4" w:space="0"/>
            </w:tcBorders>
            <w:vAlign w:val="center"/>
          </w:tcPr>
          <w:p w14:paraId="564368D1">
            <w:pPr>
              <w:spacing w:line="340" w:lineRule="exact"/>
              <w:jc w:val="center"/>
              <w:rPr>
                <w:rFonts w:ascii="宋体" w:cs="宋体"/>
                <w:color w:val="auto"/>
                <w:sz w:val="24"/>
                <w:szCs w:val="24"/>
                <w:highlight w:val="none"/>
              </w:rPr>
            </w:pPr>
            <w:r>
              <w:rPr>
                <w:rFonts w:hint="eastAsia" w:ascii="宋体" w:cs="宋体"/>
                <w:color w:val="auto"/>
                <w:sz w:val="24"/>
                <w:szCs w:val="24"/>
                <w:highlight w:val="none"/>
              </w:rPr>
              <w:t>投标文件响应的商务条款</w:t>
            </w:r>
          </w:p>
        </w:tc>
        <w:tc>
          <w:tcPr>
            <w:tcW w:w="1611" w:type="dxa"/>
            <w:tcBorders>
              <w:top w:val="single" w:color="auto" w:sz="4" w:space="0"/>
              <w:left w:val="single" w:color="auto" w:sz="4" w:space="0"/>
              <w:bottom w:val="single" w:color="auto" w:sz="4" w:space="0"/>
              <w:right w:val="single" w:color="auto" w:sz="4" w:space="0"/>
            </w:tcBorders>
            <w:vAlign w:val="center"/>
          </w:tcPr>
          <w:p w14:paraId="5790E4C7">
            <w:pPr>
              <w:spacing w:line="340" w:lineRule="exact"/>
              <w:jc w:val="center"/>
              <w:rPr>
                <w:rFonts w:ascii="宋体" w:cs="宋体"/>
                <w:color w:val="auto"/>
                <w:sz w:val="24"/>
                <w:szCs w:val="24"/>
                <w:highlight w:val="none"/>
              </w:rPr>
            </w:pPr>
            <w:r>
              <w:rPr>
                <w:rFonts w:hint="eastAsia" w:ascii="宋体" w:cs="宋体"/>
                <w:color w:val="auto"/>
                <w:sz w:val="24"/>
                <w:szCs w:val="24"/>
                <w:highlight w:val="none"/>
              </w:rPr>
              <w:t>偏离说明</w:t>
            </w:r>
          </w:p>
        </w:tc>
      </w:tr>
      <w:tr w14:paraId="3CAE9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24" w:type="dxa"/>
            <w:tcBorders>
              <w:top w:val="single" w:color="auto" w:sz="4" w:space="0"/>
              <w:left w:val="single" w:color="auto" w:sz="4" w:space="0"/>
              <w:bottom w:val="single" w:color="auto" w:sz="4" w:space="0"/>
              <w:right w:val="single" w:color="auto" w:sz="4" w:space="0"/>
            </w:tcBorders>
          </w:tcPr>
          <w:p w14:paraId="71B2AD99">
            <w:pPr>
              <w:spacing w:line="340" w:lineRule="exact"/>
              <w:rPr>
                <w:rFonts w:ascii="宋体" w:cs="宋体"/>
                <w:color w:val="auto"/>
                <w:sz w:val="24"/>
                <w:szCs w:val="24"/>
                <w:highlight w:val="none"/>
              </w:rPr>
            </w:pPr>
            <w:r>
              <w:rPr>
                <w:rFonts w:hint="eastAsia" w:ascii="宋体" w:cs="宋体"/>
                <w:color w:val="auto"/>
                <w:sz w:val="24"/>
                <w:szCs w:val="24"/>
                <w:highlight w:val="none"/>
              </w:rPr>
              <w:t>一</w:t>
            </w:r>
          </w:p>
        </w:tc>
        <w:tc>
          <w:tcPr>
            <w:tcW w:w="3429" w:type="dxa"/>
            <w:tcBorders>
              <w:top w:val="single" w:color="auto" w:sz="4" w:space="0"/>
              <w:left w:val="single" w:color="auto" w:sz="4" w:space="0"/>
              <w:bottom w:val="single" w:color="auto" w:sz="4" w:space="0"/>
              <w:right w:val="single" w:color="auto" w:sz="4" w:space="0"/>
            </w:tcBorders>
          </w:tcPr>
          <w:p w14:paraId="06277DEA">
            <w:pPr>
              <w:spacing w:line="340" w:lineRule="exact"/>
              <w:rPr>
                <w:rFonts w:ascii="宋体" w:cs="宋体"/>
                <w:color w:val="auto"/>
                <w:sz w:val="24"/>
                <w:szCs w:val="24"/>
                <w:highlight w:val="none"/>
              </w:rPr>
            </w:pPr>
          </w:p>
        </w:tc>
        <w:tc>
          <w:tcPr>
            <w:tcW w:w="3229" w:type="dxa"/>
            <w:tcBorders>
              <w:top w:val="single" w:color="auto" w:sz="4" w:space="0"/>
              <w:left w:val="single" w:color="auto" w:sz="4" w:space="0"/>
              <w:bottom w:val="single" w:color="auto" w:sz="4" w:space="0"/>
              <w:right w:val="single" w:color="auto" w:sz="4" w:space="0"/>
            </w:tcBorders>
          </w:tcPr>
          <w:p w14:paraId="69833572">
            <w:pPr>
              <w:spacing w:line="340" w:lineRule="exact"/>
              <w:rPr>
                <w:rFonts w:ascii="宋体" w:cs="宋体"/>
                <w:color w:val="auto"/>
                <w:sz w:val="24"/>
                <w:szCs w:val="24"/>
                <w:highlight w:val="none"/>
              </w:rPr>
            </w:pPr>
          </w:p>
        </w:tc>
        <w:tc>
          <w:tcPr>
            <w:tcW w:w="1611" w:type="dxa"/>
            <w:tcBorders>
              <w:top w:val="single" w:color="auto" w:sz="4" w:space="0"/>
              <w:left w:val="single" w:color="auto" w:sz="4" w:space="0"/>
              <w:bottom w:val="single" w:color="auto" w:sz="4" w:space="0"/>
              <w:right w:val="single" w:color="auto" w:sz="4" w:space="0"/>
            </w:tcBorders>
          </w:tcPr>
          <w:p w14:paraId="42D1E316">
            <w:pPr>
              <w:spacing w:line="300" w:lineRule="exact"/>
              <w:rPr>
                <w:rFonts w:ascii="宋体" w:cs="宋体"/>
                <w:color w:val="auto"/>
                <w:sz w:val="24"/>
                <w:szCs w:val="24"/>
                <w:highlight w:val="none"/>
              </w:rPr>
            </w:pPr>
          </w:p>
        </w:tc>
      </w:tr>
      <w:tr w14:paraId="1D5D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24" w:type="dxa"/>
            <w:tcBorders>
              <w:top w:val="single" w:color="auto" w:sz="4" w:space="0"/>
              <w:left w:val="single" w:color="auto" w:sz="4" w:space="0"/>
              <w:bottom w:val="single" w:color="auto" w:sz="4" w:space="0"/>
              <w:right w:val="single" w:color="auto" w:sz="4" w:space="0"/>
            </w:tcBorders>
          </w:tcPr>
          <w:p w14:paraId="57A05388">
            <w:pPr>
              <w:spacing w:line="340" w:lineRule="exact"/>
              <w:rPr>
                <w:rFonts w:ascii="宋体" w:cs="宋体"/>
                <w:color w:val="auto"/>
                <w:sz w:val="24"/>
                <w:szCs w:val="24"/>
                <w:highlight w:val="none"/>
              </w:rPr>
            </w:pPr>
            <w:r>
              <w:rPr>
                <w:rFonts w:hint="eastAsia" w:ascii="宋体" w:cs="宋体"/>
                <w:color w:val="auto"/>
                <w:sz w:val="24"/>
                <w:szCs w:val="24"/>
                <w:highlight w:val="none"/>
              </w:rPr>
              <w:t>二</w:t>
            </w:r>
          </w:p>
        </w:tc>
        <w:tc>
          <w:tcPr>
            <w:tcW w:w="3429" w:type="dxa"/>
            <w:tcBorders>
              <w:top w:val="single" w:color="auto" w:sz="4" w:space="0"/>
              <w:left w:val="single" w:color="auto" w:sz="4" w:space="0"/>
              <w:bottom w:val="single" w:color="auto" w:sz="4" w:space="0"/>
              <w:right w:val="single" w:color="auto" w:sz="4" w:space="0"/>
            </w:tcBorders>
          </w:tcPr>
          <w:p w14:paraId="52D7BBAB">
            <w:pPr>
              <w:spacing w:line="340" w:lineRule="exact"/>
              <w:rPr>
                <w:rFonts w:ascii="宋体" w:cs="宋体"/>
                <w:color w:val="auto"/>
                <w:sz w:val="24"/>
                <w:szCs w:val="24"/>
                <w:highlight w:val="none"/>
              </w:rPr>
            </w:pPr>
          </w:p>
        </w:tc>
        <w:tc>
          <w:tcPr>
            <w:tcW w:w="3229" w:type="dxa"/>
            <w:tcBorders>
              <w:top w:val="single" w:color="auto" w:sz="4" w:space="0"/>
              <w:left w:val="single" w:color="auto" w:sz="4" w:space="0"/>
              <w:bottom w:val="single" w:color="auto" w:sz="4" w:space="0"/>
              <w:right w:val="single" w:color="auto" w:sz="4" w:space="0"/>
            </w:tcBorders>
          </w:tcPr>
          <w:p w14:paraId="3FE4697F">
            <w:pPr>
              <w:spacing w:line="340" w:lineRule="exact"/>
              <w:rPr>
                <w:rFonts w:ascii="宋体" w:cs="宋体"/>
                <w:color w:val="auto"/>
                <w:sz w:val="24"/>
                <w:szCs w:val="24"/>
                <w:highlight w:val="none"/>
              </w:rPr>
            </w:pPr>
          </w:p>
        </w:tc>
        <w:tc>
          <w:tcPr>
            <w:tcW w:w="1611" w:type="dxa"/>
            <w:tcBorders>
              <w:top w:val="single" w:color="auto" w:sz="4" w:space="0"/>
              <w:left w:val="single" w:color="auto" w:sz="4" w:space="0"/>
              <w:bottom w:val="single" w:color="auto" w:sz="4" w:space="0"/>
              <w:right w:val="single" w:color="auto" w:sz="4" w:space="0"/>
            </w:tcBorders>
          </w:tcPr>
          <w:p w14:paraId="261AD03F">
            <w:pPr>
              <w:spacing w:line="300" w:lineRule="exact"/>
              <w:rPr>
                <w:rFonts w:ascii="宋体" w:cs="宋体"/>
                <w:color w:val="auto"/>
                <w:sz w:val="24"/>
                <w:szCs w:val="24"/>
                <w:highlight w:val="none"/>
              </w:rPr>
            </w:pPr>
          </w:p>
        </w:tc>
      </w:tr>
      <w:tr w14:paraId="309B1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24" w:type="dxa"/>
            <w:tcBorders>
              <w:top w:val="single" w:color="auto" w:sz="4" w:space="0"/>
              <w:left w:val="single" w:color="auto" w:sz="4" w:space="0"/>
              <w:bottom w:val="single" w:color="auto" w:sz="4" w:space="0"/>
              <w:right w:val="single" w:color="auto" w:sz="4" w:space="0"/>
            </w:tcBorders>
          </w:tcPr>
          <w:p w14:paraId="56122DE6">
            <w:pPr>
              <w:spacing w:line="340" w:lineRule="exact"/>
              <w:rPr>
                <w:rFonts w:ascii="宋体" w:cs="宋体"/>
                <w:color w:val="auto"/>
                <w:sz w:val="24"/>
                <w:szCs w:val="24"/>
                <w:highlight w:val="none"/>
              </w:rPr>
            </w:pPr>
            <w:r>
              <w:rPr>
                <w:rFonts w:hint="eastAsia" w:ascii="宋体" w:cs="宋体"/>
                <w:color w:val="auto"/>
                <w:sz w:val="24"/>
                <w:szCs w:val="24"/>
                <w:highlight w:val="none"/>
              </w:rPr>
              <w:t>...</w:t>
            </w:r>
          </w:p>
        </w:tc>
        <w:tc>
          <w:tcPr>
            <w:tcW w:w="3429" w:type="dxa"/>
            <w:tcBorders>
              <w:top w:val="single" w:color="auto" w:sz="4" w:space="0"/>
              <w:left w:val="single" w:color="auto" w:sz="4" w:space="0"/>
              <w:bottom w:val="single" w:color="auto" w:sz="4" w:space="0"/>
              <w:right w:val="single" w:color="auto" w:sz="4" w:space="0"/>
            </w:tcBorders>
          </w:tcPr>
          <w:p w14:paraId="09A6B0E3">
            <w:pPr>
              <w:spacing w:line="340" w:lineRule="exact"/>
              <w:rPr>
                <w:rFonts w:ascii="宋体" w:cs="宋体"/>
                <w:color w:val="auto"/>
                <w:sz w:val="24"/>
                <w:szCs w:val="24"/>
                <w:highlight w:val="none"/>
              </w:rPr>
            </w:pPr>
          </w:p>
        </w:tc>
        <w:tc>
          <w:tcPr>
            <w:tcW w:w="3229" w:type="dxa"/>
            <w:tcBorders>
              <w:top w:val="single" w:color="auto" w:sz="4" w:space="0"/>
              <w:left w:val="single" w:color="auto" w:sz="4" w:space="0"/>
              <w:bottom w:val="single" w:color="auto" w:sz="4" w:space="0"/>
              <w:right w:val="single" w:color="auto" w:sz="4" w:space="0"/>
            </w:tcBorders>
          </w:tcPr>
          <w:p w14:paraId="47EF704F">
            <w:pPr>
              <w:spacing w:line="340" w:lineRule="exact"/>
              <w:rPr>
                <w:rFonts w:ascii="宋体" w:cs="宋体"/>
                <w:color w:val="auto"/>
                <w:sz w:val="24"/>
                <w:szCs w:val="24"/>
                <w:highlight w:val="none"/>
              </w:rPr>
            </w:pPr>
          </w:p>
        </w:tc>
        <w:tc>
          <w:tcPr>
            <w:tcW w:w="1611" w:type="dxa"/>
            <w:tcBorders>
              <w:top w:val="single" w:color="auto" w:sz="4" w:space="0"/>
              <w:left w:val="single" w:color="auto" w:sz="4" w:space="0"/>
              <w:bottom w:val="single" w:color="auto" w:sz="4" w:space="0"/>
              <w:right w:val="single" w:color="auto" w:sz="4" w:space="0"/>
            </w:tcBorders>
          </w:tcPr>
          <w:p w14:paraId="5A763F41">
            <w:pPr>
              <w:spacing w:line="300" w:lineRule="exact"/>
              <w:rPr>
                <w:rFonts w:ascii="宋体" w:cs="宋体"/>
                <w:color w:val="auto"/>
                <w:sz w:val="24"/>
                <w:szCs w:val="24"/>
                <w:highlight w:val="none"/>
              </w:rPr>
            </w:pPr>
          </w:p>
        </w:tc>
      </w:tr>
    </w:tbl>
    <w:p w14:paraId="5CC44C90">
      <w:pPr>
        <w:pStyle w:val="14"/>
        <w:spacing w:line="360" w:lineRule="auto"/>
        <w:ind w:left="-708" w:leftChars="-337"/>
        <w:rPr>
          <w:rFonts w:cs="宋体"/>
          <w:color w:val="auto"/>
          <w:highlight w:val="none"/>
        </w:rPr>
      </w:pPr>
    </w:p>
    <w:p w14:paraId="7A17D6E6">
      <w:pPr>
        <w:pStyle w:val="14"/>
        <w:spacing w:line="360" w:lineRule="auto"/>
        <w:ind w:firstLine="480" w:firstLineChars="200"/>
        <w:rPr>
          <w:rFonts w:cs="宋体"/>
          <w:color w:val="auto"/>
          <w:sz w:val="24"/>
          <w:szCs w:val="24"/>
          <w:highlight w:val="none"/>
        </w:rPr>
      </w:pPr>
      <w:r>
        <w:rPr>
          <w:rFonts w:hint="eastAsia" w:cs="宋体"/>
          <w:color w:val="auto"/>
          <w:sz w:val="24"/>
          <w:szCs w:val="24"/>
          <w:highlight w:val="none"/>
        </w:rPr>
        <w:t>注：</w:t>
      </w:r>
    </w:p>
    <w:p w14:paraId="6B38B12F">
      <w:pPr>
        <w:pStyle w:val="14"/>
        <w:spacing w:line="360" w:lineRule="auto"/>
        <w:ind w:right="754" w:rightChars="359" w:firstLine="480" w:firstLineChars="200"/>
        <w:rPr>
          <w:rFonts w:cs="宋体"/>
          <w:color w:val="auto"/>
          <w:sz w:val="24"/>
          <w:szCs w:val="24"/>
          <w:highlight w:val="none"/>
        </w:rPr>
      </w:pPr>
      <w:r>
        <w:rPr>
          <w:rFonts w:hint="eastAsia" w:cs="宋体"/>
          <w:color w:val="auto"/>
          <w:sz w:val="24"/>
          <w:szCs w:val="24"/>
          <w:highlight w:val="none"/>
        </w:rPr>
        <w:t>1.表格内容均需按要求填写并加盖投标人公章。</w:t>
      </w:r>
    </w:p>
    <w:p w14:paraId="3E37F330">
      <w:pPr>
        <w:pStyle w:val="14"/>
        <w:spacing w:line="360" w:lineRule="auto"/>
        <w:ind w:right="754" w:rightChars="359" w:firstLine="480" w:firstLineChars="200"/>
        <w:rPr>
          <w:rFonts w:cs="宋体"/>
          <w:color w:val="auto"/>
          <w:sz w:val="24"/>
          <w:szCs w:val="24"/>
          <w:highlight w:val="none"/>
        </w:rPr>
      </w:pPr>
      <w:r>
        <w:rPr>
          <w:rFonts w:hint="eastAsia" w:cs="宋体"/>
          <w:color w:val="auto"/>
          <w:sz w:val="24"/>
          <w:szCs w:val="24"/>
          <w:highlight w:val="none"/>
        </w:rPr>
        <w:t>▲2.必须对本项目招标文件“第二章  采购需求”中“商务条款”的全部要求，详细填写响应的具体内容，并作出偏离说明。“偏离说明”一栏应当选择“正偏离”或“负偏离”或“无偏离”进行填写。</w:t>
      </w:r>
    </w:p>
    <w:p w14:paraId="2E1ACE13">
      <w:pPr>
        <w:pStyle w:val="14"/>
        <w:spacing w:line="360" w:lineRule="auto"/>
        <w:ind w:firstLine="480" w:firstLineChars="200"/>
        <w:rPr>
          <w:rFonts w:cs="宋体"/>
          <w:color w:val="auto"/>
          <w:sz w:val="24"/>
          <w:szCs w:val="24"/>
          <w:highlight w:val="none"/>
        </w:rPr>
      </w:pPr>
      <w:r>
        <w:rPr>
          <w:rFonts w:hint="eastAsia" w:cs="宋体"/>
          <w:color w:val="auto"/>
          <w:sz w:val="24"/>
          <w:szCs w:val="24"/>
          <w:highlight w:val="none"/>
        </w:rPr>
        <w:t>3.当投标文件的商务内容低于招标文件要求时，投标人应当如实写明“负偏离”。</w:t>
      </w:r>
    </w:p>
    <w:p w14:paraId="7B0A5EAB">
      <w:pPr>
        <w:snapToGrid w:val="0"/>
        <w:spacing w:before="50" w:after="50"/>
        <w:rPr>
          <w:rFonts w:ascii="宋体" w:cs="宋体"/>
          <w:color w:val="auto"/>
          <w:sz w:val="24"/>
          <w:highlight w:val="none"/>
        </w:rPr>
      </w:pPr>
    </w:p>
    <w:p w14:paraId="1152C39D">
      <w:pPr>
        <w:snapToGrid w:val="0"/>
        <w:spacing w:line="360" w:lineRule="auto"/>
        <w:ind w:firstLine="4935" w:firstLineChars="2350"/>
        <w:rPr>
          <w:rFonts w:hint="eastAsia" w:ascii="宋体" w:cs="宋体"/>
          <w:color w:val="auto"/>
          <w:kern w:val="0"/>
          <w:sz w:val="24"/>
          <w:highlight w:val="none"/>
          <w:lang w:val="zh-CN"/>
        </w:rPr>
      </w:pPr>
      <w:r>
        <w:rPr>
          <w:rFonts w:hint="eastAsia" w:ascii="宋体" w:cs="宋体"/>
          <w:color w:val="auto"/>
          <w:szCs w:val="21"/>
          <w:highlight w:val="none"/>
        </w:rPr>
        <w:t xml:space="preserve">  </w:t>
      </w:r>
      <w:r>
        <w:rPr>
          <w:rFonts w:hint="eastAsia" w:ascii="宋体" w:cs="宋体"/>
          <w:color w:val="auto"/>
          <w:szCs w:val="21"/>
          <w:highlight w:val="none"/>
          <w:lang w:val="en-US" w:eastAsia="zh-CN"/>
        </w:rPr>
        <w:t xml:space="preserve"> </w:t>
      </w:r>
      <w:r>
        <w:rPr>
          <w:rFonts w:hint="eastAsia" w:ascii="宋体" w:cs="宋体"/>
          <w:color w:val="auto"/>
          <w:kern w:val="0"/>
          <w:sz w:val="24"/>
          <w:highlight w:val="none"/>
          <w:lang w:val="zh-CN"/>
        </w:rPr>
        <w:t>投标人名称（盖公章）：</w:t>
      </w:r>
    </w:p>
    <w:p w14:paraId="0C8C32F3">
      <w:pPr>
        <w:snapToGrid w:val="0"/>
        <w:spacing w:line="360" w:lineRule="auto"/>
        <w:ind w:firstLine="5280" w:firstLineChars="2200"/>
        <w:rPr>
          <w:rFonts w:ascii="宋体" w:cs="宋体"/>
          <w:color w:val="auto"/>
          <w:kern w:val="0"/>
          <w:sz w:val="24"/>
          <w:highlight w:val="none"/>
          <w:lang w:val="zh-CN"/>
        </w:rPr>
      </w:pPr>
      <w:r>
        <w:rPr>
          <w:rFonts w:hint="eastAsia" w:ascii="宋体" w:cs="宋体"/>
          <w:color w:val="auto"/>
          <w:kern w:val="0"/>
          <w:sz w:val="24"/>
          <w:highlight w:val="none"/>
          <w:lang w:val="zh-CN"/>
        </w:rPr>
        <w:t>日期</w:t>
      </w:r>
      <w:r>
        <w:rPr>
          <w:rFonts w:hint="eastAsia" w:ascii="宋体" w:cs="宋体"/>
          <w:color w:val="auto"/>
          <w:kern w:val="0"/>
          <w:sz w:val="24"/>
          <w:highlight w:val="none"/>
        </w:rPr>
        <w:t>：</w:t>
      </w:r>
      <w:r>
        <w:rPr>
          <w:rFonts w:hint="eastAsia" w:ascii="宋体" w:cs="宋体"/>
          <w:color w:val="auto"/>
          <w:kern w:val="0"/>
          <w:sz w:val="24"/>
          <w:highlight w:val="none"/>
          <w:lang w:val="en-US" w:eastAsia="zh-CN"/>
        </w:rPr>
        <w:t xml:space="preserve">    </w:t>
      </w:r>
      <w:r>
        <w:rPr>
          <w:rFonts w:hint="eastAsia" w:ascii="宋体" w:cs="宋体"/>
          <w:color w:val="auto"/>
          <w:kern w:val="0"/>
          <w:sz w:val="24"/>
          <w:highlight w:val="none"/>
        </w:rPr>
        <w:t>年</w:t>
      </w:r>
      <w:r>
        <w:rPr>
          <w:rFonts w:hint="eastAsia" w:ascii="宋体" w:cs="宋体"/>
          <w:color w:val="auto"/>
          <w:kern w:val="0"/>
          <w:sz w:val="24"/>
          <w:highlight w:val="none"/>
          <w:lang w:val="en-US" w:eastAsia="zh-CN"/>
        </w:rPr>
        <w:t xml:space="preserve">    </w:t>
      </w:r>
      <w:r>
        <w:rPr>
          <w:rFonts w:hint="eastAsia" w:ascii="宋体" w:cs="宋体"/>
          <w:color w:val="auto"/>
          <w:kern w:val="0"/>
          <w:sz w:val="24"/>
          <w:highlight w:val="none"/>
          <w:lang w:val="zh-CN"/>
        </w:rPr>
        <w:t>月</w:t>
      </w:r>
      <w:r>
        <w:rPr>
          <w:rFonts w:hint="eastAsia" w:ascii="宋体" w:cs="宋体"/>
          <w:color w:val="auto"/>
          <w:kern w:val="0"/>
          <w:sz w:val="24"/>
          <w:highlight w:val="none"/>
          <w:lang w:val="en-US" w:eastAsia="zh-CN"/>
        </w:rPr>
        <w:t xml:space="preserve">    </w:t>
      </w:r>
      <w:r>
        <w:rPr>
          <w:rFonts w:hint="eastAsia" w:ascii="宋体" w:cs="宋体"/>
          <w:color w:val="auto"/>
          <w:kern w:val="0"/>
          <w:sz w:val="24"/>
          <w:highlight w:val="none"/>
          <w:lang w:val="zh-CN"/>
        </w:rPr>
        <w:t>日</w:t>
      </w:r>
    </w:p>
    <w:p w14:paraId="44A181B5">
      <w:pPr>
        <w:widowControl/>
        <w:jc w:val="left"/>
        <w:rPr>
          <w:rFonts w:ascii="宋体" w:cs="宋体"/>
          <w:color w:val="auto"/>
          <w:szCs w:val="21"/>
          <w:highlight w:val="none"/>
        </w:rPr>
        <w:sectPr>
          <w:pgSz w:w="11906" w:h="16838"/>
          <w:pgMar w:top="1440" w:right="1134" w:bottom="1440" w:left="1197" w:header="851" w:footer="992" w:gutter="0"/>
          <w:cols w:space="720" w:num="1"/>
          <w:docGrid w:linePitch="312" w:charSpace="0"/>
        </w:sectPr>
      </w:pPr>
    </w:p>
    <w:p w14:paraId="76DE3631">
      <w:pPr>
        <w:pStyle w:val="20"/>
        <w:snapToGrid w:val="0"/>
        <w:ind w:left="602" w:hanging="602"/>
        <w:rPr>
          <w:rFonts w:ascii="宋体" w:cs="宋体"/>
          <w:i/>
          <w:iCs/>
          <w:color w:val="auto"/>
          <w:szCs w:val="28"/>
          <w:highlight w:val="none"/>
        </w:rPr>
      </w:pPr>
      <w:r>
        <w:rPr>
          <w:rFonts w:hint="eastAsia" w:ascii="宋体" w:cs="宋体"/>
          <w:b/>
          <w:bCs/>
          <w:color w:val="auto"/>
          <w:sz w:val="30"/>
          <w:szCs w:val="30"/>
          <w:highlight w:val="none"/>
        </w:rPr>
        <w:t>7.投标人类似的业绩证明文件（如有要求）：</w:t>
      </w:r>
    </w:p>
    <w:p w14:paraId="3F9E5630">
      <w:pPr>
        <w:spacing w:line="360" w:lineRule="auto"/>
        <w:ind w:firstLine="2880" w:firstLineChars="900"/>
        <w:contextualSpacing/>
        <w:rPr>
          <w:rFonts w:hint="eastAsia" w:ascii="宋体" w:cs="宋体"/>
          <w:color w:val="auto"/>
          <w:sz w:val="32"/>
          <w:szCs w:val="32"/>
          <w:highlight w:val="none"/>
        </w:rPr>
      </w:pPr>
    </w:p>
    <w:p w14:paraId="7D5FA679">
      <w:pPr>
        <w:spacing w:line="360" w:lineRule="auto"/>
        <w:contextualSpacing/>
        <w:jc w:val="center"/>
        <w:rPr>
          <w:rFonts w:ascii="宋体" w:cs="宋体"/>
          <w:color w:val="auto"/>
          <w:sz w:val="28"/>
          <w:szCs w:val="28"/>
          <w:highlight w:val="none"/>
        </w:rPr>
      </w:pPr>
      <w:r>
        <w:rPr>
          <w:rFonts w:hint="eastAsia" w:ascii="宋体" w:cs="宋体"/>
          <w:color w:val="auto"/>
          <w:sz w:val="28"/>
          <w:szCs w:val="28"/>
          <w:highlight w:val="none"/>
        </w:rPr>
        <w:t>类似项目的业绩一览表</w:t>
      </w:r>
    </w:p>
    <w:p w14:paraId="5BEC32FC">
      <w:pPr>
        <w:autoSpaceDE w:val="0"/>
        <w:autoSpaceDN w:val="0"/>
        <w:spacing w:line="360" w:lineRule="auto"/>
        <w:jc w:val="left"/>
        <w:rPr>
          <w:rFonts w:ascii="宋体" w:cs="宋体"/>
          <w:color w:val="auto"/>
          <w:sz w:val="24"/>
          <w:highlight w:val="none"/>
        </w:rPr>
      </w:pPr>
    </w:p>
    <w:p w14:paraId="17C9B407">
      <w:pPr>
        <w:autoSpaceDE w:val="0"/>
        <w:autoSpaceDN w:val="0"/>
        <w:spacing w:line="360" w:lineRule="auto"/>
        <w:jc w:val="left"/>
        <w:rPr>
          <w:rFonts w:ascii="宋体" w:cs="宋体"/>
          <w:color w:val="auto"/>
          <w:sz w:val="24"/>
          <w:highlight w:val="none"/>
        </w:rPr>
      </w:pPr>
      <w:r>
        <w:rPr>
          <w:rFonts w:hint="eastAsia" w:ascii="宋体" w:cs="宋体"/>
          <w:color w:val="auto"/>
          <w:sz w:val="24"/>
          <w:highlight w:val="none"/>
        </w:rPr>
        <w:t>所投分标（如有则填写，无分标时填写“无”或者留空）：</w:t>
      </w:r>
    </w:p>
    <w:tbl>
      <w:tblPr>
        <w:tblStyle w:val="27"/>
        <w:tblW w:w="971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24"/>
        <w:gridCol w:w="1813"/>
        <w:gridCol w:w="1687"/>
        <w:gridCol w:w="1016"/>
        <w:gridCol w:w="1016"/>
        <w:gridCol w:w="1018"/>
        <w:gridCol w:w="1938"/>
      </w:tblGrid>
      <w:tr w14:paraId="2C02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24" w:type="dxa"/>
            <w:vMerge w:val="restart"/>
            <w:tcBorders>
              <w:top w:val="single" w:color="auto" w:sz="4" w:space="0"/>
              <w:left w:val="single" w:color="auto" w:sz="4" w:space="0"/>
              <w:bottom w:val="single" w:color="auto" w:sz="4" w:space="0"/>
              <w:right w:val="single" w:color="auto" w:sz="4" w:space="0"/>
            </w:tcBorders>
            <w:vAlign w:val="center"/>
          </w:tcPr>
          <w:p w14:paraId="3977FAA3">
            <w:pPr>
              <w:snapToGrid w:val="0"/>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p w14:paraId="23805265">
            <w:pPr>
              <w:snapToGrid w:val="0"/>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813" w:type="dxa"/>
            <w:vMerge w:val="restart"/>
            <w:tcBorders>
              <w:top w:val="single" w:color="auto" w:sz="4" w:space="0"/>
              <w:left w:val="single" w:color="auto" w:sz="4" w:space="0"/>
              <w:bottom w:val="single" w:color="auto" w:sz="4" w:space="0"/>
              <w:right w:val="single" w:color="auto" w:sz="4" w:space="0"/>
            </w:tcBorders>
            <w:vAlign w:val="center"/>
          </w:tcPr>
          <w:p w14:paraId="71685F00">
            <w:pPr>
              <w:snapToGrid w:val="0"/>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687" w:type="dxa"/>
            <w:vMerge w:val="restart"/>
            <w:tcBorders>
              <w:top w:val="single" w:color="auto" w:sz="4" w:space="0"/>
              <w:left w:val="single" w:color="auto" w:sz="4" w:space="0"/>
              <w:bottom w:val="single" w:color="auto" w:sz="4" w:space="0"/>
              <w:right w:val="single" w:color="auto" w:sz="4" w:space="0"/>
            </w:tcBorders>
            <w:vAlign w:val="center"/>
          </w:tcPr>
          <w:p w14:paraId="3B13A3C7">
            <w:pPr>
              <w:snapToGrid w:val="0"/>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p w14:paraId="77E84306">
            <w:pPr>
              <w:snapToGrid w:val="0"/>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（万元）</w:t>
            </w:r>
          </w:p>
        </w:tc>
        <w:tc>
          <w:tcPr>
            <w:tcW w:w="3050" w:type="dxa"/>
            <w:gridSpan w:val="3"/>
            <w:tcBorders>
              <w:top w:val="single" w:color="auto" w:sz="4" w:space="0"/>
              <w:left w:val="single" w:color="auto" w:sz="4" w:space="0"/>
              <w:bottom w:val="single" w:color="auto" w:sz="4" w:space="0"/>
              <w:right w:val="single" w:color="auto" w:sz="4" w:space="0"/>
            </w:tcBorders>
            <w:vAlign w:val="center"/>
          </w:tcPr>
          <w:p w14:paraId="0146C207">
            <w:pPr>
              <w:snapToGrid w:val="0"/>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附件在投标文件中页码</w:t>
            </w:r>
          </w:p>
        </w:tc>
        <w:tc>
          <w:tcPr>
            <w:tcW w:w="1938" w:type="dxa"/>
            <w:vMerge w:val="restart"/>
            <w:tcBorders>
              <w:top w:val="single" w:color="auto" w:sz="4" w:space="0"/>
              <w:left w:val="single" w:color="auto" w:sz="4" w:space="0"/>
              <w:bottom w:val="single" w:color="auto" w:sz="4" w:space="0"/>
              <w:right w:val="single" w:color="auto" w:sz="4" w:space="0"/>
            </w:tcBorders>
            <w:vAlign w:val="center"/>
          </w:tcPr>
          <w:p w14:paraId="62F44BB9">
            <w:pPr>
              <w:snapToGrid w:val="0"/>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采购人联系人及</w:t>
            </w:r>
          </w:p>
          <w:p w14:paraId="00773AAB">
            <w:pPr>
              <w:snapToGrid w:val="0"/>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r>
      <w:tr w14:paraId="0399D3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24" w:type="dxa"/>
            <w:vMerge w:val="continue"/>
            <w:tcBorders>
              <w:top w:val="single" w:color="auto" w:sz="4" w:space="0"/>
              <w:left w:val="single" w:color="auto" w:sz="4" w:space="0"/>
              <w:bottom w:val="single" w:color="auto" w:sz="4" w:space="0"/>
              <w:right w:val="single" w:color="auto" w:sz="4" w:space="0"/>
            </w:tcBorders>
            <w:vAlign w:val="center"/>
          </w:tcPr>
          <w:p w14:paraId="258310AA">
            <w:pPr>
              <w:rPr>
                <w:rFonts w:hint="eastAsia" w:ascii="宋体" w:hAnsi="宋体" w:eastAsia="宋体" w:cs="宋体"/>
                <w:color w:val="auto"/>
                <w:sz w:val="24"/>
                <w:szCs w:val="24"/>
                <w:highlight w:val="none"/>
              </w:rPr>
            </w:pPr>
          </w:p>
        </w:tc>
        <w:tc>
          <w:tcPr>
            <w:tcW w:w="1813" w:type="dxa"/>
            <w:vMerge w:val="continue"/>
            <w:tcBorders>
              <w:top w:val="single" w:color="auto" w:sz="4" w:space="0"/>
              <w:left w:val="single" w:color="auto" w:sz="4" w:space="0"/>
              <w:bottom w:val="single" w:color="auto" w:sz="4" w:space="0"/>
              <w:right w:val="single" w:color="auto" w:sz="4" w:space="0"/>
            </w:tcBorders>
            <w:vAlign w:val="center"/>
          </w:tcPr>
          <w:p w14:paraId="06BF0BAB">
            <w:pPr>
              <w:rPr>
                <w:rFonts w:hint="eastAsia" w:ascii="宋体" w:hAnsi="宋体" w:eastAsia="宋体" w:cs="宋体"/>
                <w:color w:val="auto"/>
                <w:sz w:val="24"/>
                <w:szCs w:val="24"/>
                <w:highlight w:val="none"/>
              </w:rPr>
            </w:pPr>
          </w:p>
        </w:tc>
        <w:tc>
          <w:tcPr>
            <w:tcW w:w="1687" w:type="dxa"/>
            <w:vMerge w:val="continue"/>
            <w:tcBorders>
              <w:top w:val="single" w:color="auto" w:sz="4" w:space="0"/>
              <w:left w:val="single" w:color="auto" w:sz="4" w:space="0"/>
              <w:bottom w:val="single" w:color="auto" w:sz="4" w:space="0"/>
              <w:right w:val="single" w:color="auto" w:sz="4" w:space="0"/>
            </w:tcBorders>
            <w:vAlign w:val="center"/>
          </w:tcPr>
          <w:p w14:paraId="5F5DA7F1">
            <w:pPr>
              <w:rPr>
                <w:rFonts w:hint="eastAsia" w:ascii="宋体" w:hAnsi="宋体" w:eastAsia="宋体" w:cs="宋体"/>
                <w:color w:val="auto"/>
                <w:sz w:val="24"/>
                <w:szCs w:val="24"/>
                <w:highlight w:val="none"/>
              </w:rPr>
            </w:pPr>
          </w:p>
        </w:tc>
        <w:tc>
          <w:tcPr>
            <w:tcW w:w="1016" w:type="dxa"/>
            <w:tcBorders>
              <w:top w:val="single" w:color="auto" w:sz="4" w:space="0"/>
              <w:left w:val="single" w:color="auto" w:sz="4" w:space="0"/>
              <w:bottom w:val="single" w:color="auto" w:sz="4" w:space="0"/>
              <w:right w:val="single" w:color="auto" w:sz="4" w:space="0"/>
            </w:tcBorders>
            <w:vAlign w:val="center"/>
          </w:tcPr>
          <w:p w14:paraId="5805BF60">
            <w:pPr>
              <w:snapToGrid w:val="0"/>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w:t>
            </w:r>
          </w:p>
        </w:tc>
        <w:tc>
          <w:tcPr>
            <w:tcW w:w="1016" w:type="dxa"/>
            <w:tcBorders>
              <w:top w:val="single" w:color="auto" w:sz="4" w:space="0"/>
              <w:left w:val="single" w:color="auto" w:sz="4" w:space="0"/>
              <w:bottom w:val="single" w:color="auto" w:sz="4" w:space="0"/>
              <w:right w:val="single" w:color="auto" w:sz="4" w:space="0"/>
            </w:tcBorders>
            <w:vAlign w:val="center"/>
          </w:tcPr>
          <w:p w14:paraId="0262F603">
            <w:pPr>
              <w:snapToGrid w:val="0"/>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w:t>
            </w:r>
          </w:p>
          <w:p w14:paraId="7248CA07">
            <w:pPr>
              <w:snapToGrid w:val="0"/>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报告</w:t>
            </w:r>
          </w:p>
        </w:tc>
        <w:tc>
          <w:tcPr>
            <w:tcW w:w="1018" w:type="dxa"/>
            <w:tcBorders>
              <w:top w:val="single" w:color="auto" w:sz="4" w:space="0"/>
              <w:left w:val="single" w:color="auto" w:sz="4" w:space="0"/>
              <w:bottom w:val="single" w:color="auto" w:sz="4" w:space="0"/>
              <w:right w:val="single" w:color="auto" w:sz="4" w:space="0"/>
            </w:tcBorders>
            <w:vAlign w:val="center"/>
          </w:tcPr>
          <w:p w14:paraId="34C83EFE">
            <w:pPr>
              <w:snapToGrid w:val="0"/>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w:t>
            </w:r>
          </w:p>
          <w:p w14:paraId="098F87C6">
            <w:pPr>
              <w:snapToGrid w:val="0"/>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评价</w:t>
            </w:r>
          </w:p>
        </w:tc>
        <w:tc>
          <w:tcPr>
            <w:tcW w:w="1938" w:type="dxa"/>
            <w:vMerge w:val="continue"/>
            <w:tcBorders>
              <w:top w:val="single" w:color="auto" w:sz="4" w:space="0"/>
              <w:left w:val="single" w:color="auto" w:sz="4" w:space="0"/>
              <w:bottom w:val="single" w:color="auto" w:sz="4" w:space="0"/>
              <w:right w:val="single" w:color="auto" w:sz="4" w:space="0"/>
            </w:tcBorders>
            <w:vAlign w:val="center"/>
          </w:tcPr>
          <w:p w14:paraId="3DB61B91">
            <w:pPr>
              <w:rPr>
                <w:rFonts w:hint="eastAsia" w:ascii="宋体" w:hAnsi="宋体" w:eastAsia="宋体" w:cs="宋体"/>
                <w:color w:val="auto"/>
                <w:sz w:val="24"/>
                <w:szCs w:val="24"/>
                <w:highlight w:val="none"/>
              </w:rPr>
            </w:pPr>
          </w:p>
        </w:tc>
      </w:tr>
      <w:tr w14:paraId="5A560F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24" w:type="dxa"/>
            <w:tcBorders>
              <w:top w:val="single" w:color="auto" w:sz="4" w:space="0"/>
              <w:left w:val="single" w:color="auto" w:sz="4" w:space="0"/>
              <w:bottom w:val="single" w:color="auto" w:sz="4" w:space="0"/>
              <w:right w:val="single" w:color="auto" w:sz="4" w:space="0"/>
            </w:tcBorders>
          </w:tcPr>
          <w:p w14:paraId="6C7A1894">
            <w:pPr>
              <w:snapToGrid w:val="0"/>
              <w:spacing w:line="240" w:lineRule="exact"/>
              <w:jc w:val="left"/>
              <w:rPr>
                <w:rFonts w:hint="eastAsia" w:ascii="宋体" w:hAnsi="宋体" w:eastAsia="宋体" w:cs="宋体"/>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14:paraId="0DF28841">
            <w:pPr>
              <w:snapToGrid w:val="0"/>
              <w:spacing w:line="240" w:lineRule="exact"/>
              <w:jc w:val="left"/>
              <w:rPr>
                <w:rFonts w:hint="eastAsia" w:ascii="宋体" w:hAnsi="宋体" w:eastAsia="宋体" w:cs="宋体"/>
                <w:color w:val="auto"/>
                <w:sz w:val="24"/>
                <w:szCs w:val="24"/>
                <w:highlight w:val="none"/>
              </w:rPr>
            </w:pPr>
          </w:p>
        </w:tc>
        <w:tc>
          <w:tcPr>
            <w:tcW w:w="1687" w:type="dxa"/>
            <w:tcBorders>
              <w:top w:val="single" w:color="auto" w:sz="4" w:space="0"/>
              <w:left w:val="single" w:color="auto" w:sz="4" w:space="0"/>
              <w:bottom w:val="single" w:color="auto" w:sz="4" w:space="0"/>
              <w:right w:val="single" w:color="auto" w:sz="4" w:space="0"/>
            </w:tcBorders>
          </w:tcPr>
          <w:p w14:paraId="258DED02">
            <w:pPr>
              <w:snapToGrid w:val="0"/>
              <w:spacing w:line="240" w:lineRule="exact"/>
              <w:jc w:val="left"/>
              <w:rPr>
                <w:rFonts w:hint="eastAsia" w:ascii="宋体" w:hAnsi="宋体" w:eastAsia="宋体" w:cs="宋体"/>
                <w:color w:val="auto"/>
                <w:sz w:val="24"/>
                <w:szCs w:val="24"/>
                <w:highlight w:val="none"/>
              </w:rPr>
            </w:pPr>
          </w:p>
        </w:tc>
        <w:tc>
          <w:tcPr>
            <w:tcW w:w="1016" w:type="dxa"/>
            <w:tcBorders>
              <w:top w:val="single" w:color="auto" w:sz="4" w:space="0"/>
              <w:left w:val="single" w:color="auto" w:sz="4" w:space="0"/>
              <w:bottom w:val="single" w:color="auto" w:sz="4" w:space="0"/>
              <w:right w:val="single" w:color="auto" w:sz="4" w:space="0"/>
            </w:tcBorders>
          </w:tcPr>
          <w:p w14:paraId="64063E73">
            <w:pPr>
              <w:snapToGrid w:val="0"/>
              <w:spacing w:line="240" w:lineRule="exact"/>
              <w:jc w:val="left"/>
              <w:rPr>
                <w:rFonts w:hint="eastAsia" w:ascii="宋体" w:hAnsi="宋体" w:eastAsia="宋体" w:cs="宋体"/>
                <w:color w:val="auto"/>
                <w:sz w:val="24"/>
                <w:szCs w:val="24"/>
                <w:highlight w:val="none"/>
              </w:rPr>
            </w:pPr>
          </w:p>
        </w:tc>
        <w:tc>
          <w:tcPr>
            <w:tcW w:w="1016" w:type="dxa"/>
            <w:tcBorders>
              <w:top w:val="single" w:color="auto" w:sz="4" w:space="0"/>
              <w:left w:val="single" w:color="auto" w:sz="4" w:space="0"/>
              <w:bottom w:val="single" w:color="auto" w:sz="4" w:space="0"/>
              <w:right w:val="single" w:color="auto" w:sz="4" w:space="0"/>
            </w:tcBorders>
          </w:tcPr>
          <w:p w14:paraId="0ECD7AD2">
            <w:pPr>
              <w:snapToGrid w:val="0"/>
              <w:spacing w:line="240" w:lineRule="exact"/>
              <w:jc w:val="left"/>
              <w:rPr>
                <w:rFonts w:hint="eastAsia" w:ascii="宋体" w:hAnsi="宋体" w:eastAsia="宋体" w:cs="宋体"/>
                <w:color w:val="auto"/>
                <w:sz w:val="24"/>
                <w:szCs w:val="24"/>
                <w:highlight w:val="none"/>
              </w:rPr>
            </w:pPr>
          </w:p>
        </w:tc>
        <w:tc>
          <w:tcPr>
            <w:tcW w:w="1018" w:type="dxa"/>
            <w:tcBorders>
              <w:top w:val="single" w:color="auto" w:sz="4" w:space="0"/>
              <w:left w:val="single" w:color="auto" w:sz="4" w:space="0"/>
              <w:bottom w:val="single" w:color="auto" w:sz="4" w:space="0"/>
              <w:right w:val="single" w:color="auto" w:sz="4" w:space="0"/>
            </w:tcBorders>
          </w:tcPr>
          <w:p w14:paraId="722AD1A8">
            <w:pPr>
              <w:snapToGrid w:val="0"/>
              <w:spacing w:line="240" w:lineRule="exact"/>
              <w:jc w:val="left"/>
              <w:rPr>
                <w:rFonts w:hint="eastAsia" w:ascii="宋体" w:hAnsi="宋体" w:eastAsia="宋体" w:cs="宋体"/>
                <w:color w:val="auto"/>
                <w:sz w:val="24"/>
                <w:szCs w:val="24"/>
                <w:highlight w:val="none"/>
              </w:rPr>
            </w:pPr>
          </w:p>
        </w:tc>
        <w:tc>
          <w:tcPr>
            <w:tcW w:w="1938" w:type="dxa"/>
            <w:tcBorders>
              <w:top w:val="single" w:color="auto" w:sz="4" w:space="0"/>
              <w:left w:val="single" w:color="auto" w:sz="4" w:space="0"/>
              <w:bottom w:val="single" w:color="auto" w:sz="4" w:space="0"/>
              <w:right w:val="single" w:color="auto" w:sz="4" w:space="0"/>
            </w:tcBorders>
          </w:tcPr>
          <w:p w14:paraId="5F2A594B">
            <w:pPr>
              <w:snapToGrid w:val="0"/>
              <w:spacing w:line="240" w:lineRule="exact"/>
              <w:jc w:val="left"/>
              <w:rPr>
                <w:rFonts w:hint="eastAsia" w:ascii="宋体" w:hAnsi="宋体" w:eastAsia="宋体" w:cs="宋体"/>
                <w:color w:val="auto"/>
                <w:sz w:val="24"/>
                <w:szCs w:val="24"/>
                <w:highlight w:val="none"/>
              </w:rPr>
            </w:pPr>
          </w:p>
        </w:tc>
      </w:tr>
      <w:tr w14:paraId="22F10A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4" w:type="dxa"/>
            <w:tcBorders>
              <w:top w:val="single" w:color="auto" w:sz="4" w:space="0"/>
              <w:left w:val="single" w:color="auto" w:sz="4" w:space="0"/>
              <w:bottom w:val="single" w:color="auto" w:sz="4" w:space="0"/>
              <w:right w:val="single" w:color="auto" w:sz="4" w:space="0"/>
            </w:tcBorders>
          </w:tcPr>
          <w:p w14:paraId="648E54EB">
            <w:pPr>
              <w:snapToGrid w:val="0"/>
              <w:spacing w:before="50" w:after="165" w:afterLines="50" w:line="400" w:lineRule="exact"/>
              <w:jc w:val="left"/>
              <w:rPr>
                <w:rFonts w:hint="eastAsia" w:ascii="宋体" w:hAnsi="宋体" w:eastAsia="宋体" w:cs="宋体"/>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14:paraId="64587FAB">
            <w:pPr>
              <w:snapToGrid w:val="0"/>
              <w:spacing w:before="50" w:after="165" w:afterLines="50" w:line="400" w:lineRule="exact"/>
              <w:jc w:val="left"/>
              <w:rPr>
                <w:rFonts w:hint="eastAsia" w:ascii="宋体" w:hAnsi="宋体" w:eastAsia="宋体" w:cs="宋体"/>
                <w:color w:val="auto"/>
                <w:sz w:val="24"/>
                <w:szCs w:val="24"/>
                <w:highlight w:val="none"/>
              </w:rPr>
            </w:pPr>
          </w:p>
        </w:tc>
        <w:tc>
          <w:tcPr>
            <w:tcW w:w="1687" w:type="dxa"/>
            <w:tcBorders>
              <w:top w:val="single" w:color="auto" w:sz="4" w:space="0"/>
              <w:left w:val="single" w:color="auto" w:sz="4" w:space="0"/>
              <w:bottom w:val="single" w:color="auto" w:sz="4" w:space="0"/>
              <w:right w:val="single" w:color="auto" w:sz="4" w:space="0"/>
            </w:tcBorders>
          </w:tcPr>
          <w:p w14:paraId="1E18DBCE">
            <w:pPr>
              <w:snapToGrid w:val="0"/>
              <w:spacing w:before="50" w:after="165" w:afterLines="50" w:line="400" w:lineRule="exact"/>
              <w:jc w:val="left"/>
              <w:rPr>
                <w:rFonts w:hint="eastAsia" w:ascii="宋体" w:hAnsi="宋体" w:eastAsia="宋体" w:cs="宋体"/>
                <w:color w:val="auto"/>
                <w:sz w:val="24"/>
                <w:szCs w:val="24"/>
                <w:highlight w:val="none"/>
              </w:rPr>
            </w:pPr>
          </w:p>
        </w:tc>
        <w:tc>
          <w:tcPr>
            <w:tcW w:w="1016" w:type="dxa"/>
            <w:tcBorders>
              <w:top w:val="single" w:color="auto" w:sz="4" w:space="0"/>
              <w:left w:val="single" w:color="auto" w:sz="4" w:space="0"/>
              <w:bottom w:val="single" w:color="auto" w:sz="4" w:space="0"/>
              <w:right w:val="single" w:color="auto" w:sz="4" w:space="0"/>
            </w:tcBorders>
          </w:tcPr>
          <w:p w14:paraId="26F3E394">
            <w:pPr>
              <w:snapToGrid w:val="0"/>
              <w:spacing w:before="50" w:after="165" w:afterLines="50" w:line="400" w:lineRule="exact"/>
              <w:jc w:val="left"/>
              <w:rPr>
                <w:rFonts w:hint="eastAsia" w:ascii="宋体" w:hAnsi="宋体" w:eastAsia="宋体" w:cs="宋体"/>
                <w:color w:val="auto"/>
                <w:sz w:val="24"/>
                <w:szCs w:val="24"/>
                <w:highlight w:val="none"/>
              </w:rPr>
            </w:pPr>
          </w:p>
        </w:tc>
        <w:tc>
          <w:tcPr>
            <w:tcW w:w="1016" w:type="dxa"/>
            <w:tcBorders>
              <w:top w:val="single" w:color="auto" w:sz="4" w:space="0"/>
              <w:left w:val="single" w:color="auto" w:sz="4" w:space="0"/>
              <w:bottom w:val="single" w:color="auto" w:sz="4" w:space="0"/>
              <w:right w:val="single" w:color="auto" w:sz="4" w:space="0"/>
            </w:tcBorders>
          </w:tcPr>
          <w:p w14:paraId="65F9C3B0">
            <w:pPr>
              <w:snapToGrid w:val="0"/>
              <w:spacing w:before="50" w:after="165" w:afterLines="50" w:line="400" w:lineRule="exact"/>
              <w:jc w:val="left"/>
              <w:rPr>
                <w:rFonts w:hint="eastAsia" w:ascii="宋体" w:hAnsi="宋体" w:eastAsia="宋体" w:cs="宋体"/>
                <w:color w:val="auto"/>
                <w:sz w:val="24"/>
                <w:szCs w:val="24"/>
                <w:highlight w:val="none"/>
              </w:rPr>
            </w:pPr>
          </w:p>
        </w:tc>
        <w:tc>
          <w:tcPr>
            <w:tcW w:w="1018" w:type="dxa"/>
            <w:tcBorders>
              <w:top w:val="single" w:color="auto" w:sz="4" w:space="0"/>
              <w:left w:val="single" w:color="auto" w:sz="4" w:space="0"/>
              <w:bottom w:val="single" w:color="auto" w:sz="4" w:space="0"/>
              <w:right w:val="single" w:color="auto" w:sz="4" w:space="0"/>
            </w:tcBorders>
          </w:tcPr>
          <w:p w14:paraId="5DFBE727">
            <w:pPr>
              <w:snapToGrid w:val="0"/>
              <w:spacing w:before="50" w:after="165" w:afterLines="50" w:line="400" w:lineRule="exact"/>
              <w:jc w:val="left"/>
              <w:rPr>
                <w:rFonts w:hint="eastAsia" w:ascii="宋体" w:hAnsi="宋体" w:eastAsia="宋体" w:cs="宋体"/>
                <w:color w:val="auto"/>
                <w:sz w:val="24"/>
                <w:szCs w:val="24"/>
                <w:highlight w:val="none"/>
              </w:rPr>
            </w:pPr>
          </w:p>
        </w:tc>
        <w:tc>
          <w:tcPr>
            <w:tcW w:w="1938" w:type="dxa"/>
            <w:tcBorders>
              <w:top w:val="single" w:color="auto" w:sz="4" w:space="0"/>
              <w:left w:val="single" w:color="auto" w:sz="4" w:space="0"/>
              <w:bottom w:val="single" w:color="auto" w:sz="4" w:space="0"/>
              <w:right w:val="single" w:color="auto" w:sz="4" w:space="0"/>
            </w:tcBorders>
          </w:tcPr>
          <w:p w14:paraId="393CE613">
            <w:pPr>
              <w:snapToGrid w:val="0"/>
              <w:spacing w:before="50" w:after="165" w:afterLines="50" w:line="400" w:lineRule="exact"/>
              <w:jc w:val="left"/>
              <w:rPr>
                <w:rFonts w:hint="eastAsia" w:ascii="宋体" w:hAnsi="宋体" w:eastAsia="宋体" w:cs="宋体"/>
                <w:color w:val="auto"/>
                <w:sz w:val="24"/>
                <w:szCs w:val="24"/>
                <w:highlight w:val="none"/>
              </w:rPr>
            </w:pPr>
          </w:p>
        </w:tc>
      </w:tr>
      <w:tr w14:paraId="712E4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24" w:type="dxa"/>
            <w:tcBorders>
              <w:top w:val="single" w:color="auto" w:sz="4" w:space="0"/>
              <w:left w:val="single" w:color="auto" w:sz="4" w:space="0"/>
              <w:bottom w:val="single" w:color="auto" w:sz="4" w:space="0"/>
              <w:right w:val="single" w:color="auto" w:sz="4" w:space="0"/>
            </w:tcBorders>
          </w:tcPr>
          <w:p w14:paraId="6288C69D">
            <w:pPr>
              <w:snapToGrid w:val="0"/>
              <w:spacing w:before="50" w:after="165" w:afterLines="50" w:line="400" w:lineRule="exact"/>
              <w:jc w:val="left"/>
              <w:rPr>
                <w:rFonts w:hint="eastAsia" w:ascii="宋体" w:hAnsi="宋体" w:eastAsia="宋体" w:cs="宋体"/>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14:paraId="76AB663F">
            <w:pPr>
              <w:snapToGrid w:val="0"/>
              <w:spacing w:before="50" w:after="165" w:afterLines="50" w:line="400" w:lineRule="exact"/>
              <w:jc w:val="left"/>
              <w:rPr>
                <w:rFonts w:hint="eastAsia" w:ascii="宋体" w:hAnsi="宋体" w:eastAsia="宋体" w:cs="宋体"/>
                <w:color w:val="auto"/>
                <w:sz w:val="24"/>
                <w:szCs w:val="24"/>
                <w:highlight w:val="none"/>
              </w:rPr>
            </w:pPr>
          </w:p>
        </w:tc>
        <w:tc>
          <w:tcPr>
            <w:tcW w:w="1687" w:type="dxa"/>
            <w:tcBorders>
              <w:top w:val="single" w:color="auto" w:sz="4" w:space="0"/>
              <w:left w:val="single" w:color="auto" w:sz="4" w:space="0"/>
              <w:bottom w:val="single" w:color="auto" w:sz="4" w:space="0"/>
              <w:right w:val="single" w:color="auto" w:sz="4" w:space="0"/>
            </w:tcBorders>
          </w:tcPr>
          <w:p w14:paraId="6CB97939">
            <w:pPr>
              <w:snapToGrid w:val="0"/>
              <w:spacing w:before="50" w:after="165" w:afterLines="50" w:line="400" w:lineRule="exact"/>
              <w:jc w:val="left"/>
              <w:rPr>
                <w:rFonts w:hint="eastAsia" w:ascii="宋体" w:hAnsi="宋体" w:eastAsia="宋体" w:cs="宋体"/>
                <w:color w:val="auto"/>
                <w:sz w:val="24"/>
                <w:szCs w:val="24"/>
                <w:highlight w:val="none"/>
              </w:rPr>
            </w:pPr>
          </w:p>
        </w:tc>
        <w:tc>
          <w:tcPr>
            <w:tcW w:w="1016" w:type="dxa"/>
            <w:tcBorders>
              <w:top w:val="single" w:color="auto" w:sz="4" w:space="0"/>
              <w:left w:val="single" w:color="auto" w:sz="4" w:space="0"/>
              <w:bottom w:val="single" w:color="auto" w:sz="4" w:space="0"/>
              <w:right w:val="single" w:color="auto" w:sz="4" w:space="0"/>
            </w:tcBorders>
          </w:tcPr>
          <w:p w14:paraId="6E76EBDC">
            <w:pPr>
              <w:snapToGrid w:val="0"/>
              <w:spacing w:before="50" w:after="165" w:afterLines="50" w:line="400" w:lineRule="exact"/>
              <w:jc w:val="left"/>
              <w:rPr>
                <w:rFonts w:hint="eastAsia" w:ascii="宋体" w:hAnsi="宋体" w:eastAsia="宋体" w:cs="宋体"/>
                <w:color w:val="auto"/>
                <w:sz w:val="24"/>
                <w:szCs w:val="24"/>
                <w:highlight w:val="none"/>
              </w:rPr>
            </w:pPr>
          </w:p>
        </w:tc>
        <w:tc>
          <w:tcPr>
            <w:tcW w:w="1016" w:type="dxa"/>
            <w:tcBorders>
              <w:top w:val="single" w:color="auto" w:sz="4" w:space="0"/>
              <w:left w:val="single" w:color="auto" w:sz="4" w:space="0"/>
              <w:bottom w:val="single" w:color="auto" w:sz="4" w:space="0"/>
              <w:right w:val="single" w:color="auto" w:sz="4" w:space="0"/>
            </w:tcBorders>
          </w:tcPr>
          <w:p w14:paraId="66AF948A">
            <w:pPr>
              <w:snapToGrid w:val="0"/>
              <w:spacing w:before="50" w:after="165" w:afterLines="50" w:line="400" w:lineRule="exact"/>
              <w:jc w:val="left"/>
              <w:rPr>
                <w:rFonts w:hint="eastAsia" w:ascii="宋体" w:hAnsi="宋体" w:eastAsia="宋体" w:cs="宋体"/>
                <w:color w:val="auto"/>
                <w:sz w:val="24"/>
                <w:szCs w:val="24"/>
                <w:highlight w:val="none"/>
              </w:rPr>
            </w:pPr>
          </w:p>
        </w:tc>
        <w:tc>
          <w:tcPr>
            <w:tcW w:w="1018" w:type="dxa"/>
            <w:tcBorders>
              <w:top w:val="single" w:color="auto" w:sz="4" w:space="0"/>
              <w:left w:val="single" w:color="auto" w:sz="4" w:space="0"/>
              <w:bottom w:val="single" w:color="auto" w:sz="4" w:space="0"/>
              <w:right w:val="single" w:color="auto" w:sz="4" w:space="0"/>
            </w:tcBorders>
          </w:tcPr>
          <w:p w14:paraId="4114B166">
            <w:pPr>
              <w:snapToGrid w:val="0"/>
              <w:spacing w:before="50" w:after="165" w:afterLines="50" w:line="400" w:lineRule="exact"/>
              <w:jc w:val="left"/>
              <w:rPr>
                <w:rFonts w:hint="eastAsia" w:ascii="宋体" w:hAnsi="宋体" w:eastAsia="宋体" w:cs="宋体"/>
                <w:color w:val="auto"/>
                <w:sz w:val="24"/>
                <w:szCs w:val="24"/>
                <w:highlight w:val="none"/>
              </w:rPr>
            </w:pPr>
          </w:p>
        </w:tc>
        <w:tc>
          <w:tcPr>
            <w:tcW w:w="1938" w:type="dxa"/>
            <w:tcBorders>
              <w:top w:val="single" w:color="auto" w:sz="4" w:space="0"/>
              <w:left w:val="single" w:color="auto" w:sz="4" w:space="0"/>
              <w:bottom w:val="single" w:color="auto" w:sz="4" w:space="0"/>
              <w:right w:val="single" w:color="auto" w:sz="4" w:space="0"/>
            </w:tcBorders>
          </w:tcPr>
          <w:p w14:paraId="313DAC5D">
            <w:pPr>
              <w:snapToGrid w:val="0"/>
              <w:spacing w:before="50" w:after="165" w:afterLines="50" w:line="400" w:lineRule="exact"/>
              <w:jc w:val="left"/>
              <w:rPr>
                <w:rFonts w:hint="eastAsia" w:ascii="宋体" w:hAnsi="宋体" w:eastAsia="宋体" w:cs="宋体"/>
                <w:color w:val="auto"/>
                <w:sz w:val="24"/>
                <w:szCs w:val="24"/>
                <w:highlight w:val="none"/>
              </w:rPr>
            </w:pPr>
          </w:p>
        </w:tc>
      </w:tr>
      <w:tr w14:paraId="3A9071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4" w:type="dxa"/>
            <w:tcBorders>
              <w:top w:val="single" w:color="auto" w:sz="4" w:space="0"/>
              <w:left w:val="single" w:color="auto" w:sz="4" w:space="0"/>
              <w:bottom w:val="single" w:color="auto" w:sz="4" w:space="0"/>
              <w:right w:val="single" w:color="auto" w:sz="4" w:space="0"/>
            </w:tcBorders>
          </w:tcPr>
          <w:p w14:paraId="3E5B62F7">
            <w:pPr>
              <w:snapToGrid w:val="0"/>
              <w:spacing w:before="50" w:after="165" w:afterLines="50" w:line="400" w:lineRule="exact"/>
              <w:jc w:val="left"/>
              <w:rPr>
                <w:rFonts w:hint="eastAsia" w:ascii="宋体" w:hAnsi="宋体" w:eastAsia="宋体" w:cs="宋体"/>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14:paraId="1E5C4835">
            <w:pPr>
              <w:snapToGrid w:val="0"/>
              <w:spacing w:before="50" w:after="165" w:afterLines="50" w:line="400" w:lineRule="exact"/>
              <w:jc w:val="left"/>
              <w:rPr>
                <w:rFonts w:hint="eastAsia" w:ascii="宋体" w:hAnsi="宋体" w:eastAsia="宋体" w:cs="宋体"/>
                <w:color w:val="auto"/>
                <w:sz w:val="24"/>
                <w:szCs w:val="24"/>
                <w:highlight w:val="none"/>
              </w:rPr>
            </w:pPr>
          </w:p>
        </w:tc>
        <w:tc>
          <w:tcPr>
            <w:tcW w:w="1687" w:type="dxa"/>
            <w:tcBorders>
              <w:top w:val="single" w:color="auto" w:sz="4" w:space="0"/>
              <w:left w:val="single" w:color="auto" w:sz="4" w:space="0"/>
              <w:bottom w:val="single" w:color="auto" w:sz="4" w:space="0"/>
              <w:right w:val="single" w:color="auto" w:sz="4" w:space="0"/>
            </w:tcBorders>
          </w:tcPr>
          <w:p w14:paraId="4199E196">
            <w:pPr>
              <w:snapToGrid w:val="0"/>
              <w:spacing w:before="50" w:after="165" w:afterLines="50" w:line="400" w:lineRule="exact"/>
              <w:jc w:val="left"/>
              <w:rPr>
                <w:rFonts w:hint="eastAsia" w:ascii="宋体" w:hAnsi="宋体" w:eastAsia="宋体" w:cs="宋体"/>
                <w:color w:val="auto"/>
                <w:sz w:val="24"/>
                <w:szCs w:val="24"/>
                <w:highlight w:val="none"/>
              </w:rPr>
            </w:pPr>
          </w:p>
        </w:tc>
        <w:tc>
          <w:tcPr>
            <w:tcW w:w="1016" w:type="dxa"/>
            <w:tcBorders>
              <w:top w:val="single" w:color="auto" w:sz="4" w:space="0"/>
              <w:left w:val="single" w:color="auto" w:sz="4" w:space="0"/>
              <w:bottom w:val="single" w:color="auto" w:sz="4" w:space="0"/>
              <w:right w:val="single" w:color="auto" w:sz="4" w:space="0"/>
            </w:tcBorders>
          </w:tcPr>
          <w:p w14:paraId="71C13963">
            <w:pPr>
              <w:snapToGrid w:val="0"/>
              <w:spacing w:before="50" w:after="165" w:afterLines="50" w:line="400" w:lineRule="exact"/>
              <w:jc w:val="left"/>
              <w:rPr>
                <w:rFonts w:hint="eastAsia" w:ascii="宋体" w:hAnsi="宋体" w:eastAsia="宋体" w:cs="宋体"/>
                <w:color w:val="auto"/>
                <w:sz w:val="24"/>
                <w:szCs w:val="24"/>
                <w:highlight w:val="none"/>
              </w:rPr>
            </w:pPr>
          </w:p>
        </w:tc>
        <w:tc>
          <w:tcPr>
            <w:tcW w:w="1016" w:type="dxa"/>
            <w:tcBorders>
              <w:top w:val="single" w:color="auto" w:sz="4" w:space="0"/>
              <w:left w:val="single" w:color="auto" w:sz="4" w:space="0"/>
              <w:bottom w:val="single" w:color="auto" w:sz="4" w:space="0"/>
              <w:right w:val="single" w:color="auto" w:sz="4" w:space="0"/>
            </w:tcBorders>
          </w:tcPr>
          <w:p w14:paraId="3B73413D">
            <w:pPr>
              <w:snapToGrid w:val="0"/>
              <w:spacing w:before="50" w:after="165" w:afterLines="50" w:line="400" w:lineRule="exact"/>
              <w:jc w:val="left"/>
              <w:rPr>
                <w:rFonts w:hint="eastAsia" w:ascii="宋体" w:hAnsi="宋体" w:eastAsia="宋体" w:cs="宋体"/>
                <w:color w:val="auto"/>
                <w:sz w:val="24"/>
                <w:szCs w:val="24"/>
                <w:highlight w:val="none"/>
              </w:rPr>
            </w:pPr>
          </w:p>
        </w:tc>
        <w:tc>
          <w:tcPr>
            <w:tcW w:w="1018" w:type="dxa"/>
            <w:tcBorders>
              <w:top w:val="single" w:color="auto" w:sz="4" w:space="0"/>
              <w:left w:val="single" w:color="auto" w:sz="4" w:space="0"/>
              <w:bottom w:val="single" w:color="auto" w:sz="4" w:space="0"/>
              <w:right w:val="single" w:color="auto" w:sz="4" w:space="0"/>
            </w:tcBorders>
          </w:tcPr>
          <w:p w14:paraId="526B3008">
            <w:pPr>
              <w:snapToGrid w:val="0"/>
              <w:spacing w:before="50" w:after="165" w:afterLines="50" w:line="400" w:lineRule="exact"/>
              <w:jc w:val="left"/>
              <w:rPr>
                <w:rFonts w:hint="eastAsia" w:ascii="宋体" w:hAnsi="宋体" w:eastAsia="宋体" w:cs="宋体"/>
                <w:color w:val="auto"/>
                <w:sz w:val="24"/>
                <w:szCs w:val="24"/>
                <w:highlight w:val="none"/>
              </w:rPr>
            </w:pPr>
          </w:p>
        </w:tc>
        <w:tc>
          <w:tcPr>
            <w:tcW w:w="1938" w:type="dxa"/>
            <w:tcBorders>
              <w:top w:val="single" w:color="auto" w:sz="4" w:space="0"/>
              <w:left w:val="single" w:color="auto" w:sz="4" w:space="0"/>
              <w:bottom w:val="single" w:color="auto" w:sz="4" w:space="0"/>
              <w:right w:val="single" w:color="auto" w:sz="4" w:space="0"/>
            </w:tcBorders>
          </w:tcPr>
          <w:p w14:paraId="0CA0DA1E">
            <w:pPr>
              <w:snapToGrid w:val="0"/>
              <w:spacing w:before="50" w:after="165" w:afterLines="50" w:line="400" w:lineRule="exact"/>
              <w:jc w:val="left"/>
              <w:rPr>
                <w:rFonts w:hint="eastAsia" w:ascii="宋体" w:hAnsi="宋体" w:eastAsia="宋体" w:cs="宋体"/>
                <w:color w:val="auto"/>
                <w:sz w:val="24"/>
                <w:szCs w:val="24"/>
                <w:highlight w:val="none"/>
              </w:rPr>
            </w:pPr>
          </w:p>
        </w:tc>
      </w:tr>
      <w:tr w14:paraId="3335D0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4" w:type="dxa"/>
            <w:tcBorders>
              <w:top w:val="single" w:color="auto" w:sz="4" w:space="0"/>
              <w:left w:val="single" w:color="auto" w:sz="4" w:space="0"/>
              <w:bottom w:val="single" w:color="auto" w:sz="4" w:space="0"/>
              <w:right w:val="single" w:color="auto" w:sz="4" w:space="0"/>
            </w:tcBorders>
          </w:tcPr>
          <w:p w14:paraId="40F12E93">
            <w:pPr>
              <w:snapToGrid w:val="0"/>
              <w:spacing w:before="50" w:after="165" w:afterLines="50" w:line="400" w:lineRule="exact"/>
              <w:jc w:val="left"/>
              <w:rPr>
                <w:rFonts w:hint="eastAsia" w:ascii="宋体" w:hAnsi="宋体" w:eastAsia="宋体" w:cs="宋体"/>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14:paraId="3B9D885F">
            <w:pPr>
              <w:snapToGrid w:val="0"/>
              <w:spacing w:before="50" w:after="165" w:afterLines="50" w:line="400" w:lineRule="exact"/>
              <w:jc w:val="left"/>
              <w:rPr>
                <w:rFonts w:hint="eastAsia" w:ascii="宋体" w:hAnsi="宋体" w:eastAsia="宋体" w:cs="宋体"/>
                <w:color w:val="auto"/>
                <w:sz w:val="24"/>
                <w:szCs w:val="24"/>
                <w:highlight w:val="none"/>
              </w:rPr>
            </w:pPr>
          </w:p>
        </w:tc>
        <w:tc>
          <w:tcPr>
            <w:tcW w:w="1687" w:type="dxa"/>
            <w:tcBorders>
              <w:top w:val="single" w:color="auto" w:sz="4" w:space="0"/>
              <w:left w:val="single" w:color="auto" w:sz="4" w:space="0"/>
              <w:bottom w:val="single" w:color="auto" w:sz="4" w:space="0"/>
              <w:right w:val="single" w:color="auto" w:sz="4" w:space="0"/>
            </w:tcBorders>
          </w:tcPr>
          <w:p w14:paraId="70C6B0D7">
            <w:pPr>
              <w:snapToGrid w:val="0"/>
              <w:spacing w:before="50" w:after="165" w:afterLines="50" w:line="400" w:lineRule="exact"/>
              <w:jc w:val="left"/>
              <w:rPr>
                <w:rFonts w:hint="eastAsia" w:ascii="宋体" w:hAnsi="宋体" w:eastAsia="宋体" w:cs="宋体"/>
                <w:color w:val="auto"/>
                <w:sz w:val="24"/>
                <w:szCs w:val="24"/>
                <w:highlight w:val="none"/>
              </w:rPr>
            </w:pPr>
          </w:p>
        </w:tc>
        <w:tc>
          <w:tcPr>
            <w:tcW w:w="1016" w:type="dxa"/>
            <w:tcBorders>
              <w:top w:val="single" w:color="auto" w:sz="4" w:space="0"/>
              <w:left w:val="single" w:color="auto" w:sz="4" w:space="0"/>
              <w:bottom w:val="single" w:color="auto" w:sz="4" w:space="0"/>
              <w:right w:val="single" w:color="auto" w:sz="4" w:space="0"/>
            </w:tcBorders>
          </w:tcPr>
          <w:p w14:paraId="2026D1AF">
            <w:pPr>
              <w:snapToGrid w:val="0"/>
              <w:spacing w:before="50" w:after="165" w:afterLines="50" w:line="400" w:lineRule="exact"/>
              <w:jc w:val="left"/>
              <w:rPr>
                <w:rFonts w:hint="eastAsia" w:ascii="宋体" w:hAnsi="宋体" w:eastAsia="宋体" w:cs="宋体"/>
                <w:color w:val="auto"/>
                <w:sz w:val="24"/>
                <w:szCs w:val="24"/>
                <w:highlight w:val="none"/>
              </w:rPr>
            </w:pPr>
          </w:p>
        </w:tc>
        <w:tc>
          <w:tcPr>
            <w:tcW w:w="1016" w:type="dxa"/>
            <w:tcBorders>
              <w:top w:val="single" w:color="auto" w:sz="4" w:space="0"/>
              <w:left w:val="single" w:color="auto" w:sz="4" w:space="0"/>
              <w:bottom w:val="single" w:color="auto" w:sz="4" w:space="0"/>
              <w:right w:val="single" w:color="auto" w:sz="4" w:space="0"/>
            </w:tcBorders>
          </w:tcPr>
          <w:p w14:paraId="329DE535">
            <w:pPr>
              <w:snapToGrid w:val="0"/>
              <w:spacing w:before="50" w:after="165" w:afterLines="50" w:line="400" w:lineRule="exact"/>
              <w:jc w:val="left"/>
              <w:rPr>
                <w:rFonts w:hint="eastAsia" w:ascii="宋体" w:hAnsi="宋体" w:eastAsia="宋体" w:cs="宋体"/>
                <w:color w:val="auto"/>
                <w:sz w:val="24"/>
                <w:szCs w:val="24"/>
                <w:highlight w:val="none"/>
              </w:rPr>
            </w:pPr>
          </w:p>
        </w:tc>
        <w:tc>
          <w:tcPr>
            <w:tcW w:w="1018" w:type="dxa"/>
            <w:tcBorders>
              <w:top w:val="single" w:color="auto" w:sz="4" w:space="0"/>
              <w:left w:val="single" w:color="auto" w:sz="4" w:space="0"/>
              <w:bottom w:val="single" w:color="auto" w:sz="4" w:space="0"/>
              <w:right w:val="single" w:color="auto" w:sz="4" w:space="0"/>
            </w:tcBorders>
          </w:tcPr>
          <w:p w14:paraId="4DC60290">
            <w:pPr>
              <w:snapToGrid w:val="0"/>
              <w:spacing w:before="50" w:after="165" w:afterLines="50" w:line="400" w:lineRule="exact"/>
              <w:jc w:val="left"/>
              <w:rPr>
                <w:rFonts w:hint="eastAsia" w:ascii="宋体" w:hAnsi="宋体" w:eastAsia="宋体" w:cs="宋体"/>
                <w:color w:val="auto"/>
                <w:sz w:val="24"/>
                <w:szCs w:val="24"/>
                <w:highlight w:val="none"/>
              </w:rPr>
            </w:pPr>
          </w:p>
        </w:tc>
        <w:tc>
          <w:tcPr>
            <w:tcW w:w="1938" w:type="dxa"/>
            <w:tcBorders>
              <w:top w:val="single" w:color="auto" w:sz="4" w:space="0"/>
              <w:left w:val="single" w:color="auto" w:sz="4" w:space="0"/>
              <w:bottom w:val="single" w:color="auto" w:sz="4" w:space="0"/>
              <w:right w:val="single" w:color="auto" w:sz="4" w:space="0"/>
            </w:tcBorders>
          </w:tcPr>
          <w:p w14:paraId="54C23DEA">
            <w:pPr>
              <w:snapToGrid w:val="0"/>
              <w:spacing w:before="50" w:after="165" w:afterLines="50" w:line="400" w:lineRule="exact"/>
              <w:jc w:val="left"/>
              <w:rPr>
                <w:rFonts w:hint="eastAsia" w:ascii="宋体" w:hAnsi="宋体" w:eastAsia="宋体" w:cs="宋体"/>
                <w:color w:val="auto"/>
                <w:sz w:val="24"/>
                <w:szCs w:val="24"/>
                <w:highlight w:val="none"/>
              </w:rPr>
            </w:pPr>
          </w:p>
        </w:tc>
      </w:tr>
    </w:tbl>
    <w:p w14:paraId="7CB3805D">
      <w:pPr>
        <w:pStyle w:val="14"/>
        <w:spacing w:line="360" w:lineRule="auto"/>
        <w:ind w:left="72"/>
        <w:rPr>
          <w:rFonts w:cs="宋体"/>
          <w:color w:val="auto"/>
          <w:sz w:val="24"/>
          <w:szCs w:val="24"/>
          <w:highlight w:val="none"/>
        </w:rPr>
      </w:pPr>
      <w:r>
        <w:rPr>
          <w:rFonts w:hint="eastAsia" w:cs="宋体"/>
          <w:color w:val="auto"/>
          <w:sz w:val="24"/>
          <w:szCs w:val="24"/>
          <w:highlight w:val="none"/>
        </w:rPr>
        <w:t>注：在填写时，如本表格不适合投标人的实际情况，可参照本表格式自行制表填写，并附上相关证明材料。</w:t>
      </w:r>
    </w:p>
    <w:p w14:paraId="55EDA298">
      <w:pPr>
        <w:snapToGrid w:val="0"/>
        <w:spacing w:line="360" w:lineRule="auto"/>
        <w:ind w:firstLine="4935" w:firstLineChars="2350"/>
        <w:rPr>
          <w:rFonts w:ascii="宋体" w:cs="宋体"/>
          <w:color w:val="auto"/>
          <w:szCs w:val="21"/>
          <w:highlight w:val="none"/>
        </w:rPr>
      </w:pPr>
      <w:r>
        <w:rPr>
          <w:rFonts w:hint="eastAsia" w:ascii="宋体" w:cs="宋体"/>
          <w:color w:val="auto"/>
          <w:szCs w:val="21"/>
          <w:highlight w:val="none"/>
        </w:rPr>
        <w:t xml:space="preserve"> </w:t>
      </w:r>
    </w:p>
    <w:p w14:paraId="7517D324">
      <w:pPr>
        <w:snapToGrid w:val="0"/>
        <w:spacing w:line="360" w:lineRule="auto"/>
        <w:ind w:firstLine="4935" w:firstLineChars="2350"/>
        <w:rPr>
          <w:rFonts w:ascii="宋体" w:cs="宋体"/>
          <w:color w:val="auto"/>
          <w:szCs w:val="21"/>
          <w:highlight w:val="none"/>
        </w:rPr>
      </w:pPr>
    </w:p>
    <w:p w14:paraId="06B8C8B8">
      <w:pPr>
        <w:snapToGrid w:val="0"/>
        <w:spacing w:line="360" w:lineRule="auto"/>
        <w:ind w:left="5187" w:leftChars="2470" w:firstLine="4620" w:firstLineChars="2200"/>
        <w:rPr>
          <w:rFonts w:ascii="宋体" w:cs="宋体"/>
          <w:color w:val="auto"/>
          <w:kern w:val="0"/>
          <w:sz w:val="24"/>
          <w:highlight w:val="none"/>
        </w:rPr>
      </w:pPr>
      <w:r>
        <w:rPr>
          <w:rFonts w:hint="eastAsia" w:ascii="宋体" w:cs="宋体"/>
          <w:color w:val="auto"/>
          <w:szCs w:val="21"/>
          <w:highlight w:val="none"/>
        </w:rPr>
        <w:t xml:space="preserve"> </w:t>
      </w:r>
      <w:r>
        <w:rPr>
          <w:rFonts w:hint="eastAsia" w:ascii="宋体" w:cs="宋体"/>
          <w:color w:val="auto"/>
          <w:kern w:val="0"/>
          <w:sz w:val="24"/>
          <w:highlight w:val="none"/>
          <w:lang w:val="zh-CN"/>
        </w:rPr>
        <w:t>投标人名称（盖公章）：</w:t>
      </w:r>
    </w:p>
    <w:p w14:paraId="7A4F2AE8">
      <w:pPr>
        <w:snapToGrid w:val="0"/>
        <w:spacing w:line="360" w:lineRule="auto"/>
        <w:ind w:firstLine="5280" w:firstLineChars="2200"/>
        <w:rPr>
          <w:rFonts w:ascii="宋体" w:cs="宋体"/>
          <w:color w:val="auto"/>
          <w:kern w:val="0"/>
          <w:sz w:val="24"/>
          <w:highlight w:val="none"/>
          <w:lang w:val="zh-CN"/>
        </w:rPr>
      </w:pPr>
      <w:r>
        <w:rPr>
          <w:rFonts w:hint="eastAsia" w:ascii="宋体" w:cs="宋体"/>
          <w:color w:val="auto"/>
          <w:kern w:val="0"/>
          <w:sz w:val="24"/>
          <w:highlight w:val="none"/>
          <w:lang w:val="zh-CN"/>
        </w:rPr>
        <w:t>日期</w:t>
      </w:r>
      <w:r>
        <w:rPr>
          <w:rFonts w:hint="eastAsia" w:ascii="宋体" w:cs="宋体"/>
          <w:color w:val="auto"/>
          <w:kern w:val="0"/>
          <w:sz w:val="24"/>
          <w:highlight w:val="none"/>
        </w:rPr>
        <w:t>：</w:t>
      </w:r>
      <w:r>
        <w:rPr>
          <w:rFonts w:hint="eastAsia" w:ascii="宋体" w:cs="宋体"/>
          <w:color w:val="auto"/>
          <w:kern w:val="0"/>
          <w:sz w:val="24"/>
          <w:highlight w:val="none"/>
          <w:lang w:val="en-US" w:eastAsia="zh-CN"/>
        </w:rPr>
        <w:t xml:space="preserve">    </w:t>
      </w:r>
      <w:r>
        <w:rPr>
          <w:rFonts w:hint="eastAsia" w:ascii="宋体" w:cs="宋体"/>
          <w:color w:val="auto"/>
          <w:kern w:val="0"/>
          <w:sz w:val="24"/>
          <w:highlight w:val="none"/>
        </w:rPr>
        <w:t>年</w:t>
      </w:r>
      <w:r>
        <w:rPr>
          <w:rFonts w:hint="eastAsia" w:ascii="宋体" w:cs="宋体"/>
          <w:color w:val="auto"/>
          <w:kern w:val="0"/>
          <w:sz w:val="24"/>
          <w:highlight w:val="none"/>
          <w:lang w:val="en-US" w:eastAsia="zh-CN"/>
        </w:rPr>
        <w:t xml:space="preserve">    </w:t>
      </w:r>
      <w:r>
        <w:rPr>
          <w:rFonts w:hint="eastAsia" w:ascii="宋体" w:cs="宋体"/>
          <w:color w:val="auto"/>
          <w:kern w:val="0"/>
          <w:sz w:val="24"/>
          <w:highlight w:val="none"/>
          <w:lang w:val="zh-CN"/>
        </w:rPr>
        <w:t>月</w:t>
      </w:r>
      <w:r>
        <w:rPr>
          <w:rFonts w:hint="eastAsia" w:ascii="宋体" w:cs="宋体"/>
          <w:color w:val="auto"/>
          <w:kern w:val="0"/>
          <w:sz w:val="24"/>
          <w:highlight w:val="none"/>
          <w:lang w:val="en-US" w:eastAsia="zh-CN"/>
        </w:rPr>
        <w:t xml:space="preserve">    </w:t>
      </w:r>
      <w:r>
        <w:rPr>
          <w:rFonts w:hint="eastAsia" w:ascii="宋体" w:cs="宋体"/>
          <w:color w:val="auto"/>
          <w:kern w:val="0"/>
          <w:sz w:val="24"/>
          <w:highlight w:val="none"/>
          <w:lang w:val="zh-CN"/>
        </w:rPr>
        <w:t>日</w:t>
      </w:r>
    </w:p>
    <w:p w14:paraId="02538A94">
      <w:pPr>
        <w:widowControl/>
        <w:spacing w:line="360" w:lineRule="auto"/>
        <w:jc w:val="left"/>
        <w:rPr>
          <w:rFonts w:ascii="宋体" w:cs="宋体"/>
          <w:color w:val="auto"/>
          <w:kern w:val="0"/>
          <w:sz w:val="24"/>
          <w:highlight w:val="none"/>
          <w:lang w:val="zh-CN"/>
        </w:rPr>
        <w:sectPr>
          <w:pgSz w:w="11906" w:h="16838"/>
          <w:pgMar w:top="1134" w:right="1134" w:bottom="1134" w:left="1134" w:header="720" w:footer="720" w:gutter="0"/>
          <w:cols w:space="720" w:num="1"/>
          <w:docGrid w:type="lines" w:linePitch="331" w:charSpace="0"/>
        </w:sectPr>
      </w:pPr>
    </w:p>
    <w:p w14:paraId="6C8797E9">
      <w:pPr>
        <w:pStyle w:val="14"/>
        <w:spacing w:line="500" w:lineRule="exact"/>
        <w:jc w:val="left"/>
        <w:rPr>
          <w:rFonts w:cs="宋体"/>
          <w:b/>
          <w:bCs/>
          <w:color w:val="auto"/>
          <w:sz w:val="28"/>
          <w:szCs w:val="28"/>
          <w:highlight w:val="none"/>
        </w:rPr>
      </w:pPr>
      <w:r>
        <w:rPr>
          <w:rFonts w:hint="eastAsia" w:cs="宋体"/>
          <w:b/>
          <w:color w:val="auto"/>
          <w:sz w:val="28"/>
          <w:szCs w:val="28"/>
          <w:highlight w:val="none"/>
          <w:lang w:val="en-US" w:eastAsia="zh-CN"/>
        </w:rPr>
        <w:t>8</w:t>
      </w:r>
      <w:r>
        <w:rPr>
          <w:rFonts w:hint="eastAsia" w:cs="宋体"/>
          <w:b/>
          <w:color w:val="auto"/>
          <w:sz w:val="28"/>
          <w:szCs w:val="28"/>
          <w:highlight w:val="none"/>
        </w:rPr>
        <w:t>.技术需求偏离表的格式：</w:t>
      </w:r>
    </w:p>
    <w:p w14:paraId="2E121703">
      <w:pPr>
        <w:pStyle w:val="14"/>
        <w:spacing w:line="500" w:lineRule="exact"/>
        <w:jc w:val="center"/>
        <w:rPr>
          <w:rFonts w:hint="eastAsia" w:cs="宋体"/>
          <w:b/>
          <w:bCs/>
          <w:color w:val="auto"/>
          <w:sz w:val="30"/>
          <w:szCs w:val="30"/>
          <w:highlight w:val="none"/>
        </w:rPr>
      </w:pPr>
    </w:p>
    <w:p w14:paraId="09195A6E">
      <w:pPr>
        <w:pStyle w:val="14"/>
        <w:spacing w:line="500" w:lineRule="exact"/>
        <w:jc w:val="center"/>
        <w:rPr>
          <w:rFonts w:cs="宋体"/>
          <w:b/>
          <w:bCs/>
          <w:color w:val="auto"/>
          <w:sz w:val="28"/>
          <w:szCs w:val="28"/>
          <w:highlight w:val="none"/>
        </w:rPr>
      </w:pPr>
      <w:r>
        <w:rPr>
          <w:rFonts w:hint="eastAsia" w:cs="宋体"/>
          <w:b/>
          <w:bCs/>
          <w:color w:val="auto"/>
          <w:sz w:val="28"/>
          <w:szCs w:val="28"/>
          <w:highlight w:val="none"/>
        </w:rPr>
        <w:t>技术需求偏离表</w:t>
      </w:r>
    </w:p>
    <w:p w14:paraId="48DAD661">
      <w:pPr>
        <w:pStyle w:val="14"/>
        <w:spacing w:line="440" w:lineRule="exact"/>
        <w:ind w:firstLine="420" w:firstLineChars="200"/>
        <w:rPr>
          <w:rFonts w:cs="宋体"/>
          <w:color w:val="auto"/>
          <w:highlight w:val="none"/>
        </w:rPr>
      </w:pPr>
    </w:p>
    <w:p w14:paraId="2877D4C2">
      <w:pPr>
        <w:spacing w:line="480" w:lineRule="auto"/>
        <w:contextualSpacing/>
        <w:rPr>
          <w:rFonts w:ascii="宋体" w:cs="宋体"/>
          <w:color w:val="auto"/>
          <w:sz w:val="24"/>
          <w:highlight w:val="none"/>
          <w:u w:val="single"/>
        </w:rPr>
      </w:pPr>
      <w:r>
        <w:rPr>
          <w:rFonts w:hint="eastAsia" w:ascii="宋体" w:cs="宋体"/>
          <w:color w:val="auto"/>
          <w:sz w:val="24"/>
          <w:highlight w:val="none"/>
        </w:rPr>
        <w:t>项目</w:t>
      </w:r>
      <w:r>
        <w:rPr>
          <w:rFonts w:hint="eastAsia" w:cs="宋体"/>
          <w:color w:val="auto"/>
          <w:sz w:val="24"/>
          <w:highlight w:val="none"/>
        </w:rPr>
        <w:t>名称</w:t>
      </w:r>
      <w:r>
        <w:rPr>
          <w:rFonts w:hint="eastAsia" w:ascii="宋体" w:cs="宋体"/>
          <w:color w:val="auto"/>
          <w:sz w:val="24"/>
          <w:highlight w:val="none"/>
        </w:rPr>
        <w:t>：</w:t>
      </w:r>
      <w:r>
        <w:rPr>
          <w:rFonts w:hint="eastAsia" w:ascii="宋体" w:cs="宋体"/>
          <w:color w:val="auto"/>
          <w:sz w:val="24"/>
          <w:highlight w:val="none"/>
          <w:u w:val="single"/>
        </w:rPr>
        <w:t xml:space="preserve">                 </w:t>
      </w:r>
    </w:p>
    <w:p w14:paraId="4D2935EF">
      <w:pPr>
        <w:pStyle w:val="14"/>
        <w:spacing w:line="480" w:lineRule="auto"/>
        <w:rPr>
          <w:color w:val="auto"/>
          <w:highlight w:val="none"/>
        </w:rPr>
      </w:pPr>
      <w:r>
        <w:rPr>
          <w:rFonts w:hint="eastAsia" w:cs="宋体"/>
          <w:color w:val="auto"/>
          <w:sz w:val="24"/>
          <w:highlight w:val="none"/>
        </w:rPr>
        <w:t>项目编号：</w:t>
      </w:r>
      <w:r>
        <w:rPr>
          <w:rFonts w:hint="eastAsia" w:cs="宋体"/>
          <w:color w:val="auto"/>
          <w:sz w:val="24"/>
          <w:highlight w:val="none"/>
          <w:u w:val="single"/>
        </w:rPr>
        <w:t xml:space="preserve">                 </w:t>
      </w:r>
    </w:p>
    <w:p w14:paraId="59E557B5">
      <w:pPr>
        <w:pStyle w:val="14"/>
        <w:spacing w:line="480" w:lineRule="auto"/>
        <w:rPr>
          <w:color w:val="auto"/>
          <w:sz w:val="24"/>
          <w:szCs w:val="24"/>
          <w:highlight w:val="none"/>
        </w:rPr>
      </w:pPr>
      <w:r>
        <w:rPr>
          <w:rFonts w:hint="eastAsia" w:cs="宋体"/>
          <w:color w:val="auto"/>
          <w:sz w:val="24"/>
          <w:szCs w:val="24"/>
          <w:highlight w:val="none"/>
        </w:rPr>
        <w:t>所投分标（此处有分标时填写具体分标号，无分标时填写“无”）：</w:t>
      </w:r>
      <w:r>
        <w:rPr>
          <w:rFonts w:hint="eastAsia" w:cs="宋体"/>
          <w:color w:val="auto"/>
          <w:sz w:val="24"/>
          <w:szCs w:val="24"/>
          <w:highlight w:val="none"/>
          <w:u w:val="single"/>
        </w:rPr>
        <w:t xml:space="preserve">           </w:t>
      </w:r>
    </w:p>
    <w:tbl>
      <w:tblPr>
        <w:tblStyle w:val="27"/>
        <w:tblW w:w="10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395"/>
        <w:gridCol w:w="3280"/>
        <w:gridCol w:w="3612"/>
        <w:gridCol w:w="1130"/>
      </w:tblGrid>
      <w:tr w14:paraId="7608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56830D0F">
            <w:pPr>
              <w:widowControl/>
              <w:jc w:val="left"/>
              <w:rPr>
                <w:rFonts w:ascii="宋体" w:cs="宋体"/>
                <w:color w:val="auto"/>
                <w:sz w:val="24"/>
                <w:szCs w:val="24"/>
                <w:highlight w:val="none"/>
              </w:rPr>
            </w:pPr>
            <w:r>
              <w:rPr>
                <w:rFonts w:hint="eastAsia" w:ascii="宋体" w:cs="宋体"/>
                <w:color w:val="auto"/>
                <w:sz w:val="24"/>
                <w:szCs w:val="24"/>
                <w:highlight w:val="none"/>
              </w:rPr>
              <w:t>项号</w:t>
            </w:r>
          </w:p>
        </w:tc>
        <w:tc>
          <w:tcPr>
            <w:tcW w:w="1395" w:type="dxa"/>
            <w:tcBorders>
              <w:top w:val="single" w:color="auto" w:sz="4" w:space="0"/>
              <w:left w:val="single" w:color="auto" w:sz="4" w:space="0"/>
              <w:bottom w:val="single" w:color="auto" w:sz="4" w:space="0"/>
              <w:right w:val="single" w:color="auto" w:sz="4" w:space="0"/>
            </w:tcBorders>
            <w:vAlign w:val="center"/>
          </w:tcPr>
          <w:p w14:paraId="385529BA">
            <w:pPr>
              <w:jc w:val="center"/>
              <w:rPr>
                <w:rFonts w:ascii="宋体" w:cs="宋体"/>
                <w:color w:val="auto"/>
                <w:sz w:val="24"/>
                <w:szCs w:val="24"/>
                <w:highlight w:val="none"/>
              </w:rPr>
            </w:pPr>
            <w:r>
              <w:rPr>
                <w:rFonts w:hint="eastAsia" w:ascii="宋体" w:cs="宋体"/>
                <w:color w:val="auto"/>
                <w:sz w:val="24"/>
                <w:szCs w:val="24"/>
                <w:highlight w:val="none"/>
              </w:rPr>
              <w:t>标的名称</w:t>
            </w:r>
          </w:p>
        </w:tc>
        <w:tc>
          <w:tcPr>
            <w:tcW w:w="3280" w:type="dxa"/>
            <w:tcBorders>
              <w:top w:val="single" w:color="auto" w:sz="4" w:space="0"/>
              <w:left w:val="single" w:color="auto" w:sz="4" w:space="0"/>
              <w:bottom w:val="single" w:color="auto" w:sz="4" w:space="0"/>
              <w:right w:val="single" w:color="auto" w:sz="4" w:space="0"/>
            </w:tcBorders>
            <w:vAlign w:val="center"/>
          </w:tcPr>
          <w:p w14:paraId="31434C23">
            <w:pPr>
              <w:jc w:val="center"/>
              <w:rPr>
                <w:rFonts w:ascii="宋体" w:cs="宋体"/>
                <w:color w:val="auto"/>
                <w:sz w:val="24"/>
                <w:szCs w:val="24"/>
                <w:highlight w:val="none"/>
              </w:rPr>
            </w:pPr>
            <w:r>
              <w:rPr>
                <w:rFonts w:hint="eastAsia" w:ascii="宋体"/>
                <w:color w:val="auto"/>
                <w:sz w:val="24"/>
                <w:szCs w:val="24"/>
                <w:highlight w:val="none"/>
              </w:rPr>
              <w:t>招标文件采购需求中的</w:t>
            </w:r>
            <w:r>
              <w:rPr>
                <w:rFonts w:hint="eastAsia" w:ascii="宋体" w:cs="宋体"/>
                <w:color w:val="auto"/>
                <w:sz w:val="24"/>
                <w:szCs w:val="24"/>
                <w:highlight w:val="none"/>
              </w:rPr>
              <w:t>技术参数及配置</w:t>
            </w:r>
          </w:p>
        </w:tc>
        <w:tc>
          <w:tcPr>
            <w:tcW w:w="3612" w:type="dxa"/>
            <w:tcBorders>
              <w:top w:val="single" w:color="auto" w:sz="4" w:space="0"/>
              <w:left w:val="single" w:color="auto" w:sz="4" w:space="0"/>
              <w:bottom w:val="single" w:color="auto" w:sz="4" w:space="0"/>
              <w:right w:val="single" w:color="auto" w:sz="4" w:space="0"/>
            </w:tcBorders>
            <w:vAlign w:val="center"/>
          </w:tcPr>
          <w:p w14:paraId="67A707B8">
            <w:pPr>
              <w:jc w:val="center"/>
              <w:rPr>
                <w:rFonts w:ascii="宋体" w:cs="宋体"/>
                <w:color w:val="auto"/>
                <w:sz w:val="24"/>
                <w:szCs w:val="24"/>
                <w:highlight w:val="none"/>
              </w:rPr>
            </w:pPr>
            <w:r>
              <w:rPr>
                <w:rFonts w:hint="eastAsia" w:ascii="宋体"/>
                <w:color w:val="auto"/>
                <w:sz w:val="24"/>
                <w:szCs w:val="24"/>
                <w:highlight w:val="none"/>
              </w:rPr>
              <w:t>投标文件响应的</w:t>
            </w:r>
            <w:r>
              <w:rPr>
                <w:rFonts w:hint="eastAsia" w:ascii="宋体" w:cs="宋体"/>
                <w:color w:val="auto"/>
                <w:sz w:val="24"/>
                <w:szCs w:val="24"/>
                <w:highlight w:val="none"/>
              </w:rPr>
              <w:t>技术参数及配置</w:t>
            </w:r>
          </w:p>
        </w:tc>
        <w:tc>
          <w:tcPr>
            <w:tcW w:w="1130" w:type="dxa"/>
            <w:tcBorders>
              <w:top w:val="single" w:color="auto" w:sz="4" w:space="0"/>
              <w:left w:val="single" w:color="auto" w:sz="4" w:space="0"/>
              <w:bottom w:val="single" w:color="auto" w:sz="4" w:space="0"/>
              <w:right w:val="single" w:color="auto" w:sz="4" w:space="0"/>
            </w:tcBorders>
            <w:vAlign w:val="center"/>
          </w:tcPr>
          <w:p w14:paraId="2B5B0FEF">
            <w:pPr>
              <w:widowControl/>
              <w:jc w:val="center"/>
              <w:rPr>
                <w:rFonts w:hint="eastAsia" w:ascii="宋体"/>
                <w:color w:val="auto"/>
                <w:sz w:val="24"/>
                <w:szCs w:val="24"/>
                <w:highlight w:val="none"/>
              </w:rPr>
            </w:pPr>
            <w:r>
              <w:rPr>
                <w:rFonts w:hint="eastAsia" w:ascii="宋体"/>
                <w:color w:val="auto"/>
                <w:sz w:val="24"/>
                <w:szCs w:val="24"/>
                <w:highlight w:val="none"/>
              </w:rPr>
              <w:t>偏离</w:t>
            </w:r>
          </w:p>
          <w:p w14:paraId="105932A7">
            <w:pPr>
              <w:widowControl/>
              <w:jc w:val="center"/>
              <w:rPr>
                <w:rFonts w:ascii="宋体" w:cs="宋体"/>
                <w:color w:val="auto"/>
                <w:sz w:val="24"/>
                <w:szCs w:val="24"/>
                <w:highlight w:val="none"/>
              </w:rPr>
            </w:pPr>
            <w:r>
              <w:rPr>
                <w:rFonts w:hint="eastAsia" w:ascii="宋体"/>
                <w:color w:val="auto"/>
                <w:sz w:val="24"/>
                <w:szCs w:val="24"/>
                <w:highlight w:val="none"/>
              </w:rPr>
              <w:t>说明</w:t>
            </w:r>
          </w:p>
        </w:tc>
      </w:tr>
      <w:tr w14:paraId="2D16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126E0602">
            <w:pPr>
              <w:jc w:val="center"/>
              <w:rPr>
                <w:rFonts w:ascii="宋体" w:cs="宋体"/>
                <w:color w:val="auto"/>
                <w:sz w:val="24"/>
                <w:szCs w:val="24"/>
                <w:highlight w:val="none"/>
              </w:rPr>
            </w:pPr>
            <w:r>
              <w:rPr>
                <w:rFonts w:hint="eastAsia" w:ascii="宋体" w:cs="宋体"/>
                <w:color w:val="auto"/>
                <w:sz w:val="24"/>
                <w:szCs w:val="24"/>
                <w:highlight w:val="none"/>
              </w:rPr>
              <w:t>1</w:t>
            </w:r>
          </w:p>
        </w:tc>
        <w:tc>
          <w:tcPr>
            <w:tcW w:w="1395" w:type="dxa"/>
            <w:tcBorders>
              <w:top w:val="single" w:color="auto" w:sz="4" w:space="0"/>
              <w:left w:val="single" w:color="auto" w:sz="4" w:space="0"/>
              <w:bottom w:val="single" w:color="auto" w:sz="4" w:space="0"/>
              <w:right w:val="single" w:color="auto" w:sz="4" w:space="0"/>
            </w:tcBorders>
            <w:vAlign w:val="center"/>
          </w:tcPr>
          <w:p w14:paraId="56891E8B">
            <w:pPr>
              <w:rPr>
                <w:rFonts w:ascii="宋体" w:cs="宋体"/>
                <w:color w:val="auto"/>
                <w:sz w:val="24"/>
                <w:szCs w:val="24"/>
                <w:highlight w:val="none"/>
              </w:rPr>
            </w:pPr>
          </w:p>
        </w:tc>
        <w:tc>
          <w:tcPr>
            <w:tcW w:w="3280" w:type="dxa"/>
            <w:tcBorders>
              <w:top w:val="single" w:color="auto" w:sz="4" w:space="0"/>
              <w:left w:val="single" w:color="auto" w:sz="4" w:space="0"/>
              <w:bottom w:val="single" w:color="auto" w:sz="4" w:space="0"/>
              <w:right w:val="single" w:color="auto" w:sz="4" w:space="0"/>
            </w:tcBorders>
            <w:vAlign w:val="center"/>
          </w:tcPr>
          <w:p w14:paraId="45BD305C">
            <w:pPr>
              <w:rPr>
                <w:rFonts w:ascii="宋体" w:cs="宋体"/>
                <w:color w:val="auto"/>
                <w:sz w:val="24"/>
                <w:szCs w:val="24"/>
                <w:highlight w:val="none"/>
              </w:rPr>
            </w:pPr>
          </w:p>
        </w:tc>
        <w:tc>
          <w:tcPr>
            <w:tcW w:w="3612" w:type="dxa"/>
            <w:tcBorders>
              <w:top w:val="single" w:color="auto" w:sz="4" w:space="0"/>
              <w:left w:val="single" w:color="auto" w:sz="4" w:space="0"/>
              <w:bottom w:val="single" w:color="auto" w:sz="4" w:space="0"/>
              <w:right w:val="single" w:color="auto" w:sz="4" w:space="0"/>
            </w:tcBorders>
            <w:vAlign w:val="center"/>
          </w:tcPr>
          <w:p w14:paraId="3679C808">
            <w:pPr>
              <w:rPr>
                <w:rFonts w:ascii="宋体" w:cs="宋体"/>
                <w:color w:val="auto"/>
                <w:sz w:val="24"/>
                <w:szCs w:val="24"/>
                <w:highlight w:val="none"/>
              </w:rPr>
            </w:pPr>
          </w:p>
        </w:tc>
        <w:tc>
          <w:tcPr>
            <w:tcW w:w="1130" w:type="dxa"/>
            <w:tcBorders>
              <w:top w:val="single" w:color="auto" w:sz="4" w:space="0"/>
              <w:left w:val="single" w:color="auto" w:sz="4" w:space="0"/>
              <w:bottom w:val="single" w:color="auto" w:sz="4" w:space="0"/>
              <w:right w:val="single" w:color="auto" w:sz="4" w:space="0"/>
            </w:tcBorders>
            <w:vAlign w:val="center"/>
          </w:tcPr>
          <w:p w14:paraId="0701C059">
            <w:pPr>
              <w:rPr>
                <w:rFonts w:ascii="宋体" w:cs="宋体"/>
                <w:color w:val="auto"/>
                <w:sz w:val="24"/>
                <w:szCs w:val="24"/>
                <w:highlight w:val="none"/>
              </w:rPr>
            </w:pPr>
          </w:p>
        </w:tc>
      </w:tr>
      <w:tr w14:paraId="2D96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0EABF354">
            <w:pPr>
              <w:jc w:val="center"/>
              <w:rPr>
                <w:rFonts w:ascii="宋体" w:cs="宋体"/>
                <w:color w:val="auto"/>
                <w:sz w:val="24"/>
                <w:szCs w:val="24"/>
                <w:highlight w:val="none"/>
              </w:rPr>
            </w:pPr>
            <w:r>
              <w:rPr>
                <w:rFonts w:hint="eastAsia" w:ascii="宋体" w:cs="宋体"/>
                <w:color w:val="auto"/>
                <w:sz w:val="24"/>
                <w:szCs w:val="24"/>
                <w:highlight w:val="none"/>
              </w:rPr>
              <w:t>2</w:t>
            </w:r>
          </w:p>
        </w:tc>
        <w:tc>
          <w:tcPr>
            <w:tcW w:w="1395" w:type="dxa"/>
            <w:tcBorders>
              <w:top w:val="single" w:color="auto" w:sz="4" w:space="0"/>
              <w:left w:val="single" w:color="auto" w:sz="4" w:space="0"/>
              <w:bottom w:val="single" w:color="auto" w:sz="4" w:space="0"/>
              <w:right w:val="single" w:color="auto" w:sz="4" w:space="0"/>
            </w:tcBorders>
            <w:vAlign w:val="center"/>
          </w:tcPr>
          <w:p w14:paraId="4D3F1B69">
            <w:pPr>
              <w:rPr>
                <w:rFonts w:ascii="宋体" w:cs="宋体"/>
                <w:color w:val="auto"/>
                <w:sz w:val="24"/>
                <w:szCs w:val="24"/>
                <w:highlight w:val="none"/>
              </w:rPr>
            </w:pPr>
          </w:p>
        </w:tc>
        <w:tc>
          <w:tcPr>
            <w:tcW w:w="3280" w:type="dxa"/>
            <w:tcBorders>
              <w:top w:val="single" w:color="auto" w:sz="4" w:space="0"/>
              <w:left w:val="single" w:color="auto" w:sz="4" w:space="0"/>
              <w:bottom w:val="single" w:color="auto" w:sz="4" w:space="0"/>
              <w:right w:val="single" w:color="auto" w:sz="4" w:space="0"/>
            </w:tcBorders>
            <w:vAlign w:val="center"/>
          </w:tcPr>
          <w:p w14:paraId="733AA013">
            <w:pPr>
              <w:rPr>
                <w:rFonts w:ascii="宋体" w:cs="宋体"/>
                <w:color w:val="auto"/>
                <w:sz w:val="24"/>
                <w:szCs w:val="24"/>
                <w:highlight w:val="none"/>
              </w:rPr>
            </w:pPr>
          </w:p>
        </w:tc>
        <w:tc>
          <w:tcPr>
            <w:tcW w:w="3612" w:type="dxa"/>
            <w:tcBorders>
              <w:top w:val="single" w:color="auto" w:sz="4" w:space="0"/>
              <w:left w:val="single" w:color="auto" w:sz="4" w:space="0"/>
              <w:bottom w:val="single" w:color="auto" w:sz="4" w:space="0"/>
              <w:right w:val="single" w:color="auto" w:sz="4" w:space="0"/>
            </w:tcBorders>
            <w:vAlign w:val="center"/>
          </w:tcPr>
          <w:p w14:paraId="36D2CBFF">
            <w:pPr>
              <w:rPr>
                <w:rFonts w:ascii="宋体" w:cs="宋体"/>
                <w:color w:val="auto"/>
                <w:sz w:val="24"/>
                <w:szCs w:val="24"/>
                <w:highlight w:val="none"/>
              </w:rPr>
            </w:pPr>
          </w:p>
        </w:tc>
        <w:tc>
          <w:tcPr>
            <w:tcW w:w="1130" w:type="dxa"/>
            <w:tcBorders>
              <w:top w:val="single" w:color="auto" w:sz="4" w:space="0"/>
              <w:left w:val="single" w:color="auto" w:sz="4" w:space="0"/>
              <w:bottom w:val="single" w:color="auto" w:sz="4" w:space="0"/>
              <w:right w:val="single" w:color="auto" w:sz="4" w:space="0"/>
            </w:tcBorders>
            <w:vAlign w:val="center"/>
          </w:tcPr>
          <w:p w14:paraId="08A2D556">
            <w:pPr>
              <w:rPr>
                <w:rFonts w:ascii="宋体" w:cs="宋体"/>
                <w:color w:val="auto"/>
                <w:sz w:val="24"/>
                <w:szCs w:val="24"/>
                <w:highlight w:val="none"/>
              </w:rPr>
            </w:pPr>
          </w:p>
        </w:tc>
      </w:tr>
      <w:tr w14:paraId="3E74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14:paraId="6A6E000B">
            <w:pPr>
              <w:rPr>
                <w:rFonts w:ascii="宋体" w:cs="宋体"/>
                <w:color w:val="auto"/>
                <w:sz w:val="24"/>
                <w:szCs w:val="24"/>
                <w:highlight w:val="none"/>
              </w:rPr>
            </w:pPr>
            <w:r>
              <w:rPr>
                <w:rFonts w:hint="eastAsia" w:ascii="宋体" w:cs="宋体"/>
                <w:color w:val="auto"/>
                <w:sz w:val="24"/>
                <w:szCs w:val="24"/>
                <w:highlight w:val="none"/>
              </w:rPr>
              <w:t>...</w:t>
            </w:r>
          </w:p>
        </w:tc>
        <w:tc>
          <w:tcPr>
            <w:tcW w:w="1395" w:type="dxa"/>
            <w:tcBorders>
              <w:top w:val="single" w:color="auto" w:sz="4" w:space="0"/>
              <w:left w:val="single" w:color="auto" w:sz="4" w:space="0"/>
              <w:bottom w:val="single" w:color="auto" w:sz="4" w:space="0"/>
              <w:right w:val="single" w:color="auto" w:sz="4" w:space="0"/>
            </w:tcBorders>
            <w:vAlign w:val="center"/>
          </w:tcPr>
          <w:p w14:paraId="7AFF76CB">
            <w:pPr>
              <w:rPr>
                <w:rFonts w:ascii="宋体" w:cs="宋体"/>
                <w:color w:val="auto"/>
                <w:sz w:val="24"/>
                <w:szCs w:val="24"/>
                <w:highlight w:val="none"/>
              </w:rPr>
            </w:pPr>
          </w:p>
        </w:tc>
        <w:tc>
          <w:tcPr>
            <w:tcW w:w="3280" w:type="dxa"/>
            <w:tcBorders>
              <w:top w:val="single" w:color="auto" w:sz="4" w:space="0"/>
              <w:left w:val="single" w:color="auto" w:sz="4" w:space="0"/>
              <w:bottom w:val="single" w:color="auto" w:sz="4" w:space="0"/>
              <w:right w:val="single" w:color="auto" w:sz="4" w:space="0"/>
            </w:tcBorders>
            <w:vAlign w:val="center"/>
          </w:tcPr>
          <w:p w14:paraId="7B1E2251">
            <w:pPr>
              <w:rPr>
                <w:rFonts w:ascii="宋体" w:cs="宋体"/>
                <w:color w:val="auto"/>
                <w:sz w:val="24"/>
                <w:szCs w:val="24"/>
                <w:highlight w:val="none"/>
              </w:rPr>
            </w:pPr>
          </w:p>
        </w:tc>
        <w:tc>
          <w:tcPr>
            <w:tcW w:w="3612" w:type="dxa"/>
            <w:tcBorders>
              <w:top w:val="single" w:color="auto" w:sz="4" w:space="0"/>
              <w:left w:val="single" w:color="auto" w:sz="4" w:space="0"/>
              <w:bottom w:val="single" w:color="auto" w:sz="4" w:space="0"/>
              <w:right w:val="single" w:color="auto" w:sz="4" w:space="0"/>
            </w:tcBorders>
            <w:vAlign w:val="center"/>
          </w:tcPr>
          <w:p w14:paraId="40CF6CFE">
            <w:pPr>
              <w:rPr>
                <w:rFonts w:ascii="宋体" w:cs="宋体"/>
                <w:color w:val="auto"/>
                <w:sz w:val="24"/>
                <w:szCs w:val="24"/>
                <w:highlight w:val="none"/>
              </w:rPr>
            </w:pPr>
          </w:p>
        </w:tc>
        <w:tc>
          <w:tcPr>
            <w:tcW w:w="1130" w:type="dxa"/>
            <w:tcBorders>
              <w:top w:val="single" w:color="auto" w:sz="4" w:space="0"/>
              <w:left w:val="single" w:color="auto" w:sz="4" w:space="0"/>
              <w:bottom w:val="single" w:color="auto" w:sz="4" w:space="0"/>
              <w:right w:val="single" w:color="auto" w:sz="4" w:space="0"/>
            </w:tcBorders>
            <w:vAlign w:val="center"/>
          </w:tcPr>
          <w:p w14:paraId="54449E02">
            <w:pPr>
              <w:rPr>
                <w:rFonts w:ascii="宋体" w:cs="宋体"/>
                <w:color w:val="auto"/>
                <w:sz w:val="24"/>
                <w:szCs w:val="24"/>
                <w:highlight w:val="none"/>
              </w:rPr>
            </w:pPr>
          </w:p>
        </w:tc>
      </w:tr>
      <w:tr w14:paraId="1E5B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10191" w:type="dxa"/>
            <w:gridSpan w:val="5"/>
            <w:tcBorders>
              <w:top w:val="single" w:color="auto" w:sz="4" w:space="0"/>
              <w:left w:val="single" w:color="auto" w:sz="4" w:space="0"/>
              <w:bottom w:val="single" w:color="auto" w:sz="4" w:space="0"/>
              <w:right w:val="single" w:color="auto" w:sz="4" w:space="0"/>
            </w:tcBorders>
            <w:vAlign w:val="center"/>
          </w:tcPr>
          <w:p w14:paraId="5CF9C14F">
            <w:pPr>
              <w:rPr>
                <w:rFonts w:ascii="宋体" w:cs="宋体"/>
                <w:color w:val="auto"/>
                <w:sz w:val="24"/>
                <w:szCs w:val="24"/>
                <w:highlight w:val="none"/>
              </w:rPr>
            </w:pPr>
            <w:r>
              <w:rPr>
                <w:rFonts w:hint="eastAsia" w:ascii="宋体" w:cs="宋体"/>
                <w:color w:val="auto"/>
                <w:sz w:val="24"/>
                <w:szCs w:val="24"/>
                <w:highlight w:val="none"/>
              </w:rPr>
              <w:t>投标货物中，属于优先采购节能产品为本项目招标文件“第二章 采购需求”中“需求一览表”的第   项产品：</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，合计</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项；属于优先采购环境标志产品为本项目招标文件“第二章 采购需求”中“需求一览表”的第   项产品：</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，合计</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 xml:space="preserve">项。 </w:t>
            </w:r>
            <w:r>
              <w:rPr>
                <w:rFonts w:hint="eastAsia" w:ascii="宋体" w:cs="宋体"/>
                <w:b/>
                <w:bCs/>
                <w:color w:val="auto"/>
                <w:sz w:val="24"/>
                <w:szCs w:val="24"/>
                <w:highlight w:val="none"/>
              </w:rPr>
              <w:t>（注：如有，请逐项列出，如无填写“无”或者留空。）</w:t>
            </w:r>
          </w:p>
        </w:tc>
      </w:tr>
    </w:tbl>
    <w:p w14:paraId="0C0DBBD8">
      <w:pPr>
        <w:pStyle w:val="14"/>
        <w:spacing w:line="360" w:lineRule="auto"/>
        <w:rPr>
          <w:rFonts w:cs="宋体"/>
          <w:color w:val="auto"/>
          <w:szCs w:val="21"/>
          <w:highlight w:val="none"/>
        </w:rPr>
      </w:pPr>
    </w:p>
    <w:p w14:paraId="63577178">
      <w:pPr>
        <w:pStyle w:val="14"/>
        <w:spacing w:line="360" w:lineRule="auto"/>
        <w:rPr>
          <w:rFonts w:cs="宋体"/>
          <w:color w:val="auto"/>
          <w:sz w:val="24"/>
          <w:szCs w:val="24"/>
          <w:highlight w:val="none"/>
        </w:rPr>
      </w:pPr>
      <w:r>
        <w:rPr>
          <w:rFonts w:hint="eastAsia" w:cs="宋体"/>
          <w:color w:val="auto"/>
          <w:sz w:val="24"/>
          <w:szCs w:val="24"/>
          <w:highlight w:val="none"/>
        </w:rPr>
        <w:t>注：</w:t>
      </w:r>
    </w:p>
    <w:p w14:paraId="5E6192C6">
      <w:pPr>
        <w:pStyle w:val="14"/>
        <w:spacing w:line="360" w:lineRule="auto"/>
        <w:ind w:firstLine="480" w:firstLineChars="200"/>
        <w:rPr>
          <w:rFonts w:cs="宋体"/>
          <w:color w:val="auto"/>
          <w:sz w:val="24"/>
          <w:szCs w:val="24"/>
          <w:highlight w:val="none"/>
        </w:rPr>
      </w:pPr>
      <w:r>
        <w:rPr>
          <w:rFonts w:hint="eastAsia" w:cs="宋体"/>
          <w:color w:val="auto"/>
          <w:sz w:val="24"/>
          <w:szCs w:val="24"/>
          <w:highlight w:val="none"/>
        </w:rPr>
        <w:t>1.表格内容均需按要求填写并加盖投标人公章。</w:t>
      </w:r>
    </w:p>
    <w:p w14:paraId="209C3A77">
      <w:pPr>
        <w:pStyle w:val="14"/>
        <w:spacing w:line="360" w:lineRule="auto"/>
        <w:ind w:firstLine="480" w:firstLineChars="200"/>
        <w:rPr>
          <w:rFonts w:cs="宋体"/>
          <w:color w:val="auto"/>
          <w:sz w:val="24"/>
          <w:szCs w:val="24"/>
          <w:highlight w:val="none"/>
        </w:rPr>
      </w:pPr>
      <w:r>
        <w:rPr>
          <w:rFonts w:hint="eastAsia" w:cs="宋体"/>
          <w:color w:val="auto"/>
          <w:sz w:val="24"/>
          <w:szCs w:val="24"/>
          <w:highlight w:val="none"/>
        </w:rPr>
        <w:t>▲2.必须对本项目招标文件“第二章  采购需求”中“技术参数及配置”条款的全部要求，详细填写响应的具体内容，并作出偏离说明。“偏离说明”一栏应当选择“正偏离”或“负偏离”或“无偏离”进行填写。</w:t>
      </w:r>
    </w:p>
    <w:p w14:paraId="22A04818">
      <w:pPr>
        <w:pStyle w:val="14"/>
        <w:spacing w:line="360" w:lineRule="auto"/>
        <w:ind w:firstLine="480" w:firstLineChars="200"/>
        <w:rPr>
          <w:rFonts w:cs="宋体"/>
          <w:color w:val="auto"/>
          <w:sz w:val="24"/>
          <w:szCs w:val="24"/>
          <w:highlight w:val="none"/>
        </w:rPr>
      </w:pPr>
      <w:r>
        <w:rPr>
          <w:rFonts w:hint="eastAsia" w:cs="宋体"/>
          <w:bCs/>
          <w:color w:val="auto"/>
          <w:sz w:val="24"/>
          <w:szCs w:val="24"/>
          <w:highlight w:val="none"/>
        </w:rPr>
        <w:t>3.当投标文件的</w:t>
      </w:r>
      <w:r>
        <w:rPr>
          <w:rFonts w:hint="eastAsia" w:cs="宋体"/>
          <w:color w:val="auto"/>
          <w:sz w:val="24"/>
          <w:szCs w:val="24"/>
          <w:highlight w:val="none"/>
        </w:rPr>
        <w:t>技术参数及配置</w:t>
      </w:r>
      <w:r>
        <w:rPr>
          <w:rFonts w:hint="eastAsia" w:cs="宋体"/>
          <w:bCs/>
          <w:color w:val="auto"/>
          <w:sz w:val="24"/>
          <w:szCs w:val="24"/>
          <w:highlight w:val="none"/>
        </w:rPr>
        <w:t>内容低于招标文件要求时，投标人应当如实写明“负偏离”。</w:t>
      </w:r>
    </w:p>
    <w:p w14:paraId="70F24A0A">
      <w:pPr>
        <w:snapToGrid w:val="0"/>
        <w:spacing w:line="360" w:lineRule="auto"/>
        <w:ind w:firstLine="5640" w:firstLineChars="2350"/>
        <w:rPr>
          <w:rFonts w:ascii="宋体" w:cs="宋体"/>
          <w:color w:val="auto"/>
          <w:kern w:val="0"/>
          <w:sz w:val="24"/>
          <w:highlight w:val="none"/>
          <w:lang w:val="zh-CN"/>
        </w:rPr>
      </w:pPr>
    </w:p>
    <w:p w14:paraId="29246811">
      <w:pPr>
        <w:pStyle w:val="17"/>
        <w:rPr>
          <w:color w:val="auto"/>
          <w:highlight w:val="none"/>
          <w:lang w:val="zh-CN"/>
        </w:rPr>
      </w:pPr>
    </w:p>
    <w:p w14:paraId="54830147">
      <w:pPr>
        <w:snapToGrid w:val="0"/>
        <w:spacing w:line="360" w:lineRule="auto"/>
        <w:ind w:firstLine="5880" w:firstLineChars="2450"/>
        <w:rPr>
          <w:rFonts w:ascii="宋体" w:cs="宋体"/>
          <w:color w:val="auto"/>
          <w:kern w:val="0"/>
          <w:sz w:val="24"/>
          <w:highlight w:val="none"/>
        </w:rPr>
      </w:pPr>
      <w:r>
        <w:rPr>
          <w:rFonts w:hint="eastAsia" w:ascii="宋体" w:cs="宋体"/>
          <w:color w:val="auto"/>
          <w:kern w:val="0"/>
          <w:sz w:val="24"/>
          <w:highlight w:val="none"/>
          <w:lang w:val="zh-CN"/>
        </w:rPr>
        <w:t>投标人名称（盖公章）：</w:t>
      </w:r>
    </w:p>
    <w:p w14:paraId="7A47ED7E">
      <w:pPr>
        <w:snapToGrid w:val="0"/>
        <w:spacing w:line="360" w:lineRule="auto"/>
        <w:ind w:firstLine="5880" w:firstLineChars="2450"/>
        <w:rPr>
          <w:rFonts w:ascii="宋体" w:cs="宋体"/>
          <w:color w:val="auto"/>
          <w:kern w:val="0"/>
          <w:sz w:val="24"/>
          <w:highlight w:val="none"/>
          <w:lang w:val="zh-CN"/>
        </w:rPr>
      </w:pPr>
      <w:r>
        <w:rPr>
          <w:rFonts w:hint="eastAsia" w:ascii="宋体" w:cs="宋体"/>
          <w:color w:val="auto"/>
          <w:kern w:val="0"/>
          <w:sz w:val="24"/>
          <w:highlight w:val="none"/>
          <w:lang w:val="zh-CN"/>
        </w:rPr>
        <w:t>日期</w:t>
      </w:r>
      <w:r>
        <w:rPr>
          <w:rFonts w:hint="eastAsia" w:ascii="宋体" w:cs="宋体"/>
          <w:color w:val="auto"/>
          <w:kern w:val="0"/>
          <w:sz w:val="24"/>
          <w:highlight w:val="none"/>
        </w:rPr>
        <w:t>：</w:t>
      </w:r>
      <w:r>
        <w:rPr>
          <w:rFonts w:hint="eastAsia" w:ascii="宋体" w:cs="宋体"/>
          <w:color w:val="auto"/>
          <w:kern w:val="0"/>
          <w:sz w:val="24"/>
          <w:highlight w:val="none"/>
          <w:lang w:val="en-US" w:eastAsia="zh-CN"/>
        </w:rPr>
        <w:t xml:space="preserve">    </w:t>
      </w:r>
      <w:r>
        <w:rPr>
          <w:rFonts w:hint="eastAsia" w:ascii="宋体" w:cs="宋体"/>
          <w:color w:val="auto"/>
          <w:kern w:val="0"/>
          <w:sz w:val="24"/>
          <w:highlight w:val="none"/>
        </w:rPr>
        <w:t>年</w:t>
      </w:r>
      <w:r>
        <w:rPr>
          <w:rFonts w:hint="eastAsia" w:ascii="宋体" w:cs="宋体"/>
          <w:color w:val="auto"/>
          <w:kern w:val="0"/>
          <w:sz w:val="24"/>
          <w:highlight w:val="none"/>
          <w:lang w:val="en-US" w:eastAsia="zh-CN"/>
        </w:rPr>
        <w:t xml:space="preserve">    </w:t>
      </w:r>
      <w:r>
        <w:rPr>
          <w:rFonts w:hint="eastAsia" w:ascii="宋体" w:cs="宋体"/>
          <w:color w:val="auto"/>
          <w:kern w:val="0"/>
          <w:sz w:val="24"/>
          <w:highlight w:val="none"/>
          <w:lang w:val="zh-CN"/>
        </w:rPr>
        <w:t>月</w:t>
      </w:r>
      <w:r>
        <w:rPr>
          <w:rFonts w:hint="eastAsia" w:ascii="宋体" w:cs="宋体"/>
          <w:color w:val="auto"/>
          <w:kern w:val="0"/>
          <w:sz w:val="24"/>
          <w:highlight w:val="none"/>
          <w:lang w:val="en-US" w:eastAsia="zh-CN"/>
        </w:rPr>
        <w:t xml:space="preserve">    </w:t>
      </w:r>
      <w:r>
        <w:rPr>
          <w:rFonts w:hint="eastAsia" w:ascii="宋体" w:cs="宋体"/>
          <w:color w:val="auto"/>
          <w:kern w:val="0"/>
          <w:sz w:val="24"/>
          <w:highlight w:val="none"/>
          <w:lang w:val="zh-CN"/>
        </w:rPr>
        <w:t>日</w:t>
      </w:r>
    </w:p>
    <w:p w14:paraId="0E1FB21A">
      <w:pPr>
        <w:widowControl/>
        <w:jc w:val="left"/>
        <w:rPr>
          <w:rFonts w:ascii="宋体" w:cs="宋体"/>
          <w:color w:val="auto"/>
          <w:sz w:val="30"/>
          <w:szCs w:val="20"/>
          <w:highlight w:val="none"/>
        </w:rPr>
        <w:sectPr>
          <w:pgSz w:w="11906" w:h="16838"/>
          <w:pgMar w:top="1134" w:right="1134" w:bottom="1134" w:left="1134" w:header="720" w:footer="720" w:gutter="0"/>
          <w:cols w:space="720" w:num="1"/>
          <w:docGrid w:type="lines" w:linePitch="331" w:charSpace="0"/>
        </w:sectPr>
      </w:pPr>
    </w:p>
    <w:p w14:paraId="159ECA97">
      <w:pPr>
        <w:pStyle w:val="20"/>
        <w:snapToGrid w:val="0"/>
        <w:ind w:left="562" w:hanging="562"/>
        <w:rPr>
          <w:rFonts w:ascii="宋体" w:cs="宋体"/>
          <w:i/>
          <w:iCs/>
          <w:color w:val="auto"/>
          <w:sz w:val="28"/>
          <w:szCs w:val="28"/>
          <w:highlight w:val="none"/>
        </w:rPr>
      </w:pPr>
      <w:r>
        <w:rPr>
          <w:rFonts w:hint="eastAsia" w:ascii="宋体" w:cs="宋体"/>
          <w:b/>
          <w:color w:val="auto"/>
          <w:sz w:val="28"/>
          <w:szCs w:val="28"/>
          <w:highlight w:val="none"/>
          <w:lang w:val="en-US" w:eastAsia="zh-CN"/>
        </w:rPr>
        <w:t>9</w:t>
      </w:r>
      <w:r>
        <w:rPr>
          <w:rFonts w:hint="eastAsia" w:ascii="宋体" w:cs="宋体"/>
          <w:b/>
          <w:color w:val="auto"/>
          <w:sz w:val="28"/>
          <w:szCs w:val="28"/>
          <w:highlight w:val="none"/>
        </w:rPr>
        <w:t>.项目实施人员一览表、售后服务人员情况表的格式</w:t>
      </w:r>
      <w:r>
        <w:rPr>
          <w:rFonts w:hint="eastAsia" w:ascii="宋体" w:cs="宋体"/>
          <w:b/>
          <w:bCs/>
          <w:color w:val="auto"/>
          <w:sz w:val="28"/>
          <w:szCs w:val="28"/>
          <w:highlight w:val="none"/>
        </w:rPr>
        <w:t>：</w:t>
      </w:r>
    </w:p>
    <w:p w14:paraId="70C9949F">
      <w:pPr>
        <w:autoSpaceDE w:val="0"/>
        <w:autoSpaceDN w:val="0"/>
        <w:spacing w:line="360" w:lineRule="auto"/>
        <w:jc w:val="left"/>
        <w:rPr>
          <w:rFonts w:ascii="宋体" w:cs="宋体"/>
          <w:color w:val="auto"/>
          <w:szCs w:val="21"/>
          <w:highlight w:val="none"/>
        </w:rPr>
      </w:pPr>
    </w:p>
    <w:p w14:paraId="1A19369A">
      <w:pPr>
        <w:snapToGrid w:val="0"/>
        <w:spacing w:line="360" w:lineRule="auto"/>
        <w:rPr>
          <w:rFonts w:ascii="宋体" w:cs="宋体"/>
          <w:b/>
          <w:color w:val="auto"/>
          <w:sz w:val="24"/>
          <w:highlight w:val="none"/>
        </w:rPr>
      </w:pPr>
    </w:p>
    <w:p w14:paraId="371B6EBE">
      <w:pPr>
        <w:pStyle w:val="17"/>
        <w:rPr>
          <w:color w:val="auto"/>
          <w:highlight w:val="none"/>
        </w:rPr>
      </w:pPr>
    </w:p>
    <w:p w14:paraId="48636B1B">
      <w:pPr>
        <w:snapToGrid w:val="0"/>
        <w:spacing w:line="360" w:lineRule="auto"/>
        <w:ind w:firstLine="551" w:firstLineChars="196"/>
        <w:jc w:val="center"/>
        <w:rPr>
          <w:rFonts w:ascii="宋体" w:cs="宋体"/>
          <w:b/>
          <w:bCs/>
          <w:color w:val="auto"/>
          <w:kern w:val="0"/>
          <w:sz w:val="28"/>
          <w:szCs w:val="28"/>
          <w:highlight w:val="none"/>
          <w:lang w:val="zh-CN"/>
        </w:rPr>
      </w:pPr>
      <w:r>
        <w:rPr>
          <w:rFonts w:hint="eastAsia" w:ascii="宋体" w:cs="宋体"/>
          <w:b/>
          <w:bCs/>
          <w:color w:val="auto"/>
          <w:kern w:val="0"/>
          <w:sz w:val="28"/>
          <w:szCs w:val="28"/>
          <w:highlight w:val="none"/>
          <w:lang w:val="zh-CN"/>
        </w:rPr>
        <w:t>项目实施人员一览表（如有要求）</w:t>
      </w:r>
    </w:p>
    <w:p w14:paraId="238F3825">
      <w:pPr>
        <w:pStyle w:val="14"/>
        <w:rPr>
          <w:color w:val="auto"/>
          <w:sz w:val="24"/>
          <w:szCs w:val="24"/>
          <w:highlight w:val="none"/>
        </w:rPr>
      </w:pPr>
    </w:p>
    <w:p w14:paraId="4C06A783">
      <w:pPr>
        <w:pStyle w:val="14"/>
        <w:rPr>
          <w:rFonts w:hint="eastAsia"/>
          <w:color w:val="auto"/>
          <w:sz w:val="24"/>
          <w:szCs w:val="24"/>
          <w:highlight w:val="none"/>
          <w:u w:val="single"/>
        </w:rPr>
      </w:pPr>
      <w:r>
        <w:rPr>
          <w:rFonts w:hint="eastAsia"/>
          <w:color w:val="auto"/>
          <w:sz w:val="24"/>
          <w:szCs w:val="24"/>
          <w:highlight w:val="none"/>
        </w:rPr>
        <w:t>所投分标（此处有分标时填写具体分标号，无分标时填写“无”）：</w:t>
      </w:r>
      <w:r>
        <w:rPr>
          <w:rFonts w:hint="eastAsia"/>
          <w:color w:val="auto"/>
          <w:sz w:val="24"/>
          <w:szCs w:val="24"/>
          <w:highlight w:val="none"/>
          <w:u w:val="single"/>
        </w:rPr>
        <w:t xml:space="preserve">        </w:t>
      </w:r>
    </w:p>
    <w:tbl>
      <w:tblPr>
        <w:tblStyle w:val="27"/>
        <w:tblW w:w="9757" w:type="dxa"/>
        <w:jc w:val="center"/>
        <w:tblLayout w:type="fixed"/>
        <w:tblCellMar>
          <w:top w:w="0" w:type="dxa"/>
          <w:left w:w="108" w:type="dxa"/>
          <w:bottom w:w="0" w:type="dxa"/>
          <w:right w:w="108" w:type="dxa"/>
        </w:tblCellMar>
      </w:tblPr>
      <w:tblGrid>
        <w:gridCol w:w="420"/>
        <w:gridCol w:w="1191"/>
        <w:gridCol w:w="763"/>
        <w:gridCol w:w="765"/>
        <w:gridCol w:w="1022"/>
        <w:gridCol w:w="1588"/>
        <w:gridCol w:w="2001"/>
        <w:gridCol w:w="2007"/>
      </w:tblGrid>
      <w:tr w14:paraId="2C0B9944">
        <w:tblPrEx>
          <w:tblCellMar>
            <w:top w:w="0" w:type="dxa"/>
            <w:left w:w="108" w:type="dxa"/>
            <w:bottom w:w="0" w:type="dxa"/>
            <w:right w:w="108" w:type="dxa"/>
          </w:tblCellMar>
        </w:tblPrEx>
        <w:trPr>
          <w:trHeight w:val="1153" w:hRule="atLeast"/>
          <w:jc w:val="center"/>
        </w:trPr>
        <w:tc>
          <w:tcPr>
            <w:tcW w:w="420" w:type="dxa"/>
            <w:tcBorders>
              <w:top w:val="single" w:color="auto" w:sz="6" w:space="0"/>
              <w:left w:val="single" w:color="auto" w:sz="6" w:space="0"/>
              <w:bottom w:val="single" w:color="auto" w:sz="6" w:space="0"/>
              <w:right w:val="single" w:color="auto" w:sz="6" w:space="0"/>
            </w:tcBorders>
            <w:noWrap w:val="0"/>
            <w:vAlign w:val="center"/>
          </w:tcPr>
          <w:p w14:paraId="19492B49">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91" w:type="dxa"/>
            <w:tcBorders>
              <w:top w:val="single" w:color="auto" w:sz="6" w:space="0"/>
              <w:left w:val="single" w:color="auto" w:sz="6" w:space="0"/>
              <w:bottom w:val="single" w:color="auto" w:sz="6" w:space="0"/>
              <w:right w:val="single" w:color="auto" w:sz="6" w:space="0"/>
            </w:tcBorders>
            <w:noWrap w:val="0"/>
            <w:vAlign w:val="center"/>
          </w:tcPr>
          <w:p w14:paraId="4E6E8855">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763" w:type="dxa"/>
            <w:tcBorders>
              <w:top w:val="single" w:color="auto" w:sz="6" w:space="0"/>
              <w:left w:val="single" w:color="auto" w:sz="6" w:space="0"/>
              <w:bottom w:val="single" w:color="auto" w:sz="6" w:space="0"/>
              <w:right w:val="single" w:color="auto" w:sz="6" w:space="0"/>
            </w:tcBorders>
            <w:noWrap w:val="0"/>
            <w:vAlign w:val="center"/>
          </w:tcPr>
          <w:p w14:paraId="4A1F57FE">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765" w:type="dxa"/>
            <w:tcBorders>
              <w:top w:val="single" w:color="auto" w:sz="6" w:space="0"/>
              <w:left w:val="single" w:color="auto" w:sz="6" w:space="0"/>
              <w:bottom w:val="single" w:color="auto" w:sz="6" w:space="0"/>
              <w:right w:val="single" w:color="auto" w:sz="6" w:space="0"/>
            </w:tcBorders>
            <w:noWrap w:val="0"/>
            <w:vAlign w:val="center"/>
          </w:tcPr>
          <w:p w14:paraId="00EBCDAC">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022" w:type="dxa"/>
            <w:tcBorders>
              <w:top w:val="single" w:color="auto" w:sz="6" w:space="0"/>
              <w:left w:val="single" w:color="auto" w:sz="6" w:space="0"/>
              <w:bottom w:val="single" w:color="auto" w:sz="6" w:space="0"/>
              <w:right w:val="single" w:color="auto" w:sz="6" w:space="0"/>
            </w:tcBorders>
            <w:noWrap w:val="0"/>
            <w:vAlign w:val="center"/>
          </w:tcPr>
          <w:p w14:paraId="5A159AD8">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专业</w:t>
            </w:r>
          </w:p>
          <w:p w14:paraId="180D5F25">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(页码)</w:t>
            </w:r>
          </w:p>
        </w:tc>
        <w:tc>
          <w:tcPr>
            <w:tcW w:w="1588" w:type="dxa"/>
            <w:tcBorders>
              <w:top w:val="single" w:color="auto" w:sz="6" w:space="0"/>
              <w:left w:val="single" w:color="auto" w:sz="6" w:space="0"/>
              <w:bottom w:val="single" w:color="auto" w:sz="6" w:space="0"/>
              <w:right w:val="single" w:color="auto" w:sz="6" w:space="0"/>
            </w:tcBorders>
            <w:noWrap w:val="0"/>
            <w:vAlign w:val="center"/>
          </w:tcPr>
          <w:p w14:paraId="484E8306">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r>
              <w:rPr>
                <w:rFonts w:hint="eastAsia" w:ascii="宋体" w:hAnsi="宋体" w:eastAsia="宋体" w:cs="宋体"/>
                <w:color w:val="auto"/>
                <w:sz w:val="24"/>
                <w:szCs w:val="24"/>
                <w:highlight w:val="none"/>
                <w:lang w:eastAsia="zh-CN"/>
              </w:rPr>
              <w:t>或职业资格证书</w:t>
            </w:r>
          </w:p>
          <w:p w14:paraId="63790F55">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(页码)</w:t>
            </w:r>
          </w:p>
        </w:tc>
        <w:tc>
          <w:tcPr>
            <w:tcW w:w="2001" w:type="dxa"/>
            <w:tcBorders>
              <w:top w:val="single" w:color="auto" w:sz="6" w:space="0"/>
              <w:left w:val="single" w:color="auto" w:sz="6" w:space="0"/>
              <w:bottom w:val="single" w:color="auto" w:sz="6" w:space="0"/>
              <w:right w:val="single" w:color="auto" w:sz="6" w:space="0"/>
            </w:tcBorders>
            <w:noWrap w:val="0"/>
            <w:vAlign w:val="center"/>
          </w:tcPr>
          <w:p w14:paraId="6A8D2D34">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本项目中的职责</w:t>
            </w:r>
          </w:p>
        </w:tc>
        <w:tc>
          <w:tcPr>
            <w:tcW w:w="2007" w:type="dxa"/>
            <w:tcBorders>
              <w:top w:val="single" w:color="auto" w:sz="6" w:space="0"/>
              <w:left w:val="single" w:color="auto" w:sz="6" w:space="0"/>
              <w:bottom w:val="single" w:color="auto" w:sz="6" w:space="0"/>
              <w:right w:val="single" w:color="auto" w:sz="6" w:space="0"/>
            </w:tcBorders>
            <w:noWrap w:val="0"/>
            <w:vAlign w:val="center"/>
          </w:tcPr>
          <w:p w14:paraId="14202B2E">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类似</w:t>
            </w:r>
            <w:r>
              <w:rPr>
                <w:rFonts w:hint="eastAsia" w:ascii="宋体" w:hAnsi="宋体" w:eastAsia="宋体" w:cs="宋体"/>
                <w:color w:val="auto"/>
                <w:sz w:val="24"/>
                <w:szCs w:val="24"/>
                <w:highlight w:val="none"/>
              </w:rPr>
              <w:t>项目经历</w:t>
            </w:r>
          </w:p>
        </w:tc>
      </w:tr>
      <w:tr w14:paraId="497CBB7D">
        <w:tblPrEx>
          <w:tblCellMar>
            <w:top w:w="0" w:type="dxa"/>
            <w:left w:w="108" w:type="dxa"/>
            <w:bottom w:w="0" w:type="dxa"/>
            <w:right w:w="108" w:type="dxa"/>
          </w:tblCellMar>
        </w:tblPrEx>
        <w:trPr>
          <w:trHeight w:val="479" w:hRule="atLeast"/>
          <w:jc w:val="center"/>
        </w:trPr>
        <w:tc>
          <w:tcPr>
            <w:tcW w:w="420" w:type="dxa"/>
            <w:tcBorders>
              <w:top w:val="single" w:color="auto" w:sz="6" w:space="0"/>
              <w:left w:val="single" w:color="auto" w:sz="6" w:space="0"/>
              <w:bottom w:val="single" w:color="auto" w:sz="6" w:space="0"/>
              <w:right w:val="single" w:color="auto" w:sz="6" w:space="0"/>
            </w:tcBorders>
            <w:noWrap w:val="0"/>
            <w:vAlign w:val="top"/>
          </w:tcPr>
          <w:p w14:paraId="17F91CB4">
            <w:pPr>
              <w:autoSpaceDE w:val="0"/>
              <w:autoSpaceDN w:val="0"/>
              <w:spacing w:line="240" w:lineRule="auto"/>
              <w:jc w:val="center"/>
              <w:rPr>
                <w:rFonts w:hint="eastAsia" w:ascii="宋体" w:hAnsi="宋体" w:eastAsia="宋体" w:cs="宋体"/>
                <w:color w:val="auto"/>
                <w:sz w:val="24"/>
                <w:szCs w:val="24"/>
                <w:highlight w:val="none"/>
              </w:rPr>
            </w:pPr>
          </w:p>
        </w:tc>
        <w:tc>
          <w:tcPr>
            <w:tcW w:w="1191" w:type="dxa"/>
            <w:tcBorders>
              <w:top w:val="single" w:color="auto" w:sz="6" w:space="0"/>
              <w:left w:val="single" w:color="auto" w:sz="6" w:space="0"/>
              <w:bottom w:val="single" w:color="auto" w:sz="6" w:space="0"/>
              <w:right w:val="single" w:color="auto" w:sz="6" w:space="0"/>
            </w:tcBorders>
            <w:noWrap w:val="0"/>
            <w:vAlign w:val="top"/>
          </w:tcPr>
          <w:p w14:paraId="518D53D5">
            <w:pPr>
              <w:autoSpaceDE w:val="0"/>
              <w:autoSpaceDN w:val="0"/>
              <w:spacing w:line="240" w:lineRule="auto"/>
              <w:rPr>
                <w:rFonts w:hint="eastAsia" w:ascii="宋体" w:hAnsi="宋体" w:eastAsia="宋体" w:cs="宋体"/>
                <w:color w:val="auto"/>
                <w:sz w:val="24"/>
                <w:szCs w:val="24"/>
                <w:highlight w:val="none"/>
              </w:rPr>
            </w:pPr>
          </w:p>
        </w:tc>
        <w:tc>
          <w:tcPr>
            <w:tcW w:w="763" w:type="dxa"/>
            <w:tcBorders>
              <w:top w:val="single" w:color="auto" w:sz="6" w:space="0"/>
              <w:left w:val="single" w:color="auto" w:sz="6" w:space="0"/>
              <w:bottom w:val="single" w:color="auto" w:sz="6" w:space="0"/>
              <w:right w:val="single" w:color="auto" w:sz="6" w:space="0"/>
            </w:tcBorders>
            <w:noWrap w:val="0"/>
            <w:vAlign w:val="top"/>
          </w:tcPr>
          <w:p w14:paraId="6DED61B8">
            <w:pPr>
              <w:autoSpaceDE w:val="0"/>
              <w:autoSpaceDN w:val="0"/>
              <w:spacing w:line="240" w:lineRule="auto"/>
              <w:rPr>
                <w:rFonts w:hint="eastAsia" w:ascii="宋体" w:hAnsi="宋体" w:eastAsia="宋体" w:cs="宋体"/>
                <w:color w:val="auto"/>
                <w:sz w:val="24"/>
                <w:szCs w:val="24"/>
                <w:highlight w:val="none"/>
              </w:rPr>
            </w:pPr>
          </w:p>
        </w:tc>
        <w:tc>
          <w:tcPr>
            <w:tcW w:w="765" w:type="dxa"/>
            <w:tcBorders>
              <w:top w:val="single" w:color="auto" w:sz="6" w:space="0"/>
              <w:left w:val="single" w:color="auto" w:sz="6" w:space="0"/>
              <w:bottom w:val="single" w:color="auto" w:sz="6" w:space="0"/>
              <w:right w:val="single" w:color="auto" w:sz="6" w:space="0"/>
            </w:tcBorders>
            <w:noWrap w:val="0"/>
            <w:vAlign w:val="top"/>
          </w:tcPr>
          <w:p w14:paraId="5C1C5CF6">
            <w:pPr>
              <w:autoSpaceDE w:val="0"/>
              <w:autoSpaceDN w:val="0"/>
              <w:spacing w:line="240" w:lineRule="auto"/>
              <w:rPr>
                <w:rFonts w:hint="eastAsia" w:ascii="宋体" w:hAnsi="宋体" w:eastAsia="宋体" w:cs="宋体"/>
                <w:color w:val="auto"/>
                <w:sz w:val="24"/>
                <w:szCs w:val="24"/>
                <w:highlight w:val="none"/>
              </w:rPr>
            </w:pPr>
          </w:p>
        </w:tc>
        <w:tc>
          <w:tcPr>
            <w:tcW w:w="1022" w:type="dxa"/>
            <w:tcBorders>
              <w:top w:val="single" w:color="auto" w:sz="6" w:space="0"/>
              <w:left w:val="single" w:color="auto" w:sz="6" w:space="0"/>
              <w:bottom w:val="single" w:color="auto" w:sz="6" w:space="0"/>
              <w:right w:val="single" w:color="auto" w:sz="6" w:space="0"/>
            </w:tcBorders>
            <w:noWrap w:val="0"/>
            <w:vAlign w:val="top"/>
          </w:tcPr>
          <w:p w14:paraId="7BEF5F7F">
            <w:pPr>
              <w:autoSpaceDE w:val="0"/>
              <w:autoSpaceDN w:val="0"/>
              <w:spacing w:line="240" w:lineRule="auto"/>
              <w:rPr>
                <w:rFonts w:hint="eastAsia" w:ascii="宋体" w:hAnsi="宋体" w:eastAsia="宋体" w:cs="宋体"/>
                <w:color w:val="auto"/>
                <w:sz w:val="24"/>
                <w:szCs w:val="24"/>
                <w:highlight w:val="none"/>
              </w:rPr>
            </w:pPr>
          </w:p>
        </w:tc>
        <w:tc>
          <w:tcPr>
            <w:tcW w:w="1588" w:type="dxa"/>
            <w:tcBorders>
              <w:top w:val="single" w:color="auto" w:sz="6" w:space="0"/>
              <w:left w:val="single" w:color="auto" w:sz="6" w:space="0"/>
              <w:bottom w:val="single" w:color="auto" w:sz="6" w:space="0"/>
              <w:right w:val="single" w:color="auto" w:sz="6" w:space="0"/>
            </w:tcBorders>
            <w:noWrap w:val="0"/>
            <w:vAlign w:val="top"/>
          </w:tcPr>
          <w:p w14:paraId="64E4EB3A">
            <w:pPr>
              <w:autoSpaceDE w:val="0"/>
              <w:autoSpaceDN w:val="0"/>
              <w:spacing w:line="240" w:lineRule="auto"/>
              <w:rPr>
                <w:rFonts w:hint="eastAsia" w:ascii="宋体" w:hAnsi="宋体" w:eastAsia="宋体" w:cs="宋体"/>
                <w:color w:val="auto"/>
                <w:sz w:val="24"/>
                <w:szCs w:val="24"/>
                <w:highlight w:val="none"/>
              </w:rPr>
            </w:pPr>
          </w:p>
        </w:tc>
        <w:tc>
          <w:tcPr>
            <w:tcW w:w="2001" w:type="dxa"/>
            <w:tcBorders>
              <w:top w:val="single" w:color="auto" w:sz="6" w:space="0"/>
              <w:left w:val="single" w:color="auto" w:sz="6" w:space="0"/>
              <w:bottom w:val="single" w:color="auto" w:sz="6" w:space="0"/>
              <w:right w:val="single" w:color="auto" w:sz="6" w:space="0"/>
            </w:tcBorders>
            <w:noWrap w:val="0"/>
            <w:vAlign w:val="top"/>
          </w:tcPr>
          <w:p w14:paraId="0D6FBEAF">
            <w:pPr>
              <w:autoSpaceDE w:val="0"/>
              <w:autoSpaceDN w:val="0"/>
              <w:spacing w:line="240" w:lineRule="auto"/>
              <w:rPr>
                <w:rFonts w:hint="eastAsia" w:ascii="宋体" w:hAnsi="宋体" w:eastAsia="宋体" w:cs="宋体"/>
                <w:color w:val="auto"/>
                <w:sz w:val="24"/>
                <w:szCs w:val="24"/>
                <w:highlight w:val="none"/>
              </w:rPr>
            </w:pPr>
          </w:p>
        </w:tc>
        <w:tc>
          <w:tcPr>
            <w:tcW w:w="2007" w:type="dxa"/>
            <w:tcBorders>
              <w:top w:val="single" w:color="auto" w:sz="6" w:space="0"/>
              <w:left w:val="single" w:color="auto" w:sz="6" w:space="0"/>
              <w:bottom w:val="single" w:color="auto" w:sz="6" w:space="0"/>
              <w:right w:val="single" w:color="auto" w:sz="6" w:space="0"/>
            </w:tcBorders>
            <w:noWrap w:val="0"/>
            <w:vAlign w:val="top"/>
          </w:tcPr>
          <w:p w14:paraId="129B228F">
            <w:pPr>
              <w:autoSpaceDE w:val="0"/>
              <w:autoSpaceDN w:val="0"/>
              <w:spacing w:line="240" w:lineRule="auto"/>
              <w:rPr>
                <w:rFonts w:hint="eastAsia" w:ascii="宋体" w:hAnsi="宋体" w:eastAsia="宋体" w:cs="宋体"/>
                <w:color w:val="auto"/>
                <w:sz w:val="24"/>
                <w:szCs w:val="24"/>
                <w:highlight w:val="none"/>
              </w:rPr>
            </w:pPr>
          </w:p>
        </w:tc>
      </w:tr>
      <w:tr w14:paraId="676B5AAA">
        <w:tblPrEx>
          <w:tblCellMar>
            <w:top w:w="0" w:type="dxa"/>
            <w:left w:w="108" w:type="dxa"/>
            <w:bottom w:w="0" w:type="dxa"/>
            <w:right w:w="108" w:type="dxa"/>
          </w:tblCellMar>
        </w:tblPrEx>
        <w:trPr>
          <w:trHeight w:val="473" w:hRule="atLeast"/>
          <w:jc w:val="center"/>
        </w:trPr>
        <w:tc>
          <w:tcPr>
            <w:tcW w:w="420" w:type="dxa"/>
            <w:tcBorders>
              <w:top w:val="single" w:color="auto" w:sz="6" w:space="0"/>
              <w:left w:val="single" w:color="auto" w:sz="6" w:space="0"/>
              <w:bottom w:val="single" w:color="auto" w:sz="6" w:space="0"/>
              <w:right w:val="single" w:color="auto" w:sz="6" w:space="0"/>
            </w:tcBorders>
            <w:noWrap w:val="0"/>
            <w:vAlign w:val="top"/>
          </w:tcPr>
          <w:p w14:paraId="10736AC6">
            <w:pPr>
              <w:autoSpaceDE w:val="0"/>
              <w:autoSpaceDN w:val="0"/>
              <w:spacing w:line="360" w:lineRule="auto"/>
              <w:jc w:val="center"/>
              <w:rPr>
                <w:rFonts w:hint="eastAsia" w:ascii="宋体" w:hAnsi="宋体" w:eastAsia="宋体" w:cs="宋体"/>
                <w:color w:val="auto"/>
                <w:sz w:val="24"/>
                <w:szCs w:val="24"/>
                <w:highlight w:val="none"/>
              </w:rPr>
            </w:pPr>
          </w:p>
        </w:tc>
        <w:tc>
          <w:tcPr>
            <w:tcW w:w="1191" w:type="dxa"/>
            <w:tcBorders>
              <w:top w:val="single" w:color="auto" w:sz="6" w:space="0"/>
              <w:left w:val="single" w:color="auto" w:sz="6" w:space="0"/>
              <w:bottom w:val="single" w:color="auto" w:sz="6" w:space="0"/>
              <w:right w:val="single" w:color="auto" w:sz="6" w:space="0"/>
            </w:tcBorders>
            <w:noWrap w:val="0"/>
            <w:vAlign w:val="top"/>
          </w:tcPr>
          <w:p w14:paraId="75A2B17E">
            <w:pPr>
              <w:autoSpaceDE w:val="0"/>
              <w:autoSpaceDN w:val="0"/>
              <w:spacing w:line="360" w:lineRule="auto"/>
              <w:rPr>
                <w:rFonts w:hint="eastAsia" w:ascii="宋体" w:hAnsi="宋体" w:eastAsia="宋体" w:cs="宋体"/>
                <w:color w:val="auto"/>
                <w:sz w:val="24"/>
                <w:szCs w:val="24"/>
                <w:highlight w:val="none"/>
              </w:rPr>
            </w:pPr>
          </w:p>
        </w:tc>
        <w:tc>
          <w:tcPr>
            <w:tcW w:w="763" w:type="dxa"/>
            <w:tcBorders>
              <w:top w:val="single" w:color="auto" w:sz="6" w:space="0"/>
              <w:left w:val="single" w:color="auto" w:sz="6" w:space="0"/>
              <w:bottom w:val="single" w:color="auto" w:sz="6" w:space="0"/>
              <w:right w:val="single" w:color="auto" w:sz="6" w:space="0"/>
            </w:tcBorders>
            <w:noWrap w:val="0"/>
            <w:vAlign w:val="top"/>
          </w:tcPr>
          <w:p w14:paraId="112CD4AF">
            <w:pPr>
              <w:autoSpaceDE w:val="0"/>
              <w:autoSpaceDN w:val="0"/>
              <w:spacing w:line="360" w:lineRule="auto"/>
              <w:rPr>
                <w:rFonts w:hint="eastAsia" w:ascii="宋体" w:hAnsi="宋体" w:eastAsia="宋体" w:cs="宋体"/>
                <w:color w:val="auto"/>
                <w:sz w:val="24"/>
                <w:szCs w:val="24"/>
                <w:highlight w:val="none"/>
              </w:rPr>
            </w:pPr>
          </w:p>
        </w:tc>
        <w:tc>
          <w:tcPr>
            <w:tcW w:w="765" w:type="dxa"/>
            <w:tcBorders>
              <w:top w:val="single" w:color="auto" w:sz="6" w:space="0"/>
              <w:left w:val="single" w:color="auto" w:sz="6" w:space="0"/>
              <w:bottom w:val="single" w:color="auto" w:sz="6" w:space="0"/>
              <w:right w:val="single" w:color="auto" w:sz="6" w:space="0"/>
            </w:tcBorders>
            <w:noWrap w:val="0"/>
            <w:vAlign w:val="top"/>
          </w:tcPr>
          <w:p w14:paraId="0382B7C9">
            <w:pPr>
              <w:autoSpaceDE w:val="0"/>
              <w:autoSpaceDN w:val="0"/>
              <w:spacing w:line="360" w:lineRule="auto"/>
              <w:rPr>
                <w:rFonts w:hint="eastAsia" w:ascii="宋体" w:hAnsi="宋体" w:eastAsia="宋体" w:cs="宋体"/>
                <w:color w:val="auto"/>
                <w:sz w:val="24"/>
                <w:szCs w:val="24"/>
                <w:highlight w:val="none"/>
              </w:rPr>
            </w:pPr>
          </w:p>
        </w:tc>
        <w:tc>
          <w:tcPr>
            <w:tcW w:w="1022" w:type="dxa"/>
            <w:tcBorders>
              <w:top w:val="single" w:color="auto" w:sz="6" w:space="0"/>
              <w:left w:val="single" w:color="auto" w:sz="6" w:space="0"/>
              <w:bottom w:val="single" w:color="auto" w:sz="6" w:space="0"/>
              <w:right w:val="single" w:color="auto" w:sz="6" w:space="0"/>
            </w:tcBorders>
            <w:noWrap w:val="0"/>
            <w:vAlign w:val="top"/>
          </w:tcPr>
          <w:p w14:paraId="5E6D0201">
            <w:pPr>
              <w:autoSpaceDE w:val="0"/>
              <w:autoSpaceDN w:val="0"/>
              <w:spacing w:line="360" w:lineRule="auto"/>
              <w:rPr>
                <w:rFonts w:hint="eastAsia" w:ascii="宋体" w:hAnsi="宋体" w:eastAsia="宋体" w:cs="宋体"/>
                <w:color w:val="auto"/>
                <w:sz w:val="24"/>
                <w:szCs w:val="24"/>
                <w:highlight w:val="none"/>
              </w:rPr>
            </w:pPr>
          </w:p>
        </w:tc>
        <w:tc>
          <w:tcPr>
            <w:tcW w:w="1588" w:type="dxa"/>
            <w:tcBorders>
              <w:top w:val="single" w:color="auto" w:sz="6" w:space="0"/>
              <w:left w:val="single" w:color="auto" w:sz="6" w:space="0"/>
              <w:bottom w:val="single" w:color="auto" w:sz="6" w:space="0"/>
              <w:right w:val="single" w:color="auto" w:sz="6" w:space="0"/>
            </w:tcBorders>
            <w:noWrap w:val="0"/>
            <w:vAlign w:val="top"/>
          </w:tcPr>
          <w:p w14:paraId="21E84510">
            <w:pPr>
              <w:autoSpaceDE w:val="0"/>
              <w:autoSpaceDN w:val="0"/>
              <w:spacing w:line="360" w:lineRule="auto"/>
              <w:rPr>
                <w:rFonts w:hint="eastAsia" w:ascii="宋体" w:hAnsi="宋体" w:eastAsia="宋体" w:cs="宋体"/>
                <w:color w:val="auto"/>
                <w:sz w:val="24"/>
                <w:szCs w:val="24"/>
                <w:highlight w:val="none"/>
              </w:rPr>
            </w:pPr>
          </w:p>
        </w:tc>
        <w:tc>
          <w:tcPr>
            <w:tcW w:w="2001" w:type="dxa"/>
            <w:tcBorders>
              <w:top w:val="single" w:color="auto" w:sz="6" w:space="0"/>
              <w:left w:val="single" w:color="auto" w:sz="6" w:space="0"/>
              <w:bottom w:val="single" w:color="auto" w:sz="6" w:space="0"/>
              <w:right w:val="single" w:color="auto" w:sz="6" w:space="0"/>
            </w:tcBorders>
            <w:noWrap w:val="0"/>
            <w:vAlign w:val="top"/>
          </w:tcPr>
          <w:p w14:paraId="3C0DD488">
            <w:pPr>
              <w:autoSpaceDE w:val="0"/>
              <w:autoSpaceDN w:val="0"/>
              <w:spacing w:line="360" w:lineRule="auto"/>
              <w:rPr>
                <w:rFonts w:hint="eastAsia" w:ascii="宋体" w:hAnsi="宋体" w:eastAsia="宋体" w:cs="宋体"/>
                <w:color w:val="auto"/>
                <w:sz w:val="24"/>
                <w:szCs w:val="24"/>
                <w:highlight w:val="none"/>
              </w:rPr>
            </w:pPr>
          </w:p>
        </w:tc>
        <w:tc>
          <w:tcPr>
            <w:tcW w:w="2007" w:type="dxa"/>
            <w:tcBorders>
              <w:top w:val="single" w:color="auto" w:sz="6" w:space="0"/>
              <w:left w:val="single" w:color="auto" w:sz="6" w:space="0"/>
              <w:bottom w:val="single" w:color="auto" w:sz="6" w:space="0"/>
              <w:right w:val="single" w:color="auto" w:sz="6" w:space="0"/>
            </w:tcBorders>
            <w:noWrap w:val="0"/>
            <w:vAlign w:val="top"/>
          </w:tcPr>
          <w:p w14:paraId="576AF7E4">
            <w:pPr>
              <w:autoSpaceDE w:val="0"/>
              <w:autoSpaceDN w:val="0"/>
              <w:spacing w:line="360" w:lineRule="auto"/>
              <w:rPr>
                <w:rFonts w:hint="eastAsia" w:ascii="宋体" w:hAnsi="宋体" w:eastAsia="宋体" w:cs="宋体"/>
                <w:color w:val="auto"/>
                <w:sz w:val="24"/>
                <w:szCs w:val="24"/>
                <w:highlight w:val="none"/>
              </w:rPr>
            </w:pPr>
          </w:p>
        </w:tc>
      </w:tr>
    </w:tbl>
    <w:p w14:paraId="7E11EA5B">
      <w:pPr>
        <w:spacing w:line="360" w:lineRule="auto"/>
        <w:rPr>
          <w:rFonts w:ascii="宋体" w:cs="宋体"/>
          <w:b/>
          <w:bCs/>
          <w:color w:val="auto"/>
          <w:sz w:val="24"/>
          <w:szCs w:val="24"/>
          <w:highlight w:val="none"/>
        </w:rPr>
      </w:pPr>
      <w:r>
        <w:rPr>
          <w:rFonts w:hint="eastAsia" w:ascii="宋体" w:cs="宋体"/>
          <w:b/>
          <w:color w:val="auto"/>
          <w:sz w:val="24"/>
          <w:szCs w:val="24"/>
          <w:highlight w:val="none"/>
        </w:rPr>
        <w:t>注：投标人可参照上述格式自行编制，并注明所在投标</w:t>
      </w:r>
      <w:r>
        <w:rPr>
          <w:rFonts w:hint="eastAsia" w:ascii="宋体" w:cs="宋体"/>
          <w:b/>
          <w:color w:val="auto"/>
          <w:sz w:val="24"/>
          <w:szCs w:val="24"/>
          <w:highlight w:val="none"/>
          <w:lang w:val="en-US" w:eastAsia="zh-CN"/>
        </w:rPr>
        <w:t>商务</w:t>
      </w:r>
      <w:r>
        <w:rPr>
          <w:rFonts w:hint="eastAsia" w:ascii="宋体" w:cs="宋体"/>
          <w:b/>
          <w:color w:val="auto"/>
          <w:sz w:val="24"/>
          <w:szCs w:val="24"/>
          <w:highlight w:val="none"/>
        </w:rPr>
        <w:t>技术文件页码。</w:t>
      </w:r>
    </w:p>
    <w:p w14:paraId="75F1FFFD">
      <w:pPr>
        <w:snapToGrid w:val="0"/>
        <w:spacing w:line="360" w:lineRule="auto"/>
        <w:ind w:firstLine="472" w:firstLineChars="196"/>
        <w:rPr>
          <w:rFonts w:ascii="宋体" w:cs="宋体"/>
          <w:b/>
          <w:bCs/>
          <w:color w:val="auto"/>
          <w:kern w:val="0"/>
          <w:sz w:val="24"/>
          <w:highlight w:val="none"/>
          <w:lang w:val="zh-CN"/>
        </w:rPr>
      </w:pPr>
    </w:p>
    <w:p w14:paraId="773DA60F">
      <w:pPr>
        <w:snapToGrid w:val="0"/>
        <w:spacing w:line="360" w:lineRule="auto"/>
        <w:ind w:firstLine="5280" w:firstLineChars="2200"/>
        <w:rPr>
          <w:rFonts w:ascii="宋体" w:cs="宋体"/>
          <w:color w:val="auto"/>
          <w:kern w:val="0"/>
          <w:sz w:val="24"/>
          <w:highlight w:val="none"/>
        </w:rPr>
      </w:pPr>
      <w:r>
        <w:rPr>
          <w:rFonts w:hint="eastAsia" w:ascii="宋体" w:cs="宋体"/>
          <w:color w:val="auto"/>
          <w:kern w:val="0"/>
          <w:sz w:val="24"/>
          <w:highlight w:val="none"/>
          <w:lang w:val="zh-CN"/>
        </w:rPr>
        <w:t>投标人名称（盖公章）：</w:t>
      </w:r>
    </w:p>
    <w:p w14:paraId="0382199E">
      <w:pPr>
        <w:snapToGrid w:val="0"/>
        <w:spacing w:line="360" w:lineRule="auto"/>
        <w:ind w:firstLine="5280" w:firstLineChars="2200"/>
        <w:jc w:val="left"/>
        <w:rPr>
          <w:rFonts w:ascii="宋体" w:cs="宋体"/>
          <w:b/>
          <w:bCs/>
          <w:color w:val="auto"/>
          <w:sz w:val="24"/>
          <w:highlight w:val="none"/>
        </w:rPr>
      </w:pPr>
      <w:r>
        <w:rPr>
          <w:rFonts w:hint="eastAsia" w:ascii="宋体" w:cs="宋体"/>
          <w:color w:val="auto"/>
          <w:kern w:val="0"/>
          <w:sz w:val="24"/>
          <w:highlight w:val="none"/>
          <w:lang w:val="zh-CN"/>
        </w:rPr>
        <w:t>日期</w:t>
      </w:r>
      <w:r>
        <w:rPr>
          <w:rFonts w:hint="eastAsia" w:ascii="宋体" w:cs="宋体"/>
          <w:color w:val="auto"/>
          <w:kern w:val="0"/>
          <w:sz w:val="24"/>
          <w:highlight w:val="none"/>
        </w:rPr>
        <w:t xml:space="preserve">：  年  </w:t>
      </w:r>
      <w:r>
        <w:rPr>
          <w:rFonts w:hint="eastAsia" w:ascii="宋体" w:cs="宋体"/>
          <w:color w:val="auto"/>
          <w:kern w:val="0"/>
          <w:sz w:val="24"/>
          <w:highlight w:val="none"/>
          <w:lang w:val="zh-CN"/>
        </w:rPr>
        <w:t>月</w:t>
      </w:r>
      <w:r>
        <w:rPr>
          <w:rFonts w:hint="eastAsia" w:ascii="宋体" w:cs="宋体"/>
          <w:color w:val="auto"/>
          <w:kern w:val="0"/>
          <w:sz w:val="24"/>
          <w:highlight w:val="none"/>
        </w:rPr>
        <w:t xml:space="preserve">   </w:t>
      </w:r>
      <w:r>
        <w:rPr>
          <w:rFonts w:hint="eastAsia" w:ascii="宋体" w:cs="宋体"/>
          <w:color w:val="auto"/>
          <w:kern w:val="0"/>
          <w:sz w:val="24"/>
          <w:highlight w:val="none"/>
          <w:lang w:val="zh-CN"/>
        </w:rPr>
        <w:t>日</w:t>
      </w:r>
    </w:p>
    <w:p w14:paraId="738241B8">
      <w:pPr>
        <w:snapToGrid w:val="0"/>
        <w:spacing w:line="360" w:lineRule="auto"/>
        <w:jc w:val="center"/>
        <w:rPr>
          <w:rFonts w:ascii="宋体" w:cs="宋体"/>
          <w:b/>
          <w:bCs/>
          <w:color w:val="auto"/>
          <w:sz w:val="24"/>
          <w:highlight w:val="none"/>
        </w:rPr>
      </w:pPr>
    </w:p>
    <w:p w14:paraId="381FB435">
      <w:pPr>
        <w:snapToGrid w:val="0"/>
        <w:spacing w:line="360" w:lineRule="auto"/>
        <w:jc w:val="center"/>
        <w:rPr>
          <w:rFonts w:hint="eastAsia" w:ascii="宋体" w:cs="宋体"/>
          <w:b/>
          <w:bCs/>
          <w:color w:val="auto"/>
          <w:sz w:val="24"/>
          <w:highlight w:val="none"/>
        </w:rPr>
      </w:pPr>
      <w:r>
        <w:rPr>
          <w:rFonts w:hint="eastAsia" w:ascii="宋体" w:cs="宋体"/>
          <w:b/>
          <w:bCs/>
          <w:color w:val="auto"/>
          <w:sz w:val="24"/>
          <w:highlight w:val="none"/>
        </w:rPr>
        <w:t xml:space="preserve">                    </w:t>
      </w:r>
    </w:p>
    <w:p w14:paraId="42168EC8">
      <w:pPr>
        <w:snapToGrid w:val="0"/>
        <w:spacing w:line="360" w:lineRule="auto"/>
        <w:jc w:val="center"/>
        <w:rPr>
          <w:rFonts w:hint="eastAsia" w:ascii="宋体" w:cs="宋体"/>
          <w:color w:val="auto"/>
          <w:sz w:val="24"/>
          <w:highlight w:val="none"/>
        </w:rPr>
      </w:pPr>
      <w:r>
        <w:rPr>
          <w:rFonts w:hint="eastAsia" w:ascii="宋体" w:cs="宋体"/>
          <w:b/>
          <w:color w:val="auto"/>
          <w:kern w:val="0"/>
          <w:sz w:val="24"/>
          <w:highlight w:val="none"/>
        </w:rPr>
        <w:t>售后服务人员情况表</w:t>
      </w:r>
      <w:r>
        <w:rPr>
          <w:rFonts w:hint="eastAsia" w:ascii="宋体" w:cs="宋体"/>
          <w:color w:val="auto"/>
          <w:sz w:val="24"/>
          <w:highlight w:val="none"/>
        </w:rPr>
        <w:t>（如有要求，参照此格式自制）</w:t>
      </w:r>
    </w:p>
    <w:tbl>
      <w:tblPr>
        <w:tblStyle w:val="27"/>
        <w:tblW w:w="0" w:type="auto"/>
        <w:jc w:val="center"/>
        <w:tblLayout w:type="fixed"/>
        <w:tblCellMar>
          <w:top w:w="0" w:type="dxa"/>
          <w:left w:w="108" w:type="dxa"/>
          <w:bottom w:w="0" w:type="dxa"/>
          <w:right w:w="108" w:type="dxa"/>
        </w:tblCellMar>
      </w:tblPr>
      <w:tblGrid>
        <w:gridCol w:w="451"/>
        <w:gridCol w:w="971"/>
        <w:gridCol w:w="725"/>
        <w:gridCol w:w="876"/>
        <w:gridCol w:w="886"/>
        <w:gridCol w:w="1064"/>
        <w:gridCol w:w="1312"/>
        <w:gridCol w:w="1242"/>
        <w:gridCol w:w="886"/>
        <w:gridCol w:w="1358"/>
      </w:tblGrid>
      <w:tr w14:paraId="2BBEFD9F">
        <w:tblPrEx>
          <w:tblCellMar>
            <w:top w:w="0" w:type="dxa"/>
            <w:left w:w="108" w:type="dxa"/>
            <w:bottom w:w="0" w:type="dxa"/>
            <w:right w:w="108" w:type="dxa"/>
          </w:tblCellMar>
        </w:tblPrEx>
        <w:trPr>
          <w:trHeight w:val="859" w:hRule="atLeast"/>
          <w:jc w:val="center"/>
        </w:trPr>
        <w:tc>
          <w:tcPr>
            <w:tcW w:w="451" w:type="dxa"/>
            <w:tcBorders>
              <w:top w:val="single" w:color="auto" w:sz="6" w:space="0"/>
              <w:left w:val="single" w:color="auto" w:sz="6" w:space="0"/>
              <w:bottom w:val="single" w:color="auto" w:sz="6" w:space="0"/>
              <w:right w:val="single" w:color="auto" w:sz="4" w:space="0"/>
            </w:tcBorders>
            <w:noWrap w:val="0"/>
            <w:vAlign w:val="center"/>
          </w:tcPr>
          <w:p w14:paraId="7957128D">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971" w:type="dxa"/>
            <w:tcBorders>
              <w:top w:val="single" w:color="auto" w:sz="6" w:space="0"/>
              <w:left w:val="single" w:color="auto" w:sz="4" w:space="0"/>
              <w:bottom w:val="single" w:color="auto" w:sz="6" w:space="0"/>
              <w:right w:val="single" w:color="auto" w:sz="6" w:space="0"/>
            </w:tcBorders>
            <w:noWrap w:val="0"/>
            <w:vAlign w:val="center"/>
          </w:tcPr>
          <w:p w14:paraId="289C6CB2">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类别</w:t>
            </w:r>
          </w:p>
        </w:tc>
        <w:tc>
          <w:tcPr>
            <w:tcW w:w="725" w:type="dxa"/>
            <w:tcBorders>
              <w:top w:val="single" w:color="auto" w:sz="6" w:space="0"/>
              <w:left w:val="single" w:color="auto" w:sz="6" w:space="0"/>
              <w:bottom w:val="single" w:color="auto" w:sz="6" w:space="0"/>
              <w:right w:val="single" w:color="auto" w:sz="6" w:space="0"/>
            </w:tcBorders>
            <w:noWrap w:val="0"/>
            <w:vAlign w:val="center"/>
          </w:tcPr>
          <w:p w14:paraId="2215A099">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876" w:type="dxa"/>
            <w:tcBorders>
              <w:top w:val="single" w:color="auto" w:sz="6" w:space="0"/>
              <w:left w:val="single" w:color="auto" w:sz="6" w:space="0"/>
              <w:bottom w:val="single" w:color="auto" w:sz="6" w:space="0"/>
              <w:right w:val="single" w:color="auto" w:sz="6" w:space="0"/>
            </w:tcBorders>
            <w:noWrap w:val="0"/>
            <w:vAlign w:val="center"/>
          </w:tcPr>
          <w:p w14:paraId="314C6AD9">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886" w:type="dxa"/>
            <w:tcBorders>
              <w:top w:val="single" w:color="auto" w:sz="6" w:space="0"/>
              <w:left w:val="single" w:color="auto" w:sz="6" w:space="0"/>
              <w:bottom w:val="single" w:color="auto" w:sz="6" w:space="0"/>
              <w:right w:val="single" w:color="auto" w:sz="6" w:space="0"/>
            </w:tcBorders>
            <w:noWrap w:val="0"/>
            <w:vAlign w:val="center"/>
          </w:tcPr>
          <w:p w14:paraId="1D3B599C">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064" w:type="dxa"/>
            <w:tcBorders>
              <w:top w:val="single" w:color="auto" w:sz="6" w:space="0"/>
              <w:left w:val="single" w:color="auto" w:sz="6" w:space="0"/>
              <w:bottom w:val="single" w:color="auto" w:sz="6" w:space="0"/>
              <w:right w:val="single" w:color="auto" w:sz="6" w:space="0"/>
            </w:tcBorders>
            <w:noWrap w:val="0"/>
            <w:vAlign w:val="center"/>
          </w:tcPr>
          <w:p w14:paraId="6A9B244C">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专业</w:t>
            </w:r>
          </w:p>
        </w:tc>
        <w:tc>
          <w:tcPr>
            <w:tcW w:w="1312" w:type="dxa"/>
            <w:tcBorders>
              <w:top w:val="single" w:color="auto" w:sz="6" w:space="0"/>
              <w:left w:val="single" w:color="auto" w:sz="6" w:space="0"/>
              <w:bottom w:val="single" w:color="auto" w:sz="6" w:space="0"/>
              <w:right w:val="single" w:color="auto" w:sz="6" w:space="0"/>
            </w:tcBorders>
            <w:noWrap w:val="0"/>
            <w:vAlign w:val="center"/>
          </w:tcPr>
          <w:p w14:paraId="00F3E3CD">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r>
              <w:rPr>
                <w:rFonts w:hint="eastAsia" w:ascii="宋体" w:hAnsi="宋体" w:eastAsia="宋体" w:cs="宋体"/>
                <w:color w:val="auto"/>
                <w:sz w:val="24"/>
                <w:szCs w:val="24"/>
                <w:highlight w:val="none"/>
                <w:lang w:val="en-US" w:eastAsia="zh-CN"/>
              </w:rPr>
              <w:t>/职业资格证书</w:t>
            </w:r>
          </w:p>
        </w:tc>
        <w:tc>
          <w:tcPr>
            <w:tcW w:w="1242" w:type="dxa"/>
            <w:tcBorders>
              <w:top w:val="single" w:color="auto" w:sz="6" w:space="0"/>
              <w:left w:val="single" w:color="auto" w:sz="6" w:space="0"/>
              <w:bottom w:val="single" w:color="auto" w:sz="6" w:space="0"/>
              <w:right w:val="single" w:color="auto" w:sz="6" w:space="0"/>
            </w:tcBorders>
            <w:noWrap w:val="0"/>
            <w:vAlign w:val="center"/>
          </w:tcPr>
          <w:p w14:paraId="750B424D">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本项目中的职责</w:t>
            </w:r>
          </w:p>
        </w:tc>
        <w:tc>
          <w:tcPr>
            <w:tcW w:w="886" w:type="dxa"/>
            <w:tcBorders>
              <w:top w:val="single" w:color="auto" w:sz="6" w:space="0"/>
              <w:left w:val="single" w:color="auto" w:sz="6" w:space="0"/>
              <w:bottom w:val="single" w:color="auto" w:sz="6" w:space="0"/>
              <w:right w:val="single" w:color="auto" w:sz="6" w:space="0"/>
            </w:tcBorders>
            <w:noWrap w:val="0"/>
            <w:vAlign w:val="center"/>
          </w:tcPr>
          <w:p w14:paraId="78C6A01A">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1358" w:type="dxa"/>
            <w:tcBorders>
              <w:top w:val="single" w:color="auto" w:sz="6" w:space="0"/>
              <w:left w:val="single" w:color="auto" w:sz="6" w:space="0"/>
              <w:bottom w:val="single" w:color="auto" w:sz="6" w:space="0"/>
              <w:right w:val="single" w:color="auto" w:sz="6" w:space="0"/>
            </w:tcBorders>
            <w:noWrap w:val="0"/>
            <w:vAlign w:val="center"/>
          </w:tcPr>
          <w:p w14:paraId="7E3D7331">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承诺</w:t>
            </w:r>
            <w:r>
              <w:rPr>
                <w:rFonts w:hint="eastAsia" w:ascii="宋体" w:hAnsi="宋体" w:eastAsia="宋体" w:cs="宋体"/>
                <w:color w:val="auto"/>
                <w:sz w:val="24"/>
                <w:szCs w:val="24"/>
                <w:highlight w:val="none"/>
              </w:rPr>
              <w:t>到达现场时间</w:t>
            </w:r>
          </w:p>
        </w:tc>
      </w:tr>
      <w:tr w14:paraId="77931DD7">
        <w:tblPrEx>
          <w:tblCellMar>
            <w:top w:w="0" w:type="dxa"/>
            <w:left w:w="108" w:type="dxa"/>
            <w:bottom w:w="0" w:type="dxa"/>
            <w:right w:w="108" w:type="dxa"/>
          </w:tblCellMar>
        </w:tblPrEx>
        <w:trPr>
          <w:trHeight w:val="607" w:hRule="atLeast"/>
          <w:jc w:val="center"/>
        </w:trPr>
        <w:tc>
          <w:tcPr>
            <w:tcW w:w="451" w:type="dxa"/>
            <w:tcBorders>
              <w:top w:val="single" w:color="auto" w:sz="6" w:space="0"/>
              <w:left w:val="single" w:color="auto" w:sz="6" w:space="0"/>
              <w:bottom w:val="single" w:color="auto" w:sz="6" w:space="0"/>
              <w:right w:val="single" w:color="auto" w:sz="4" w:space="0"/>
            </w:tcBorders>
            <w:noWrap w:val="0"/>
            <w:vAlign w:val="center"/>
          </w:tcPr>
          <w:p w14:paraId="672BF23B">
            <w:pPr>
              <w:autoSpaceDE w:val="0"/>
              <w:autoSpaceDN w:val="0"/>
              <w:spacing w:line="240" w:lineRule="auto"/>
              <w:jc w:val="center"/>
              <w:rPr>
                <w:rFonts w:hint="eastAsia" w:ascii="宋体" w:hAnsi="宋体" w:eastAsia="宋体" w:cs="宋体"/>
                <w:color w:val="auto"/>
                <w:sz w:val="24"/>
                <w:szCs w:val="24"/>
                <w:highlight w:val="none"/>
              </w:rPr>
            </w:pPr>
          </w:p>
        </w:tc>
        <w:tc>
          <w:tcPr>
            <w:tcW w:w="971" w:type="dxa"/>
            <w:tcBorders>
              <w:top w:val="single" w:color="auto" w:sz="6" w:space="0"/>
              <w:left w:val="single" w:color="auto" w:sz="4" w:space="0"/>
              <w:bottom w:val="single" w:color="auto" w:sz="6" w:space="0"/>
              <w:right w:val="single" w:color="auto" w:sz="6" w:space="0"/>
            </w:tcBorders>
            <w:noWrap w:val="0"/>
            <w:vAlign w:val="center"/>
          </w:tcPr>
          <w:p w14:paraId="62240AD5">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总协调人</w:t>
            </w:r>
          </w:p>
        </w:tc>
        <w:tc>
          <w:tcPr>
            <w:tcW w:w="725" w:type="dxa"/>
            <w:tcBorders>
              <w:top w:val="single" w:color="auto" w:sz="6" w:space="0"/>
              <w:left w:val="single" w:color="auto" w:sz="6" w:space="0"/>
              <w:bottom w:val="single" w:color="auto" w:sz="6" w:space="0"/>
              <w:right w:val="single" w:color="auto" w:sz="6" w:space="0"/>
            </w:tcBorders>
            <w:noWrap w:val="0"/>
            <w:vAlign w:val="center"/>
          </w:tcPr>
          <w:p w14:paraId="7B1B8ADD">
            <w:pPr>
              <w:autoSpaceDE w:val="0"/>
              <w:autoSpaceDN w:val="0"/>
              <w:spacing w:line="240" w:lineRule="auto"/>
              <w:jc w:val="center"/>
              <w:rPr>
                <w:rFonts w:hint="eastAsia" w:ascii="宋体" w:hAnsi="宋体" w:eastAsia="宋体" w:cs="宋体"/>
                <w:color w:val="auto"/>
                <w:sz w:val="24"/>
                <w:szCs w:val="24"/>
                <w:highlight w:val="none"/>
              </w:rPr>
            </w:pPr>
          </w:p>
        </w:tc>
        <w:tc>
          <w:tcPr>
            <w:tcW w:w="876" w:type="dxa"/>
            <w:tcBorders>
              <w:top w:val="single" w:color="auto" w:sz="6" w:space="0"/>
              <w:left w:val="single" w:color="auto" w:sz="6" w:space="0"/>
              <w:bottom w:val="single" w:color="auto" w:sz="6" w:space="0"/>
              <w:right w:val="single" w:color="auto" w:sz="6" w:space="0"/>
            </w:tcBorders>
            <w:noWrap w:val="0"/>
            <w:vAlign w:val="center"/>
          </w:tcPr>
          <w:p w14:paraId="13AB3B59">
            <w:pPr>
              <w:autoSpaceDE w:val="0"/>
              <w:autoSpaceDN w:val="0"/>
              <w:spacing w:line="240" w:lineRule="auto"/>
              <w:jc w:val="center"/>
              <w:rPr>
                <w:rFonts w:hint="eastAsia" w:ascii="宋体" w:hAnsi="宋体" w:eastAsia="宋体" w:cs="宋体"/>
                <w:color w:val="auto"/>
                <w:sz w:val="24"/>
                <w:szCs w:val="24"/>
                <w:highlight w:val="none"/>
              </w:rPr>
            </w:pPr>
          </w:p>
        </w:tc>
        <w:tc>
          <w:tcPr>
            <w:tcW w:w="886" w:type="dxa"/>
            <w:tcBorders>
              <w:top w:val="single" w:color="auto" w:sz="6" w:space="0"/>
              <w:left w:val="single" w:color="auto" w:sz="6" w:space="0"/>
              <w:bottom w:val="single" w:color="auto" w:sz="6" w:space="0"/>
              <w:right w:val="single" w:color="auto" w:sz="6" w:space="0"/>
            </w:tcBorders>
            <w:noWrap w:val="0"/>
            <w:vAlign w:val="center"/>
          </w:tcPr>
          <w:p w14:paraId="0171BF2A">
            <w:pPr>
              <w:autoSpaceDE w:val="0"/>
              <w:autoSpaceDN w:val="0"/>
              <w:spacing w:line="240" w:lineRule="auto"/>
              <w:jc w:val="center"/>
              <w:rPr>
                <w:rFonts w:hint="eastAsia" w:ascii="宋体" w:hAnsi="宋体" w:eastAsia="宋体" w:cs="宋体"/>
                <w:color w:val="auto"/>
                <w:sz w:val="24"/>
                <w:szCs w:val="24"/>
                <w:highlight w:val="none"/>
              </w:rPr>
            </w:pPr>
          </w:p>
        </w:tc>
        <w:tc>
          <w:tcPr>
            <w:tcW w:w="1064" w:type="dxa"/>
            <w:tcBorders>
              <w:top w:val="single" w:color="auto" w:sz="6" w:space="0"/>
              <w:left w:val="single" w:color="auto" w:sz="6" w:space="0"/>
              <w:bottom w:val="single" w:color="auto" w:sz="6" w:space="0"/>
              <w:right w:val="single" w:color="auto" w:sz="6" w:space="0"/>
            </w:tcBorders>
            <w:noWrap w:val="0"/>
            <w:vAlign w:val="center"/>
          </w:tcPr>
          <w:p w14:paraId="0E7FE26B">
            <w:pPr>
              <w:autoSpaceDE w:val="0"/>
              <w:autoSpaceDN w:val="0"/>
              <w:spacing w:line="240" w:lineRule="auto"/>
              <w:jc w:val="center"/>
              <w:rPr>
                <w:rFonts w:hint="eastAsia" w:ascii="宋体" w:hAnsi="宋体" w:eastAsia="宋体" w:cs="宋体"/>
                <w:color w:val="auto"/>
                <w:sz w:val="24"/>
                <w:szCs w:val="24"/>
                <w:highlight w:val="none"/>
              </w:rPr>
            </w:pPr>
          </w:p>
        </w:tc>
        <w:tc>
          <w:tcPr>
            <w:tcW w:w="1312" w:type="dxa"/>
            <w:tcBorders>
              <w:top w:val="single" w:color="auto" w:sz="6" w:space="0"/>
              <w:left w:val="single" w:color="auto" w:sz="6" w:space="0"/>
              <w:bottom w:val="single" w:color="auto" w:sz="6" w:space="0"/>
              <w:right w:val="single" w:color="auto" w:sz="6" w:space="0"/>
            </w:tcBorders>
            <w:noWrap w:val="0"/>
            <w:vAlign w:val="center"/>
          </w:tcPr>
          <w:p w14:paraId="7B9BBAE6">
            <w:pPr>
              <w:autoSpaceDE w:val="0"/>
              <w:autoSpaceDN w:val="0"/>
              <w:spacing w:line="240" w:lineRule="auto"/>
              <w:jc w:val="center"/>
              <w:rPr>
                <w:rFonts w:hint="eastAsia" w:ascii="宋体" w:hAnsi="宋体" w:eastAsia="宋体" w:cs="宋体"/>
                <w:color w:val="auto"/>
                <w:sz w:val="24"/>
                <w:szCs w:val="24"/>
                <w:highlight w:val="none"/>
              </w:rPr>
            </w:pPr>
          </w:p>
        </w:tc>
        <w:tc>
          <w:tcPr>
            <w:tcW w:w="1242" w:type="dxa"/>
            <w:tcBorders>
              <w:top w:val="single" w:color="auto" w:sz="6" w:space="0"/>
              <w:left w:val="single" w:color="auto" w:sz="6" w:space="0"/>
              <w:bottom w:val="single" w:color="auto" w:sz="6" w:space="0"/>
              <w:right w:val="single" w:color="auto" w:sz="6" w:space="0"/>
            </w:tcBorders>
            <w:noWrap w:val="0"/>
            <w:vAlign w:val="center"/>
          </w:tcPr>
          <w:p w14:paraId="5B14E8D4">
            <w:pPr>
              <w:autoSpaceDE w:val="0"/>
              <w:autoSpaceDN w:val="0"/>
              <w:spacing w:line="240" w:lineRule="auto"/>
              <w:jc w:val="center"/>
              <w:rPr>
                <w:rFonts w:hint="eastAsia" w:ascii="宋体" w:hAnsi="宋体" w:eastAsia="宋体" w:cs="宋体"/>
                <w:color w:val="auto"/>
                <w:sz w:val="24"/>
                <w:szCs w:val="24"/>
                <w:highlight w:val="none"/>
              </w:rPr>
            </w:pPr>
          </w:p>
        </w:tc>
        <w:tc>
          <w:tcPr>
            <w:tcW w:w="886" w:type="dxa"/>
            <w:tcBorders>
              <w:top w:val="single" w:color="auto" w:sz="6" w:space="0"/>
              <w:left w:val="single" w:color="auto" w:sz="6" w:space="0"/>
              <w:bottom w:val="single" w:color="auto" w:sz="6" w:space="0"/>
              <w:right w:val="single" w:color="auto" w:sz="6" w:space="0"/>
            </w:tcBorders>
            <w:noWrap w:val="0"/>
            <w:vAlign w:val="center"/>
          </w:tcPr>
          <w:p w14:paraId="145A9309">
            <w:pPr>
              <w:autoSpaceDE w:val="0"/>
              <w:autoSpaceDN w:val="0"/>
              <w:spacing w:line="240" w:lineRule="auto"/>
              <w:jc w:val="center"/>
              <w:rPr>
                <w:rFonts w:hint="eastAsia" w:ascii="宋体" w:hAnsi="宋体" w:eastAsia="宋体" w:cs="宋体"/>
                <w:color w:val="auto"/>
                <w:sz w:val="24"/>
                <w:szCs w:val="24"/>
                <w:highlight w:val="none"/>
              </w:rPr>
            </w:pPr>
          </w:p>
        </w:tc>
        <w:tc>
          <w:tcPr>
            <w:tcW w:w="1358" w:type="dxa"/>
            <w:tcBorders>
              <w:top w:val="single" w:color="auto" w:sz="6" w:space="0"/>
              <w:left w:val="single" w:color="auto" w:sz="6" w:space="0"/>
              <w:bottom w:val="single" w:color="auto" w:sz="6" w:space="0"/>
              <w:right w:val="single" w:color="auto" w:sz="6" w:space="0"/>
            </w:tcBorders>
            <w:noWrap w:val="0"/>
            <w:vAlign w:val="center"/>
          </w:tcPr>
          <w:p w14:paraId="261E1A7F">
            <w:pPr>
              <w:autoSpaceDE w:val="0"/>
              <w:autoSpaceDN w:val="0"/>
              <w:spacing w:line="240" w:lineRule="auto"/>
              <w:jc w:val="center"/>
              <w:rPr>
                <w:rFonts w:hint="eastAsia" w:ascii="宋体" w:hAnsi="宋体" w:eastAsia="宋体" w:cs="宋体"/>
                <w:color w:val="auto"/>
                <w:sz w:val="24"/>
                <w:szCs w:val="24"/>
                <w:highlight w:val="none"/>
              </w:rPr>
            </w:pPr>
          </w:p>
        </w:tc>
      </w:tr>
      <w:tr w14:paraId="5ECA2DF9">
        <w:tblPrEx>
          <w:tblCellMar>
            <w:top w:w="0" w:type="dxa"/>
            <w:left w:w="108" w:type="dxa"/>
            <w:bottom w:w="0" w:type="dxa"/>
            <w:right w:w="108" w:type="dxa"/>
          </w:tblCellMar>
        </w:tblPrEx>
        <w:trPr>
          <w:trHeight w:val="595" w:hRule="atLeast"/>
          <w:jc w:val="center"/>
        </w:trPr>
        <w:tc>
          <w:tcPr>
            <w:tcW w:w="451" w:type="dxa"/>
            <w:tcBorders>
              <w:top w:val="single" w:color="auto" w:sz="6" w:space="0"/>
              <w:left w:val="single" w:color="auto" w:sz="6" w:space="0"/>
              <w:bottom w:val="single" w:color="auto" w:sz="6" w:space="0"/>
              <w:right w:val="single" w:color="auto" w:sz="4" w:space="0"/>
            </w:tcBorders>
            <w:noWrap w:val="0"/>
            <w:vAlign w:val="center"/>
          </w:tcPr>
          <w:p w14:paraId="31748BB5">
            <w:pPr>
              <w:autoSpaceDE w:val="0"/>
              <w:autoSpaceDN w:val="0"/>
              <w:spacing w:line="240" w:lineRule="auto"/>
              <w:jc w:val="center"/>
              <w:rPr>
                <w:rFonts w:hint="eastAsia" w:ascii="宋体" w:hAnsi="宋体" w:eastAsia="宋体" w:cs="宋体"/>
                <w:color w:val="auto"/>
                <w:sz w:val="24"/>
                <w:szCs w:val="24"/>
                <w:highlight w:val="none"/>
              </w:rPr>
            </w:pPr>
          </w:p>
        </w:tc>
        <w:tc>
          <w:tcPr>
            <w:tcW w:w="971" w:type="dxa"/>
            <w:tcBorders>
              <w:top w:val="single" w:color="auto" w:sz="6" w:space="0"/>
              <w:left w:val="single" w:color="auto" w:sz="4" w:space="0"/>
              <w:bottom w:val="single" w:color="auto" w:sz="6" w:space="0"/>
              <w:right w:val="single" w:color="auto" w:sz="6" w:space="0"/>
            </w:tcBorders>
            <w:noWrap w:val="0"/>
            <w:vAlign w:val="center"/>
          </w:tcPr>
          <w:p w14:paraId="59F0BD65">
            <w:pPr>
              <w:autoSpaceDE w:val="0"/>
              <w:autoSpaceDN w:val="0"/>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售后人员</w:t>
            </w:r>
          </w:p>
        </w:tc>
        <w:tc>
          <w:tcPr>
            <w:tcW w:w="725" w:type="dxa"/>
            <w:tcBorders>
              <w:top w:val="single" w:color="auto" w:sz="6" w:space="0"/>
              <w:left w:val="single" w:color="auto" w:sz="6" w:space="0"/>
              <w:bottom w:val="single" w:color="auto" w:sz="6" w:space="0"/>
              <w:right w:val="single" w:color="auto" w:sz="6" w:space="0"/>
            </w:tcBorders>
            <w:noWrap w:val="0"/>
            <w:vAlign w:val="center"/>
          </w:tcPr>
          <w:p w14:paraId="6D8A66AE">
            <w:pPr>
              <w:autoSpaceDE w:val="0"/>
              <w:autoSpaceDN w:val="0"/>
              <w:spacing w:line="240" w:lineRule="auto"/>
              <w:jc w:val="center"/>
              <w:rPr>
                <w:rFonts w:hint="eastAsia" w:ascii="宋体" w:hAnsi="宋体" w:eastAsia="宋体" w:cs="宋体"/>
                <w:color w:val="auto"/>
                <w:sz w:val="24"/>
                <w:szCs w:val="24"/>
                <w:highlight w:val="none"/>
              </w:rPr>
            </w:pPr>
          </w:p>
        </w:tc>
        <w:tc>
          <w:tcPr>
            <w:tcW w:w="876" w:type="dxa"/>
            <w:tcBorders>
              <w:top w:val="single" w:color="auto" w:sz="6" w:space="0"/>
              <w:left w:val="single" w:color="auto" w:sz="6" w:space="0"/>
              <w:bottom w:val="single" w:color="auto" w:sz="6" w:space="0"/>
              <w:right w:val="single" w:color="auto" w:sz="6" w:space="0"/>
            </w:tcBorders>
            <w:noWrap w:val="0"/>
            <w:vAlign w:val="center"/>
          </w:tcPr>
          <w:p w14:paraId="0F4BA283">
            <w:pPr>
              <w:autoSpaceDE w:val="0"/>
              <w:autoSpaceDN w:val="0"/>
              <w:spacing w:line="240" w:lineRule="auto"/>
              <w:jc w:val="center"/>
              <w:rPr>
                <w:rFonts w:hint="eastAsia" w:ascii="宋体" w:hAnsi="宋体" w:eastAsia="宋体" w:cs="宋体"/>
                <w:color w:val="auto"/>
                <w:sz w:val="24"/>
                <w:szCs w:val="24"/>
                <w:highlight w:val="none"/>
              </w:rPr>
            </w:pPr>
          </w:p>
        </w:tc>
        <w:tc>
          <w:tcPr>
            <w:tcW w:w="886" w:type="dxa"/>
            <w:tcBorders>
              <w:top w:val="single" w:color="auto" w:sz="6" w:space="0"/>
              <w:left w:val="single" w:color="auto" w:sz="6" w:space="0"/>
              <w:bottom w:val="single" w:color="auto" w:sz="6" w:space="0"/>
              <w:right w:val="single" w:color="auto" w:sz="6" w:space="0"/>
            </w:tcBorders>
            <w:noWrap w:val="0"/>
            <w:vAlign w:val="center"/>
          </w:tcPr>
          <w:p w14:paraId="21A00E82">
            <w:pPr>
              <w:autoSpaceDE w:val="0"/>
              <w:autoSpaceDN w:val="0"/>
              <w:spacing w:line="240" w:lineRule="auto"/>
              <w:jc w:val="center"/>
              <w:rPr>
                <w:rFonts w:hint="eastAsia" w:ascii="宋体" w:hAnsi="宋体" w:eastAsia="宋体" w:cs="宋体"/>
                <w:color w:val="auto"/>
                <w:sz w:val="24"/>
                <w:szCs w:val="24"/>
                <w:highlight w:val="none"/>
              </w:rPr>
            </w:pPr>
          </w:p>
        </w:tc>
        <w:tc>
          <w:tcPr>
            <w:tcW w:w="1064" w:type="dxa"/>
            <w:tcBorders>
              <w:top w:val="single" w:color="auto" w:sz="6" w:space="0"/>
              <w:left w:val="single" w:color="auto" w:sz="6" w:space="0"/>
              <w:bottom w:val="single" w:color="auto" w:sz="6" w:space="0"/>
              <w:right w:val="single" w:color="auto" w:sz="6" w:space="0"/>
            </w:tcBorders>
            <w:noWrap w:val="0"/>
            <w:vAlign w:val="center"/>
          </w:tcPr>
          <w:p w14:paraId="6C1B5EA4">
            <w:pPr>
              <w:autoSpaceDE w:val="0"/>
              <w:autoSpaceDN w:val="0"/>
              <w:spacing w:line="240" w:lineRule="auto"/>
              <w:jc w:val="center"/>
              <w:rPr>
                <w:rFonts w:hint="eastAsia" w:ascii="宋体" w:hAnsi="宋体" w:eastAsia="宋体" w:cs="宋体"/>
                <w:color w:val="auto"/>
                <w:sz w:val="24"/>
                <w:szCs w:val="24"/>
                <w:highlight w:val="none"/>
              </w:rPr>
            </w:pPr>
          </w:p>
        </w:tc>
        <w:tc>
          <w:tcPr>
            <w:tcW w:w="1312" w:type="dxa"/>
            <w:tcBorders>
              <w:top w:val="single" w:color="auto" w:sz="6" w:space="0"/>
              <w:left w:val="single" w:color="auto" w:sz="6" w:space="0"/>
              <w:bottom w:val="single" w:color="auto" w:sz="6" w:space="0"/>
              <w:right w:val="single" w:color="auto" w:sz="6" w:space="0"/>
            </w:tcBorders>
            <w:noWrap w:val="0"/>
            <w:vAlign w:val="center"/>
          </w:tcPr>
          <w:p w14:paraId="76229D4A">
            <w:pPr>
              <w:autoSpaceDE w:val="0"/>
              <w:autoSpaceDN w:val="0"/>
              <w:spacing w:line="240" w:lineRule="auto"/>
              <w:jc w:val="center"/>
              <w:rPr>
                <w:rFonts w:hint="eastAsia" w:ascii="宋体" w:hAnsi="宋体" w:eastAsia="宋体" w:cs="宋体"/>
                <w:color w:val="auto"/>
                <w:sz w:val="24"/>
                <w:szCs w:val="24"/>
                <w:highlight w:val="none"/>
              </w:rPr>
            </w:pPr>
          </w:p>
        </w:tc>
        <w:tc>
          <w:tcPr>
            <w:tcW w:w="1242" w:type="dxa"/>
            <w:tcBorders>
              <w:top w:val="single" w:color="auto" w:sz="6" w:space="0"/>
              <w:left w:val="single" w:color="auto" w:sz="6" w:space="0"/>
              <w:bottom w:val="single" w:color="auto" w:sz="6" w:space="0"/>
              <w:right w:val="single" w:color="auto" w:sz="6" w:space="0"/>
            </w:tcBorders>
            <w:noWrap w:val="0"/>
            <w:vAlign w:val="center"/>
          </w:tcPr>
          <w:p w14:paraId="591B217E">
            <w:pPr>
              <w:autoSpaceDE w:val="0"/>
              <w:autoSpaceDN w:val="0"/>
              <w:spacing w:line="240" w:lineRule="auto"/>
              <w:jc w:val="center"/>
              <w:rPr>
                <w:rFonts w:hint="eastAsia" w:ascii="宋体" w:hAnsi="宋体" w:eastAsia="宋体" w:cs="宋体"/>
                <w:color w:val="auto"/>
                <w:sz w:val="24"/>
                <w:szCs w:val="24"/>
                <w:highlight w:val="none"/>
              </w:rPr>
            </w:pPr>
          </w:p>
        </w:tc>
        <w:tc>
          <w:tcPr>
            <w:tcW w:w="886" w:type="dxa"/>
            <w:tcBorders>
              <w:top w:val="single" w:color="auto" w:sz="6" w:space="0"/>
              <w:left w:val="single" w:color="auto" w:sz="6" w:space="0"/>
              <w:bottom w:val="single" w:color="auto" w:sz="6" w:space="0"/>
              <w:right w:val="single" w:color="auto" w:sz="6" w:space="0"/>
            </w:tcBorders>
            <w:noWrap w:val="0"/>
            <w:vAlign w:val="center"/>
          </w:tcPr>
          <w:p w14:paraId="01AABB71">
            <w:pPr>
              <w:autoSpaceDE w:val="0"/>
              <w:autoSpaceDN w:val="0"/>
              <w:spacing w:line="240" w:lineRule="auto"/>
              <w:jc w:val="center"/>
              <w:rPr>
                <w:rFonts w:hint="eastAsia" w:ascii="宋体" w:hAnsi="宋体" w:eastAsia="宋体" w:cs="宋体"/>
                <w:color w:val="auto"/>
                <w:sz w:val="24"/>
                <w:szCs w:val="24"/>
                <w:highlight w:val="none"/>
              </w:rPr>
            </w:pPr>
          </w:p>
        </w:tc>
        <w:tc>
          <w:tcPr>
            <w:tcW w:w="1358" w:type="dxa"/>
            <w:tcBorders>
              <w:top w:val="single" w:color="auto" w:sz="6" w:space="0"/>
              <w:left w:val="single" w:color="auto" w:sz="6" w:space="0"/>
              <w:bottom w:val="single" w:color="auto" w:sz="6" w:space="0"/>
              <w:right w:val="single" w:color="auto" w:sz="6" w:space="0"/>
            </w:tcBorders>
            <w:noWrap w:val="0"/>
            <w:vAlign w:val="center"/>
          </w:tcPr>
          <w:p w14:paraId="07AF387D">
            <w:pPr>
              <w:autoSpaceDE w:val="0"/>
              <w:autoSpaceDN w:val="0"/>
              <w:spacing w:line="240" w:lineRule="auto"/>
              <w:jc w:val="center"/>
              <w:rPr>
                <w:rFonts w:hint="eastAsia" w:ascii="宋体" w:hAnsi="宋体" w:eastAsia="宋体" w:cs="宋体"/>
                <w:color w:val="auto"/>
                <w:sz w:val="24"/>
                <w:szCs w:val="24"/>
                <w:highlight w:val="none"/>
              </w:rPr>
            </w:pPr>
          </w:p>
        </w:tc>
      </w:tr>
      <w:tr w14:paraId="57F94B38">
        <w:tblPrEx>
          <w:tblCellMar>
            <w:top w:w="0" w:type="dxa"/>
            <w:left w:w="108" w:type="dxa"/>
            <w:bottom w:w="0" w:type="dxa"/>
            <w:right w:w="108" w:type="dxa"/>
          </w:tblCellMar>
        </w:tblPrEx>
        <w:trPr>
          <w:trHeight w:val="595" w:hRule="atLeast"/>
          <w:jc w:val="center"/>
        </w:trPr>
        <w:tc>
          <w:tcPr>
            <w:tcW w:w="451" w:type="dxa"/>
            <w:tcBorders>
              <w:top w:val="single" w:color="auto" w:sz="6" w:space="0"/>
              <w:left w:val="single" w:color="auto" w:sz="6" w:space="0"/>
              <w:bottom w:val="single" w:color="auto" w:sz="6" w:space="0"/>
              <w:right w:val="single" w:color="auto" w:sz="4" w:space="0"/>
            </w:tcBorders>
            <w:noWrap w:val="0"/>
            <w:vAlign w:val="center"/>
          </w:tcPr>
          <w:p w14:paraId="67EB6C22">
            <w:pPr>
              <w:autoSpaceDE w:val="0"/>
              <w:autoSpaceDN w:val="0"/>
              <w:spacing w:line="240" w:lineRule="auto"/>
              <w:jc w:val="center"/>
              <w:rPr>
                <w:rFonts w:hint="eastAsia" w:ascii="宋体" w:hAnsi="宋体" w:eastAsia="宋体" w:cs="宋体"/>
                <w:color w:val="auto"/>
                <w:sz w:val="24"/>
                <w:szCs w:val="24"/>
                <w:highlight w:val="none"/>
              </w:rPr>
            </w:pPr>
          </w:p>
        </w:tc>
        <w:tc>
          <w:tcPr>
            <w:tcW w:w="971" w:type="dxa"/>
            <w:tcBorders>
              <w:top w:val="single" w:color="auto" w:sz="6" w:space="0"/>
              <w:left w:val="single" w:color="auto" w:sz="4" w:space="0"/>
              <w:bottom w:val="single" w:color="auto" w:sz="6" w:space="0"/>
              <w:right w:val="single" w:color="auto" w:sz="6" w:space="0"/>
            </w:tcBorders>
            <w:noWrap w:val="0"/>
            <w:vAlign w:val="center"/>
          </w:tcPr>
          <w:p w14:paraId="2B3604EC">
            <w:pPr>
              <w:autoSpaceDE w:val="0"/>
              <w:autoSpaceDN w:val="0"/>
              <w:spacing w:line="240" w:lineRule="auto"/>
              <w:jc w:val="center"/>
              <w:rPr>
                <w:rFonts w:hint="default"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w:t>
            </w:r>
          </w:p>
        </w:tc>
        <w:tc>
          <w:tcPr>
            <w:tcW w:w="725" w:type="dxa"/>
            <w:tcBorders>
              <w:top w:val="single" w:color="auto" w:sz="6" w:space="0"/>
              <w:left w:val="single" w:color="auto" w:sz="6" w:space="0"/>
              <w:bottom w:val="single" w:color="auto" w:sz="6" w:space="0"/>
              <w:right w:val="single" w:color="auto" w:sz="6" w:space="0"/>
            </w:tcBorders>
            <w:noWrap w:val="0"/>
            <w:vAlign w:val="center"/>
          </w:tcPr>
          <w:p w14:paraId="4F773138">
            <w:pPr>
              <w:autoSpaceDE w:val="0"/>
              <w:autoSpaceDN w:val="0"/>
              <w:spacing w:line="240" w:lineRule="auto"/>
              <w:jc w:val="center"/>
              <w:rPr>
                <w:rFonts w:hint="eastAsia" w:ascii="宋体" w:hAnsi="宋体" w:eastAsia="宋体" w:cs="宋体"/>
                <w:color w:val="auto"/>
                <w:sz w:val="24"/>
                <w:szCs w:val="24"/>
                <w:highlight w:val="none"/>
              </w:rPr>
            </w:pPr>
          </w:p>
        </w:tc>
        <w:tc>
          <w:tcPr>
            <w:tcW w:w="876" w:type="dxa"/>
            <w:tcBorders>
              <w:top w:val="single" w:color="auto" w:sz="6" w:space="0"/>
              <w:left w:val="single" w:color="auto" w:sz="6" w:space="0"/>
              <w:bottom w:val="single" w:color="auto" w:sz="6" w:space="0"/>
              <w:right w:val="single" w:color="auto" w:sz="6" w:space="0"/>
            </w:tcBorders>
            <w:noWrap w:val="0"/>
            <w:vAlign w:val="center"/>
          </w:tcPr>
          <w:p w14:paraId="3F3EE5B8">
            <w:pPr>
              <w:autoSpaceDE w:val="0"/>
              <w:autoSpaceDN w:val="0"/>
              <w:spacing w:line="240" w:lineRule="auto"/>
              <w:jc w:val="center"/>
              <w:rPr>
                <w:rFonts w:hint="eastAsia" w:ascii="宋体" w:hAnsi="宋体" w:eastAsia="宋体" w:cs="宋体"/>
                <w:color w:val="auto"/>
                <w:sz w:val="24"/>
                <w:szCs w:val="24"/>
                <w:highlight w:val="none"/>
              </w:rPr>
            </w:pPr>
          </w:p>
        </w:tc>
        <w:tc>
          <w:tcPr>
            <w:tcW w:w="886" w:type="dxa"/>
            <w:tcBorders>
              <w:top w:val="single" w:color="auto" w:sz="6" w:space="0"/>
              <w:left w:val="single" w:color="auto" w:sz="6" w:space="0"/>
              <w:bottom w:val="single" w:color="auto" w:sz="6" w:space="0"/>
              <w:right w:val="single" w:color="auto" w:sz="6" w:space="0"/>
            </w:tcBorders>
            <w:noWrap w:val="0"/>
            <w:vAlign w:val="center"/>
          </w:tcPr>
          <w:p w14:paraId="67C95F6E">
            <w:pPr>
              <w:autoSpaceDE w:val="0"/>
              <w:autoSpaceDN w:val="0"/>
              <w:spacing w:line="240" w:lineRule="auto"/>
              <w:jc w:val="center"/>
              <w:rPr>
                <w:rFonts w:hint="eastAsia" w:ascii="宋体" w:hAnsi="宋体" w:eastAsia="宋体" w:cs="宋体"/>
                <w:color w:val="auto"/>
                <w:sz w:val="24"/>
                <w:szCs w:val="24"/>
                <w:highlight w:val="none"/>
              </w:rPr>
            </w:pPr>
          </w:p>
        </w:tc>
        <w:tc>
          <w:tcPr>
            <w:tcW w:w="1064" w:type="dxa"/>
            <w:tcBorders>
              <w:top w:val="single" w:color="auto" w:sz="6" w:space="0"/>
              <w:left w:val="single" w:color="auto" w:sz="6" w:space="0"/>
              <w:bottom w:val="single" w:color="auto" w:sz="6" w:space="0"/>
              <w:right w:val="single" w:color="auto" w:sz="6" w:space="0"/>
            </w:tcBorders>
            <w:noWrap w:val="0"/>
            <w:vAlign w:val="center"/>
          </w:tcPr>
          <w:p w14:paraId="3F9E79E3">
            <w:pPr>
              <w:autoSpaceDE w:val="0"/>
              <w:autoSpaceDN w:val="0"/>
              <w:spacing w:line="240" w:lineRule="auto"/>
              <w:jc w:val="center"/>
              <w:rPr>
                <w:rFonts w:hint="eastAsia" w:ascii="宋体" w:hAnsi="宋体" w:eastAsia="宋体" w:cs="宋体"/>
                <w:color w:val="auto"/>
                <w:sz w:val="24"/>
                <w:szCs w:val="24"/>
                <w:highlight w:val="none"/>
              </w:rPr>
            </w:pPr>
          </w:p>
        </w:tc>
        <w:tc>
          <w:tcPr>
            <w:tcW w:w="1312" w:type="dxa"/>
            <w:tcBorders>
              <w:top w:val="single" w:color="auto" w:sz="6" w:space="0"/>
              <w:left w:val="single" w:color="auto" w:sz="6" w:space="0"/>
              <w:bottom w:val="single" w:color="auto" w:sz="6" w:space="0"/>
              <w:right w:val="single" w:color="auto" w:sz="6" w:space="0"/>
            </w:tcBorders>
            <w:noWrap w:val="0"/>
            <w:vAlign w:val="center"/>
          </w:tcPr>
          <w:p w14:paraId="34593DBF">
            <w:pPr>
              <w:autoSpaceDE w:val="0"/>
              <w:autoSpaceDN w:val="0"/>
              <w:spacing w:line="240" w:lineRule="auto"/>
              <w:jc w:val="center"/>
              <w:rPr>
                <w:rFonts w:hint="eastAsia" w:ascii="宋体" w:hAnsi="宋体" w:eastAsia="宋体" w:cs="宋体"/>
                <w:color w:val="auto"/>
                <w:sz w:val="24"/>
                <w:szCs w:val="24"/>
                <w:highlight w:val="none"/>
              </w:rPr>
            </w:pPr>
          </w:p>
        </w:tc>
        <w:tc>
          <w:tcPr>
            <w:tcW w:w="1242" w:type="dxa"/>
            <w:tcBorders>
              <w:top w:val="single" w:color="auto" w:sz="6" w:space="0"/>
              <w:left w:val="single" w:color="auto" w:sz="6" w:space="0"/>
              <w:bottom w:val="single" w:color="auto" w:sz="6" w:space="0"/>
              <w:right w:val="single" w:color="auto" w:sz="6" w:space="0"/>
            </w:tcBorders>
            <w:noWrap w:val="0"/>
            <w:vAlign w:val="center"/>
          </w:tcPr>
          <w:p w14:paraId="6F7FF13C">
            <w:pPr>
              <w:autoSpaceDE w:val="0"/>
              <w:autoSpaceDN w:val="0"/>
              <w:spacing w:line="240" w:lineRule="auto"/>
              <w:jc w:val="center"/>
              <w:rPr>
                <w:rFonts w:hint="eastAsia" w:ascii="宋体" w:hAnsi="宋体" w:eastAsia="宋体" w:cs="宋体"/>
                <w:color w:val="auto"/>
                <w:sz w:val="24"/>
                <w:szCs w:val="24"/>
                <w:highlight w:val="none"/>
              </w:rPr>
            </w:pPr>
          </w:p>
        </w:tc>
        <w:tc>
          <w:tcPr>
            <w:tcW w:w="886" w:type="dxa"/>
            <w:tcBorders>
              <w:top w:val="single" w:color="auto" w:sz="6" w:space="0"/>
              <w:left w:val="single" w:color="auto" w:sz="6" w:space="0"/>
              <w:bottom w:val="single" w:color="auto" w:sz="6" w:space="0"/>
              <w:right w:val="single" w:color="auto" w:sz="6" w:space="0"/>
            </w:tcBorders>
            <w:noWrap w:val="0"/>
            <w:vAlign w:val="center"/>
          </w:tcPr>
          <w:p w14:paraId="0402D514">
            <w:pPr>
              <w:autoSpaceDE w:val="0"/>
              <w:autoSpaceDN w:val="0"/>
              <w:spacing w:line="240" w:lineRule="auto"/>
              <w:jc w:val="center"/>
              <w:rPr>
                <w:rFonts w:hint="eastAsia" w:ascii="宋体" w:hAnsi="宋体" w:eastAsia="宋体" w:cs="宋体"/>
                <w:color w:val="auto"/>
                <w:sz w:val="24"/>
                <w:szCs w:val="24"/>
                <w:highlight w:val="none"/>
              </w:rPr>
            </w:pPr>
          </w:p>
        </w:tc>
        <w:tc>
          <w:tcPr>
            <w:tcW w:w="1358" w:type="dxa"/>
            <w:tcBorders>
              <w:top w:val="single" w:color="auto" w:sz="6" w:space="0"/>
              <w:left w:val="single" w:color="auto" w:sz="6" w:space="0"/>
              <w:bottom w:val="single" w:color="auto" w:sz="6" w:space="0"/>
              <w:right w:val="single" w:color="auto" w:sz="6" w:space="0"/>
            </w:tcBorders>
            <w:noWrap w:val="0"/>
            <w:vAlign w:val="center"/>
          </w:tcPr>
          <w:p w14:paraId="20B5ADE0">
            <w:pPr>
              <w:autoSpaceDE w:val="0"/>
              <w:autoSpaceDN w:val="0"/>
              <w:spacing w:line="240" w:lineRule="auto"/>
              <w:jc w:val="center"/>
              <w:rPr>
                <w:rFonts w:hint="eastAsia" w:ascii="宋体" w:hAnsi="宋体" w:eastAsia="宋体" w:cs="宋体"/>
                <w:color w:val="auto"/>
                <w:sz w:val="24"/>
                <w:szCs w:val="24"/>
                <w:highlight w:val="none"/>
              </w:rPr>
            </w:pPr>
          </w:p>
        </w:tc>
      </w:tr>
    </w:tbl>
    <w:p w14:paraId="70BB9458">
      <w:pPr>
        <w:pStyle w:val="17"/>
        <w:rPr>
          <w:color w:val="auto"/>
          <w:highlight w:val="none"/>
        </w:rPr>
      </w:pPr>
    </w:p>
    <w:p w14:paraId="2D8D735B">
      <w:pPr>
        <w:pStyle w:val="17"/>
        <w:rPr>
          <w:rFonts w:ascii="宋体" w:cs="宋体"/>
          <w:color w:val="auto"/>
          <w:sz w:val="21"/>
          <w:szCs w:val="21"/>
          <w:highlight w:val="none"/>
        </w:rPr>
      </w:pPr>
    </w:p>
    <w:p w14:paraId="700FE6CA">
      <w:pPr>
        <w:pStyle w:val="17"/>
        <w:rPr>
          <w:color w:val="auto"/>
          <w:highlight w:val="none"/>
        </w:rPr>
      </w:pPr>
    </w:p>
    <w:p w14:paraId="24E448D2">
      <w:pPr>
        <w:snapToGrid w:val="0"/>
        <w:spacing w:line="360" w:lineRule="auto"/>
        <w:ind w:firstLine="5280" w:firstLineChars="2200"/>
        <w:rPr>
          <w:rFonts w:ascii="宋体" w:cs="宋体"/>
          <w:color w:val="auto"/>
          <w:kern w:val="0"/>
          <w:sz w:val="24"/>
          <w:highlight w:val="none"/>
        </w:rPr>
      </w:pPr>
      <w:r>
        <w:rPr>
          <w:rFonts w:hint="eastAsia" w:ascii="宋体" w:cs="宋体"/>
          <w:color w:val="auto"/>
          <w:kern w:val="0"/>
          <w:sz w:val="24"/>
          <w:highlight w:val="none"/>
          <w:lang w:val="zh-CN"/>
        </w:rPr>
        <w:t>投标人名称（盖公章）：</w:t>
      </w:r>
    </w:p>
    <w:p w14:paraId="12F64045">
      <w:pPr>
        <w:snapToGrid w:val="0"/>
        <w:spacing w:line="360" w:lineRule="auto"/>
        <w:jc w:val="center"/>
        <w:rPr>
          <w:rFonts w:ascii="宋体" w:cs="宋体"/>
          <w:b/>
          <w:bCs/>
          <w:color w:val="auto"/>
          <w:sz w:val="24"/>
          <w:highlight w:val="none"/>
        </w:rPr>
      </w:pPr>
      <w:r>
        <w:rPr>
          <w:rFonts w:hint="eastAsia" w:ascii="宋体" w:cs="宋体"/>
          <w:color w:val="auto"/>
          <w:kern w:val="0"/>
          <w:sz w:val="24"/>
          <w:highlight w:val="none"/>
        </w:rPr>
        <w:t xml:space="preserve">                          </w:t>
      </w:r>
      <w:r>
        <w:rPr>
          <w:rFonts w:hint="eastAsia" w:ascii="宋体" w:cs="宋体"/>
          <w:color w:val="auto"/>
          <w:kern w:val="0"/>
          <w:sz w:val="24"/>
          <w:highlight w:val="none"/>
          <w:lang w:val="zh-CN"/>
        </w:rPr>
        <w:t>日期</w:t>
      </w:r>
      <w:r>
        <w:rPr>
          <w:rFonts w:hint="eastAsia" w:ascii="宋体" w:cs="宋体"/>
          <w:color w:val="auto"/>
          <w:kern w:val="0"/>
          <w:sz w:val="24"/>
          <w:highlight w:val="none"/>
        </w:rPr>
        <w:t xml:space="preserve">：  年  </w:t>
      </w:r>
      <w:r>
        <w:rPr>
          <w:rFonts w:hint="eastAsia" w:ascii="宋体" w:cs="宋体"/>
          <w:color w:val="auto"/>
          <w:kern w:val="0"/>
          <w:sz w:val="24"/>
          <w:highlight w:val="none"/>
          <w:lang w:val="zh-CN"/>
        </w:rPr>
        <w:t>月</w:t>
      </w:r>
      <w:r>
        <w:rPr>
          <w:rFonts w:hint="eastAsia" w:ascii="宋体" w:cs="宋体"/>
          <w:color w:val="auto"/>
          <w:kern w:val="0"/>
          <w:sz w:val="24"/>
          <w:highlight w:val="none"/>
        </w:rPr>
        <w:t xml:space="preserve">   </w:t>
      </w:r>
      <w:r>
        <w:rPr>
          <w:rFonts w:hint="eastAsia" w:ascii="宋体" w:cs="宋体"/>
          <w:color w:val="auto"/>
          <w:kern w:val="0"/>
          <w:sz w:val="24"/>
          <w:highlight w:val="none"/>
          <w:lang w:val="zh-CN"/>
        </w:rPr>
        <w:t>日</w:t>
      </w:r>
    </w:p>
    <w:p w14:paraId="0CDA9BB0">
      <w:pPr>
        <w:snapToGrid w:val="0"/>
        <w:spacing w:line="360" w:lineRule="auto"/>
        <w:jc w:val="center"/>
        <w:rPr>
          <w:rFonts w:ascii="宋体" w:cs="宋体"/>
          <w:b/>
          <w:bCs/>
          <w:color w:val="auto"/>
          <w:sz w:val="24"/>
          <w:highlight w:val="none"/>
        </w:rPr>
      </w:pPr>
    </w:p>
    <w:p w14:paraId="5376A66E">
      <w:pPr>
        <w:pStyle w:val="14"/>
        <w:jc w:val="center"/>
        <w:outlineLvl w:val="1"/>
        <w:rPr>
          <w:rFonts w:cs="宋体"/>
          <w:b/>
          <w:bCs/>
          <w:color w:val="auto"/>
          <w:sz w:val="28"/>
          <w:szCs w:val="28"/>
          <w:highlight w:val="none"/>
        </w:rPr>
      </w:pPr>
      <w:r>
        <w:rPr>
          <w:rFonts w:hint="eastAsia" w:cs="宋体"/>
          <w:b/>
          <w:bCs/>
          <w:color w:val="auto"/>
          <w:sz w:val="24"/>
          <w:szCs w:val="24"/>
          <w:highlight w:val="none"/>
        </w:rPr>
        <w:br w:type="page"/>
      </w:r>
      <w:bookmarkStart w:id="286" w:name="_Toc17482"/>
      <w:bookmarkStart w:id="287" w:name="_Toc31296"/>
      <w:bookmarkStart w:id="288" w:name="_Toc21638"/>
      <w:bookmarkStart w:id="289" w:name="_Toc10710"/>
      <w:bookmarkStart w:id="290" w:name="_Toc27076"/>
      <w:r>
        <w:rPr>
          <w:rFonts w:hint="eastAsia" w:cs="宋体"/>
          <w:b/>
          <w:bCs/>
          <w:color w:val="auto"/>
          <w:sz w:val="28"/>
          <w:szCs w:val="28"/>
          <w:highlight w:val="none"/>
        </w:rPr>
        <w:t>第</w:t>
      </w:r>
      <w:r>
        <w:rPr>
          <w:rFonts w:hint="eastAsia" w:cs="宋体"/>
          <w:b/>
          <w:bCs/>
          <w:color w:val="auto"/>
          <w:sz w:val="28"/>
          <w:szCs w:val="28"/>
          <w:highlight w:val="none"/>
          <w:lang w:val="en-US" w:eastAsia="zh-CN"/>
        </w:rPr>
        <w:t>三</w:t>
      </w:r>
      <w:r>
        <w:rPr>
          <w:rFonts w:hint="eastAsia" w:cs="宋体"/>
          <w:b/>
          <w:bCs/>
          <w:color w:val="auto"/>
          <w:sz w:val="28"/>
          <w:szCs w:val="28"/>
          <w:highlight w:val="none"/>
        </w:rPr>
        <w:t>节 报价文件格式</w:t>
      </w:r>
      <w:bookmarkEnd w:id="286"/>
      <w:bookmarkEnd w:id="287"/>
      <w:bookmarkEnd w:id="288"/>
      <w:bookmarkEnd w:id="289"/>
      <w:bookmarkEnd w:id="290"/>
    </w:p>
    <w:p w14:paraId="4D83EB82">
      <w:pPr>
        <w:snapToGrid w:val="0"/>
        <w:spacing w:before="165" w:beforeLines="50" w:after="50" w:line="400" w:lineRule="exact"/>
        <w:jc w:val="left"/>
        <w:rPr>
          <w:rFonts w:ascii="宋体" w:cs="宋体"/>
          <w:color w:val="auto"/>
          <w:sz w:val="24"/>
          <w:highlight w:val="none"/>
        </w:rPr>
      </w:pPr>
    </w:p>
    <w:p w14:paraId="304B308E">
      <w:pPr>
        <w:snapToGrid w:val="0"/>
        <w:spacing w:before="165" w:beforeLines="50" w:after="50" w:line="400" w:lineRule="exact"/>
        <w:jc w:val="left"/>
        <w:rPr>
          <w:rFonts w:ascii="宋体" w:cs="宋体"/>
          <w:b/>
          <w:bCs/>
          <w:color w:val="auto"/>
          <w:sz w:val="28"/>
          <w:szCs w:val="28"/>
          <w:highlight w:val="none"/>
        </w:rPr>
      </w:pPr>
      <w:r>
        <w:rPr>
          <w:rFonts w:hint="eastAsia" w:ascii="宋体" w:cs="宋体"/>
          <w:color w:val="auto"/>
          <w:sz w:val="24"/>
          <w:highlight w:val="none"/>
        </w:rPr>
        <w:t xml:space="preserve"> </w:t>
      </w:r>
      <w:r>
        <w:rPr>
          <w:rFonts w:hint="eastAsia" w:ascii="宋体" w:cs="宋体"/>
          <w:b/>
          <w:bCs/>
          <w:color w:val="auto"/>
          <w:sz w:val="28"/>
          <w:szCs w:val="28"/>
          <w:highlight w:val="none"/>
        </w:rPr>
        <w:t>1.报价文件封面的格式</w:t>
      </w:r>
      <w:r>
        <w:rPr>
          <w:rFonts w:hint="eastAsia" w:ascii="宋体" w:cs="宋体"/>
          <w:b/>
          <w:color w:val="auto"/>
          <w:sz w:val="28"/>
          <w:szCs w:val="28"/>
          <w:highlight w:val="none"/>
        </w:rPr>
        <w:t>（参照此格式自拟）</w:t>
      </w:r>
      <w:r>
        <w:rPr>
          <w:rFonts w:hint="eastAsia" w:ascii="宋体" w:cs="宋体"/>
          <w:b/>
          <w:bCs/>
          <w:color w:val="auto"/>
          <w:sz w:val="28"/>
          <w:szCs w:val="28"/>
          <w:highlight w:val="none"/>
        </w:rPr>
        <w:t xml:space="preserve">： </w:t>
      </w:r>
    </w:p>
    <w:p w14:paraId="1A6DDD18">
      <w:pPr>
        <w:snapToGrid w:val="0"/>
        <w:spacing w:before="165" w:beforeLines="50" w:after="50" w:line="400" w:lineRule="exact"/>
        <w:jc w:val="left"/>
        <w:rPr>
          <w:rFonts w:ascii="宋体" w:cs="宋体"/>
          <w:b/>
          <w:bCs/>
          <w:color w:val="auto"/>
          <w:sz w:val="28"/>
          <w:szCs w:val="28"/>
          <w:highlight w:val="none"/>
        </w:rPr>
      </w:pPr>
    </w:p>
    <w:p w14:paraId="38BB1FE5">
      <w:pPr>
        <w:snapToGrid w:val="0"/>
        <w:spacing w:before="165" w:beforeLines="50" w:after="50" w:line="400" w:lineRule="exact"/>
        <w:jc w:val="left"/>
        <w:rPr>
          <w:rFonts w:ascii="宋体" w:cs="宋体"/>
          <w:color w:val="auto"/>
          <w:sz w:val="24"/>
          <w:highlight w:val="none"/>
        </w:rPr>
      </w:pPr>
      <w:r>
        <w:rPr>
          <w:rFonts w:hint="eastAsia" w:ascii="宋体" w:cs="宋体"/>
          <w:b/>
          <w:bCs/>
          <w:color w:val="auto"/>
          <w:sz w:val="28"/>
          <w:szCs w:val="28"/>
          <w:highlight w:val="none"/>
        </w:rPr>
        <w:t xml:space="preserve">   </w:t>
      </w:r>
      <w:r>
        <w:rPr>
          <w:rFonts w:hint="eastAsia" w:ascii="宋体" w:cs="宋体"/>
          <w:color w:val="auto"/>
          <w:sz w:val="24"/>
          <w:highlight w:val="none"/>
        </w:rPr>
        <w:t xml:space="preserve">                                            </w:t>
      </w:r>
    </w:p>
    <w:p w14:paraId="20AEC457">
      <w:pPr>
        <w:snapToGrid w:val="0"/>
        <w:spacing w:before="165" w:beforeLines="50" w:after="50" w:line="400" w:lineRule="exact"/>
        <w:ind w:firstLine="5760" w:firstLineChars="2400"/>
        <w:rPr>
          <w:rFonts w:ascii="宋体" w:cs="宋体"/>
          <w:bCs/>
          <w:color w:val="auto"/>
          <w:sz w:val="32"/>
          <w:szCs w:val="20"/>
          <w:highlight w:val="none"/>
        </w:rPr>
      </w:pPr>
      <w:r>
        <w:rPr>
          <w:rFonts w:hint="eastAsia" w:ascii="宋体" w:cs="宋体"/>
          <w:color w:val="auto"/>
          <w:sz w:val="24"/>
          <w:highlight w:val="none"/>
        </w:rPr>
        <w:t xml:space="preserve">    </w:t>
      </w:r>
      <w:r>
        <w:rPr>
          <w:rFonts w:hint="eastAsia" w:ascii="宋体" w:cs="宋体"/>
          <w:bCs/>
          <w:color w:val="auto"/>
          <w:highlight w:val="none"/>
        </w:rPr>
        <w:t>电子投标文件</w:t>
      </w:r>
    </w:p>
    <w:p w14:paraId="5C3E85F6">
      <w:pPr>
        <w:snapToGrid w:val="0"/>
        <w:spacing w:before="165" w:beforeLines="50" w:after="50" w:line="400" w:lineRule="exact"/>
        <w:jc w:val="center"/>
        <w:rPr>
          <w:rFonts w:ascii="宋体" w:cs="宋体"/>
          <w:bCs/>
          <w:color w:val="auto"/>
          <w:sz w:val="24"/>
          <w:szCs w:val="20"/>
          <w:highlight w:val="none"/>
        </w:rPr>
      </w:pPr>
    </w:p>
    <w:p w14:paraId="35640237">
      <w:pPr>
        <w:snapToGrid w:val="0"/>
        <w:spacing w:before="165" w:beforeLines="50" w:after="50" w:line="400" w:lineRule="exact"/>
        <w:jc w:val="center"/>
        <w:rPr>
          <w:rFonts w:ascii="宋体" w:cs="宋体"/>
          <w:b/>
          <w:bCs/>
          <w:color w:val="auto"/>
          <w:sz w:val="32"/>
          <w:szCs w:val="32"/>
          <w:highlight w:val="none"/>
        </w:rPr>
      </w:pPr>
    </w:p>
    <w:p w14:paraId="35EA63BD">
      <w:pPr>
        <w:snapToGrid w:val="0"/>
        <w:spacing w:before="165" w:beforeLines="50" w:after="50" w:line="400" w:lineRule="exact"/>
        <w:jc w:val="center"/>
        <w:rPr>
          <w:rFonts w:ascii="宋体" w:cs="宋体"/>
          <w:b/>
          <w:bCs/>
          <w:color w:val="auto"/>
          <w:sz w:val="32"/>
          <w:szCs w:val="32"/>
          <w:highlight w:val="none"/>
        </w:rPr>
      </w:pPr>
      <w:r>
        <w:rPr>
          <w:rFonts w:hint="eastAsia" w:ascii="宋体" w:cs="宋体"/>
          <w:b/>
          <w:bCs/>
          <w:color w:val="auto"/>
          <w:sz w:val="32"/>
          <w:szCs w:val="32"/>
          <w:highlight w:val="none"/>
        </w:rPr>
        <w:t>报价文件</w:t>
      </w:r>
    </w:p>
    <w:p w14:paraId="7FE24BE7">
      <w:pPr>
        <w:snapToGrid w:val="0"/>
        <w:spacing w:before="165" w:beforeLines="50" w:after="50" w:line="400" w:lineRule="exact"/>
        <w:rPr>
          <w:rFonts w:ascii="宋体" w:cs="宋体"/>
          <w:bCs/>
          <w:color w:val="auto"/>
          <w:sz w:val="24"/>
          <w:szCs w:val="20"/>
          <w:highlight w:val="none"/>
        </w:rPr>
      </w:pPr>
    </w:p>
    <w:p w14:paraId="5868FC62">
      <w:pPr>
        <w:snapToGrid w:val="0"/>
        <w:spacing w:before="165" w:beforeLines="50" w:after="50" w:line="400" w:lineRule="exact"/>
        <w:rPr>
          <w:rFonts w:ascii="宋体" w:cs="宋体"/>
          <w:bCs/>
          <w:color w:val="auto"/>
          <w:sz w:val="24"/>
          <w:szCs w:val="20"/>
          <w:highlight w:val="none"/>
        </w:rPr>
      </w:pPr>
    </w:p>
    <w:p w14:paraId="7C93A25A">
      <w:pPr>
        <w:snapToGrid w:val="0"/>
        <w:spacing w:before="165" w:beforeLines="50" w:after="50" w:line="400" w:lineRule="exact"/>
        <w:rPr>
          <w:rFonts w:ascii="宋体" w:cs="宋体"/>
          <w:bCs/>
          <w:color w:val="auto"/>
          <w:sz w:val="24"/>
          <w:szCs w:val="20"/>
          <w:highlight w:val="none"/>
        </w:rPr>
      </w:pPr>
    </w:p>
    <w:p w14:paraId="642C909B">
      <w:pPr>
        <w:snapToGrid w:val="0"/>
        <w:spacing w:before="165" w:beforeLines="50" w:after="50" w:line="400" w:lineRule="exact"/>
        <w:rPr>
          <w:rFonts w:ascii="宋体" w:cs="宋体"/>
          <w:bCs/>
          <w:color w:val="auto"/>
          <w:sz w:val="24"/>
          <w:szCs w:val="20"/>
          <w:highlight w:val="none"/>
        </w:rPr>
      </w:pPr>
    </w:p>
    <w:p w14:paraId="7634A263">
      <w:pPr>
        <w:snapToGrid w:val="0"/>
        <w:spacing w:before="165" w:beforeLines="50" w:after="50" w:line="400" w:lineRule="exact"/>
        <w:ind w:firstLine="360" w:firstLineChars="150"/>
        <w:rPr>
          <w:rFonts w:ascii="宋体" w:cs="宋体"/>
          <w:bCs/>
          <w:color w:val="auto"/>
          <w:sz w:val="24"/>
          <w:highlight w:val="none"/>
        </w:rPr>
      </w:pPr>
      <w:r>
        <w:rPr>
          <w:rFonts w:hint="eastAsia" w:ascii="宋体" w:cs="宋体"/>
          <w:bCs/>
          <w:color w:val="auto"/>
          <w:sz w:val="24"/>
          <w:highlight w:val="none"/>
        </w:rPr>
        <w:t xml:space="preserve">项目名称： </w:t>
      </w:r>
    </w:p>
    <w:p w14:paraId="3F7FF889">
      <w:pPr>
        <w:snapToGrid w:val="0"/>
        <w:spacing w:before="165" w:beforeLines="50" w:after="50" w:line="400" w:lineRule="exact"/>
        <w:ind w:firstLine="360" w:firstLineChars="150"/>
        <w:rPr>
          <w:rFonts w:ascii="宋体" w:cs="宋体"/>
          <w:bCs/>
          <w:color w:val="auto"/>
          <w:sz w:val="24"/>
          <w:highlight w:val="none"/>
        </w:rPr>
      </w:pPr>
    </w:p>
    <w:p w14:paraId="60BCDAE4">
      <w:pPr>
        <w:snapToGrid w:val="0"/>
        <w:spacing w:before="165" w:beforeLines="50" w:after="50" w:line="400" w:lineRule="exact"/>
        <w:ind w:firstLine="360" w:firstLineChars="150"/>
        <w:rPr>
          <w:rFonts w:ascii="宋体" w:cs="宋体"/>
          <w:bCs/>
          <w:color w:val="auto"/>
          <w:sz w:val="24"/>
          <w:highlight w:val="none"/>
        </w:rPr>
      </w:pPr>
      <w:r>
        <w:rPr>
          <w:rFonts w:hint="eastAsia" w:ascii="宋体" w:cs="宋体"/>
          <w:bCs/>
          <w:color w:val="auto"/>
          <w:sz w:val="24"/>
          <w:highlight w:val="none"/>
        </w:rPr>
        <w:t xml:space="preserve">项目编号： </w:t>
      </w:r>
    </w:p>
    <w:p w14:paraId="3839A514">
      <w:pPr>
        <w:snapToGrid w:val="0"/>
        <w:spacing w:before="165" w:beforeLines="50" w:after="50" w:line="400" w:lineRule="exact"/>
        <w:ind w:firstLine="360" w:firstLineChars="150"/>
        <w:rPr>
          <w:rFonts w:ascii="宋体" w:cs="宋体"/>
          <w:bCs/>
          <w:color w:val="auto"/>
          <w:sz w:val="24"/>
          <w:highlight w:val="none"/>
        </w:rPr>
      </w:pPr>
    </w:p>
    <w:p w14:paraId="131D0796">
      <w:pPr>
        <w:snapToGrid w:val="0"/>
        <w:spacing w:before="165" w:beforeLines="50" w:after="50" w:line="400" w:lineRule="exact"/>
        <w:ind w:firstLine="360" w:firstLineChars="150"/>
        <w:rPr>
          <w:rFonts w:ascii="宋体" w:cs="宋体"/>
          <w:bCs/>
          <w:color w:val="auto"/>
          <w:sz w:val="24"/>
          <w:highlight w:val="none"/>
        </w:rPr>
      </w:pPr>
      <w:r>
        <w:rPr>
          <w:rFonts w:hint="eastAsia" w:ascii="宋体" w:cs="宋体"/>
          <w:bCs/>
          <w:color w:val="auto"/>
          <w:sz w:val="24"/>
          <w:highlight w:val="none"/>
        </w:rPr>
        <w:t>所投分标（如有则填写，无分标时填写“无”或者留空）：</w:t>
      </w:r>
    </w:p>
    <w:p w14:paraId="2DEA47DF">
      <w:pPr>
        <w:snapToGrid w:val="0"/>
        <w:spacing w:before="165" w:beforeLines="50" w:after="50" w:line="400" w:lineRule="exact"/>
        <w:ind w:firstLine="360" w:firstLineChars="150"/>
        <w:rPr>
          <w:rFonts w:ascii="宋体" w:cs="宋体"/>
          <w:bCs/>
          <w:color w:val="auto"/>
          <w:sz w:val="24"/>
          <w:highlight w:val="none"/>
        </w:rPr>
      </w:pPr>
    </w:p>
    <w:p w14:paraId="7EF2E6B2">
      <w:pPr>
        <w:snapToGrid w:val="0"/>
        <w:spacing w:before="165" w:beforeLines="50" w:after="50" w:line="400" w:lineRule="exact"/>
        <w:ind w:firstLine="360" w:firstLineChars="150"/>
        <w:rPr>
          <w:rFonts w:ascii="宋体" w:cs="宋体"/>
          <w:bCs/>
          <w:color w:val="auto"/>
          <w:sz w:val="24"/>
          <w:highlight w:val="none"/>
        </w:rPr>
      </w:pPr>
      <w:r>
        <w:rPr>
          <w:rFonts w:hint="eastAsia" w:ascii="宋体" w:cs="宋体"/>
          <w:bCs/>
          <w:color w:val="auto"/>
          <w:sz w:val="24"/>
          <w:highlight w:val="none"/>
        </w:rPr>
        <w:t>投标人名称：</w:t>
      </w:r>
    </w:p>
    <w:p w14:paraId="3E9471E0">
      <w:pPr>
        <w:snapToGrid w:val="0"/>
        <w:spacing w:before="165" w:beforeLines="50" w:after="50" w:line="400" w:lineRule="exact"/>
        <w:ind w:firstLine="360" w:firstLineChars="150"/>
        <w:rPr>
          <w:rFonts w:ascii="宋体" w:cs="宋体"/>
          <w:bCs/>
          <w:color w:val="auto"/>
          <w:sz w:val="24"/>
          <w:highlight w:val="none"/>
        </w:rPr>
      </w:pPr>
    </w:p>
    <w:p w14:paraId="5785BE8E">
      <w:pPr>
        <w:pStyle w:val="6"/>
        <w:snapToGrid w:val="0"/>
        <w:spacing w:before="50" w:after="50" w:line="400" w:lineRule="exact"/>
        <w:ind w:firstLine="960" w:firstLineChars="400"/>
        <w:rPr>
          <w:rFonts w:ascii="宋体" w:cs="宋体"/>
          <w:bCs/>
          <w:color w:val="auto"/>
          <w:sz w:val="24"/>
          <w:szCs w:val="24"/>
          <w:highlight w:val="none"/>
        </w:rPr>
      </w:pPr>
    </w:p>
    <w:p w14:paraId="63390DA8">
      <w:pPr>
        <w:snapToGrid w:val="0"/>
        <w:spacing w:before="165" w:beforeLines="50" w:after="50" w:line="400" w:lineRule="exact"/>
        <w:rPr>
          <w:rFonts w:ascii="宋体" w:cs="宋体"/>
          <w:color w:val="auto"/>
          <w:sz w:val="24"/>
          <w:highlight w:val="none"/>
        </w:rPr>
      </w:pPr>
      <w:r>
        <w:rPr>
          <w:rFonts w:hint="eastAsia" w:ascii="宋体" w:cs="宋体"/>
          <w:color w:val="auto"/>
          <w:sz w:val="24"/>
          <w:highlight w:val="none"/>
        </w:rPr>
        <w:t xml:space="preserve">                                      年   月   日</w:t>
      </w:r>
    </w:p>
    <w:p w14:paraId="6D60702C">
      <w:pPr>
        <w:widowControl/>
        <w:jc w:val="left"/>
        <w:rPr>
          <w:rFonts w:ascii="宋体" w:cs="宋体"/>
          <w:color w:val="auto"/>
          <w:sz w:val="24"/>
          <w:highlight w:val="none"/>
        </w:rPr>
        <w:sectPr>
          <w:pgSz w:w="11906" w:h="16838"/>
          <w:pgMar w:top="1134" w:right="1134" w:bottom="1134" w:left="1134" w:header="720" w:footer="720" w:gutter="0"/>
          <w:cols w:space="720" w:num="1"/>
          <w:docGrid w:type="lines" w:linePitch="331" w:charSpace="0"/>
        </w:sectPr>
      </w:pPr>
    </w:p>
    <w:p w14:paraId="22D187D8">
      <w:pPr>
        <w:snapToGrid w:val="0"/>
        <w:spacing w:before="165" w:beforeLines="50" w:after="50" w:line="360" w:lineRule="auto"/>
        <w:jc w:val="left"/>
        <w:rPr>
          <w:rFonts w:ascii="宋体" w:cs="宋体"/>
          <w:color w:val="auto"/>
          <w:sz w:val="28"/>
          <w:szCs w:val="28"/>
          <w:highlight w:val="none"/>
        </w:rPr>
      </w:pPr>
      <w:r>
        <w:rPr>
          <w:rFonts w:hint="eastAsia" w:ascii="宋体" w:cs="宋体"/>
          <w:b/>
          <w:color w:val="auto"/>
          <w:sz w:val="28"/>
          <w:szCs w:val="28"/>
          <w:highlight w:val="none"/>
        </w:rPr>
        <w:t>2.</w:t>
      </w:r>
      <w:r>
        <w:rPr>
          <w:rFonts w:hint="eastAsia" w:ascii="宋体" w:cs="宋体"/>
          <w:b/>
          <w:bCs/>
          <w:color w:val="auto"/>
          <w:sz w:val="28"/>
          <w:szCs w:val="28"/>
          <w:highlight w:val="none"/>
        </w:rPr>
        <w:t>报价文件目录</w:t>
      </w:r>
    </w:p>
    <w:p w14:paraId="2D9238C3">
      <w:pPr>
        <w:snapToGrid w:val="0"/>
        <w:spacing w:before="50" w:after="165" w:afterLines="50" w:line="360" w:lineRule="auto"/>
        <w:jc w:val="left"/>
        <w:rPr>
          <w:rFonts w:ascii="宋体" w:cs="宋体"/>
          <w:b/>
          <w:color w:val="auto"/>
          <w:sz w:val="28"/>
          <w:szCs w:val="28"/>
          <w:highlight w:val="none"/>
        </w:rPr>
      </w:pPr>
      <w:r>
        <w:rPr>
          <w:rFonts w:hint="eastAsia" w:ascii="宋体" w:cs="宋体"/>
          <w:color w:val="auto"/>
          <w:sz w:val="28"/>
          <w:szCs w:val="28"/>
          <w:highlight w:val="none"/>
        </w:rPr>
        <w:t>根据招标文件规定及投标人提供的材料自行编写目录</w:t>
      </w:r>
      <w:r>
        <w:rPr>
          <w:rFonts w:hint="eastAsia" w:ascii="宋体" w:cs="宋体"/>
          <w:color w:val="auto"/>
          <w:kern w:val="0"/>
          <w:sz w:val="28"/>
          <w:szCs w:val="28"/>
          <w:highlight w:val="none"/>
        </w:rPr>
        <w:t>（部分格式后附）</w:t>
      </w:r>
      <w:r>
        <w:rPr>
          <w:rFonts w:hint="eastAsia" w:ascii="宋体" w:cs="宋体"/>
          <w:color w:val="auto"/>
          <w:sz w:val="28"/>
          <w:szCs w:val="28"/>
          <w:highlight w:val="none"/>
        </w:rPr>
        <w:t>。</w:t>
      </w:r>
    </w:p>
    <w:p w14:paraId="04C2CCD8">
      <w:pPr>
        <w:spacing w:line="360" w:lineRule="auto"/>
        <w:rPr>
          <w:rFonts w:ascii="宋体" w:cs="宋体"/>
          <w:color w:val="auto"/>
          <w:sz w:val="24"/>
          <w:highlight w:val="none"/>
        </w:rPr>
      </w:pPr>
      <w:r>
        <w:rPr>
          <w:rFonts w:hint="eastAsia" w:ascii="宋体" w:cs="宋体"/>
          <w:color w:val="auto"/>
          <w:sz w:val="24"/>
          <w:highlight w:val="none"/>
        </w:rPr>
        <w:br w:type="page"/>
      </w:r>
      <w:r>
        <w:rPr>
          <w:rFonts w:hint="eastAsia" w:ascii="宋体" w:cs="宋体"/>
          <w:b/>
          <w:bCs/>
          <w:color w:val="auto"/>
          <w:sz w:val="28"/>
          <w:szCs w:val="28"/>
          <w:highlight w:val="none"/>
        </w:rPr>
        <w:t>3.投标函的格式：</w:t>
      </w:r>
    </w:p>
    <w:p w14:paraId="13E00B2D">
      <w:pPr>
        <w:pStyle w:val="14"/>
        <w:spacing w:line="500" w:lineRule="exact"/>
        <w:jc w:val="center"/>
        <w:rPr>
          <w:rFonts w:cs="宋体"/>
          <w:b/>
          <w:bCs/>
          <w:color w:val="auto"/>
          <w:sz w:val="30"/>
          <w:szCs w:val="30"/>
          <w:highlight w:val="none"/>
        </w:rPr>
      </w:pPr>
      <w:r>
        <w:rPr>
          <w:rFonts w:hint="eastAsia" w:cs="宋体"/>
          <w:b/>
          <w:bCs/>
          <w:color w:val="auto"/>
          <w:sz w:val="30"/>
          <w:szCs w:val="30"/>
          <w:highlight w:val="none"/>
        </w:rPr>
        <w:t>投标函</w:t>
      </w:r>
    </w:p>
    <w:p w14:paraId="431C336B">
      <w:pPr>
        <w:pStyle w:val="14"/>
        <w:spacing w:line="440" w:lineRule="exact"/>
        <w:ind w:firstLine="420" w:firstLineChars="200"/>
        <w:rPr>
          <w:rFonts w:cs="宋体"/>
          <w:color w:val="auto"/>
          <w:highlight w:val="none"/>
        </w:rPr>
      </w:pPr>
    </w:p>
    <w:p w14:paraId="004005D1">
      <w:pPr>
        <w:pStyle w:val="14"/>
        <w:spacing w:line="480" w:lineRule="exact"/>
        <w:ind w:firstLine="420" w:firstLineChars="200"/>
        <w:rPr>
          <w:rFonts w:cs="宋体"/>
          <w:color w:val="auto"/>
          <w:highlight w:val="none"/>
        </w:rPr>
      </w:pPr>
      <w:r>
        <w:rPr>
          <w:rFonts w:hint="eastAsia" w:cs="宋体"/>
          <w:color w:val="auto"/>
          <w:highlight w:val="none"/>
        </w:rPr>
        <w:t>致：</w:t>
      </w:r>
      <w:bookmarkStart w:id="291" w:name="PO_3000001867_PM031_4"/>
      <w:r>
        <w:rPr>
          <w:rFonts w:hint="eastAsia" w:cs="宋体"/>
          <w:color w:val="auto"/>
          <w:highlight w:val="none"/>
          <w:u w:val="single"/>
        </w:rPr>
        <w:t>广西科联招标中心有限公司</w:t>
      </w:r>
      <w:bookmarkEnd w:id="291"/>
      <w:r>
        <w:rPr>
          <w:rFonts w:hint="eastAsia" w:cs="宋体"/>
          <w:color w:val="auto"/>
          <w:highlight w:val="none"/>
        </w:rPr>
        <w:t xml:space="preserve"> </w:t>
      </w:r>
    </w:p>
    <w:p w14:paraId="2D730D65">
      <w:pPr>
        <w:pStyle w:val="14"/>
        <w:spacing w:line="480" w:lineRule="exact"/>
        <w:ind w:firstLine="420" w:firstLineChars="200"/>
        <w:rPr>
          <w:rFonts w:cs="宋体"/>
          <w:color w:val="auto"/>
          <w:highlight w:val="none"/>
        </w:rPr>
      </w:pPr>
      <w:r>
        <w:rPr>
          <w:rFonts w:hint="eastAsia" w:cs="宋体"/>
          <w:color w:val="auto"/>
          <w:highlight w:val="none"/>
        </w:rPr>
        <w:t>我方已仔细阅读了贵方组织的</w:t>
      </w:r>
      <w:r>
        <w:rPr>
          <w:rFonts w:hint="eastAsia" w:cs="宋体"/>
          <w:color w:val="auto"/>
          <w:highlight w:val="none"/>
          <w:u w:val="single"/>
        </w:rPr>
        <w:t xml:space="preserve">  </w:t>
      </w:r>
      <w:r>
        <w:rPr>
          <w:rFonts w:hint="eastAsia" w:cs="宋体"/>
          <w:i/>
          <w:iCs/>
          <w:color w:val="auto"/>
          <w:highlight w:val="none"/>
          <w:u w:val="single"/>
        </w:rPr>
        <w:t>（项目名称）</w:t>
      </w:r>
      <w:r>
        <w:rPr>
          <w:rFonts w:hint="eastAsia" w:cs="宋体"/>
          <w:color w:val="auto"/>
          <w:highlight w:val="none"/>
          <w:u w:val="single"/>
        </w:rPr>
        <w:t xml:space="preserve">  </w:t>
      </w:r>
      <w:r>
        <w:rPr>
          <w:rFonts w:hint="eastAsia" w:cs="宋体"/>
          <w:color w:val="auto"/>
          <w:highlight w:val="none"/>
        </w:rPr>
        <w:t>项目（项目编号：        ）的招标文件的全部内容，授权</w:t>
      </w:r>
      <w:r>
        <w:rPr>
          <w:rFonts w:hint="eastAsia" w:cs="宋体"/>
          <w:color w:val="auto"/>
          <w:highlight w:val="none"/>
          <w:u w:val="single"/>
        </w:rPr>
        <w:t xml:space="preserve">                      </w:t>
      </w:r>
      <w:r>
        <w:rPr>
          <w:rFonts w:hint="eastAsia" w:cs="宋体"/>
          <w:color w:val="auto"/>
          <w:highlight w:val="none"/>
        </w:rPr>
        <w:t>(全权代表姓名)</w:t>
      </w:r>
      <w:r>
        <w:rPr>
          <w:rFonts w:hint="eastAsia" w:cs="宋体"/>
          <w:color w:val="auto"/>
          <w:highlight w:val="none"/>
          <w:u w:val="single"/>
        </w:rPr>
        <w:t xml:space="preserve">          </w:t>
      </w:r>
      <w:r>
        <w:rPr>
          <w:rFonts w:hint="eastAsia" w:cs="宋体"/>
          <w:color w:val="auto"/>
          <w:highlight w:val="none"/>
        </w:rPr>
        <w:t xml:space="preserve"> (职务、职称)为全权代表，现正式递交下述文件参加贵方组织的本次政府采购活动： </w:t>
      </w:r>
    </w:p>
    <w:p w14:paraId="01F80584">
      <w:pPr>
        <w:pStyle w:val="14"/>
        <w:spacing w:line="480" w:lineRule="exact"/>
        <w:ind w:firstLine="420" w:firstLineChars="200"/>
        <w:rPr>
          <w:rFonts w:hint="eastAsia" w:cs="宋体"/>
          <w:color w:val="auto"/>
          <w:highlight w:val="none"/>
        </w:rPr>
      </w:pPr>
      <w:r>
        <w:rPr>
          <w:rFonts w:hint="eastAsia" w:cs="宋体"/>
          <w:color w:val="auto"/>
          <w:highlight w:val="none"/>
        </w:rPr>
        <w:t>一、报价文件电子版（包含按投标人须知前附表要求提交的全部文件）；</w:t>
      </w:r>
    </w:p>
    <w:p w14:paraId="02A53E59">
      <w:pPr>
        <w:pStyle w:val="14"/>
        <w:spacing w:line="480" w:lineRule="exact"/>
        <w:ind w:firstLine="420" w:firstLineChars="200"/>
        <w:rPr>
          <w:rFonts w:hint="eastAsia" w:cs="宋体"/>
          <w:color w:val="auto"/>
          <w:highlight w:val="none"/>
        </w:rPr>
      </w:pPr>
      <w:r>
        <w:rPr>
          <w:rFonts w:hint="eastAsia" w:cs="宋体"/>
          <w:color w:val="auto"/>
          <w:highlight w:val="none"/>
        </w:rPr>
        <w:t>二、资格文件电子版（包含按投标人须知前附表要求提交的全部文件）；</w:t>
      </w:r>
    </w:p>
    <w:p w14:paraId="10C51F7D">
      <w:pPr>
        <w:pStyle w:val="14"/>
        <w:spacing w:line="480" w:lineRule="exact"/>
        <w:ind w:firstLine="420" w:firstLineChars="200"/>
        <w:rPr>
          <w:rFonts w:hint="eastAsia" w:cs="宋体"/>
          <w:color w:val="auto"/>
          <w:highlight w:val="none"/>
        </w:rPr>
      </w:pPr>
      <w:r>
        <w:rPr>
          <w:rFonts w:hint="eastAsia" w:cs="宋体"/>
          <w:color w:val="auto"/>
          <w:highlight w:val="none"/>
        </w:rPr>
        <w:t>三、</w:t>
      </w:r>
      <w:r>
        <w:rPr>
          <w:rFonts w:hint="eastAsia" w:cs="宋体"/>
          <w:color w:val="auto"/>
          <w:highlight w:val="none"/>
          <w:lang w:val="en-US" w:eastAsia="zh-CN"/>
        </w:rPr>
        <w:t>商务</w:t>
      </w:r>
      <w:r>
        <w:rPr>
          <w:rFonts w:hint="eastAsia" w:cs="宋体"/>
          <w:color w:val="auto"/>
          <w:highlight w:val="none"/>
        </w:rPr>
        <w:t>技术文件电子版（包含按投标人须知前附表要求提交的全部文件）；</w:t>
      </w:r>
    </w:p>
    <w:p w14:paraId="5D62B704">
      <w:pPr>
        <w:pStyle w:val="14"/>
        <w:spacing w:line="480" w:lineRule="exact"/>
        <w:ind w:firstLine="420" w:firstLineChars="200"/>
        <w:rPr>
          <w:rFonts w:cs="宋体"/>
          <w:color w:val="auto"/>
          <w:highlight w:val="none"/>
        </w:rPr>
      </w:pPr>
      <w:r>
        <w:rPr>
          <w:rFonts w:hint="eastAsia" w:cs="宋体"/>
          <w:color w:val="auto"/>
          <w:highlight w:val="none"/>
        </w:rPr>
        <w:t>据此函，我方兹宣布：</w:t>
      </w:r>
    </w:p>
    <w:p w14:paraId="644BE586">
      <w:pPr>
        <w:pStyle w:val="14"/>
        <w:spacing w:line="480" w:lineRule="exact"/>
        <w:ind w:firstLine="420" w:firstLineChars="200"/>
        <w:rPr>
          <w:rFonts w:cs="宋体"/>
          <w:color w:val="auto"/>
          <w:highlight w:val="none"/>
          <w:u w:val="single"/>
        </w:rPr>
      </w:pPr>
      <w:r>
        <w:rPr>
          <w:rFonts w:hint="eastAsia" w:cs="宋体"/>
          <w:color w:val="auto"/>
          <w:highlight w:val="none"/>
        </w:rPr>
        <w:t>1、我方愿意以开标一览表中的投标总</w:t>
      </w:r>
      <w:r>
        <w:rPr>
          <w:rFonts w:hint="eastAsia" w:cs="宋体"/>
          <w:color w:val="auto"/>
          <w:szCs w:val="22"/>
          <w:highlight w:val="none"/>
        </w:rPr>
        <w:t>报价，</w:t>
      </w:r>
      <w:r>
        <w:rPr>
          <w:rFonts w:hint="eastAsia" w:cs="宋体"/>
          <w:color w:val="auto"/>
          <w:highlight w:val="none"/>
        </w:rPr>
        <w:t>提供本项目招标文件“第二章  采购需求”相应的采购内容，具体详见开标一览表。</w:t>
      </w:r>
    </w:p>
    <w:p w14:paraId="0FD2AAA5">
      <w:pPr>
        <w:pStyle w:val="14"/>
        <w:spacing w:line="480" w:lineRule="exact"/>
        <w:ind w:firstLine="420" w:firstLineChars="200"/>
        <w:rPr>
          <w:rFonts w:cs="宋体"/>
          <w:color w:val="auto"/>
          <w:highlight w:val="none"/>
          <w:u w:val="single"/>
        </w:rPr>
      </w:pPr>
      <w:r>
        <w:rPr>
          <w:rFonts w:hint="eastAsia" w:cs="宋体"/>
          <w:color w:val="auto"/>
          <w:highlight w:val="none"/>
        </w:rPr>
        <w:t>2、我方同意自本项目招标文件“第三章 投标人须知”第一节 投标人须知前附表 第21.1项规定的投标截止时间（开标时间）起遵循本投标函，并承诺在“投标人须知前附表”第17.2项规定的投标有效期内不修改、撤销投标文件。</w:t>
      </w:r>
    </w:p>
    <w:p w14:paraId="051F7BB1">
      <w:pPr>
        <w:pStyle w:val="14"/>
        <w:spacing w:line="480" w:lineRule="exact"/>
        <w:ind w:firstLine="420" w:firstLineChars="200"/>
        <w:rPr>
          <w:rFonts w:cs="宋体"/>
          <w:color w:val="auto"/>
          <w:highlight w:val="none"/>
          <w:u w:val="single"/>
        </w:rPr>
      </w:pPr>
      <w:r>
        <w:rPr>
          <w:rFonts w:hint="eastAsia" w:cs="宋体"/>
          <w:color w:val="auto"/>
          <w:highlight w:val="none"/>
        </w:rPr>
        <w:t>3、我方所递交的投标文件及有关资料都是内容完整、真实和准确的。</w:t>
      </w:r>
    </w:p>
    <w:p w14:paraId="569E2095">
      <w:pPr>
        <w:pStyle w:val="14"/>
        <w:spacing w:line="480" w:lineRule="exact"/>
        <w:ind w:firstLine="482"/>
        <w:rPr>
          <w:rFonts w:cs="宋体"/>
          <w:color w:val="auto"/>
          <w:highlight w:val="none"/>
        </w:rPr>
      </w:pPr>
      <w:r>
        <w:rPr>
          <w:rFonts w:hint="eastAsia" w:cs="宋体"/>
          <w:color w:val="auto"/>
          <w:highlight w:val="none"/>
        </w:rPr>
        <w:t>4、</w:t>
      </w:r>
      <w:r>
        <w:rPr>
          <w:rFonts w:hint="eastAsia" w:cs="宋体"/>
          <w:color w:val="auto"/>
          <w:szCs w:val="21"/>
          <w:highlight w:val="none"/>
        </w:rPr>
        <w:t>如本项目采购内容涉及须符合国家强制规定的，我方承诺我方本次投标（包括资格条件和所投产品）均符合国家有关强制规定。</w:t>
      </w:r>
    </w:p>
    <w:p w14:paraId="444380E5">
      <w:pPr>
        <w:pStyle w:val="14"/>
        <w:spacing w:line="480" w:lineRule="exact"/>
        <w:ind w:firstLine="420" w:firstLineChars="200"/>
        <w:rPr>
          <w:rFonts w:cs="宋体"/>
          <w:color w:val="auto"/>
          <w:highlight w:val="none"/>
        </w:rPr>
      </w:pPr>
      <w:r>
        <w:rPr>
          <w:rFonts w:hint="eastAsia" w:cs="宋体"/>
          <w:color w:val="auto"/>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7DDD30EB">
      <w:pPr>
        <w:pStyle w:val="14"/>
        <w:spacing w:line="480" w:lineRule="exact"/>
        <w:ind w:firstLine="420" w:firstLineChars="200"/>
        <w:rPr>
          <w:rFonts w:cs="宋体"/>
          <w:color w:val="auto"/>
          <w:highlight w:val="none"/>
        </w:rPr>
      </w:pPr>
      <w:r>
        <w:rPr>
          <w:rFonts w:hint="eastAsia" w:cs="宋体"/>
          <w:color w:val="auto"/>
          <w:highlight w:val="none"/>
        </w:rPr>
        <w:t>6、我方已详细审核招标文件，我方知道必须放弃提出含糊不清或误解问题的权利。</w:t>
      </w:r>
    </w:p>
    <w:p w14:paraId="45159F9B">
      <w:pPr>
        <w:pStyle w:val="14"/>
        <w:spacing w:line="480" w:lineRule="exact"/>
        <w:ind w:firstLine="420" w:firstLineChars="200"/>
        <w:rPr>
          <w:rFonts w:cs="宋体"/>
          <w:color w:val="auto"/>
          <w:highlight w:val="none"/>
        </w:rPr>
      </w:pPr>
      <w:r>
        <w:rPr>
          <w:rFonts w:hint="eastAsia" w:cs="宋体"/>
          <w:color w:val="auto"/>
          <w:highlight w:val="none"/>
        </w:rPr>
        <w:t>7、我方同意应贵方要求提供与本投标有关的任何数据或资料。若贵方需要，我方愿意提供我方作出的一切承诺的证明材料。</w:t>
      </w:r>
    </w:p>
    <w:p w14:paraId="36AF576E">
      <w:pPr>
        <w:pStyle w:val="14"/>
        <w:spacing w:line="480" w:lineRule="exact"/>
        <w:ind w:firstLine="420" w:firstLineChars="200"/>
        <w:rPr>
          <w:rFonts w:cs="宋体"/>
          <w:color w:val="auto"/>
          <w:highlight w:val="none"/>
        </w:rPr>
      </w:pPr>
      <w:r>
        <w:rPr>
          <w:rFonts w:hint="eastAsia" w:cs="宋体"/>
          <w:color w:val="auto"/>
          <w:highlight w:val="none"/>
        </w:rPr>
        <w:t>8、我方完全理解贵方不一定接受投标报价最低的投标人为中标人的行为。</w:t>
      </w:r>
    </w:p>
    <w:p w14:paraId="44C46A34">
      <w:pPr>
        <w:pStyle w:val="14"/>
        <w:spacing w:line="480" w:lineRule="exact"/>
        <w:ind w:firstLine="420" w:firstLineChars="200"/>
        <w:rPr>
          <w:rFonts w:cs="宋体"/>
          <w:color w:val="auto"/>
          <w:highlight w:val="none"/>
        </w:rPr>
      </w:pPr>
      <w:r>
        <w:rPr>
          <w:rFonts w:hint="eastAsia" w:cs="宋体"/>
          <w:color w:val="auto"/>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74751D1">
      <w:pPr>
        <w:pStyle w:val="14"/>
        <w:numPr>
          <w:ilvl w:val="0"/>
          <w:numId w:val="2"/>
        </w:numPr>
        <w:spacing w:line="480" w:lineRule="exact"/>
        <w:rPr>
          <w:rFonts w:cs="宋体"/>
          <w:color w:val="auto"/>
          <w:highlight w:val="none"/>
        </w:rPr>
      </w:pPr>
      <w:r>
        <w:rPr>
          <w:rFonts w:hint="eastAsia" w:cs="宋体"/>
          <w:color w:val="auto"/>
          <w:highlight w:val="none"/>
        </w:rPr>
        <w:t>提供虚假材料谋取中标、成交的；</w:t>
      </w:r>
    </w:p>
    <w:p w14:paraId="59EB1506">
      <w:pPr>
        <w:pStyle w:val="14"/>
        <w:numPr>
          <w:ilvl w:val="0"/>
          <w:numId w:val="2"/>
        </w:numPr>
        <w:spacing w:line="480" w:lineRule="exact"/>
        <w:rPr>
          <w:rFonts w:cs="宋体"/>
          <w:color w:val="auto"/>
          <w:highlight w:val="none"/>
        </w:rPr>
      </w:pPr>
      <w:r>
        <w:rPr>
          <w:rFonts w:hint="eastAsia" w:cs="宋体"/>
          <w:color w:val="auto"/>
          <w:highlight w:val="none"/>
        </w:rPr>
        <w:t>采取不正当手段诋毁、排挤其他供应商的；</w:t>
      </w:r>
    </w:p>
    <w:p w14:paraId="7730E35D">
      <w:pPr>
        <w:pStyle w:val="14"/>
        <w:numPr>
          <w:ilvl w:val="0"/>
          <w:numId w:val="2"/>
        </w:numPr>
        <w:spacing w:line="480" w:lineRule="exact"/>
        <w:rPr>
          <w:rFonts w:cs="宋体"/>
          <w:color w:val="auto"/>
          <w:highlight w:val="none"/>
        </w:rPr>
      </w:pPr>
      <w:r>
        <w:rPr>
          <w:rFonts w:hint="eastAsia" w:cs="宋体"/>
          <w:color w:val="auto"/>
          <w:highlight w:val="none"/>
        </w:rPr>
        <w:t>与采购人、其他供应商或者采购代理机构恶意串通的；</w:t>
      </w:r>
    </w:p>
    <w:p w14:paraId="047F2E4F">
      <w:pPr>
        <w:pStyle w:val="14"/>
        <w:numPr>
          <w:ilvl w:val="0"/>
          <w:numId w:val="2"/>
        </w:numPr>
        <w:spacing w:line="480" w:lineRule="exact"/>
        <w:rPr>
          <w:rFonts w:cs="宋体"/>
          <w:color w:val="auto"/>
          <w:highlight w:val="none"/>
        </w:rPr>
      </w:pPr>
      <w:r>
        <w:rPr>
          <w:rFonts w:hint="eastAsia" w:cs="宋体"/>
          <w:color w:val="auto"/>
          <w:highlight w:val="none"/>
        </w:rPr>
        <w:t>向采购人、采购代理机构行贿或者提供其他不正当利益的；</w:t>
      </w:r>
    </w:p>
    <w:p w14:paraId="53CA5774">
      <w:pPr>
        <w:pStyle w:val="14"/>
        <w:numPr>
          <w:ilvl w:val="0"/>
          <w:numId w:val="2"/>
        </w:numPr>
        <w:spacing w:line="480" w:lineRule="exact"/>
        <w:rPr>
          <w:rFonts w:cs="宋体"/>
          <w:color w:val="auto"/>
          <w:highlight w:val="none"/>
        </w:rPr>
      </w:pPr>
      <w:r>
        <w:rPr>
          <w:rFonts w:hint="eastAsia" w:cs="宋体"/>
          <w:color w:val="auto"/>
          <w:highlight w:val="none"/>
        </w:rPr>
        <w:t>在招标采购过程中与采购人进行协商谈判的；</w:t>
      </w:r>
    </w:p>
    <w:p w14:paraId="31A951EC">
      <w:pPr>
        <w:pStyle w:val="14"/>
        <w:numPr>
          <w:ilvl w:val="0"/>
          <w:numId w:val="2"/>
        </w:numPr>
        <w:spacing w:line="480" w:lineRule="exact"/>
        <w:rPr>
          <w:rFonts w:cs="宋体"/>
          <w:color w:val="auto"/>
          <w:highlight w:val="none"/>
        </w:rPr>
      </w:pPr>
      <w:r>
        <w:rPr>
          <w:rFonts w:hint="eastAsia" w:cs="宋体"/>
          <w:color w:val="auto"/>
          <w:highlight w:val="none"/>
        </w:rPr>
        <w:t>拒绝有关部门监督检查或提供虚假情况的。</w:t>
      </w:r>
    </w:p>
    <w:p w14:paraId="52C8B57A">
      <w:pPr>
        <w:pStyle w:val="14"/>
        <w:spacing w:line="480" w:lineRule="exact"/>
        <w:ind w:firstLine="420"/>
        <w:rPr>
          <w:rFonts w:cs="宋体"/>
          <w:color w:val="auto"/>
          <w:highlight w:val="none"/>
        </w:rPr>
      </w:pPr>
      <w:r>
        <w:rPr>
          <w:rFonts w:hint="eastAsia" w:cs="宋体"/>
          <w:color w:val="auto"/>
          <w:highlight w:val="none"/>
        </w:rPr>
        <w:t>10、以上事项如有虚假或者隐瞒，我方愿意承担一切后果，并不再寻求任何旨在减轻或者免除法律责任的辩解。</w:t>
      </w:r>
    </w:p>
    <w:p w14:paraId="76CBD3F2">
      <w:pPr>
        <w:pStyle w:val="14"/>
        <w:spacing w:line="480" w:lineRule="exact"/>
        <w:ind w:firstLine="420"/>
        <w:rPr>
          <w:rFonts w:cs="宋体"/>
          <w:color w:val="auto"/>
          <w:highlight w:val="none"/>
        </w:rPr>
      </w:pPr>
      <w:r>
        <w:rPr>
          <w:rFonts w:hint="eastAsia" w:cs="宋体"/>
          <w:color w:val="auto"/>
          <w:highlight w:val="none"/>
        </w:rPr>
        <w:t>11、与本投标有关的一切正式往来信函请寄：</w:t>
      </w:r>
    </w:p>
    <w:p w14:paraId="774E3C22">
      <w:pPr>
        <w:pStyle w:val="14"/>
        <w:spacing w:line="480" w:lineRule="exact"/>
        <w:ind w:firstLine="420"/>
        <w:rPr>
          <w:rFonts w:cs="宋体"/>
          <w:color w:val="auto"/>
          <w:highlight w:val="none"/>
        </w:rPr>
      </w:pPr>
      <w:r>
        <w:rPr>
          <w:rFonts w:hint="eastAsia" w:cs="宋体"/>
          <w:color w:val="auto"/>
          <w:highlight w:val="none"/>
        </w:rPr>
        <w:t>地址：</w:t>
      </w:r>
      <w:r>
        <w:rPr>
          <w:rFonts w:hint="eastAsia" w:cs="宋体"/>
          <w:color w:val="auto"/>
          <w:highlight w:val="none"/>
          <w:u w:val="single"/>
        </w:rPr>
        <w:t xml:space="preserve">                                                        </w:t>
      </w:r>
      <w:r>
        <w:rPr>
          <w:rFonts w:hint="eastAsia" w:cs="宋体"/>
          <w:color w:val="auto"/>
          <w:highlight w:val="none"/>
        </w:rPr>
        <w:t xml:space="preserve"> </w:t>
      </w:r>
    </w:p>
    <w:p w14:paraId="3F176756">
      <w:pPr>
        <w:pStyle w:val="14"/>
        <w:spacing w:line="480" w:lineRule="exact"/>
        <w:ind w:firstLine="420"/>
        <w:rPr>
          <w:rFonts w:cs="宋体"/>
          <w:color w:val="auto"/>
          <w:highlight w:val="none"/>
          <w:u w:val="single"/>
        </w:rPr>
      </w:pPr>
      <w:r>
        <w:rPr>
          <w:rFonts w:hint="eastAsia" w:cs="宋体"/>
          <w:color w:val="auto"/>
          <w:highlight w:val="none"/>
        </w:rPr>
        <w:t>电话：</w:t>
      </w:r>
      <w:r>
        <w:rPr>
          <w:rFonts w:hint="eastAsia" w:cs="宋体"/>
          <w:color w:val="auto"/>
          <w:highlight w:val="none"/>
          <w:u w:val="single"/>
        </w:rPr>
        <w:t xml:space="preserve">                                      　　　　　　　　　</w:t>
      </w:r>
    </w:p>
    <w:p w14:paraId="726375C6">
      <w:pPr>
        <w:pStyle w:val="14"/>
        <w:spacing w:line="480" w:lineRule="exact"/>
        <w:ind w:firstLine="420"/>
        <w:rPr>
          <w:rFonts w:cs="宋体"/>
          <w:color w:val="auto"/>
          <w:highlight w:val="none"/>
          <w:u w:val="single"/>
        </w:rPr>
      </w:pPr>
      <w:r>
        <w:rPr>
          <w:rFonts w:hint="eastAsia" w:cs="宋体"/>
          <w:color w:val="auto"/>
          <w:highlight w:val="none"/>
        </w:rPr>
        <w:t>传真：</w:t>
      </w:r>
      <w:r>
        <w:rPr>
          <w:rFonts w:hint="eastAsia" w:cs="宋体"/>
          <w:color w:val="auto"/>
          <w:highlight w:val="none"/>
          <w:u w:val="single"/>
        </w:rPr>
        <w:t>　　　　　　　　　　　　　　　　　　　　　　　　　　　　</w:t>
      </w:r>
    </w:p>
    <w:p w14:paraId="06C6E021">
      <w:pPr>
        <w:spacing w:line="480" w:lineRule="exact"/>
        <w:ind w:firstLine="420"/>
        <w:rPr>
          <w:rFonts w:ascii="宋体" w:cs="宋体"/>
          <w:color w:val="auto"/>
          <w:highlight w:val="none"/>
          <w:u w:val="single"/>
        </w:rPr>
      </w:pPr>
      <w:r>
        <w:rPr>
          <w:rFonts w:hint="eastAsia" w:ascii="宋体" w:cs="宋体"/>
          <w:color w:val="auto"/>
          <w:kern w:val="0"/>
          <w:sz w:val="20"/>
          <w:szCs w:val="21"/>
          <w:highlight w:val="none"/>
        </w:rPr>
        <w:t>电子邮箱：</w:t>
      </w:r>
      <w:r>
        <w:rPr>
          <w:rFonts w:hint="eastAsia" w:ascii="宋体" w:cs="宋体"/>
          <w:color w:val="auto"/>
          <w:kern w:val="0"/>
          <w:sz w:val="20"/>
          <w:szCs w:val="21"/>
          <w:highlight w:val="none"/>
          <w:u w:val="single"/>
        </w:rPr>
        <w:t>　　　　　　　　　　　　　　　　　　　　　　　　　　　　</w:t>
      </w:r>
    </w:p>
    <w:p w14:paraId="23C5AE53">
      <w:pPr>
        <w:pStyle w:val="14"/>
        <w:spacing w:line="480" w:lineRule="exact"/>
        <w:ind w:firstLine="420"/>
        <w:rPr>
          <w:rFonts w:cs="宋体"/>
          <w:color w:val="auto"/>
          <w:highlight w:val="none"/>
          <w:u w:val="single"/>
        </w:rPr>
      </w:pPr>
      <w:r>
        <w:rPr>
          <w:rFonts w:hint="eastAsia" w:cs="宋体"/>
          <w:color w:val="auto"/>
          <w:highlight w:val="none"/>
        </w:rPr>
        <w:t>邮政编码：</w:t>
      </w:r>
      <w:r>
        <w:rPr>
          <w:rFonts w:hint="eastAsia" w:cs="宋体"/>
          <w:color w:val="auto"/>
          <w:highlight w:val="none"/>
          <w:u w:val="single"/>
        </w:rPr>
        <w:t xml:space="preserve">                                                    </w:t>
      </w:r>
    </w:p>
    <w:p w14:paraId="63F378FA">
      <w:pPr>
        <w:pStyle w:val="14"/>
        <w:spacing w:line="480" w:lineRule="exact"/>
        <w:ind w:firstLine="420"/>
        <w:rPr>
          <w:rFonts w:cs="宋体"/>
          <w:color w:val="auto"/>
          <w:highlight w:val="none"/>
          <w:u w:val="single"/>
        </w:rPr>
      </w:pPr>
      <w:r>
        <w:rPr>
          <w:rFonts w:hint="eastAsia" w:cs="宋体"/>
          <w:color w:val="auto"/>
          <w:highlight w:val="none"/>
        </w:rPr>
        <w:t>开户名称：</w:t>
      </w:r>
      <w:r>
        <w:rPr>
          <w:rFonts w:hint="eastAsia" w:cs="宋体"/>
          <w:color w:val="auto"/>
          <w:highlight w:val="none"/>
          <w:u w:val="single"/>
        </w:rPr>
        <w:t xml:space="preserve">                                                    </w:t>
      </w:r>
    </w:p>
    <w:p w14:paraId="48C9B2BA">
      <w:pPr>
        <w:pStyle w:val="14"/>
        <w:spacing w:line="480" w:lineRule="exact"/>
        <w:ind w:firstLine="420"/>
        <w:rPr>
          <w:rFonts w:cs="宋体"/>
          <w:color w:val="auto"/>
          <w:highlight w:val="none"/>
          <w:u w:val="single"/>
        </w:rPr>
      </w:pPr>
      <w:r>
        <w:rPr>
          <w:rFonts w:hint="eastAsia" w:cs="宋体"/>
          <w:color w:val="auto"/>
          <w:highlight w:val="none"/>
        </w:rPr>
        <w:t>开户银行：</w:t>
      </w:r>
      <w:r>
        <w:rPr>
          <w:rFonts w:hint="eastAsia" w:cs="宋体"/>
          <w:color w:val="auto"/>
          <w:highlight w:val="none"/>
          <w:u w:val="single"/>
        </w:rPr>
        <w:t xml:space="preserve">                                                    </w:t>
      </w:r>
    </w:p>
    <w:p w14:paraId="616D113D">
      <w:pPr>
        <w:pStyle w:val="14"/>
        <w:spacing w:line="480" w:lineRule="exact"/>
        <w:ind w:firstLine="420"/>
        <w:rPr>
          <w:rFonts w:cs="宋体"/>
          <w:color w:val="auto"/>
          <w:highlight w:val="none"/>
          <w:u w:val="single"/>
        </w:rPr>
      </w:pPr>
      <w:r>
        <w:rPr>
          <w:rFonts w:hint="eastAsia" w:cs="宋体"/>
          <w:color w:val="auto"/>
          <w:highlight w:val="none"/>
        </w:rPr>
        <w:t>银行账号：</w:t>
      </w:r>
      <w:r>
        <w:rPr>
          <w:rFonts w:hint="eastAsia" w:cs="宋体"/>
          <w:color w:val="auto"/>
          <w:highlight w:val="none"/>
          <w:u w:val="single"/>
        </w:rPr>
        <w:t xml:space="preserve">                                                    </w:t>
      </w:r>
    </w:p>
    <w:p w14:paraId="6A47EF3B">
      <w:pPr>
        <w:snapToGrid w:val="0"/>
        <w:spacing w:line="360" w:lineRule="auto"/>
        <w:ind w:firstLine="5040" w:firstLineChars="2100"/>
        <w:rPr>
          <w:rFonts w:ascii="宋体" w:cs="宋体"/>
          <w:color w:val="auto"/>
          <w:kern w:val="0"/>
          <w:sz w:val="24"/>
          <w:highlight w:val="none"/>
          <w:lang w:val="zh-CN"/>
        </w:rPr>
      </w:pPr>
    </w:p>
    <w:p w14:paraId="33F46185">
      <w:pPr>
        <w:snapToGrid w:val="0"/>
        <w:spacing w:line="360" w:lineRule="auto"/>
        <w:ind w:firstLine="5040" w:firstLineChars="2100"/>
        <w:rPr>
          <w:rFonts w:ascii="宋体" w:cs="宋体"/>
          <w:color w:val="auto"/>
          <w:kern w:val="0"/>
          <w:sz w:val="24"/>
          <w:highlight w:val="none"/>
          <w:lang w:val="zh-CN"/>
        </w:rPr>
      </w:pPr>
    </w:p>
    <w:p w14:paraId="28E1C57E">
      <w:pPr>
        <w:snapToGrid w:val="0"/>
        <w:spacing w:line="360" w:lineRule="auto"/>
        <w:ind w:firstLine="5040" w:firstLineChars="2100"/>
        <w:rPr>
          <w:rFonts w:ascii="宋体" w:cs="宋体"/>
          <w:color w:val="auto"/>
          <w:kern w:val="0"/>
          <w:sz w:val="24"/>
          <w:highlight w:val="none"/>
        </w:rPr>
      </w:pPr>
      <w:r>
        <w:rPr>
          <w:rFonts w:hint="eastAsia" w:ascii="宋体" w:cs="宋体"/>
          <w:color w:val="auto"/>
          <w:kern w:val="0"/>
          <w:sz w:val="24"/>
          <w:highlight w:val="none"/>
          <w:lang w:val="zh-CN"/>
        </w:rPr>
        <w:t>投标人名称（盖公章）：</w:t>
      </w:r>
    </w:p>
    <w:p w14:paraId="55EDB2E2">
      <w:pPr>
        <w:snapToGrid w:val="0"/>
        <w:spacing w:line="360" w:lineRule="auto"/>
        <w:ind w:firstLine="5160" w:firstLineChars="2150"/>
        <w:rPr>
          <w:rFonts w:ascii="宋体" w:cs="宋体"/>
          <w:color w:val="auto"/>
          <w:kern w:val="0"/>
          <w:sz w:val="24"/>
          <w:highlight w:val="none"/>
          <w:lang w:val="zh-CN"/>
        </w:rPr>
      </w:pPr>
      <w:r>
        <w:rPr>
          <w:rFonts w:hint="eastAsia" w:ascii="宋体" w:cs="宋体"/>
          <w:color w:val="auto"/>
          <w:kern w:val="0"/>
          <w:sz w:val="24"/>
          <w:highlight w:val="none"/>
          <w:lang w:val="zh-CN"/>
        </w:rPr>
        <w:t>日期</w:t>
      </w:r>
      <w:r>
        <w:rPr>
          <w:rFonts w:hint="eastAsia" w:ascii="宋体" w:cs="宋体"/>
          <w:color w:val="auto"/>
          <w:kern w:val="0"/>
          <w:sz w:val="24"/>
          <w:highlight w:val="none"/>
        </w:rPr>
        <w:t xml:space="preserve">：  年  </w:t>
      </w:r>
      <w:r>
        <w:rPr>
          <w:rFonts w:hint="eastAsia" w:ascii="宋体" w:cs="宋体"/>
          <w:color w:val="auto"/>
          <w:kern w:val="0"/>
          <w:sz w:val="24"/>
          <w:highlight w:val="none"/>
          <w:lang w:val="zh-CN"/>
        </w:rPr>
        <w:t>月</w:t>
      </w:r>
      <w:r>
        <w:rPr>
          <w:rFonts w:hint="eastAsia" w:ascii="宋体" w:cs="宋体"/>
          <w:color w:val="auto"/>
          <w:kern w:val="0"/>
          <w:sz w:val="24"/>
          <w:highlight w:val="none"/>
        </w:rPr>
        <w:t xml:space="preserve">   </w:t>
      </w:r>
      <w:r>
        <w:rPr>
          <w:rFonts w:hint="eastAsia" w:ascii="宋体" w:cs="宋体"/>
          <w:color w:val="auto"/>
          <w:kern w:val="0"/>
          <w:sz w:val="24"/>
          <w:highlight w:val="none"/>
          <w:lang w:val="zh-CN"/>
        </w:rPr>
        <w:t>日</w:t>
      </w:r>
    </w:p>
    <w:p w14:paraId="6A43F359">
      <w:pPr>
        <w:widowControl/>
        <w:spacing w:line="360" w:lineRule="auto"/>
        <w:jc w:val="left"/>
        <w:rPr>
          <w:rFonts w:ascii="宋体" w:cs="宋体"/>
          <w:color w:val="auto"/>
          <w:kern w:val="0"/>
          <w:sz w:val="24"/>
          <w:highlight w:val="none"/>
          <w:lang w:val="zh-CN"/>
        </w:rPr>
        <w:sectPr>
          <w:pgSz w:w="11906" w:h="16838"/>
          <w:pgMar w:top="1134" w:right="1134" w:bottom="1134" w:left="1134" w:header="720" w:footer="720" w:gutter="0"/>
          <w:cols w:space="720" w:num="1"/>
          <w:docGrid w:type="lines" w:linePitch="331" w:charSpace="0"/>
        </w:sectPr>
      </w:pPr>
    </w:p>
    <w:p w14:paraId="36D6E23A">
      <w:pPr>
        <w:pStyle w:val="14"/>
        <w:spacing w:line="360" w:lineRule="auto"/>
        <w:jc w:val="left"/>
        <w:rPr>
          <w:rFonts w:cs="宋体"/>
          <w:b/>
          <w:color w:val="auto"/>
          <w:sz w:val="28"/>
          <w:szCs w:val="28"/>
          <w:highlight w:val="none"/>
        </w:rPr>
      </w:pPr>
      <w:r>
        <w:rPr>
          <w:rFonts w:hint="eastAsia" w:cs="宋体"/>
          <w:b/>
          <w:color w:val="auto"/>
          <w:sz w:val="28"/>
          <w:szCs w:val="28"/>
          <w:highlight w:val="none"/>
        </w:rPr>
        <w:t>4. 开标一览表的格式：</w:t>
      </w:r>
    </w:p>
    <w:p w14:paraId="67389E17">
      <w:pPr>
        <w:pStyle w:val="14"/>
        <w:spacing w:line="360" w:lineRule="auto"/>
        <w:jc w:val="center"/>
        <w:rPr>
          <w:rFonts w:cs="宋体"/>
          <w:b/>
          <w:color w:val="auto"/>
          <w:sz w:val="30"/>
          <w:szCs w:val="30"/>
          <w:highlight w:val="none"/>
        </w:rPr>
      </w:pPr>
      <w:r>
        <w:rPr>
          <w:rFonts w:hint="eastAsia" w:cs="宋体"/>
          <w:b/>
          <w:color w:val="auto"/>
          <w:sz w:val="30"/>
          <w:szCs w:val="30"/>
          <w:highlight w:val="none"/>
        </w:rPr>
        <w:t>开标一览表</w:t>
      </w:r>
      <w:r>
        <w:rPr>
          <w:rFonts w:hint="eastAsia" w:cs="宋体"/>
          <w:b/>
          <w:color w:val="auto"/>
          <w:kern w:val="0"/>
          <w:sz w:val="24"/>
          <w:highlight w:val="none"/>
          <w:lang w:val="zh-CN"/>
        </w:rPr>
        <w:t>(单位均为人民币元)</w:t>
      </w:r>
    </w:p>
    <w:p w14:paraId="0A27FBA5">
      <w:pPr>
        <w:snapToGrid w:val="0"/>
        <w:spacing w:before="50" w:after="50" w:line="480" w:lineRule="auto"/>
        <w:rPr>
          <w:rFonts w:ascii="宋体" w:cs="宋体"/>
          <w:color w:val="auto"/>
          <w:sz w:val="24"/>
          <w:highlight w:val="none"/>
        </w:rPr>
      </w:pPr>
      <w:r>
        <w:rPr>
          <w:rFonts w:hint="eastAsia" w:ascii="宋体" w:cs="宋体"/>
          <w:color w:val="auto"/>
          <w:sz w:val="24"/>
          <w:highlight w:val="none"/>
        </w:rPr>
        <w:t>项目名称：</w:t>
      </w:r>
      <w:r>
        <w:rPr>
          <w:rFonts w:hint="eastAsia" w:ascii="宋体" w:cs="宋体"/>
          <w:color w:val="auto"/>
          <w:sz w:val="24"/>
          <w:highlight w:val="none"/>
          <w:u w:val="single"/>
        </w:rPr>
        <w:t xml:space="preserve">                        </w:t>
      </w:r>
      <w:r>
        <w:rPr>
          <w:rFonts w:hint="eastAsia" w:ascii="宋体" w:cs="宋体"/>
          <w:color w:val="auto"/>
          <w:sz w:val="24"/>
          <w:highlight w:val="none"/>
        </w:rPr>
        <w:t xml:space="preserve">  </w:t>
      </w:r>
    </w:p>
    <w:p w14:paraId="4CDEFD3E">
      <w:pPr>
        <w:snapToGrid w:val="0"/>
        <w:spacing w:before="50" w:after="50" w:line="480" w:lineRule="auto"/>
        <w:rPr>
          <w:rFonts w:ascii="宋体" w:cs="宋体"/>
          <w:color w:val="auto"/>
          <w:sz w:val="24"/>
          <w:highlight w:val="none"/>
          <w:u w:val="single"/>
        </w:rPr>
      </w:pPr>
      <w:r>
        <w:rPr>
          <w:rFonts w:hint="eastAsia" w:ascii="宋体" w:cs="宋体"/>
          <w:color w:val="auto"/>
          <w:sz w:val="24"/>
          <w:highlight w:val="none"/>
        </w:rPr>
        <w:t>项目编号：</w:t>
      </w:r>
      <w:r>
        <w:rPr>
          <w:rFonts w:hint="eastAsia" w:ascii="宋体" w:cs="宋体"/>
          <w:color w:val="auto"/>
          <w:sz w:val="24"/>
          <w:highlight w:val="none"/>
          <w:u w:val="single"/>
        </w:rPr>
        <w:t xml:space="preserve"> </w:t>
      </w:r>
      <w:bookmarkStart w:id="292" w:name="PO_3000001867_PM001_7"/>
      <w:r>
        <w:rPr>
          <w:rFonts w:hint="eastAsia" w:ascii="宋体" w:cs="宋体"/>
          <w:color w:val="auto"/>
          <w:sz w:val="24"/>
          <w:highlight w:val="none"/>
          <w:u w:val="single"/>
        </w:rPr>
        <w:t xml:space="preserve">                      </w:t>
      </w:r>
      <w:bookmarkEnd w:id="292"/>
    </w:p>
    <w:p w14:paraId="3A2F44A3">
      <w:pPr>
        <w:pStyle w:val="17"/>
        <w:rPr>
          <w:rFonts w:hint="eastAsia" w:cs="宋体"/>
          <w:color w:val="auto"/>
          <w:sz w:val="24"/>
          <w:highlight w:val="none"/>
        </w:rPr>
      </w:pPr>
      <w:r>
        <w:rPr>
          <w:rFonts w:hint="eastAsia" w:ascii="宋体" w:cs="宋体"/>
          <w:bCs/>
          <w:color w:val="auto"/>
          <w:sz w:val="24"/>
          <w:highlight w:val="none"/>
        </w:rPr>
        <w:t>所投分标（如有则填写，无分标时填写“无”或者留空）：</w:t>
      </w:r>
      <w:r>
        <w:rPr>
          <w:rFonts w:hint="eastAsia" w:ascii="宋体" w:cs="宋体"/>
          <w:color w:val="auto"/>
          <w:sz w:val="24"/>
          <w:highlight w:val="none"/>
          <w:u w:val="single"/>
        </w:rPr>
        <w:t xml:space="preserve">           </w:t>
      </w:r>
      <w:r>
        <w:rPr>
          <w:rFonts w:hint="eastAsia" w:cs="宋体"/>
          <w:color w:val="auto"/>
          <w:sz w:val="24"/>
          <w:highlight w:val="none"/>
        </w:rPr>
        <w:t xml:space="preserve">  </w:t>
      </w:r>
    </w:p>
    <w:tbl>
      <w:tblPr>
        <w:tblStyle w:val="27"/>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183"/>
        <w:gridCol w:w="1113"/>
        <w:gridCol w:w="1255"/>
        <w:gridCol w:w="1313"/>
        <w:gridCol w:w="1863"/>
        <w:gridCol w:w="1107"/>
      </w:tblGrid>
      <w:tr w14:paraId="23B41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DF11635">
            <w:pPr>
              <w:rPr>
                <w:rFonts w:hint="eastAsia" w:ascii="宋体" w:hAnsi="宋体" w:cs="宋体"/>
                <w:color w:val="auto"/>
                <w:szCs w:val="22"/>
                <w:highlight w:val="none"/>
              </w:rPr>
            </w:pPr>
            <w:r>
              <w:rPr>
                <w:rFonts w:hint="eastAsia" w:ascii="宋体" w:hAnsi="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8803CE6">
            <w:pPr>
              <w:jc w:val="center"/>
              <w:rPr>
                <w:rFonts w:hint="eastAsia" w:ascii="宋体" w:hAnsi="宋体" w:eastAsia="宋体" w:cs="宋体"/>
                <w:color w:val="auto"/>
                <w:szCs w:val="22"/>
                <w:highlight w:val="none"/>
                <w:lang w:eastAsia="zh-CN"/>
              </w:rPr>
            </w:pPr>
            <w:r>
              <w:rPr>
                <w:rFonts w:hint="eastAsia" w:ascii="宋体" w:hAnsi="宋体" w:cs="宋体"/>
                <w:color w:val="auto"/>
                <w:szCs w:val="22"/>
                <w:highlight w:val="none"/>
                <w:lang w:eastAsia="zh-CN"/>
              </w:rPr>
              <w:t>标的名称</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7EA304D0">
            <w:pPr>
              <w:jc w:val="center"/>
              <w:rPr>
                <w:rFonts w:hint="eastAsia" w:ascii="宋体" w:hAnsi="宋体" w:cs="宋体"/>
                <w:color w:val="auto"/>
                <w:szCs w:val="22"/>
                <w:highlight w:val="none"/>
              </w:rPr>
            </w:pPr>
            <w:r>
              <w:rPr>
                <w:rFonts w:hint="eastAsia" w:ascii="宋体" w:hAnsi="宋体" w:cs="宋体"/>
                <w:color w:val="auto"/>
                <w:szCs w:val="22"/>
                <w:highlight w:val="none"/>
              </w:rPr>
              <w:t>规格型号</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69D7D8FD">
            <w:pPr>
              <w:jc w:val="center"/>
              <w:rPr>
                <w:rFonts w:hint="eastAsia" w:ascii="宋体" w:hAnsi="宋体" w:eastAsia="宋体" w:cs="宋体"/>
                <w:color w:val="auto"/>
                <w:szCs w:val="22"/>
                <w:highlight w:val="none"/>
                <w:lang w:eastAsia="zh-CN"/>
              </w:rPr>
            </w:pPr>
            <w:r>
              <w:rPr>
                <w:rFonts w:hint="eastAsia" w:ascii="宋体" w:hAnsi="宋体" w:cs="宋体"/>
                <w:color w:val="auto"/>
                <w:szCs w:val="22"/>
                <w:highlight w:val="none"/>
                <w:lang w:eastAsia="zh-CN"/>
              </w:rPr>
              <w:t>品牌（如有）</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5688CBE3">
            <w:pPr>
              <w:jc w:val="center"/>
              <w:rPr>
                <w:rFonts w:hint="eastAsia" w:ascii="宋体" w:hAnsi="宋体" w:cs="宋体"/>
                <w:color w:val="auto"/>
                <w:szCs w:val="22"/>
                <w:highlight w:val="none"/>
                <w:lang w:eastAsia="zh-CN"/>
              </w:rPr>
            </w:pPr>
            <w:r>
              <w:rPr>
                <w:rFonts w:hint="eastAsia" w:ascii="宋体" w:hAnsi="宋体" w:cs="宋体"/>
                <w:color w:val="auto"/>
                <w:szCs w:val="22"/>
                <w:highlight w:val="none"/>
              </w:rPr>
              <w:t>数量</w:t>
            </w:r>
            <w:r>
              <w:rPr>
                <w:rFonts w:hint="eastAsia" w:ascii="宋体" w:hAnsi="宋体" w:cs="宋体"/>
                <w:color w:val="auto"/>
                <w:szCs w:val="22"/>
                <w:highlight w:val="none"/>
                <w:lang w:eastAsia="zh-CN"/>
              </w:rPr>
              <w:t>及单位</w:t>
            </w:r>
          </w:p>
          <w:p w14:paraId="716CC917">
            <w:pPr>
              <w:jc w:val="center"/>
              <w:rPr>
                <w:rFonts w:hint="eastAsia" w:ascii="宋体" w:hAnsi="宋体" w:cs="宋体"/>
                <w:color w:val="auto"/>
                <w:szCs w:val="22"/>
                <w:highlight w:val="none"/>
              </w:rPr>
            </w:pPr>
            <w:r>
              <w:rPr>
                <w:rFonts w:hint="eastAsia" w:ascii="宋体" w:hAnsi="宋体" w:cs="宋体"/>
                <w:color w:val="auto"/>
                <w:szCs w:val="22"/>
                <w:highlight w:val="none"/>
              </w:rPr>
              <w:t>①</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2B157CE4">
            <w:pPr>
              <w:jc w:val="center"/>
              <w:rPr>
                <w:rFonts w:hint="eastAsia" w:ascii="宋体" w:hAnsi="宋体" w:cs="宋体"/>
                <w:color w:val="auto"/>
                <w:szCs w:val="22"/>
                <w:highlight w:val="none"/>
              </w:rPr>
            </w:pPr>
            <w:r>
              <w:rPr>
                <w:rFonts w:hint="eastAsia" w:ascii="宋体" w:hAnsi="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cs="宋体"/>
                <w:color w:val="auto"/>
                <w:szCs w:val="22"/>
                <w:highlight w:val="none"/>
              </w:rPr>
              <w:t>元</w:t>
            </w:r>
            <w:r>
              <w:rPr>
                <w:rFonts w:hint="eastAsia" w:ascii="宋体" w:hAnsi="宋体" w:cs="宋体"/>
                <w:color w:val="auto"/>
                <w:szCs w:val="22"/>
                <w:highlight w:val="none"/>
                <w:lang w:eastAsia="zh-CN"/>
              </w:rPr>
              <w:t>）</w:t>
            </w:r>
          </w:p>
          <w:p w14:paraId="62802585">
            <w:pPr>
              <w:jc w:val="center"/>
              <w:rPr>
                <w:rFonts w:hint="eastAsia" w:ascii="宋体" w:hAnsi="宋体" w:cs="宋体"/>
                <w:color w:val="auto"/>
                <w:szCs w:val="22"/>
                <w:highlight w:val="none"/>
              </w:rPr>
            </w:pPr>
            <w:r>
              <w:rPr>
                <w:rFonts w:hint="eastAsia" w:ascii="宋体" w:hAnsi="宋体" w:cs="宋体"/>
                <w:color w:val="auto"/>
                <w:szCs w:val="22"/>
                <w:highlight w:val="none"/>
              </w:rPr>
              <w:t>②</w:t>
            </w:r>
          </w:p>
        </w:tc>
        <w:tc>
          <w:tcPr>
            <w:tcW w:w="1863" w:type="dxa"/>
            <w:tcBorders>
              <w:top w:val="single" w:color="auto" w:sz="4" w:space="0"/>
              <w:left w:val="single" w:color="auto" w:sz="4" w:space="0"/>
              <w:bottom w:val="single" w:color="auto" w:sz="4" w:space="0"/>
              <w:right w:val="single" w:color="auto" w:sz="4" w:space="0"/>
            </w:tcBorders>
            <w:noWrap w:val="0"/>
            <w:vAlign w:val="center"/>
          </w:tcPr>
          <w:p w14:paraId="4FEE1416">
            <w:pPr>
              <w:jc w:val="center"/>
              <w:rPr>
                <w:rFonts w:hint="eastAsia" w:ascii="宋体" w:hAnsi="宋体" w:cs="宋体"/>
                <w:color w:val="auto"/>
                <w:szCs w:val="22"/>
                <w:highlight w:val="none"/>
              </w:rPr>
            </w:pPr>
            <w:r>
              <w:rPr>
                <w:rFonts w:hint="eastAsia" w:ascii="宋体" w:hAnsi="宋体" w:cs="宋体"/>
                <w:color w:val="auto"/>
                <w:szCs w:val="22"/>
                <w:highlight w:val="none"/>
              </w:rPr>
              <w:t>单项合</w:t>
            </w:r>
            <w:r>
              <w:rPr>
                <w:rFonts w:hint="eastAsia" w:ascii="宋体" w:hAnsi="宋体" w:cs="宋体"/>
                <w:color w:val="auto"/>
                <w:szCs w:val="22"/>
                <w:highlight w:val="none"/>
                <w:lang w:eastAsia="zh-CN"/>
              </w:rPr>
              <w:t>计</w:t>
            </w:r>
            <w:r>
              <w:rPr>
                <w:rFonts w:hint="eastAsia" w:ascii="宋体" w:hAnsi="宋体" w:cs="宋体"/>
                <w:color w:val="auto"/>
                <w:szCs w:val="22"/>
                <w:highlight w:val="none"/>
              </w:rPr>
              <w:t>（元）</w:t>
            </w:r>
          </w:p>
          <w:p w14:paraId="3FC9A5FC">
            <w:pPr>
              <w:jc w:val="center"/>
              <w:rPr>
                <w:rFonts w:hint="eastAsia" w:ascii="宋体" w:hAnsi="宋体" w:cs="宋体"/>
                <w:color w:val="auto"/>
                <w:szCs w:val="22"/>
                <w:highlight w:val="none"/>
              </w:rPr>
            </w:pPr>
            <w:r>
              <w:rPr>
                <w:rFonts w:hint="eastAsia" w:ascii="宋体" w:hAnsi="宋体" w:cs="宋体"/>
                <w:color w:val="auto"/>
                <w:szCs w:val="22"/>
                <w:highlight w:val="none"/>
              </w:rPr>
              <w:t>③＝①×②</w:t>
            </w:r>
          </w:p>
        </w:tc>
        <w:tc>
          <w:tcPr>
            <w:tcW w:w="1107" w:type="dxa"/>
            <w:tcBorders>
              <w:top w:val="single" w:color="auto" w:sz="4" w:space="0"/>
              <w:left w:val="single" w:color="auto" w:sz="4" w:space="0"/>
              <w:bottom w:val="single" w:color="auto" w:sz="4" w:space="0"/>
              <w:right w:val="single" w:color="auto" w:sz="4" w:space="0"/>
            </w:tcBorders>
            <w:noWrap w:val="0"/>
            <w:vAlign w:val="center"/>
          </w:tcPr>
          <w:p w14:paraId="3B5CC60D">
            <w:pPr>
              <w:ind w:firstLine="0" w:firstLineChars="0"/>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制造商及产地</w:t>
            </w:r>
          </w:p>
        </w:tc>
      </w:tr>
      <w:tr w14:paraId="5943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95CCDFA">
            <w:pPr>
              <w:jc w:val="center"/>
              <w:rPr>
                <w:rFonts w:hint="eastAsia" w:ascii="宋体" w:hAnsi="宋体" w:cs="宋体"/>
                <w:color w:val="auto"/>
                <w:szCs w:val="22"/>
                <w:highlight w:val="none"/>
              </w:rPr>
            </w:pPr>
            <w:r>
              <w:rPr>
                <w:rFonts w:hint="eastAsia" w:ascii="宋体" w:hAnsi="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8D02CBC">
            <w:pPr>
              <w:rPr>
                <w:rFonts w:hint="eastAsia" w:ascii="宋体" w:hAnsi="宋体" w:cs="宋体"/>
                <w:color w:val="auto"/>
                <w:szCs w:val="22"/>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14:paraId="71E39112">
            <w:pPr>
              <w:rPr>
                <w:rFonts w:hint="eastAsia" w:ascii="宋体" w:hAnsi="宋体" w:cs="宋体"/>
                <w:color w:val="auto"/>
                <w:szCs w:val="22"/>
                <w:highlight w:val="none"/>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6C9989F5">
            <w:pPr>
              <w:rPr>
                <w:rFonts w:hint="eastAsia" w:ascii="宋体" w:hAnsi="宋体" w:cs="宋体"/>
                <w:color w:val="auto"/>
                <w:szCs w:val="22"/>
                <w:highlight w:val="none"/>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10BA6A30">
            <w:pPr>
              <w:rPr>
                <w:rFonts w:hint="eastAsia" w:ascii="宋体" w:hAnsi="宋体" w:cs="宋体"/>
                <w:color w:val="auto"/>
                <w:szCs w:val="22"/>
                <w:highlight w:val="none"/>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7F426A36">
            <w:pPr>
              <w:rPr>
                <w:rFonts w:hint="eastAsia" w:ascii="宋体" w:hAnsi="宋体" w:cs="宋体"/>
                <w:color w:val="auto"/>
                <w:szCs w:val="22"/>
                <w:highlight w:val="none"/>
              </w:rPr>
            </w:pPr>
          </w:p>
        </w:tc>
        <w:tc>
          <w:tcPr>
            <w:tcW w:w="1863" w:type="dxa"/>
            <w:tcBorders>
              <w:top w:val="single" w:color="auto" w:sz="4" w:space="0"/>
              <w:left w:val="single" w:color="auto" w:sz="4" w:space="0"/>
              <w:bottom w:val="single" w:color="auto" w:sz="4" w:space="0"/>
              <w:right w:val="single" w:color="auto" w:sz="4" w:space="0"/>
            </w:tcBorders>
            <w:noWrap w:val="0"/>
            <w:vAlign w:val="center"/>
          </w:tcPr>
          <w:p w14:paraId="47576F4A">
            <w:pPr>
              <w:rPr>
                <w:rFonts w:hint="eastAsia" w:ascii="宋体" w:hAnsi="宋体" w:cs="宋体"/>
                <w:color w:val="auto"/>
                <w:szCs w:val="22"/>
                <w:highlight w:val="none"/>
              </w:rPr>
            </w:pPr>
          </w:p>
        </w:tc>
        <w:tc>
          <w:tcPr>
            <w:tcW w:w="1107" w:type="dxa"/>
            <w:tcBorders>
              <w:top w:val="single" w:color="auto" w:sz="4" w:space="0"/>
              <w:left w:val="single" w:color="auto" w:sz="4" w:space="0"/>
              <w:bottom w:val="single" w:color="auto" w:sz="4" w:space="0"/>
              <w:right w:val="single" w:color="auto" w:sz="4" w:space="0"/>
            </w:tcBorders>
            <w:noWrap w:val="0"/>
            <w:vAlign w:val="top"/>
          </w:tcPr>
          <w:p w14:paraId="5F071D24">
            <w:pPr>
              <w:rPr>
                <w:rFonts w:hint="eastAsia" w:ascii="宋体" w:hAnsi="宋体" w:cs="宋体"/>
                <w:color w:val="auto"/>
                <w:szCs w:val="22"/>
                <w:highlight w:val="none"/>
              </w:rPr>
            </w:pPr>
          </w:p>
        </w:tc>
      </w:tr>
      <w:tr w14:paraId="19BF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FA1A3C0">
            <w:pPr>
              <w:jc w:val="center"/>
              <w:rPr>
                <w:rFonts w:hint="eastAsia" w:ascii="宋体" w:hAnsi="宋体" w:cs="宋体"/>
                <w:color w:val="auto"/>
                <w:szCs w:val="22"/>
                <w:highlight w:val="none"/>
              </w:rPr>
            </w:pPr>
            <w:r>
              <w:rPr>
                <w:rFonts w:hint="eastAsia" w:ascii="宋体" w:hAnsi="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CB19697">
            <w:pPr>
              <w:rPr>
                <w:rFonts w:hint="eastAsia" w:ascii="宋体" w:hAnsi="宋体" w:cs="宋体"/>
                <w:color w:val="auto"/>
                <w:szCs w:val="22"/>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14:paraId="2E26C436">
            <w:pPr>
              <w:rPr>
                <w:rFonts w:hint="eastAsia" w:ascii="宋体" w:hAnsi="宋体" w:cs="宋体"/>
                <w:color w:val="auto"/>
                <w:szCs w:val="22"/>
                <w:highlight w:val="none"/>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27A7398E">
            <w:pPr>
              <w:rPr>
                <w:rFonts w:hint="eastAsia" w:ascii="宋体" w:hAnsi="宋体" w:cs="宋体"/>
                <w:color w:val="auto"/>
                <w:szCs w:val="22"/>
                <w:highlight w:val="none"/>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73E0C0A8">
            <w:pPr>
              <w:rPr>
                <w:rFonts w:hint="eastAsia" w:ascii="宋体" w:hAnsi="宋体" w:cs="宋体"/>
                <w:color w:val="auto"/>
                <w:szCs w:val="22"/>
                <w:highlight w:val="none"/>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008E543E">
            <w:pPr>
              <w:rPr>
                <w:rFonts w:hint="eastAsia" w:ascii="宋体" w:hAnsi="宋体" w:cs="宋体"/>
                <w:color w:val="auto"/>
                <w:szCs w:val="22"/>
                <w:highlight w:val="none"/>
              </w:rPr>
            </w:pPr>
          </w:p>
        </w:tc>
        <w:tc>
          <w:tcPr>
            <w:tcW w:w="1863" w:type="dxa"/>
            <w:tcBorders>
              <w:top w:val="single" w:color="auto" w:sz="4" w:space="0"/>
              <w:left w:val="single" w:color="auto" w:sz="4" w:space="0"/>
              <w:bottom w:val="single" w:color="auto" w:sz="4" w:space="0"/>
              <w:right w:val="single" w:color="auto" w:sz="4" w:space="0"/>
            </w:tcBorders>
            <w:noWrap w:val="0"/>
            <w:vAlign w:val="center"/>
          </w:tcPr>
          <w:p w14:paraId="0E45420F">
            <w:pPr>
              <w:rPr>
                <w:rFonts w:hint="eastAsia" w:ascii="宋体" w:hAnsi="宋体" w:cs="宋体"/>
                <w:color w:val="auto"/>
                <w:szCs w:val="22"/>
                <w:highlight w:val="none"/>
              </w:rPr>
            </w:pPr>
          </w:p>
        </w:tc>
        <w:tc>
          <w:tcPr>
            <w:tcW w:w="1107" w:type="dxa"/>
            <w:tcBorders>
              <w:top w:val="single" w:color="auto" w:sz="4" w:space="0"/>
              <w:left w:val="single" w:color="auto" w:sz="4" w:space="0"/>
              <w:bottom w:val="single" w:color="auto" w:sz="4" w:space="0"/>
              <w:right w:val="single" w:color="auto" w:sz="4" w:space="0"/>
            </w:tcBorders>
            <w:noWrap w:val="0"/>
            <w:vAlign w:val="top"/>
          </w:tcPr>
          <w:p w14:paraId="07CF0E37">
            <w:pPr>
              <w:rPr>
                <w:rFonts w:hint="eastAsia" w:ascii="宋体" w:hAnsi="宋体" w:cs="宋体"/>
                <w:color w:val="auto"/>
                <w:szCs w:val="22"/>
                <w:highlight w:val="none"/>
              </w:rPr>
            </w:pPr>
          </w:p>
        </w:tc>
      </w:tr>
      <w:tr w14:paraId="1C76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8EA648C">
            <w:pPr>
              <w:jc w:val="center"/>
              <w:rPr>
                <w:rFonts w:hint="eastAsia" w:ascii="宋体" w:hAnsi="宋体" w:cs="宋体"/>
                <w:color w:val="auto"/>
                <w:szCs w:val="22"/>
                <w:highlight w:val="none"/>
              </w:rPr>
            </w:pPr>
            <w:r>
              <w:rPr>
                <w:rFonts w:hint="eastAsia" w:ascii="宋体" w:hAnsi="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8079027">
            <w:pPr>
              <w:rPr>
                <w:rFonts w:hint="eastAsia" w:ascii="宋体" w:hAnsi="宋体" w:cs="宋体"/>
                <w:color w:val="auto"/>
                <w:szCs w:val="22"/>
                <w:highlight w:val="none"/>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14:paraId="176B2891">
            <w:pPr>
              <w:rPr>
                <w:rFonts w:hint="eastAsia" w:ascii="宋体" w:hAnsi="宋体" w:cs="宋体"/>
                <w:color w:val="auto"/>
                <w:szCs w:val="22"/>
                <w:highlight w:val="none"/>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14:paraId="261C29FE">
            <w:pPr>
              <w:rPr>
                <w:rFonts w:hint="eastAsia" w:ascii="宋体" w:hAnsi="宋体" w:cs="宋体"/>
                <w:color w:val="auto"/>
                <w:szCs w:val="22"/>
                <w:highlight w:val="none"/>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277FD1F2">
            <w:pPr>
              <w:rPr>
                <w:rFonts w:hint="eastAsia" w:ascii="宋体" w:hAnsi="宋体" w:cs="宋体"/>
                <w:color w:val="auto"/>
                <w:szCs w:val="22"/>
                <w:highlight w:val="none"/>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08CD73FA">
            <w:pPr>
              <w:rPr>
                <w:rFonts w:hint="eastAsia" w:ascii="宋体" w:hAnsi="宋体" w:cs="宋体"/>
                <w:color w:val="auto"/>
                <w:szCs w:val="22"/>
                <w:highlight w:val="none"/>
              </w:rPr>
            </w:pPr>
          </w:p>
        </w:tc>
        <w:tc>
          <w:tcPr>
            <w:tcW w:w="1863" w:type="dxa"/>
            <w:tcBorders>
              <w:top w:val="single" w:color="auto" w:sz="4" w:space="0"/>
              <w:left w:val="single" w:color="auto" w:sz="4" w:space="0"/>
              <w:bottom w:val="single" w:color="auto" w:sz="4" w:space="0"/>
              <w:right w:val="single" w:color="auto" w:sz="4" w:space="0"/>
            </w:tcBorders>
            <w:noWrap w:val="0"/>
            <w:vAlign w:val="center"/>
          </w:tcPr>
          <w:p w14:paraId="7B05A38A">
            <w:pPr>
              <w:rPr>
                <w:rFonts w:hint="eastAsia" w:ascii="宋体" w:hAnsi="宋体" w:cs="宋体"/>
                <w:color w:val="auto"/>
                <w:szCs w:val="22"/>
                <w:highlight w:val="none"/>
              </w:rPr>
            </w:pPr>
          </w:p>
        </w:tc>
        <w:tc>
          <w:tcPr>
            <w:tcW w:w="1107" w:type="dxa"/>
            <w:tcBorders>
              <w:top w:val="single" w:color="auto" w:sz="4" w:space="0"/>
              <w:left w:val="single" w:color="auto" w:sz="4" w:space="0"/>
              <w:bottom w:val="single" w:color="auto" w:sz="4" w:space="0"/>
              <w:right w:val="single" w:color="auto" w:sz="4" w:space="0"/>
            </w:tcBorders>
            <w:noWrap w:val="0"/>
            <w:vAlign w:val="top"/>
          </w:tcPr>
          <w:p w14:paraId="18DAE6B1">
            <w:pPr>
              <w:rPr>
                <w:rFonts w:hint="eastAsia" w:ascii="宋体" w:hAnsi="宋体" w:cs="宋体"/>
                <w:color w:val="auto"/>
                <w:szCs w:val="22"/>
                <w:highlight w:val="none"/>
              </w:rPr>
            </w:pPr>
          </w:p>
        </w:tc>
      </w:tr>
      <w:tr w14:paraId="7D64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14:paraId="3C28C313">
            <w:pPr>
              <w:ind w:firstLine="0" w:firstLineChars="0"/>
              <w:jc w:val="both"/>
              <w:rPr>
                <w:rFonts w:hint="eastAsia" w:ascii="宋体" w:hAnsi="宋体" w:cs="宋体"/>
                <w:color w:val="auto"/>
                <w:szCs w:val="22"/>
                <w:highlight w:val="none"/>
              </w:rPr>
            </w:pPr>
            <w:r>
              <w:rPr>
                <w:rFonts w:hint="eastAsia" w:hAnsi="宋体" w:cs="宋体"/>
                <w:color w:val="auto"/>
                <w:highlight w:val="none"/>
                <w:lang w:eastAsia="zh-CN"/>
              </w:rPr>
              <w:t>投标总</w:t>
            </w:r>
            <w:r>
              <w:rPr>
                <w:rFonts w:hint="eastAsia" w:ascii="宋体" w:hAnsi="宋体" w:cs="宋体"/>
                <w:color w:val="auto"/>
                <w:szCs w:val="22"/>
                <w:highlight w:val="none"/>
              </w:rPr>
              <w:t xml:space="preserve">报价（包含税费等所有费用）：（大写）人民币 </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w:t>
            </w:r>
            <w:r>
              <w:rPr>
                <w:rFonts w:hint="eastAsia" w:ascii="宋体" w:hAnsi="宋体" w:cs="宋体"/>
                <w:color w:val="auto"/>
                <w:szCs w:val="22"/>
                <w:highlight w:val="none"/>
                <w:lang w:eastAsia="zh-CN"/>
              </w:rPr>
              <w:t>小写</w:t>
            </w:r>
            <w:r>
              <w:rPr>
                <w:rFonts w:hint="eastAsia" w:ascii="宋体" w:hAnsi="宋体" w:cs="宋体"/>
                <w:color w:val="auto"/>
                <w:szCs w:val="22"/>
                <w:highlight w:val="none"/>
              </w:rPr>
              <w:t>）</w:t>
            </w:r>
            <w:r>
              <w:rPr>
                <w:rFonts w:hint="eastAsia" w:ascii="宋体" w:hAnsi="宋体" w:cs="宋体"/>
                <w:color w:val="auto"/>
                <w:szCs w:val="22"/>
                <w:highlight w:val="none"/>
                <w:lang w:eastAsia="zh-CN"/>
              </w:rPr>
              <w:t>¥</w:t>
            </w:r>
            <w:r>
              <w:rPr>
                <w:rFonts w:hint="eastAsia" w:ascii="宋体" w:hAnsi="宋体" w:cs="宋体"/>
                <w:color w:val="auto"/>
                <w:szCs w:val="22"/>
                <w:highlight w:val="none"/>
              </w:rPr>
              <w:t xml:space="preserve"> </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u w:val="single"/>
                <w:lang w:val="en-US" w:eastAsia="zh-CN"/>
              </w:rPr>
              <w:t xml:space="preserve">   </w:t>
            </w:r>
            <w:r>
              <w:rPr>
                <w:rFonts w:hint="eastAsia" w:ascii="宋体" w:hAnsi="宋体" w:cs="宋体"/>
                <w:color w:val="auto"/>
                <w:szCs w:val="22"/>
                <w:highlight w:val="none"/>
                <w:u w:val="single"/>
              </w:rPr>
              <w:t xml:space="preserve">  </w:t>
            </w:r>
          </w:p>
        </w:tc>
      </w:tr>
      <w:tr w14:paraId="21ED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14:paraId="161CBB06">
            <w:pPr>
              <w:jc w:val="both"/>
              <w:rPr>
                <w:rFonts w:hint="eastAsia" w:ascii="宋体" w:hAnsi="宋体" w:cs="宋体"/>
                <w:color w:val="auto"/>
                <w:szCs w:val="22"/>
                <w:highlight w:val="none"/>
              </w:rPr>
            </w:pPr>
            <w:r>
              <w:rPr>
                <w:rFonts w:hint="eastAsia" w:ascii="宋体" w:hAnsi="宋体" w:cs="宋体"/>
                <w:color w:val="auto"/>
                <w:szCs w:val="22"/>
                <w:highlight w:val="none"/>
                <w:lang w:eastAsia="zh-CN"/>
              </w:rPr>
              <w:t>交付时间：</w:t>
            </w:r>
          </w:p>
        </w:tc>
      </w:tr>
      <w:tr w14:paraId="4FD98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14:paraId="496FA86D">
            <w:pPr>
              <w:jc w:val="both"/>
              <w:rPr>
                <w:rFonts w:hint="eastAsia" w:ascii="宋体" w:hAnsi="宋体" w:cs="宋体"/>
                <w:color w:val="auto"/>
                <w:szCs w:val="22"/>
                <w:highlight w:val="none"/>
                <w:lang w:eastAsia="zh-CN"/>
              </w:rPr>
            </w:pPr>
            <w:r>
              <w:rPr>
                <w:rFonts w:hint="eastAsia" w:ascii="宋体" w:hAnsi="宋体" w:eastAsia="宋体" w:cs="宋体"/>
                <w:color w:val="auto"/>
                <w:highlight w:val="none"/>
                <w:lang w:val="en-US" w:eastAsia="zh-CN"/>
              </w:rPr>
              <w:t>备注：根据</w:t>
            </w:r>
            <w:r>
              <w:rPr>
                <w:rFonts w:hint="eastAsia" w:ascii="宋体" w:hAnsi="宋体" w:eastAsia="宋体" w:cs="宋体"/>
                <w:color w:val="auto"/>
                <w:szCs w:val="21"/>
                <w:highlight w:val="none"/>
                <w:lang w:val="en-US" w:eastAsia="zh-CN"/>
              </w:rPr>
              <w:t>《国务院办公厅关于在政府采购中实施本国产品标准及相关政策的通知》（国办发</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34</w:t>
            </w:r>
            <w:r>
              <w:rPr>
                <w:rFonts w:hint="eastAsia" w:ascii="宋体" w:hAnsi="宋体" w:eastAsia="宋体" w:cs="宋体"/>
                <w:color w:val="auto"/>
                <w:szCs w:val="21"/>
                <w:highlight w:val="none"/>
              </w:rPr>
              <w:t>号）</w:t>
            </w:r>
            <w:r>
              <w:rPr>
                <w:rFonts w:hint="eastAsia" w:ascii="宋体" w:hAnsi="宋体" w:eastAsia="宋体" w:cs="宋体"/>
                <w:color w:val="auto"/>
                <w:highlight w:val="none"/>
                <w:lang w:val="en-US" w:eastAsia="zh-CN"/>
              </w:rPr>
              <w:t>的规定，我方提供的符合</w:t>
            </w:r>
            <w:r>
              <w:rPr>
                <w:rFonts w:hint="eastAsia" w:ascii="宋体" w:hAnsi="宋体" w:eastAsia="宋体" w:cs="宋体"/>
                <w:color w:val="auto"/>
                <w:highlight w:val="none"/>
              </w:rPr>
              <w:t>本国产品标准的产品成本之和占提供的全部产品成本之和的比例</w:t>
            </w:r>
            <w:r>
              <w:rPr>
                <w:rFonts w:hint="eastAsia" w:ascii="宋体" w:hAnsi="宋体" w:eastAsia="宋体" w:cs="宋体"/>
                <w:color w:val="auto"/>
                <w:highlight w:val="none"/>
                <w:lang w:val="en-US" w:eastAsia="zh-CN"/>
              </w:rPr>
              <w:t>达到</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w:t>
            </w:r>
          </w:p>
        </w:tc>
      </w:tr>
    </w:tbl>
    <w:p w14:paraId="5764883E">
      <w:pPr>
        <w:snapToGrid w:val="0"/>
        <w:spacing w:before="50" w:after="50" w:line="360" w:lineRule="auto"/>
        <w:ind w:firstLine="420" w:firstLineChars="200"/>
        <w:jc w:val="left"/>
        <w:rPr>
          <w:rFonts w:ascii="宋体" w:cs="宋体"/>
          <w:color w:val="auto"/>
          <w:kern w:val="0"/>
          <w:szCs w:val="21"/>
          <w:highlight w:val="none"/>
          <w:lang w:val="zh-CN"/>
        </w:rPr>
      </w:pPr>
      <w:r>
        <w:rPr>
          <w:rFonts w:hint="eastAsia" w:ascii="宋体" w:cs="宋体"/>
          <w:color w:val="auto"/>
          <w:kern w:val="0"/>
          <w:szCs w:val="21"/>
          <w:highlight w:val="none"/>
          <w:lang w:val="zh-CN"/>
        </w:rPr>
        <w:t xml:space="preserve">注： </w:t>
      </w:r>
    </w:p>
    <w:p w14:paraId="1ACE03F5">
      <w:pPr>
        <w:snapToGrid w:val="0"/>
        <w:spacing w:before="50" w:after="50" w:line="360" w:lineRule="auto"/>
        <w:ind w:firstLine="420" w:firstLineChars="200"/>
        <w:jc w:val="left"/>
        <w:rPr>
          <w:rFonts w:hint="eastAsia" w:ascii="宋体" w:cs="宋体"/>
          <w:b/>
          <w:color w:val="auto"/>
          <w:kern w:val="0"/>
          <w:szCs w:val="21"/>
          <w:highlight w:val="none"/>
          <w:lang w:val="zh-CN"/>
        </w:rPr>
      </w:pPr>
      <w:r>
        <w:rPr>
          <w:rFonts w:hint="eastAsia" w:ascii="宋体" w:cs="宋体"/>
          <w:color w:val="auto"/>
          <w:kern w:val="0"/>
          <w:szCs w:val="21"/>
          <w:highlight w:val="none"/>
          <w:lang w:val="zh-CN"/>
        </w:rPr>
        <w:t>1</w:t>
      </w:r>
      <w:r>
        <w:rPr>
          <w:rFonts w:hint="eastAsia" w:ascii="宋体" w:cs="宋体"/>
          <w:color w:val="auto"/>
          <w:kern w:val="0"/>
          <w:szCs w:val="21"/>
          <w:highlight w:val="none"/>
          <w:lang w:val="en-US" w:eastAsia="zh-CN"/>
        </w:rPr>
        <w:t>.</w:t>
      </w:r>
      <w:r>
        <w:rPr>
          <w:rFonts w:hint="eastAsia" w:ascii="宋体" w:cs="宋体"/>
          <w:color w:val="auto"/>
          <w:kern w:val="0"/>
          <w:szCs w:val="21"/>
          <w:highlight w:val="none"/>
          <w:lang w:val="zh-CN"/>
        </w:rPr>
        <w:t>投标人需按本表格式填写，不得自行更改，也不得留空（备注除外），如有多分标，按分标分别提供开标一览表，必须加盖投标人有效公章，</w:t>
      </w:r>
      <w:r>
        <w:rPr>
          <w:rFonts w:hint="eastAsia" w:ascii="宋体" w:cs="宋体"/>
          <w:b/>
          <w:color w:val="auto"/>
          <w:kern w:val="0"/>
          <w:szCs w:val="21"/>
          <w:highlight w:val="none"/>
          <w:lang w:val="zh-CN"/>
        </w:rPr>
        <w:t>否则其投标作无效标处理。</w:t>
      </w:r>
    </w:p>
    <w:p w14:paraId="2AE23228">
      <w:pPr>
        <w:snapToGrid w:val="0"/>
        <w:spacing w:before="50" w:after="50" w:line="360" w:lineRule="auto"/>
        <w:ind w:firstLine="420" w:firstLineChars="200"/>
        <w:jc w:val="left"/>
        <w:rPr>
          <w:rFonts w:hint="eastAsia" w:ascii="宋体" w:cs="宋体"/>
          <w:b/>
          <w:color w:val="auto"/>
          <w:kern w:val="0"/>
          <w:szCs w:val="21"/>
          <w:highlight w:val="none"/>
          <w:lang w:val="zh-CN"/>
        </w:rPr>
      </w:pPr>
      <w:r>
        <w:rPr>
          <w:rFonts w:hint="eastAsia" w:ascii="宋体" w:cs="宋体"/>
          <w:color w:val="auto"/>
          <w:kern w:val="0"/>
          <w:szCs w:val="21"/>
          <w:highlight w:val="none"/>
          <w:lang w:val="zh-CN"/>
        </w:rPr>
        <w:t>2</w:t>
      </w:r>
      <w:r>
        <w:rPr>
          <w:rFonts w:hint="eastAsia" w:ascii="宋体" w:cs="宋体"/>
          <w:color w:val="auto"/>
          <w:kern w:val="0"/>
          <w:szCs w:val="21"/>
          <w:highlight w:val="none"/>
          <w:lang w:val="en-US" w:eastAsia="zh-CN"/>
        </w:rPr>
        <w:t>.</w:t>
      </w:r>
      <w:r>
        <w:rPr>
          <w:rFonts w:hint="eastAsia" w:ascii="宋体" w:cs="宋体"/>
          <w:color w:val="auto"/>
          <w:kern w:val="0"/>
          <w:szCs w:val="21"/>
          <w:highlight w:val="none"/>
          <w:lang w:val="zh-CN"/>
        </w:rPr>
        <w:t>本表内容均不能涂改，</w:t>
      </w:r>
      <w:r>
        <w:rPr>
          <w:rFonts w:hint="eastAsia" w:ascii="宋体" w:cs="宋体"/>
          <w:b/>
          <w:color w:val="auto"/>
          <w:kern w:val="0"/>
          <w:szCs w:val="21"/>
          <w:highlight w:val="none"/>
          <w:lang w:val="zh-CN"/>
        </w:rPr>
        <w:t>否则其投标作无效标处理。</w:t>
      </w:r>
    </w:p>
    <w:p w14:paraId="0ACF082B">
      <w:pPr>
        <w:snapToGrid w:val="0"/>
        <w:spacing w:before="50" w:after="50" w:line="360" w:lineRule="auto"/>
        <w:ind w:firstLine="420" w:firstLineChars="200"/>
        <w:jc w:val="left"/>
        <w:rPr>
          <w:rFonts w:hint="eastAsia" w:ascii="宋体" w:cs="宋体"/>
          <w:b/>
          <w:color w:val="auto"/>
          <w:kern w:val="0"/>
          <w:szCs w:val="21"/>
          <w:highlight w:val="none"/>
          <w:lang w:val="zh-CN"/>
        </w:rPr>
      </w:pPr>
      <w:r>
        <w:rPr>
          <w:rFonts w:hint="eastAsia" w:ascii="宋体" w:cs="宋体"/>
          <w:color w:val="auto"/>
          <w:kern w:val="0"/>
          <w:szCs w:val="21"/>
          <w:highlight w:val="none"/>
          <w:lang w:val="zh-CN"/>
        </w:rPr>
        <w:t>3</w:t>
      </w:r>
      <w:r>
        <w:rPr>
          <w:rFonts w:hint="eastAsia" w:ascii="宋体" w:cs="宋体"/>
          <w:color w:val="auto"/>
          <w:kern w:val="0"/>
          <w:szCs w:val="21"/>
          <w:highlight w:val="none"/>
          <w:lang w:val="en-US" w:eastAsia="zh-CN"/>
        </w:rPr>
        <w:t>.</w:t>
      </w:r>
      <w:r>
        <w:rPr>
          <w:rFonts w:hint="eastAsia" w:ascii="宋体" w:cs="宋体"/>
          <w:color w:val="auto"/>
          <w:kern w:val="0"/>
          <w:szCs w:val="21"/>
          <w:highlight w:val="none"/>
          <w:lang w:val="zh-CN"/>
        </w:rPr>
        <w:t>如为联合体投标，“投标人名称”处必须列明联合体各方名称，并标注联合体牵头人名称，且盖章处须加盖联合体各方公章，</w:t>
      </w:r>
      <w:r>
        <w:rPr>
          <w:rFonts w:hint="eastAsia" w:ascii="宋体" w:cs="宋体"/>
          <w:b/>
          <w:color w:val="auto"/>
          <w:kern w:val="0"/>
          <w:szCs w:val="21"/>
          <w:highlight w:val="none"/>
          <w:lang w:val="zh-CN"/>
        </w:rPr>
        <w:t>否则其投标作无效标处理。</w:t>
      </w:r>
    </w:p>
    <w:p w14:paraId="3EBDB5BE">
      <w:pPr>
        <w:snapToGrid w:val="0"/>
        <w:spacing w:before="50" w:after="50" w:line="360" w:lineRule="auto"/>
        <w:ind w:firstLine="420" w:firstLineChars="200"/>
        <w:jc w:val="left"/>
        <w:rPr>
          <w:rFonts w:hint="eastAsia" w:ascii="宋体" w:cs="宋体"/>
          <w:b/>
          <w:color w:val="auto"/>
          <w:kern w:val="0"/>
          <w:szCs w:val="21"/>
          <w:highlight w:val="none"/>
          <w:lang w:val="zh-CN"/>
        </w:rPr>
      </w:pPr>
      <w:r>
        <w:rPr>
          <w:rFonts w:hint="eastAsia" w:ascii="宋体" w:cs="宋体"/>
          <w:color w:val="auto"/>
          <w:kern w:val="0"/>
          <w:szCs w:val="21"/>
          <w:highlight w:val="none"/>
          <w:lang w:val="zh-CN"/>
        </w:rPr>
        <w:t>4</w:t>
      </w:r>
      <w:r>
        <w:rPr>
          <w:rFonts w:hint="eastAsia" w:ascii="宋体" w:cs="宋体"/>
          <w:color w:val="auto"/>
          <w:kern w:val="0"/>
          <w:szCs w:val="21"/>
          <w:highlight w:val="none"/>
          <w:lang w:val="en-US" w:eastAsia="zh-CN"/>
        </w:rPr>
        <w:t>.</w:t>
      </w:r>
      <w:r>
        <w:rPr>
          <w:rFonts w:hint="eastAsia" w:ascii="宋体" w:hAnsi="宋体" w:eastAsia="宋体" w:cs="宋体"/>
          <w:color w:val="auto"/>
          <w:kern w:val="0"/>
          <w:sz w:val="21"/>
          <w:szCs w:val="21"/>
          <w:highlight w:val="none"/>
          <w:lang w:val="zh-CN"/>
        </w:rPr>
        <w:t>以上表格要求细分项目及报价，在“标的名称”一栏中，填写具体货物，在“规格型号”一栏中，填写具体货物</w:t>
      </w:r>
      <w:r>
        <w:rPr>
          <w:rFonts w:hint="eastAsia" w:ascii="宋体" w:hAnsi="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lang w:val="zh-CN"/>
        </w:rPr>
        <w:t>规格型号</w:t>
      </w:r>
      <w:r>
        <w:rPr>
          <w:rFonts w:hint="eastAsia" w:ascii="宋体" w:hAnsi="宋体" w:cs="宋体"/>
          <w:color w:val="auto"/>
          <w:kern w:val="0"/>
          <w:sz w:val="21"/>
          <w:szCs w:val="21"/>
          <w:highlight w:val="none"/>
          <w:lang w:val="zh-CN"/>
        </w:rPr>
        <w:t>（</w:t>
      </w:r>
      <w:r>
        <w:rPr>
          <w:rFonts w:hint="eastAsia"/>
          <w:color w:val="auto"/>
          <w:highlight w:val="none"/>
          <w:lang w:val="en-US" w:eastAsia="zh-CN"/>
        </w:rPr>
        <w:t>如为定制产品，“规格型号”栏可以填写“定制”</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否则其投标作无效标处理</w:t>
      </w:r>
      <w:r>
        <w:rPr>
          <w:rFonts w:hint="eastAsia" w:ascii="宋体" w:cs="宋体"/>
          <w:b/>
          <w:color w:val="auto"/>
          <w:kern w:val="0"/>
          <w:szCs w:val="21"/>
          <w:highlight w:val="none"/>
          <w:lang w:val="zh-CN"/>
        </w:rPr>
        <w:t>。</w:t>
      </w:r>
    </w:p>
    <w:p w14:paraId="34D3A903">
      <w:pPr>
        <w:snapToGrid w:val="0"/>
        <w:spacing w:before="50" w:after="50" w:line="360" w:lineRule="auto"/>
        <w:ind w:firstLine="420" w:firstLineChars="200"/>
        <w:jc w:val="left"/>
        <w:rPr>
          <w:rFonts w:hint="eastAsia" w:ascii="宋体" w:cs="宋体"/>
          <w:color w:val="auto"/>
          <w:kern w:val="0"/>
          <w:szCs w:val="21"/>
          <w:highlight w:val="none"/>
          <w:lang w:val="zh-CN"/>
        </w:rPr>
      </w:pPr>
      <w:r>
        <w:rPr>
          <w:rFonts w:hint="eastAsia" w:ascii="宋体" w:cs="宋体"/>
          <w:color w:val="auto"/>
          <w:kern w:val="0"/>
          <w:szCs w:val="21"/>
          <w:highlight w:val="none"/>
          <w:lang w:val="zh-CN"/>
        </w:rPr>
        <w:t>5</w:t>
      </w:r>
      <w:r>
        <w:rPr>
          <w:rFonts w:hint="eastAsia" w:ascii="宋体" w:cs="宋体"/>
          <w:color w:val="auto"/>
          <w:kern w:val="0"/>
          <w:szCs w:val="21"/>
          <w:highlight w:val="none"/>
          <w:lang w:val="en-US" w:eastAsia="zh-CN"/>
        </w:rPr>
        <w:t>.</w:t>
      </w:r>
      <w:r>
        <w:rPr>
          <w:rFonts w:hint="eastAsia" w:ascii="宋体" w:hAnsi="宋体" w:eastAsia="宋体" w:cs="宋体"/>
          <w:color w:val="auto"/>
          <w:kern w:val="0"/>
          <w:sz w:val="21"/>
          <w:szCs w:val="21"/>
          <w:highlight w:val="none"/>
          <w:lang w:val="zh-CN"/>
        </w:rPr>
        <w:t>特别提示：采购代理机构将对项目名称和项目编号，中标人名称、地址和中标金额，主要中标标的名称、</w:t>
      </w:r>
      <w:r>
        <w:rPr>
          <w:rFonts w:hint="eastAsia" w:ascii="宋体" w:hAnsi="宋体" w:cs="宋体"/>
          <w:color w:val="auto"/>
          <w:kern w:val="0"/>
          <w:sz w:val="21"/>
          <w:szCs w:val="21"/>
          <w:highlight w:val="none"/>
          <w:lang w:val="en-US" w:eastAsia="zh-CN"/>
        </w:rPr>
        <w:t>品牌（如有）、</w:t>
      </w:r>
      <w:r>
        <w:rPr>
          <w:rFonts w:hint="eastAsia" w:ascii="宋体" w:hAnsi="宋体" w:eastAsia="宋体" w:cs="宋体"/>
          <w:color w:val="auto"/>
          <w:kern w:val="0"/>
          <w:sz w:val="21"/>
          <w:szCs w:val="21"/>
          <w:highlight w:val="none"/>
          <w:lang w:val="zh-CN"/>
        </w:rPr>
        <w:t>规格型号、数量、单价等予以公示</w:t>
      </w:r>
      <w:r>
        <w:rPr>
          <w:rFonts w:hint="eastAsia" w:ascii="宋体" w:cs="宋体"/>
          <w:color w:val="auto"/>
          <w:kern w:val="0"/>
          <w:szCs w:val="21"/>
          <w:highlight w:val="none"/>
          <w:lang w:val="zh-CN"/>
        </w:rPr>
        <w:t>。</w:t>
      </w:r>
    </w:p>
    <w:p w14:paraId="113DC788">
      <w:pPr>
        <w:snapToGrid w:val="0"/>
        <w:spacing w:before="50" w:after="50" w:line="360" w:lineRule="auto"/>
        <w:ind w:firstLine="420" w:firstLineChars="200"/>
        <w:jc w:val="left"/>
        <w:rPr>
          <w:rFonts w:ascii="宋体" w:cs="宋体"/>
          <w:color w:val="auto"/>
          <w:kern w:val="0"/>
          <w:szCs w:val="21"/>
          <w:highlight w:val="none"/>
          <w:lang w:val="zh-CN"/>
        </w:rPr>
      </w:pPr>
      <w:r>
        <w:rPr>
          <w:rFonts w:hint="eastAsia" w:ascii="宋体" w:cs="宋体"/>
          <w:color w:val="auto"/>
          <w:kern w:val="0"/>
          <w:szCs w:val="21"/>
          <w:highlight w:val="none"/>
          <w:lang w:val="zh-CN"/>
        </w:rPr>
        <w:t>6</w:t>
      </w:r>
      <w:r>
        <w:rPr>
          <w:rFonts w:hint="eastAsia" w:ascii="宋体" w:cs="宋体"/>
          <w:color w:val="auto"/>
          <w:kern w:val="0"/>
          <w:szCs w:val="21"/>
          <w:highlight w:val="none"/>
          <w:lang w:val="en-US" w:eastAsia="zh-CN"/>
        </w:rPr>
        <w:t>.</w:t>
      </w:r>
      <w:r>
        <w:rPr>
          <w:rFonts w:hint="eastAsia" w:ascii="宋体" w:cs="宋体"/>
          <w:color w:val="auto"/>
          <w:kern w:val="0"/>
          <w:szCs w:val="21"/>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07ABD589">
      <w:pPr>
        <w:snapToGrid w:val="0"/>
        <w:spacing w:line="360" w:lineRule="auto"/>
        <w:ind w:firstLine="5760" w:firstLineChars="2400"/>
        <w:rPr>
          <w:rFonts w:ascii="宋体" w:cs="宋体"/>
          <w:color w:val="auto"/>
          <w:kern w:val="0"/>
          <w:sz w:val="24"/>
          <w:highlight w:val="none"/>
        </w:rPr>
      </w:pPr>
      <w:r>
        <w:rPr>
          <w:rFonts w:hint="eastAsia" w:ascii="宋体" w:cs="宋体"/>
          <w:color w:val="auto"/>
          <w:kern w:val="0"/>
          <w:sz w:val="24"/>
          <w:highlight w:val="none"/>
          <w:lang w:val="zh-CN"/>
        </w:rPr>
        <w:t>投标人名称（盖公章）：</w:t>
      </w:r>
    </w:p>
    <w:p w14:paraId="2F60CB8E">
      <w:pPr>
        <w:snapToGrid w:val="0"/>
        <w:spacing w:line="360" w:lineRule="auto"/>
        <w:ind w:firstLine="5880" w:firstLineChars="2450"/>
        <w:rPr>
          <w:rFonts w:ascii="宋体" w:cs="宋体"/>
          <w:color w:val="auto"/>
          <w:kern w:val="0"/>
          <w:sz w:val="24"/>
          <w:highlight w:val="none"/>
          <w:lang w:val="zh-CN"/>
        </w:rPr>
      </w:pPr>
      <w:r>
        <w:rPr>
          <w:rFonts w:hint="eastAsia" w:ascii="宋体" w:cs="宋体"/>
          <w:color w:val="auto"/>
          <w:kern w:val="0"/>
          <w:sz w:val="24"/>
          <w:highlight w:val="none"/>
          <w:lang w:val="zh-CN"/>
        </w:rPr>
        <w:t>日期</w:t>
      </w:r>
      <w:r>
        <w:rPr>
          <w:rFonts w:hint="eastAsia" w:ascii="宋体" w:cs="宋体"/>
          <w:color w:val="auto"/>
          <w:kern w:val="0"/>
          <w:sz w:val="24"/>
          <w:highlight w:val="none"/>
        </w:rPr>
        <w:t xml:space="preserve">：  年  </w:t>
      </w:r>
      <w:r>
        <w:rPr>
          <w:rFonts w:hint="eastAsia" w:ascii="宋体" w:cs="宋体"/>
          <w:color w:val="auto"/>
          <w:kern w:val="0"/>
          <w:sz w:val="24"/>
          <w:highlight w:val="none"/>
          <w:lang w:val="zh-CN"/>
        </w:rPr>
        <w:t>月</w:t>
      </w:r>
      <w:r>
        <w:rPr>
          <w:rFonts w:hint="eastAsia" w:ascii="宋体" w:cs="宋体"/>
          <w:color w:val="auto"/>
          <w:kern w:val="0"/>
          <w:sz w:val="24"/>
          <w:highlight w:val="none"/>
        </w:rPr>
        <w:t xml:space="preserve">   </w:t>
      </w:r>
      <w:r>
        <w:rPr>
          <w:rFonts w:hint="eastAsia" w:ascii="宋体" w:cs="宋体"/>
          <w:color w:val="auto"/>
          <w:kern w:val="0"/>
          <w:sz w:val="24"/>
          <w:highlight w:val="none"/>
          <w:lang w:val="zh-CN"/>
        </w:rPr>
        <w:t>日</w:t>
      </w:r>
    </w:p>
    <w:p w14:paraId="35A64C8D">
      <w:pPr>
        <w:widowControl/>
        <w:jc w:val="left"/>
        <w:rPr>
          <w:rFonts w:ascii="宋体" w:cs="宋体"/>
          <w:color w:val="auto"/>
          <w:sz w:val="30"/>
          <w:szCs w:val="20"/>
          <w:highlight w:val="none"/>
        </w:rPr>
        <w:sectPr>
          <w:pgSz w:w="11906" w:h="16838"/>
          <w:pgMar w:top="1134" w:right="1134" w:bottom="1134" w:left="1134" w:header="720" w:footer="720" w:gutter="0"/>
          <w:cols w:space="720" w:num="1"/>
          <w:docGrid w:type="lines" w:linePitch="331" w:charSpace="0"/>
        </w:sectPr>
      </w:pPr>
    </w:p>
    <w:p w14:paraId="3AD3975B">
      <w:pPr>
        <w:snapToGrid w:val="0"/>
        <w:spacing w:before="165" w:beforeLines="50" w:after="50"/>
        <w:jc w:val="center"/>
        <w:outlineLvl w:val="1"/>
        <w:rPr>
          <w:rFonts w:ascii="宋体" w:cs="宋体"/>
          <w:b/>
          <w:bCs/>
          <w:color w:val="auto"/>
          <w:sz w:val="28"/>
          <w:szCs w:val="28"/>
          <w:highlight w:val="none"/>
        </w:rPr>
      </w:pPr>
      <w:bookmarkStart w:id="293" w:name="_Toc19686840"/>
      <w:bookmarkStart w:id="294" w:name="_Toc26722"/>
      <w:bookmarkStart w:id="295" w:name="_Toc19036"/>
      <w:bookmarkStart w:id="296" w:name="_Toc12749"/>
      <w:bookmarkStart w:id="297" w:name="_Toc24690"/>
      <w:bookmarkStart w:id="298" w:name="_Toc8131"/>
      <w:r>
        <w:rPr>
          <w:rFonts w:hint="eastAsia" w:ascii="宋体" w:cs="宋体"/>
          <w:b/>
          <w:bCs/>
          <w:color w:val="auto"/>
          <w:sz w:val="28"/>
          <w:szCs w:val="28"/>
          <w:highlight w:val="none"/>
        </w:rPr>
        <w:t>第</w:t>
      </w:r>
      <w:r>
        <w:rPr>
          <w:rFonts w:hint="eastAsia" w:ascii="宋体" w:cs="宋体"/>
          <w:b/>
          <w:bCs/>
          <w:color w:val="auto"/>
          <w:sz w:val="28"/>
          <w:szCs w:val="28"/>
          <w:highlight w:val="none"/>
          <w:lang w:val="en-US" w:eastAsia="zh-CN"/>
        </w:rPr>
        <w:t>四</w:t>
      </w:r>
      <w:r>
        <w:rPr>
          <w:rFonts w:hint="eastAsia" w:ascii="宋体" w:cs="宋体"/>
          <w:b/>
          <w:bCs/>
          <w:color w:val="auto"/>
          <w:sz w:val="28"/>
          <w:szCs w:val="28"/>
          <w:highlight w:val="none"/>
        </w:rPr>
        <w:t>节 其他文书、文件格式</w:t>
      </w:r>
      <w:bookmarkEnd w:id="293"/>
      <w:bookmarkEnd w:id="294"/>
      <w:bookmarkEnd w:id="295"/>
      <w:bookmarkEnd w:id="296"/>
      <w:bookmarkEnd w:id="297"/>
      <w:bookmarkEnd w:id="298"/>
    </w:p>
    <w:p w14:paraId="5207FF95">
      <w:pPr>
        <w:pStyle w:val="14"/>
        <w:jc w:val="left"/>
        <w:rPr>
          <w:rFonts w:cs="宋体"/>
          <w:b/>
          <w:color w:val="auto"/>
          <w:sz w:val="28"/>
          <w:szCs w:val="28"/>
          <w:highlight w:val="none"/>
        </w:rPr>
      </w:pPr>
      <w:r>
        <w:rPr>
          <w:rFonts w:hint="eastAsia" w:cs="宋体"/>
          <w:b/>
          <w:color w:val="auto"/>
          <w:sz w:val="28"/>
          <w:szCs w:val="28"/>
          <w:highlight w:val="none"/>
        </w:rPr>
        <w:t>1.中小企业声明函的格式：</w:t>
      </w:r>
    </w:p>
    <w:p w14:paraId="1FA7B137">
      <w:pPr>
        <w:pStyle w:val="14"/>
        <w:jc w:val="center"/>
        <w:rPr>
          <w:rFonts w:ascii="Times New Roman"/>
          <w:b/>
          <w:color w:val="auto"/>
          <w:sz w:val="28"/>
          <w:szCs w:val="28"/>
          <w:highlight w:val="none"/>
        </w:rPr>
      </w:pPr>
      <w:r>
        <w:rPr>
          <w:rFonts w:hint="eastAsia" w:ascii="Times New Roman"/>
          <w:b/>
          <w:color w:val="auto"/>
          <w:sz w:val="28"/>
          <w:szCs w:val="28"/>
          <w:highlight w:val="none"/>
        </w:rPr>
        <w:t>中小企业声明函</w:t>
      </w:r>
    </w:p>
    <w:p w14:paraId="6857E27B">
      <w:pPr>
        <w:pStyle w:val="11"/>
        <w:spacing w:line="360" w:lineRule="exact"/>
        <w:ind w:firstLine="404" w:firstLineChars="200"/>
        <w:rPr>
          <w:rFonts w:cs="宋体"/>
          <w:color w:val="auto"/>
          <w:sz w:val="21"/>
          <w:szCs w:val="21"/>
          <w:highlight w:val="none"/>
        </w:rPr>
      </w:pPr>
    </w:p>
    <w:p w14:paraId="2BB72B73">
      <w:pPr>
        <w:pStyle w:val="10"/>
        <w:spacing w:line="360" w:lineRule="exact"/>
        <w:ind w:left="-426" w:leftChars="-203" w:right="142" w:firstLine="480" w:firstLineChars="200"/>
        <w:contextualSpacing/>
        <w:rPr>
          <w:rFonts w:ascii="宋体" w:cs="宋体"/>
          <w:color w:val="auto"/>
          <w:kern w:val="24"/>
          <w:sz w:val="24"/>
          <w:highlight w:val="none"/>
        </w:rPr>
      </w:pPr>
      <w:r>
        <w:rPr>
          <w:rFonts w:hint="eastAsia" w:ascii="宋体" w:cs="宋体"/>
          <w:color w:val="auto"/>
          <w:kern w:val="24"/>
          <w:sz w:val="24"/>
          <w:highlight w:val="none"/>
        </w:rPr>
        <w:t>本公司（联合体）郑重声明，根据《政府采购促进中小企业发展管理办法》（财库﹝2020﹞46号）的规定，本公司（联合体）参加</w:t>
      </w:r>
      <w:r>
        <w:rPr>
          <w:rFonts w:hint="eastAsia" w:ascii="宋体" w:cs="宋体"/>
          <w:i/>
          <w:iCs/>
          <w:color w:val="auto"/>
          <w:kern w:val="24"/>
          <w:sz w:val="24"/>
          <w:highlight w:val="none"/>
          <w:u w:val="single"/>
        </w:rPr>
        <w:t>（单位名称）</w:t>
      </w:r>
      <w:r>
        <w:rPr>
          <w:rFonts w:hint="eastAsia" w:ascii="宋体" w:cs="宋体"/>
          <w:color w:val="auto"/>
          <w:kern w:val="24"/>
          <w:sz w:val="24"/>
          <w:highlight w:val="none"/>
        </w:rPr>
        <w:t>的</w:t>
      </w:r>
      <w:r>
        <w:rPr>
          <w:rFonts w:hint="eastAsia" w:ascii="宋体" w:cs="宋体"/>
          <w:i/>
          <w:iCs/>
          <w:color w:val="auto"/>
          <w:kern w:val="24"/>
          <w:sz w:val="24"/>
          <w:highlight w:val="none"/>
          <w:u w:val="single"/>
        </w:rPr>
        <w:t>（项目名称）</w:t>
      </w:r>
      <w:r>
        <w:rPr>
          <w:rFonts w:hint="eastAsia" w:ascii="宋体" w:cs="宋体"/>
          <w:color w:val="auto"/>
          <w:kern w:val="24"/>
          <w:sz w:val="24"/>
          <w:highlight w:val="none"/>
        </w:rPr>
        <w:t>采购活动，提供的货物全部由符合政策要求的中小企业制造。相关企业（含联合体中的中小企业、签订分包意向协议的中小企业）的具体情况如下：</w:t>
      </w:r>
    </w:p>
    <w:p w14:paraId="35A4A313">
      <w:pPr>
        <w:tabs>
          <w:tab w:val="left" w:pos="1384"/>
          <w:tab w:val="left" w:pos="4562"/>
          <w:tab w:val="left" w:pos="6803"/>
        </w:tabs>
        <w:spacing w:line="360" w:lineRule="exact"/>
        <w:ind w:left="-426" w:right="-58" w:firstLine="655"/>
        <w:contextualSpacing/>
        <w:rPr>
          <w:rFonts w:ascii="宋体" w:cs="宋体"/>
          <w:color w:val="auto"/>
          <w:kern w:val="24"/>
          <w:sz w:val="24"/>
          <w:highlight w:val="none"/>
        </w:rPr>
      </w:pPr>
      <w:r>
        <w:rPr>
          <w:rFonts w:hint="eastAsia" w:ascii="宋体" w:cs="宋体"/>
          <w:color w:val="auto"/>
          <w:kern w:val="24"/>
          <w:sz w:val="24"/>
          <w:highlight w:val="none"/>
        </w:rPr>
        <w:t>1.</w:t>
      </w:r>
      <w:r>
        <w:rPr>
          <w:rFonts w:hint="eastAsia" w:ascii="宋体" w:cs="宋体"/>
          <w:i/>
          <w:iCs/>
          <w:color w:val="auto"/>
          <w:kern w:val="24"/>
          <w:sz w:val="24"/>
          <w:highlight w:val="none"/>
          <w:u w:val="single"/>
        </w:rPr>
        <w:t>（标的名称）</w:t>
      </w:r>
      <w:r>
        <w:rPr>
          <w:rFonts w:hint="eastAsia" w:ascii="宋体" w:cs="宋体"/>
          <w:color w:val="auto"/>
          <w:kern w:val="24"/>
          <w:sz w:val="24"/>
          <w:highlight w:val="none"/>
        </w:rPr>
        <w:t>，属于</w:t>
      </w:r>
      <w:r>
        <w:rPr>
          <w:rFonts w:hint="eastAsia" w:ascii="宋体" w:cs="宋体"/>
          <w:i/>
          <w:iCs/>
          <w:color w:val="auto"/>
          <w:kern w:val="24"/>
          <w:sz w:val="24"/>
          <w:highlight w:val="none"/>
          <w:u w:val="single"/>
        </w:rPr>
        <w:t>（采购文件中明确的所属行业）行业</w:t>
      </w:r>
      <w:r>
        <w:rPr>
          <w:rFonts w:hint="eastAsia" w:ascii="宋体" w:cs="宋体"/>
          <w:color w:val="auto"/>
          <w:kern w:val="24"/>
          <w:sz w:val="24"/>
          <w:highlight w:val="none"/>
        </w:rPr>
        <w:t>；制造商为</w:t>
      </w:r>
      <w:r>
        <w:rPr>
          <w:rFonts w:hint="eastAsia" w:ascii="宋体" w:cs="宋体"/>
          <w:i/>
          <w:iCs/>
          <w:color w:val="auto"/>
          <w:kern w:val="24"/>
          <w:sz w:val="24"/>
          <w:highlight w:val="none"/>
          <w:u w:val="single"/>
        </w:rPr>
        <w:t>（企业名称）</w:t>
      </w:r>
      <w:r>
        <w:rPr>
          <w:rFonts w:hint="eastAsia" w:ascii="宋体" w:cs="宋体"/>
          <w:color w:val="auto"/>
          <w:kern w:val="24"/>
          <w:sz w:val="24"/>
          <w:highlight w:val="none"/>
        </w:rPr>
        <w:t>，从业人员</w:t>
      </w:r>
      <w:r>
        <w:rPr>
          <w:rFonts w:hint="eastAsia" w:ascii="宋体" w:cs="宋体"/>
          <w:color w:val="auto"/>
          <w:kern w:val="24"/>
          <w:sz w:val="24"/>
          <w:highlight w:val="none"/>
          <w:u w:val="single"/>
        </w:rPr>
        <w:t xml:space="preserve">      </w:t>
      </w:r>
      <w:r>
        <w:rPr>
          <w:rFonts w:hint="eastAsia" w:ascii="宋体" w:cs="宋体"/>
          <w:color w:val="auto"/>
          <w:kern w:val="24"/>
          <w:sz w:val="24"/>
          <w:highlight w:val="none"/>
        </w:rPr>
        <w:t>人，营业收入为</w:t>
      </w:r>
      <w:r>
        <w:rPr>
          <w:rFonts w:hint="eastAsia" w:ascii="宋体" w:cs="宋体"/>
          <w:color w:val="auto"/>
          <w:kern w:val="24"/>
          <w:sz w:val="24"/>
          <w:highlight w:val="none"/>
          <w:u w:val="single"/>
        </w:rPr>
        <w:t xml:space="preserve">      </w:t>
      </w:r>
      <w:r>
        <w:rPr>
          <w:rFonts w:hint="eastAsia" w:ascii="宋体" w:cs="宋体"/>
          <w:color w:val="auto"/>
          <w:kern w:val="24"/>
          <w:sz w:val="24"/>
          <w:highlight w:val="none"/>
        </w:rPr>
        <w:t>万元，资产总额为</w:t>
      </w:r>
      <w:r>
        <w:rPr>
          <w:rFonts w:hint="eastAsia" w:ascii="宋体" w:cs="宋体"/>
          <w:color w:val="auto"/>
          <w:kern w:val="24"/>
          <w:sz w:val="24"/>
          <w:highlight w:val="none"/>
          <w:u w:val="single"/>
        </w:rPr>
        <w:t xml:space="preserve">      </w:t>
      </w:r>
      <w:r>
        <w:rPr>
          <w:rFonts w:hint="eastAsia" w:ascii="宋体" w:cs="宋体"/>
          <w:color w:val="auto"/>
          <w:kern w:val="24"/>
          <w:sz w:val="24"/>
          <w:highlight w:val="none"/>
        </w:rPr>
        <w:t>万元，属于</w:t>
      </w:r>
      <w:r>
        <w:rPr>
          <w:rFonts w:hint="eastAsia" w:ascii="宋体" w:cs="宋体"/>
          <w:i/>
          <w:iCs/>
          <w:color w:val="auto"/>
          <w:kern w:val="24"/>
          <w:sz w:val="24"/>
          <w:highlight w:val="none"/>
          <w:u w:val="single"/>
        </w:rPr>
        <w:t>（中型企业、小型企业、微型企业）</w:t>
      </w:r>
      <w:r>
        <w:rPr>
          <w:rFonts w:hint="eastAsia" w:ascii="宋体" w:cs="宋体"/>
          <w:color w:val="auto"/>
          <w:kern w:val="24"/>
          <w:sz w:val="24"/>
          <w:highlight w:val="none"/>
        </w:rPr>
        <w:t>；</w:t>
      </w:r>
    </w:p>
    <w:p w14:paraId="4F5B3603">
      <w:pPr>
        <w:tabs>
          <w:tab w:val="left" w:pos="1065"/>
          <w:tab w:val="left" w:pos="6477"/>
        </w:tabs>
        <w:spacing w:line="360" w:lineRule="exact"/>
        <w:ind w:left="-426" w:right="-58" w:firstLine="655"/>
        <w:contextualSpacing/>
        <w:rPr>
          <w:rFonts w:ascii="宋体" w:cs="宋体"/>
          <w:color w:val="auto"/>
          <w:kern w:val="24"/>
          <w:sz w:val="24"/>
          <w:highlight w:val="none"/>
        </w:rPr>
      </w:pPr>
      <w:r>
        <w:rPr>
          <w:rFonts w:hint="eastAsia" w:ascii="宋体" w:cs="宋体"/>
          <w:color w:val="auto"/>
          <w:kern w:val="24"/>
          <w:sz w:val="24"/>
          <w:highlight w:val="none"/>
        </w:rPr>
        <w:t>2.</w:t>
      </w:r>
      <w:r>
        <w:rPr>
          <w:rFonts w:hint="eastAsia" w:ascii="宋体" w:cs="宋体"/>
          <w:i/>
          <w:iCs/>
          <w:color w:val="auto"/>
          <w:kern w:val="24"/>
          <w:sz w:val="24"/>
          <w:highlight w:val="none"/>
          <w:u w:val="single"/>
        </w:rPr>
        <w:t>（标的名称）</w:t>
      </w:r>
      <w:r>
        <w:rPr>
          <w:rFonts w:hint="eastAsia" w:ascii="宋体" w:cs="宋体"/>
          <w:color w:val="auto"/>
          <w:kern w:val="24"/>
          <w:sz w:val="24"/>
          <w:highlight w:val="none"/>
        </w:rPr>
        <w:t>，属于</w:t>
      </w:r>
      <w:r>
        <w:rPr>
          <w:rFonts w:hint="eastAsia" w:ascii="宋体" w:cs="宋体"/>
          <w:i/>
          <w:iCs/>
          <w:color w:val="auto"/>
          <w:kern w:val="24"/>
          <w:sz w:val="24"/>
          <w:highlight w:val="none"/>
          <w:u w:val="single"/>
        </w:rPr>
        <w:t>（采购文件中明确的所属行业）行业</w:t>
      </w:r>
      <w:r>
        <w:rPr>
          <w:rFonts w:hint="eastAsia" w:ascii="宋体" w:cs="宋体"/>
          <w:color w:val="auto"/>
          <w:kern w:val="24"/>
          <w:sz w:val="24"/>
          <w:highlight w:val="none"/>
        </w:rPr>
        <w:t>；制造商为</w:t>
      </w:r>
      <w:r>
        <w:rPr>
          <w:rFonts w:hint="eastAsia" w:ascii="宋体" w:cs="宋体"/>
          <w:i/>
          <w:iCs/>
          <w:color w:val="auto"/>
          <w:kern w:val="24"/>
          <w:sz w:val="24"/>
          <w:highlight w:val="none"/>
          <w:u w:val="single"/>
        </w:rPr>
        <w:t>（企业名称）</w:t>
      </w:r>
      <w:r>
        <w:rPr>
          <w:rFonts w:hint="eastAsia" w:ascii="宋体" w:cs="宋体"/>
          <w:color w:val="auto"/>
          <w:kern w:val="24"/>
          <w:sz w:val="24"/>
          <w:highlight w:val="none"/>
        </w:rPr>
        <w:t>，从业人员</w:t>
      </w:r>
      <w:r>
        <w:rPr>
          <w:rFonts w:hint="eastAsia" w:ascii="宋体" w:cs="宋体"/>
          <w:color w:val="auto"/>
          <w:kern w:val="24"/>
          <w:sz w:val="24"/>
          <w:highlight w:val="none"/>
          <w:u w:val="single"/>
        </w:rPr>
        <w:t xml:space="preserve">      </w:t>
      </w:r>
      <w:r>
        <w:rPr>
          <w:rFonts w:hint="eastAsia" w:ascii="宋体" w:cs="宋体"/>
          <w:color w:val="auto"/>
          <w:kern w:val="24"/>
          <w:sz w:val="24"/>
          <w:highlight w:val="none"/>
        </w:rPr>
        <w:t>人，营业收入为</w:t>
      </w:r>
      <w:r>
        <w:rPr>
          <w:rFonts w:hint="eastAsia" w:ascii="宋体" w:cs="宋体"/>
          <w:color w:val="auto"/>
          <w:kern w:val="24"/>
          <w:sz w:val="24"/>
          <w:highlight w:val="none"/>
          <w:u w:val="single"/>
        </w:rPr>
        <w:t xml:space="preserve">      </w:t>
      </w:r>
      <w:r>
        <w:rPr>
          <w:rFonts w:hint="eastAsia" w:ascii="宋体" w:cs="宋体"/>
          <w:color w:val="auto"/>
          <w:kern w:val="24"/>
          <w:sz w:val="24"/>
          <w:highlight w:val="none"/>
        </w:rPr>
        <w:t>万元，资产总额为</w:t>
      </w:r>
      <w:r>
        <w:rPr>
          <w:rFonts w:hint="eastAsia" w:ascii="宋体" w:cs="宋体"/>
          <w:color w:val="auto"/>
          <w:kern w:val="24"/>
          <w:sz w:val="24"/>
          <w:highlight w:val="none"/>
          <w:u w:val="single"/>
        </w:rPr>
        <w:t xml:space="preserve">      </w:t>
      </w:r>
      <w:r>
        <w:rPr>
          <w:rFonts w:hint="eastAsia" w:ascii="宋体" w:cs="宋体"/>
          <w:color w:val="auto"/>
          <w:kern w:val="24"/>
          <w:sz w:val="24"/>
          <w:highlight w:val="none"/>
        </w:rPr>
        <w:t>万元，属于</w:t>
      </w:r>
      <w:r>
        <w:rPr>
          <w:rFonts w:hint="eastAsia" w:ascii="宋体" w:cs="宋体"/>
          <w:i/>
          <w:iCs/>
          <w:color w:val="auto"/>
          <w:kern w:val="24"/>
          <w:sz w:val="24"/>
          <w:highlight w:val="none"/>
          <w:u w:val="single"/>
        </w:rPr>
        <w:t>（中型企业、小型企业、微型企业）</w:t>
      </w:r>
      <w:r>
        <w:rPr>
          <w:rFonts w:hint="eastAsia" w:ascii="宋体" w:cs="宋体"/>
          <w:color w:val="auto"/>
          <w:kern w:val="24"/>
          <w:sz w:val="24"/>
          <w:highlight w:val="none"/>
        </w:rPr>
        <w:t>；</w:t>
      </w:r>
    </w:p>
    <w:p w14:paraId="27C136E2">
      <w:pPr>
        <w:pStyle w:val="10"/>
        <w:spacing w:line="360" w:lineRule="exact"/>
        <w:ind w:left="142" w:right="142"/>
        <w:contextualSpacing/>
        <w:rPr>
          <w:rFonts w:ascii="宋体" w:cs="宋体"/>
          <w:color w:val="auto"/>
          <w:kern w:val="24"/>
          <w:highlight w:val="none"/>
        </w:rPr>
      </w:pPr>
      <w:r>
        <w:rPr>
          <w:rFonts w:hint="eastAsia" w:ascii="宋体" w:cs="宋体"/>
          <w:color w:val="auto"/>
          <w:kern w:val="24"/>
          <w:highlight w:val="none"/>
        </w:rPr>
        <w:t xml:space="preserve">…… </w:t>
      </w:r>
    </w:p>
    <w:p w14:paraId="54349271">
      <w:pPr>
        <w:pStyle w:val="10"/>
        <w:spacing w:line="360" w:lineRule="exact"/>
        <w:ind w:left="-405" w:leftChars="-193" w:right="142" w:firstLine="453" w:firstLineChars="189"/>
        <w:contextualSpacing/>
        <w:rPr>
          <w:rFonts w:ascii="宋体" w:cs="宋体"/>
          <w:color w:val="auto"/>
          <w:kern w:val="24"/>
          <w:sz w:val="24"/>
          <w:highlight w:val="none"/>
        </w:rPr>
      </w:pPr>
      <w:r>
        <w:rPr>
          <w:rFonts w:hint="eastAsia" w:ascii="宋体" w:cs="宋体"/>
          <w:color w:val="auto"/>
          <w:kern w:val="24"/>
          <w:sz w:val="24"/>
          <w:highlight w:val="none"/>
        </w:rPr>
        <w:t>以上企业，不属于大企业的分支机构，不存在控股股东为大企业的情形，也不存在与大企业的负责人为同一人的情形。</w:t>
      </w:r>
    </w:p>
    <w:p w14:paraId="2B35575A">
      <w:pPr>
        <w:pStyle w:val="10"/>
        <w:spacing w:line="360" w:lineRule="exact"/>
        <w:ind w:left="-426" w:right="142" w:firstLine="420"/>
        <w:contextualSpacing/>
        <w:rPr>
          <w:rFonts w:ascii="宋体" w:cs="宋体"/>
          <w:color w:val="auto"/>
          <w:kern w:val="24"/>
          <w:sz w:val="24"/>
          <w:highlight w:val="none"/>
        </w:rPr>
      </w:pPr>
      <w:r>
        <w:rPr>
          <w:rFonts w:hint="eastAsia" w:ascii="宋体" w:cs="宋体"/>
          <w:color w:val="auto"/>
          <w:kern w:val="24"/>
          <w:sz w:val="24"/>
          <w:highlight w:val="none"/>
        </w:rPr>
        <w:t>本企业对上述声明内容的真实性负责。如有虚假，将依法承担相应责任。</w:t>
      </w:r>
    </w:p>
    <w:p w14:paraId="685C3FF9">
      <w:pPr>
        <w:pStyle w:val="14"/>
        <w:spacing w:line="360" w:lineRule="auto"/>
        <w:ind w:firstLine="480" w:firstLineChars="200"/>
        <w:rPr>
          <w:rFonts w:cs="宋体"/>
          <w:color w:val="auto"/>
          <w:sz w:val="24"/>
          <w:szCs w:val="24"/>
          <w:highlight w:val="none"/>
        </w:rPr>
      </w:pPr>
    </w:p>
    <w:p w14:paraId="6375880F">
      <w:pPr>
        <w:pStyle w:val="14"/>
        <w:spacing w:line="360" w:lineRule="auto"/>
        <w:ind w:firstLine="480" w:firstLineChars="200"/>
        <w:rPr>
          <w:rFonts w:cs="宋体"/>
          <w:color w:val="auto"/>
          <w:sz w:val="24"/>
          <w:szCs w:val="24"/>
          <w:highlight w:val="none"/>
        </w:rPr>
      </w:pPr>
    </w:p>
    <w:p w14:paraId="371CACA8">
      <w:pPr>
        <w:snapToGrid w:val="0"/>
        <w:spacing w:line="360" w:lineRule="auto"/>
        <w:ind w:firstLine="5040" w:firstLineChars="2100"/>
        <w:rPr>
          <w:rFonts w:ascii="宋体" w:cs="宋体"/>
          <w:color w:val="auto"/>
          <w:kern w:val="0"/>
          <w:sz w:val="24"/>
          <w:highlight w:val="none"/>
        </w:rPr>
      </w:pPr>
      <w:r>
        <w:rPr>
          <w:rFonts w:hint="eastAsia" w:ascii="宋体" w:cs="宋体"/>
          <w:color w:val="auto"/>
          <w:kern w:val="0"/>
          <w:sz w:val="24"/>
          <w:highlight w:val="none"/>
          <w:lang w:val="zh-CN"/>
        </w:rPr>
        <w:t>投标人名称（盖公章）：</w:t>
      </w:r>
    </w:p>
    <w:p w14:paraId="37E930F9">
      <w:pPr>
        <w:snapToGrid w:val="0"/>
        <w:spacing w:line="360" w:lineRule="auto"/>
        <w:ind w:firstLine="5160" w:firstLineChars="2150"/>
        <w:rPr>
          <w:rFonts w:ascii="宋体" w:cs="宋体"/>
          <w:color w:val="auto"/>
          <w:kern w:val="0"/>
          <w:sz w:val="24"/>
          <w:highlight w:val="none"/>
          <w:lang w:val="zh-CN"/>
        </w:rPr>
      </w:pPr>
      <w:r>
        <w:rPr>
          <w:rFonts w:hint="eastAsia" w:ascii="宋体" w:cs="宋体"/>
          <w:color w:val="auto"/>
          <w:kern w:val="0"/>
          <w:sz w:val="24"/>
          <w:highlight w:val="none"/>
          <w:lang w:val="zh-CN"/>
        </w:rPr>
        <w:t>日期</w:t>
      </w:r>
      <w:r>
        <w:rPr>
          <w:rFonts w:hint="eastAsia" w:ascii="宋体" w:cs="宋体"/>
          <w:color w:val="auto"/>
          <w:kern w:val="0"/>
          <w:sz w:val="24"/>
          <w:highlight w:val="none"/>
        </w:rPr>
        <w:t xml:space="preserve">：  年  </w:t>
      </w:r>
      <w:r>
        <w:rPr>
          <w:rFonts w:hint="eastAsia" w:ascii="宋体" w:cs="宋体"/>
          <w:color w:val="auto"/>
          <w:kern w:val="0"/>
          <w:sz w:val="24"/>
          <w:highlight w:val="none"/>
          <w:lang w:val="zh-CN"/>
        </w:rPr>
        <w:t>月</w:t>
      </w:r>
      <w:r>
        <w:rPr>
          <w:rFonts w:hint="eastAsia" w:ascii="宋体" w:cs="宋体"/>
          <w:color w:val="auto"/>
          <w:kern w:val="0"/>
          <w:sz w:val="24"/>
          <w:highlight w:val="none"/>
        </w:rPr>
        <w:t xml:space="preserve">   </w:t>
      </w:r>
      <w:r>
        <w:rPr>
          <w:rFonts w:hint="eastAsia" w:ascii="宋体" w:cs="宋体"/>
          <w:color w:val="auto"/>
          <w:kern w:val="0"/>
          <w:sz w:val="24"/>
          <w:highlight w:val="none"/>
          <w:lang w:val="zh-CN"/>
        </w:rPr>
        <w:t>日</w:t>
      </w:r>
    </w:p>
    <w:p w14:paraId="6A777BEF">
      <w:pPr>
        <w:pStyle w:val="14"/>
        <w:spacing w:line="360" w:lineRule="auto"/>
        <w:ind w:firstLine="420" w:firstLineChars="200"/>
        <w:rPr>
          <w:rFonts w:cs="宋体"/>
          <w:color w:val="auto"/>
          <w:szCs w:val="21"/>
          <w:highlight w:val="none"/>
        </w:rPr>
      </w:pPr>
    </w:p>
    <w:p w14:paraId="7E4036D5">
      <w:pPr>
        <w:pStyle w:val="11"/>
        <w:spacing w:before="50" w:after="165" w:afterLines="50" w:line="360" w:lineRule="auto"/>
        <w:ind w:firstLine="404" w:firstLineChars="200"/>
        <w:rPr>
          <w:rFonts w:cs="宋体"/>
          <w:color w:val="auto"/>
          <w:sz w:val="21"/>
          <w:szCs w:val="21"/>
          <w:highlight w:val="none"/>
        </w:rPr>
      </w:pPr>
      <w:r>
        <w:rPr>
          <w:rFonts w:hint="eastAsia" w:cs="宋体"/>
          <w:color w:val="auto"/>
          <w:sz w:val="21"/>
          <w:szCs w:val="21"/>
          <w:highlight w:val="none"/>
        </w:rPr>
        <w:t>注：</w:t>
      </w:r>
    </w:p>
    <w:p w14:paraId="1BE53C45">
      <w:pPr>
        <w:pStyle w:val="11"/>
        <w:numPr>
          <w:ilvl w:val="0"/>
          <w:numId w:val="3"/>
        </w:numPr>
        <w:spacing w:before="50" w:after="165" w:afterLines="50" w:line="360" w:lineRule="auto"/>
        <w:ind w:firstLine="404" w:firstLineChars="200"/>
        <w:rPr>
          <w:rFonts w:cs="宋体"/>
          <w:color w:val="auto"/>
          <w:sz w:val="21"/>
          <w:szCs w:val="21"/>
          <w:highlight w:val="none"/>
        </w:rPr>
      </w:pPr>
      <w:r>
        <w:rPr>
          <w:rFonts w:hint="eastAsia" w:cs="宋体"/>
          <w:color w:val="auto"/>
          <w:sz w:val="21"/>
          <w:szCs w:val="21"/>
          <w:highlight w:val="none"/>
        </w:rPr>
        <w:t>从业人员、营业收入、资产总额填报上一年度数据，无上一年度数据的新成立企业可不填报。</w:t>
      </w:r>
    </w:p>
    <w:p w14:paraId="5734E0FA">
      <w:pPr>
        <w:pStyle w:val="11"/>
        <w:numPr>
          <w:ilvl w:val="0"/>
          <w:numId w:val="3"/>
        </w:numPr>
        <w:spacing w:before="50" w:after="165" w:afterLines="50" w:line="360" w:lineRule="auto"/>
        <w:ind w:firstLine="404" w:firstLineChars="200"/>
        <w:rPr>
          <w:rFonts w:cs="宋体"/>
          <w:color w:val="auto"/>
          <w:sz w:val="21"/>
          <w:szCs w:val="21"/>
          <w:highlight w:val="none"/>
        </w:rPr>
      </w:pPr>
      <w:r>
        <w:rPr>
          <w:rFonts w:hint="eastAsia" w:cs="宋体"/>
          <w:color w:val="auto"/>
          <w:sz w:val="21"/>
          <w:szCs w:val="21"/>
          <w:highlight w:val="none"/>
        </w:rPr>
        <w:t>请根据自己的真实情况出具《中小企业声明函》。依法享受中小企业扶持政策的，采购人或者采购代理机构在公告中标结果时，同时公告其《中小企业声明函》，接受社会监督。</w:t>
      </w:r>
    </w:p>
    <w:p w14:paraId="2FB80947">
      <w:pPr>
        <w:pStyle w:val="11"/>
        <w:spacing w:before="50" w:after="165" w:afterLines="50" w:line="360" w:lineRule="auto"/>
        <w:ind w:left="420" w:leftChars="200" w:firstLine="0"/>
        <w:rPr>
          <w:rFonts w:cs="宋体"/>
          <w:b/>
          <w:bCs/>
          <w:color w:val="auto"/>
          <w:sz w:val="21"/>
          <w:szCs w:val="21"/>
          <w:highlight w:val="none"/>
        </w:rPr>
      </w:pPr>
      <w:r>
        <w:rPr>
          <w:rFonts w:hint="eastAsia" w:cs="宋体"/>
          <w:b/>
          <w:bCs/>
          <w:color w:val="auto"/>
          <w:sz w:val="21"/>
          <w:szCs w:val="21"/>
          <w:highlight w:val="none"/>
        </w:rPr>
        <w:t>3、本声明函主要供参加政府采购活动的中小企业填写，非中小企业无需填写。</w:t>
      </w:r>
    </w:p>
    <w:p w14:paraId="2A0F812A">
      <w:pPr>
        <w:pStyle w:val="11"/>
        <w:spacing w:line="360" w:lineRule="auto"/>
        <w:ind w:firstLine="406" w:firstLineChars="200"/>
        <w:rPr>
          <w:rFonts w:cs="宋体"/>
          <w:b/>
          <w:bCs/>
          <w:color w:val="auto"/>
          <w:sz w:val="21"/>
          <w:szCs w:val="21"/>
          <w:highlight w:val="none"/>
        </w:rPr>
      </w:pPr>
      <w:r>
        <w:rPr>
          <w:rFonts w:hint="eastAsia" w:cs="宋体"/>
          <w:b/>
          <w:bCs/>
          <w:color w:val="auto"/>
          <w:sz w:val="21"/>
          <w:szCs w:val="21"/>
          <w:highlight w:val="none"/>
        </w:rPr>
        <w:t>4、小型、微型企业提供中型企业提供的货物的，视同为中型企业。</w:t>
      </w:r>
    </w:p>
    <w:p w14:paraId="493677DB">
      <w:pPr>
        <w:pStyle w:val="11"/>
        <w:spacing w:line="360" w:lineRule="auto"/>
        <w:ind w:firstLine="404" w:firstLineChars="200"/>
        <w:rPr>
          <w:rFonts w:cs="宋体"/>
          <w:color w:val="auto"/>
          <w:sz w:val="21"/>
          <w:szCs w:val="21"/>
          <w:highlight w:val="none"/>
        </w:rPr>
        <w:sectPr>
          <w:pgSz w:w="11906" w:h="16838"/>
          <w:pgMar w:top="1134" w:right="1134" w:bottom="1134" w:left="1134" w:header="720" w:footer="720" w:gutter="0"/>
          <w:cols w:space="720" w:num="1"/>
          <w:docGrid w:type="lines" w:linePitch="331" w:charSpace="0"/>
        </w:sectPr>
      </w:pPr>
    </w:p>
    <w:p w14:paraId="629363FE">
      <w:pPr>
        <w:pStyle w:val="14"/>
        <w:spacing w:line="360" w:lineRule="auto"/>
        <w:jc w:val="left"/>
        <w:rPr>
          <w:rFonts w:cs="宋体"/>
          <w:b/>
          <w:color w:val="auto"/>
          <w:sz w:val="28"/>
          <w:szCs w:val="28"/>
          <w:highlight w:val="none"/>
        </w:rPr>
      </w:pPr>
      <w:r>
        <w:rPr>
          <w:rFonts w:hint="eastAsia" w:cs="宋体"/>
          <w:b/>
          <w:color w:val="auto"/>
          <w:sz w:val="28"/>
          <w:szCs w:val="28"/>
          <w:highlight w:val="none"/>
        </w:rPr>
        <w:t>2.残疾人福利性单位声明函的格式：</w:t>
      </w:r>
    </w:p>
    <w:p w14:paraId="4DC70C75">
      <w:pPr>
        <w:pStyle w:val="14"/>
        <w:spacing w:line="360" w:lineRule="auto"/>
        <w:jc w:val="center"/>
        <w:rPr>
          <w:rFonts w:cs="宋体"/>
          <w:b/>
          <w:color w:val="auto"/>
          <w:sz w:val="30"/>
          <w:szCs w:val="30"/>
          <w:highlight w:val="none"/>
        </w:rPr>
      </w:pPr>
    </w:p>
    <w:p w14:paraId="2DCED519">
      <w:pPr>
        <w:pStyle w:val="14"/>
        <w:spacing w:line="360" w:lineRule="auto"/>
        <w:jc w:val="center"/>
        <w:rPr>
          <w:rFonts w:cs="宋体"/>
          <w:b/>
          <w:color w:val="auto"/>
          <w:sz w:val="28"/>
          <w:szCs w:val="28"/>
          <w:highlight w:val="none"/>
        </w:rPr>
      </w:pPr>
      <w:r>
        <w:rPr>
          <w:rFonts w:hint="eastAsia" w:cs="宋体"/>
          <w:b/>
          <w:color w:val="auto"/>
          <w:sz w:val="28"/>
          <w:szCs w:val="28"/>
          <w:highlight w:val="none"/>
        </w:rPr>
        <w:t>残疾人福利性单位声明函</w:t>
      </w:r>
    </w:p>
    <w:p w14:paraId="10460D74">
      <w:pPr>
        <w:pStyle w:val="14"/>
        <w:spacing w:line="360" w:lineRule="auto"/>
        <w:jc w:val="center"/>
        <w:rPr>
          <w:rFonts w:cs="宋体"/>
          <w:b/>
          <w:color w:val="auto"/>
          <w:sz w:val="30"/>
          <w:szCs w:val="30"/>
          <w:highlight w:val="none"/>
        </w:rPr>
      </w:pPr>
    </w:p>
    <w:p w14:paraId="27FA8CCB">
      <w:pPr>
        <w:spacing w:line="360" w:lineRule="auto"/>
        <w:ind w:firstLine="480" w:firstLineChars="200"/>
        <w:contextualSpacing/>
        <w:rPr>
          <w:rFonts w:ascii="宋体" w:cs="宋体"/>
          <w:color w:val="auto"/>
          <w:sz w:val="24"/>
          <w:highlight w:val="none"/>
        </w:rPr>
      </w:pPr>
      <w:r>
        <w:rPr>
          <w:rFonts w:hint="eastAsia" w:asci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cs="宋体"/>
          <w:color w:val="auto"/>
          <w:sz w:val="24"/>
          <w:highlight w:val="none"/>
          <w:u w:val="single"/>
        </w:rPr>
        <w:t xml:space="preserve">        </w:t>
      </w:r>
      <w:r>
        <w:rPr>
          <w:rFonts w:hint="eastAsia" w:ascii="宋体" w:cs="宋体"/>
          <w:color w:val="auto"/>
          <w:sz w:val="24"/>
          <w:highlight w:val="none"/>
        </w:rPr>
        <w:t>单位的</w:t>
      </w:r>
      <w:r>
        <w:rPr>
          <w:rFonts w:hint="eastAsia" w:ascii="宋体" w:cs="宋体"/>
          <w:color w:val="auto"/>
          <w:sz w:val="24"/>
          <w:highlight w:val="none"/>
          <w:u w:val="single"/>
        </w:rPr>
        <w:t xml:space="preserve">           </w:t>
      </w:r>
      <w:r>
        <w:rPr>
          <w:rFonts w:hint="eastAsia" w:asci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0B1DB261">
      <w:pPr>
        <w:pStyle w:val="14"/>
        <w:spacing w:line="360" w:lineRule="auto"/>
        <w:ind w:firstLine="480" w:firstLineChars="200"/>
        <w:jc w:val="left"/>
        <w:rPr>
          <w:rFonts w:cs="宋体"/>
          <w:color w:val="auto"/>
          <w:sz w:val="30"/>
          <w:szCs w:val="30"/>
          <w:highlight w:val="none"/>
        </w:rPr>
      </w:pPr>
      <w:r>
        <w:rPr>
          <w:rFonts w:hint="eastAsia" w:cs="宋体"/>
          <w:color w:val="auto"/>
          <w:sz w:val="24"/>
          <w:szCs w:val="24"/>
          <w:highlight w:val="none"/>
        </w:rPr>
        <w:t>本单位对上述声明的真实性负责。如有虚假，将依法承担相应责任。</w:t>
      </w:r>
    </w:p>
    <w:p w14:paraId="4D2677BC">
      <w:pPr>
        <w:pStyle w:val="14"/>
        <w:spacing w:line="360" w:lineRule="auto"/>
        <w:jc w:val="left"/>
        <w:rPr>
          <w:rFonts w:cs="宋体"/>
          <w:b/>
          <w:color w:val="auto"/>
          <w:szCs w:val="21"/>
          <w:highlight w:val="none"/>
        </w:rPr>
      </w:pPr>
    </w:p>
    <w:p w14:paraId="704D90E6">
      <w:pPr>
        <w:pStyle w:val="14"/>
        <w:spacing w:line="360" w:lineRule="auto"/>
        <w:jc w:val="left"/>
        <w:rPr>
          <w:rFonts w:cs="宋体"/>
          <w:b/>
          <w:color w:val="auto"/>
          <w:szCs w:val="21"/>
          <w:highlight w:val="none"/>
        </w:rPr>
      </w:pPr>
    </w:p>
    <w:p w14:paraId="4D99F63E">
      <w:pPr>
        <w:snapToGrid w:val="0"/>
        <w:spacing w:line="360" w:lineRule="auto"/>
        <w:ind w:left="5137" w:leftChars="1736" w:hanging="1491" w:hangingChars="825"/>
        <w:rPr>
          <w:rFonts w:ascii="宋体" w:cs="宋体"/>
          <w:color w:val="auto"/>
          <w:kern w:val="0"/>
          <w:sz w:val="24"/>
          <w:highlight w:val="none"/>
        </w:rPr>
      </w:pPr>
      <w:r>
        <w:rPr>
          <w:rFonts w:hint="eastAsia" w:ascii="宋体" w:cs="宋体"/>
          <w:b/>
          <w:color w:val="auto"/>
          <w:sz w:val="18"/>
          <w:szCs w:val="18"/>
          <w:highlight w:val="none"/>
        </w:rPr>
        <w:t xml:space="preserve">                                                                    </w:t>
      </w:r>
      <w:r>
        <w:rPr>
          <w:rFonts w:hint="eastAsia" w:ascii="宋体" w:cs="宋体"/>
          <w:color w:val="auto"/>
          <w:kern w:val="0"/>
          <w:sz w:val="24"/>
          <w:highlight w:val="none"/>
          <w:lang w:val="zh-CN"/>
        </w:rPr>
        <w:t>投标人名称（盖公章）：</w:t>
      </w:r>
    </w:p>
    <w:p w14:paraId="21F17E3B">
      <w:pPr>
        <w:snapToGrid w:val="0"/>
        <w:spacing w:line="360" w:lineRule="auto"/>
        <w:ind w:firstLine="5160" w:firstLineChars="2150"/>
        <w:rPr>
          <w:rFonts w:ascii="宋体" w:cs="宋体"/>
          <w:color w:val="auto"/>
          <w:kern w:val="0"/>
          <w:sz w:val="24"/>
          <w:highlight w:val="none"/>
          <w:lang w:val="zh-CN"/>
        </w:rPr>
      </w:pPr>
      <w:r>
        <w:rPr>
          <w:rFonts w:hint="eastAsia" w:ascii="宋体" w:cs="宋体"/>
          <w:color w:val="auto"/>
          <w:kern w:val="0"/>
          <w:sz w:val="24"/>
          <w:highlight w:val="none"/>
          <w:lang w:val="zh-CN"/>
        </w:rPr>
        <w:t>日期</w:t>
      </w:r>
      <w:r>
        <w:rPr>
          <w:rFonts w:hint="eastAsia" w:ascii="宋体" w:cs="宋体"/>
          <w:color w:val="auto"/>
          <w:kern w:val="0"/>
          <w:sz w:val="24"/>
          <w:highlight w:val="none"/>
        </w:rPr>
        <w:t xml:space="preserve">：  年  </w:t>
      </w:r>
      <w:r>
        <w:rPr>
          <w:rFonts w:hint="eastAsia" w:ascii="宋体" w:cs="宋体"/>
          <w:color w:val="auto"/>
          <w:kern w:val="0"/>
          <w:sz w:val="24"/>
          <w:highlight w:val="none"/>
          <w:lang w:val="zh-CN"/>
        </w:rPr>
        <w:t>月</w:t>
      </w:r>
      <w:r>
        <w:rPr>
          <w:rFonts w:hint="eastAsia" w:ascii="宋体" w:cs="宋体"/>
          <w:color w:val="auto"/>
          <w:kern w:val="0"/>
          <w:sz w:val="24"/>
          <w:highlight w:val="none"/>
        </w:rPr>
        <w:t xml:space="preserve">   </w:t>
      </w:r>
      <w:r>
        <w:rPr>
          <w:rFonts w:hint="eastAsia" w:ascii="宋体" w:cs="宋体"/>
          <w:color w:val="auto"/>
          <w:kern w:val="0"/>
          <w:sz w:val="24"/>
          <w:highlight w:val="none"/>
          <w:lang w:val="zh-CN"/>
        </w:rPr>
        <w:t>日</w:t>
      </w:r>
    </w:p>
    <w:p w14:paraId="0737CC53">
      <w:pPr>
        <w:pStyle w:val="14"/>
        <w:spacing w:line="360" w:lineRule="auto"/>
        <w:ind w:left="5132" w:leftChars="1979" w:hanging="976" w:hangingChars="488"/>
        <w:rPr>
          <w:rFonts w:cs="宋体"/>
          <w:color w:val="auto"/>
          <w:sz w:val="20"/>
          <w:highlight w:val="none"/>
        </w:rPr>
      </w:pPr>
    </w:p>
    <w:p w14:paraId="34B48C0C">
      <w:pPr>
        <w:spacing w:line="360" w:lineRule="auto"/>
        <w:ind w:right="420" w:firstLine="420" w:firstLineChars="200"/>
        <w:rPr>
          <w:rFonts w:ascii="宋体" w:cs="宋体"/>
          <w:color w:val="auto"/>
          <w:szCs w:val="21"/>
          <w:highlight w:val="none"/>
        </w:rPr>
      </w:pPr>
      <w:r>
        <w:rPr>
          <w:rFonts w:hint="eastAsia" w:ascii="宋体" w:cs="宋体"/>
          <w:color w:val="auto"/>
          <w:szCs w:val="21"/>
          <w:highlight w:val="none"/>
        </w:rPr>
        <w:t>注：请根据自己的真实情况出具《残疾人福利性单位声明函》。依法享受中小企业扶持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38827FEB">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left"/>
        <w:rPr>
          <w:rFonts w:hint="eastAsia" w:ascii="宋体" w:hAnsi="宋体" w:eastAsia="宋体" w:cs="宋体"/>
          <w:b/>
          <w:i w:val="0"/>
          <w:iCs w:val="0"/>
          <w:caps w:val="0"/>
          <w:color w:val="auto"/>
          <w:spacing w:val="0"/>
          <w:kern w:val="2"/>
          <w:sz w:val="28"/>
          <w:szCs w:val="28"/>
          <w:highlight w:val="none"/>
          <w:shd w:val="clear" w:color="auto" w:fill="auto"/>
        </w:rPr>
      </w:pPr>
      <w:r>
        <w:rPr>
          <w:rFonts w:hint="eastAsia" w:ascii="宋体" w:cs="宋体"/>
          <w:color w:val="auto"/>
          <w:szCs w:val="21"/>
          <w:highlight w:val="none"/>
        </w:rPr>
        <w:br w:type="page"/>
      </w:r>
      <w:r>
        <w:rPr>
          <w:rFonts w:hint="eastAsia" w:ascii="宋体" w:hAnsi="宋体" w:eastAsia="宋体" w:cs="宋体"/>
          <w:b/>
          <w:color w:val="auto"/>
          <w:sz w:val="28"/>
          <w:szCs w:val="28"/>
          <w:highlight w:val="none"/>
          <w:lang w:val="en-US" w:eastAsia="zh-CN"/>
        </w:rPr>
        <w:t>3.</w:t>
      </w:r>
      <w:r>
        <w:rPr>
          <w:rFonts w:hint="eastAsia" w:ascii="宋体" w:hAnsi="宋体" w:eastAsia="宋体" w:cs="宋体"/>
          <w:b/>
          <w:i w:val="0"/>
          <w:iCs w:val="0"/>
          <w:caps w:val="0"/>
          <w:color w:val="auto"/>
          <w:spacing w:val="0"/>
          <w:kern w:val="0"/>
          <w:sz w:val="28"/>
          <w:szCs w:val="28"/>
          <w:highlight w:val="none"/>
          <w:shd w:val="clear" w:color="auto" w:fill="auto"/>
        </w:rPr>
        <w:t>关于符合本国产品标准的声明函</w:t>
      </w:r>
      <w:r>
        <w:rPr>
          <w:rFonts w:hint="eastAsia" w:ascii="宋体" w:hAnsi="宋体" w:eastAsia="宋体" w:cs="宋体"/>
          <w:b/>
          <w:color w:val="auto"/>
          <w:sz w:val="28"/>
          <w:szCs w:val="28"/>
          <w:highlight w:val="none"/>
          <w:lang w:val="en-US" w:eastAsia="zh-CN"/>
        </w:rPr>
        <w:t>的格式：</w:t>
      </w:r>
    </w:p>
    <w:p w14:paraId="292CCDC5">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b/>
          <w:i w:val="0"/>
          <w:iCs w:val="0"/>
          <w:caps w:val="0"/>
          <w:color w:val="auto"/>
          <w:spacing w:val="0"/>
          <w:kern w:val="2"/>
          <w:sz w:val="30"/>
          <w:szCs w:val="30"/>
          <w:highlight w:val="none"/>
          <w:shd w:val="clear" w:color="auto" w:fill="auto"/>
        </w:rPr>
      </w:pPr>
    </w:p>
    <w:p w14:paraId="33859A53">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i w:val="0"/>
          <w:iCs w:val="0"/>
          <w:caps w:val="0"/>
          <w:color w:val="auto"/>
          <w:spacing w:val="0"/>
          <w:kern w:val="2"/>
          <w:sz w:val="28"/>
          <w:szCs w:val="28"/>
          <w:highlight w:val="none"/>
        </w:rPr>
      </w:pPr>
      <w:r>
        <w:rPr>
          <w:rFonts w:hint="eastAsia" w:ascii="宋体" w:hAnsi="宋体" w:eastAsia="宋体" w:cs="宋体"/>
          <w:b/>
          <w:i w:val="0"/>
          <w:iCs w:val="0"/>
          <w:caps w:val="0"/>
          <w:color w:val="auto"/>
          <w:spacing w:val="0"/>
          <w:kern w:val="2"/>
          <w:sz w:val="28"/>
          <w:szCs w:val="28"/>
          <w:highlight w:val="none"/>
          <w:shd w:val="clear" w:color="auto" w:fill="auto"/>
        </w:rPr>
        <w:t>关于符合本国产品标准的声明函</w:t>
      </w:r>
    </w:p>
    <w:p w14:paraId="7CC5096E">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auto"/>
          <w:spacing w:val="0"/>
          <w:kern w:val="2"/>
          <w:sz w:val="24"/>
          <w:szCs w:val="24"/>
          <w:highlight w:val="none"/>
        </w:rPr>
      </w:pPr>
    </w:p>
    <w:p w14:paraId="75EFE942">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rPr>
        <w:t>本公司（单位）郑重声明，根据《国务院办公厅关于在政府采购中实施本国产品标准及相关政策的通知》（国办发〔2025〕34号）的规定，本公司（单位）提供的以下产品属于本国产品。具体情况如下：</w:t>
      </w:r>
    </w:p>
    <w:p w14:paraId="45BF6A18">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rPr>
        <w:t>1.</w:t>
      </w:r>
      <w:r>
        <w:rPr>
          <w:rFonts w:hint="eastAsia" w:ascii="宋体" w:hAnsi="宋体" w:eastAsia="宋体" w:cs="宋体"/>
          <w:i w:val="0"/>
          <w:iCs w:val="0"/>
          <w:caps w:val="0"/>
          <w:color w:val="auto"/>
          <w:spacing w:val="0"/>
          <w:kern w:val="2"/>
          <w:sz w:val="24"/>
          <w:szCs w:val="24"/>
          <w:highlight w:val="none"/>
          <w:u w:val="none"/>
          <w:shd w:val="clear" w:color="auto" w:fill="auto"/>
        </w:rPr>
        <w:t>（产品名称1）</w:t>
      </w:r>
      <w:r>
        <w:rPr>
          <w:rFonts w:hint="eastAsia" w:ascii="宋体" w:hAnsi="宋体" w:eastAsia="宋体" w:cs="宋体"/>
          <w:i w:val="0"/>
          <w:iCs w:val="0"/>
          <w:caps w:val="0"/>
          <w:color w:val="auto"/>
          <w:spacing w:val="0"/>
          <w:kern w:val="2"/>
          <w:sz w:val="24"/>
          <w:szCs w:val="24"/>
          <w:highlight w:val="none"/>
          <w:u w:val="none"/>
          <w:shd w:val="clear" w:color="auto" w:fill="auto"/>
          <w:vertAlign w:val="baseline"/>
        </w:rPr>
        <w:t>1</w:t>
      </w:r>
      <w:r>
        <w:rPr>
          <w:rFonts w:hint="eastAsia" w:ascii="宋体" w:hAnsi="宋体" w:eastAsia="宋体" w:cs="宋体"/>
          <w:i w:val="0"/>
          <w:iCs w:val="0"/>
          <w:caps w:val="0"/>
          <w:color w:val="auto"/>
          <w:spacing w:val="0"/>
          <w:kern w:val="2"/>
          <w:sz w:val="24"/>
          <w:szCs w:val="24"/>
          <w:highlight w:val="none"/>
          <w:shd w:val="clear" w:color="auto" w:fill="auto"/>
        </w:rPr>
        <w:t>，生产厂为</w:t>
      </w:r>
      <w:r>
        <w:rPr>
          <w:rFonts w:hint="eastAsia" w:ascii="宋体" w:hAnsi="宋体" w:eastAsia="宋体" w:cs="宋体"/>
          <w:i w:val="0"/>
          <w:iCs w:val="0"/>
          <w:caps w:val="0"/>
          <w:color w:val="auto"/>
          <w:spacing w:val="0"/>
          <w:kern w:val="2"/>
          <w:sz w:val="24"/>
          <w:szCs w:val="24"/>
          <w:highlight w:val="none"/>
          <w:u w:val="none"/>
          <w:shd w:val="clear" w:color="auto" w:fill="auto"/>
        </w:rPr>
        <w:t>（厂名）</w:t>
      </w:r>
      <w:r>
        <w:rPr>
          <w:rFonts w:hint="eastAsia" w:ascii="宋体" w:hAnsi="宋体" w:eastAsia="宋体" w:cs="宋体"/>
          <w:i w:val="0"/>
          <w:iCs w:val="0"/>
          <w:caps w:val="0"/>
          <w:color w:val="auto"/>
          <w:spacing w:val="0"/>
          <w:kern w:val="2"/>
          <w:sz w:val="24"/>
          <w:szCs w:val="24"/>
          <w:highlight w:val="none"/>
          <w:u w:val="none"/>
          <w:shd w:val="clear" w:color="auto" w:fill="auto"/>
          <w:vertAlign w:val="baseline"/>
        </w:rPr>
        <w:t>2</w:t>
      </w:r>
      <w:r>
        <w:rPr>
          <w:rFonts w:hint="eastAsia" w:ascii="宋体" w:hAnsi="宋体" w:eastAsia="宋体" w:cs="宋体"/>
          <w:i w:val="0"/>
          <w:iCs w:val="0"/>
          <w:caps w:val="0"/>
          <w:color w:val="auto"/>
          <w:spacing w:val="0"/>
          <w:kern w:val="2"/>
          <w:sz w:val="24"/>
          <w:szCs w:val="24"/>
          <w:highlight w:val="none"/>
          <w:shd w:val="clear" w:color="auto" w:fill="auto"/>
        </w:rPr>
        <w:t>，厂址为</w:t>
      </w:r>
      <w:r>
        <w:rPr>
          <w:rFonts w:hint="eastAsia" w:ascii="宋体" w:hAnsi="宋体" w:eastAsia="宋体" w:cs="宋体"/>
          <w:i w:val="0"/>
          <w:iCs w:val="0"/>
          <w:caps w:val="0"/>
          <w:color w:val="auto"/>
          <w:spacing w:val="0"/>
          <w:kern w:val="2"/>
          <w:sz w:val="24"/>
          <w:szCs w:val="24"/>
          <w:highlight w:val="none"/>
          <w:u w:val="none"/>
          <w:shd w:val="clear" w:color="auto" w:fill="auto"/>
        </w:rPr>
        <w:t>（生产厂址）</w:t>
      </w:r>
      <w:r>
        <w:rPr>
          <w:rFonts w:hint="eastAsia" w:ascii="宋体" w:hAnsi="宋体" w:eastAsia="宋体" w:cs="宋体"/>
          <w:i w:val="0"/>
          <w:iCs w:val="0"/>
          <w:caps w:val="0"/>
          <w:color w:val="auto"/>
          <w:spacing w:val="0"/>
          <w:kern w:val="2"/>
          <w:sz w:val="24"/>
          <w:szCs w:val="24"/>
          <w:highlight w:val="none"/>
          <w:shd w:val="clear" w:color="auto" w:fill="auto"/>
        </w:rPr>
        <w:t>。</w:t>
      </w:r>
      <w:r>
        <w:rPr>
          <w:rFonts w:hint="eastAsia" w:ascii="宋体" w:hAnsi="宋体" w:eastAsia="宋体" w:cs="宋体"/>
          <w:i w:val="0"/>
          <w:iCs w:val="0"/>
          <w:caps w:val="0"/>
          <w:color w:val="auto"/>
          <w:spacing w:val="0"/>
          <w:kern w:val="2"/>
          <w:sz w:val="24"/>
          <w:szCs w:val="24"/>
          <w:highlight w:val="none"/>
          <w:u w:val="none"/>
          <w:shd w:val="clear" w:color="auto" w:fill="auto"/>
        </w:rPr>
        <w:t>（产品名称1）</w:t>
      </w:r>
      <w:r>
        <w:rPr>
          <w:rFonts w:hint="eastAsia" w:ascii="宋体" w:hAnsi="宋体" w:eastAsia="宋体" w:cs="宋体"/>
          <w:i w:val="0"/>
          <w:iCs w:val="0"/>
          <w:caps w:val="0"/>
          <w:color w:val="auto"/>
          <w:spacing w:val="0"/>
          <w:kern w:val="2"/>
          <w:sz w:val="24"/>
          <w:szCs w:val="24"/>
          <w:highlight w:val="none"/>
          <w:shd w:val="clear" w:color="auto" w:fill="auto"/>
        </w:rPr>
        <w:t>的中国境内生产的组件成本占比≥</w:t>
      </w:r>
      <w:r>
        <w:rPr>
          <w:rFonts w:hint="eastAsia" w:ascii="宋体" w:hAnsi="宋体" w:eastAsia="宋体" w:cs="宋体"/>
          <w:i w:val="0"/>
          <w:iCs w:val="0"/>
          <w:caps w:val="0"/>
          <w:color w:val="auto"/>
          <w:spacing w:val="0"/>
          <w:kern w:val="2"/>
          <w:sz w:val="24"/>
          <w:szCs w:val="24"/>
          <w:highlight w:val="none"/>
          <w:u w:val="none"/>
          <w:shd w:val="clear" w:color="auto" w:fill="auto"/>
        </w:rPr>
        <w:t>（规定比例）</w:t>
      </w:r>
      <w:r>
        <w:rPr>
          <w:rFonts w:hint="eastAsia" w:ascii="宋体" w:hAnsi="宋体" w:eastAsia="宋体" w:cs="宋体"/>
          <w:i w:val="0"/>
          <w:iCs w:val="0"/>
          <w:caps w:val="0"/>
          <w:color w:val="auto"/>
          <w:spacing w:val="0"/>
          <w:kern w:val="2"/>
          <w:sz w:val="24"/>
          <w:szCs w:val="24"/>
          <w:highlight w:val="none"/>
          <w:u w:val="none"/>
          <w:shd w:val="clear" w:color="auto" w:fill="auto"/>
          <w:vertAlign w:val="baseline"/>
        </w:rPr>
        <w:t>3</w:t>
      </w:r>
      <w:r>
        <w:rPr>
          <w:rFonts w:hint="eastAsia" w:ascii="宋体" w:hAnsi="宋体" w:eastAsia="宋体" w:cs="宋体"/>
          <w:i w:val="0"/>
          <w:iCs w:val="0"/>
          <w:caps w:val="0"/>
          <w:color w:val="auto"/>
          <w:spacing w:val="0"/>
          <w:kern w:val="2"/>
          <w:sz w:val="24"/>
          <w:szCs w:val="24"/>
          <w:highlight w:val="none"/>
          <w:shd w:val="clear" w:color="auto" w:fill="auto"/>
        </w:rPr>
        <w:t>。</w:t>
      </w:r>
      <w:r>
        <w:rPr>
          <w:rFonts w:hint="eastAsia" w:ascii="宋体" w:hAnsi="宋体" w:eastAsia="宋体" w:cs="宋体"/>
          <w:i w:val="0"/>
          <w:iCs w:val="0"/>
          <w:caps w:val="0"/>
          <w:color w:val="auto"/>
          <w:spacing w:val="0"/>
          <w:kern w:val="2"/>
          <w:sz w:val="24"/>
          <w:szCs w:val="24"/>
          <w:highlight w:val="none"/>
          <w:u w:val="none"/>
          <w:shd w:val="clear" w:color="auto" w:fill="auto"/>
        </w:rPr>
        <w:t>（产品名称1）</w:t>
      </w:r>
      <w:r>
        <w:rPr>
          <w:rFonts w:hint="eastAsia" w:ascii="宋体" w:hAnsi="宋体" w:eastAsia="宋体" w:cs="宋体"/>
          <w:i w:val="0"/>
          <w:iCs w:val="0"/>
          <w:caps w:val="0"/>
          <w:color w:val="auto"/>
          <w:spacing w:val="0"/>
          <w:kern w:val="2"/>
          <w:sz w:val="24"/>
          <w:szCs w:val="24"/>
          <w:highlight w:val="none"/>
          <w:shd w:val="clear" w:color="auto" w:fill="auto"/>
        </w:rPr>
        <w:t>的</w:t>
      </w:r>
      <w:r>
        <w:rPr>
          <w:rFonts w:hint="eastAsia" w:ascii="宋体" w:hAnsi="宋体" w:eastAsia="宋体" w:cs="宋体"/>
          <w:i w:val="0"/>
          <w:iCs w:val="0"/>
          <w:caps w:val="0"/>
          <w:color w:val="auto"/>
          <w:spacing w:val="0"/>
          <w:kern w:val="2"/>
          <w:sz w:val="24"/>
          <w:szCs w:val="24"/>
          <w:highlight w:val="none"/>
          <w:u w:val="none"/>
          <w:shd w:val="clear" w:color="auto" w:fill="auto"/>
        </w:rPr>
        <w:t>（关键组件）</w:t>
      </w:r>
      <w:r>
        <w:rPr>
          <w:rFonts w:hint="eastAsia" w:ascii="宋体" w:hAnsi="宋体" w:eastAsia="宋体" w:cs="宋体"/>
          <w:i w:val="0"/>
          <w:iCs w:val="0"/>
          <w:caps w:val="0"/>
          <w:color w:val="auto"/>
          <w:spacing w:val="0"/>
          <w:kern w:val="2"/>
          <w:sz w:val="24"/>
          <w:szCs w:val="24"/>
          <w:highlight w:val="none"/>
          <w:u w:val="none"/>
          <w:shd w:val="clear" w:color="auto" w:fill="auto"/>
          <w:vertAlign w:val="baseline"/>
        </w:rPr>
        <w:t>4</w:t>
      </w:r>
      <w:r>
        <w:rPr>
          <w:rFonts w:hint="eastAsia" w:ascii="宋体" w:hAnsi="宋体" w:eastAsia="宋体" w:cs="宋体"/>
          <w:i w:val="0"/>
          <w:iCs w:val="0"/>
          <w:caps w:val="0"/>
          <w:color w:val="auto"/>
          <w:spacing w:val="0"/>
          <w:kern w:val="2"/>
          <w:sz w:val="24"/>
          <w:szCs w:val="24"/>
          <w:highlight w:val="none"/>
          <w:shd w:val="clear" w:color="auto" w:fill="auto"/>
        </w:rPr>
        <w:t>在中国境内生产。</w:t>
      </w:r>
      <w:r>
        <w:rPr>
          <w:rFonts w:hint="eastAsia" w:ascii="宋体" w:hAnsi="宋体" w:eastAsia="宋体" w:cs="宋体"/>
          <w:i w:val="0"/>
          <w:iCs w:val="0"/>
          <w:caps w:val="0"/>
          <w:color w:val="auto"/>
          <w:spacing w:val="0"/>
          <w:kern w:val="2"/>
          <w:sz w:val="24"/>
          <w:szCs w:val="24"/>
          <w:highlight w:val="none"/>
          <w:u w:val="none"/>
          <w:shd w:val="clear" w:color="auto" w:fill="auto"/>
        </w:rPr>
        <w:t>（产品名称1）</w:t>
      </w:r>
      <w:r>
        <w:rPr>
          <w:rFonts w:hint="eastAsia" w:ascii="宋体" w:hAnsi="宋体" w:eastAsia="宋体" w:cs="宋体"/>
          <w:i w:val="0"/>
          <w:iCs w:val="0"/>
          <w:caps w:val="0"/>
          <w:color w:val="auto"/>
          <w:spacing w:val="0"/>
          <w:kern w:val="2"/>
          <w:sz w:val="24"/>
          <w:szCs w:val="24"/>
          <w:highlight w:val="none"/>
          <w:shd w:val="clear" w:color="auto" w:fill="auto"/>
        </w:rPr>
        <w:t>的</w:t>
      </w:r>
      <w:r>
        <w:rPr>
          <w:rFonts w:hint="eastAsia" w:ascii="宋体" w:hAnsi="宋体" w:eastAsia="宋体" w:cs="宋体"/>
          <w:i w:val="0"/>
          <w:iCs w:val="0"/>
          <w:caps w:val="0"/>
          <w:color w:val="auto"/>
          <w:spacing w:val="0"/>
          <w:kern w:val="2"/>
          <w:sz w:val="24"/>
          <w:szCs w:val="24"/>
          <w:highlight w:val="none"/>
          <w:u w:val="none"/>
          <w:shd w:val="clear" w:color="auto" w:fill="auto"/>
        </w:rPr>
        <w:t>（关键工序）</w:t>
      </w:r>
      <w:r>
        <w:rPr>
          <w:rFonts w:hint="eastAsia" w:ascii="宋体" w:hAnsi="宋体" w:eastAsia="宋体" w:cs="宋体"/>
          <w:i w:val="0"/>
          <w:iCs w:val="0"/>
          <w:caps w:val="0"/>
          <w:color w:val="auto"/>
          <w:spacing w:val="0"/>
          <w:kern w:val="2"/>
          <w:sz w:val="24"/>
          <w:szCs w:val="24"/>
          <w:highlight w:val="none"/>
          <w:u w:val="none"/>
          <w:shd w:val="clear" w:color="auto" w:fill="auto"/>
          <w:vertAlign w:val="baseline"/>
        </w:rPr>
        <w:t>5</w:t>
      </w:r>
      <w:r>
        <w:rPr>
          <w:rFonts w:hint="eastAsia" w:ascii="宋体" w:hAnsi="宋体" w:eastAsia="宋体" w:cs="宋体"/>
          <w:i w:val="0"/>
          <w:iCs w:val="0"/>
          <w:caps w:val="0"/>
          <w:color w:val="auto"/>
          <w:spacing w:val="0"/>
          <w:kern w:val="2"/>
          <w:sz w:val="24"/>
          <w:szCs w:val="24"/>
          <w:highlight w:val="none"/>
          <w:shd w:val="clear" w:color="auto" w:fill="auto"/>
        </w:rPr>
        <w:t>在中国境内完成。</w:t>
      </w:r>
    </w:p>
    <w:p w14:paraId="5C5F7F90">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rPr>
        <w:t>2.</w:t>
      </w:r>
      <w:r>
        <w:rPr>
          <w:rFonts w:hint="eastAsia" w:ascii="宋体" w:hAnsi="宋体" w:eastAsia="宋体" w:cs="宋体"/>
          <w:i w:val="0"/>
          <w:iCs w:val="0"/>
          <w:caps w:val="0"/>
          <w:color w:val="auto"/>
          <w:spacing w:val="0"/>
          <w:kern w:val="2"/>
          <w:sz w:val="24"/>
          <w:szCs w:val="24"/>
          <w:highlight w:val="none"/>
          <w:u w:val="none"/>
          <w:shd w:val="clear" w:color="auto" w:fill="auto"/>
        </w:rPr>
        <w:t>（产品名称2）</w:t>
      </w:r>
      <w:r>
        <w:rPr>
          <w:rFonts w:hint="eastAsia" w:ascii="宋体" w:hAnsi="宋体" w:eastAsia="宋体" w:cs="宋体"/>
          <w:i w:val="0"/>
          <w:iCs w:val="0"/>
          <w:caps w:val="0"/>
          <w:color w:val="auto"/>
          <w:spacing w:val="0"/>
          <w:kern w:val="2"/>
          <w:sz w:val="24"/>
          <w:szCs w:val="24"/>
          <w:highlight w:val="none"/>
          <w:shd w:val="clear" w:color="auto" w:fill="auto"/>
        </w:rPr>
        <w:t>，生产厂为</w:t>
      </w:r>
      <w:r>
        <w:rPr>
          <w:rFonts w:hint="eastAsia" w:ascii="宋体" w:hAnsi="宋体" w:eastAsia="宋体" w:cs="宋体"/>
          <w:i w:val="0"/>
          <w:iCs w:val="0"/>
          <w:caps w:val="0"/>
          <w:color w:val="auto"/>
          <w:spacing w:val="0"/>
          <w:kern w:val="2"/>
          <w:sz w:val="24"/>
          <w:szCs w:val="24"/>
          <w:highlight w:val="none"/>
          <w:u w:val="none"/>
          <w:shd w:val="clear" w:color="auto" w:fill="auto"/>
        </w:rPr>
        <w:t>（厂名）</w:t>
      </w:r>
      <w:r>
        <w:rPr>
          <w:rFonts w:hint="eastAsia" w:ascii="宋体" w:hAnsi="宋体" w:eastAsia="宋体" w:cs="宋体"/>
          <w:i w:val="0"/>
          <w:iCs w:val="0"/>
          <w:caps w:val="0"/>
          <w:color w:val="auto"/>
          <w:spacing w:val="0"/>
          <w:kern w:val="2"/>
          <w:sz w:val="24"/>
          <w:szCs w:val="24"/>
          <w:highlight w:val="none"/>
          <w:shd w:val="clear" w:color="auto" w:fill="auto"/>
        </w:rPr>
        <w:t>，厂址为</w:t>
      </w:r>
      <w:r>
        <w:rPr>
          <w:rFonts w:hint="eastAsia" w:ascii="宋体" w:hAnsi="宋体" w:eastAsia="宋体" w:cs="宋体"/>
          <w:i w:val="0"/>
          <w:iCs w:val="0"/>
          <w:caps w:val="0"/>
          <w:color w:val="auto"/>
          <w:spacing w:val="0"/>
          <w:kern w:val="2"/>
          <w:sz w:val="24"/>
          <w:szCs w:val="24"/>
          <w:highlight w:val="none"/>
          <w:u w:val="none"/>
          <w:shd w:val="clear" w:color="auto" w:fill="auto"/>
        </w:rPr>
        <w:t>（生产厂址）</w:t>
      </w:r>
      <w:r>
        <w:rPr>
          <w:rFonts w:hint="eastAsia" w:ascii="宋体" w:hAnsi="宋体" w:eastAsia="宋体" w:cs="宋体"/>
          <w:i w:val="0"/>
          <w:iCs w:val="0"/>
          <w:caps w:val="0"/>
          <w:color w:val="auto"/>
          <w:spacing w:val="0"/>
          <w:kern w:val="2"/>
          <w:sz w:val="24"/>
          <w:szCs w:val="24"/>
          <w:highlight w:val="none"/>
          <w:shd w:val="clear" w:color="auto" w:fill="auto"/>
        </w:rPr>
        <w:t>。</w:t>
      </w:r>
      <w:r>
        <w:rPr>
          <w:rFonts w:hint="eastAsia" w:ascii="宋体" w:hAnsi="宋体" w:eastAsia="宋体" w:cs="宋体"/>
          <w:i w:val="0"/>
          <w:iCs w:val="0"/>
          <w:caps w:val="0"/>
          <w:color w:val="auto"/>
          <w:spacing w:val="0"/>
          <w:kern w:val="2"/>
          <w:sz w:val="24"/>
          <w:szCs w:val="24"/>
          <w:highlight w:val="none"/>
          <w:u w:val="none"/>
          <w:shd w:val="clear" w:color="auto" w:fill="auto"/>
        </w:rPr>
        <w:t>（产品名称2）</w:t>
      </w:r>
      <w:r>
        <w:rPr>
          <w:rFonts w:hint="eastAsia" w:ascii="宋体" w:hAnsi="宋体" w:eastAsia="宋体" w:cs="宋体"/>
          <w:i w:val="0"/>
          <w:iCs w:val="0"/>
          <w:caps w:val="0"/>
          <w:color w:val="auto"/>
          <w:spacing w:val="0"/>
          <w:kern w:val="2"/>
          <w:sz w:val="24"/>
          <w:szCs w:val="24"/>
          <w:highlight w:val="none"/>
          <w:shd w:val="clear" w:color="auto" w:fill="auto"/>
        </w:rPr>
        <w:t>的中国境内生产的组件成本占比≥</w:t>
      </w:r>
      <w:r>
        <w:rPr>
          <w:rFonts w:hint="eastAsia" w:ascii="宋体" w:hAnsi="宋体" w:eastAsia="宋体" w:cs="宋体"/>
          <w:i w:val="0"/>
          <w:iCs w:val="0"/>
          <w:caps w:val="0"/>
          <w:color w:val="auto"/>
          <w:spacing w:val="0"/>
          <w:kern w:val="2"/>
          <w:sz w:val="24"/>
          <w:szCs w:val="24"/>
          <w:highlight w:val="none"/>
          <w:u w:val="none"/>
          <w:shd w:val="clear" w:color="auto" w:fill="auto"/>
        </w:rPr>
        <w:t>（规定比例）</w:t>
      </w:r>
      <w:r>
        <w:rPr>
          <w:rFonts w:hint="eastAsia" w:ascii="宋体" w:hAnsi="宋体" w:eastAsia="宋体" w:cs="宋体"/>
          <w:i w:val="0"/>
          <w:iCs w:val="0"/>
          <w:caps w:val="0"/>
          <w:color w:val="auto"/>
          <w:spacing w:val="0"/>
          <w:kern w:val="2"/>
          <w:sz w:val="24"/>
          <w:szCs w:val="24"/>
          <w:highlight w:val="none"/>
          <w:shd w:val="clear" w:color="auto" w:fill="auto"/>
        </w:rPr>
        <w:t>。</w:t>
      </w:r>
      <w:r>
        <w:rPr>
          <w:rFonts w:hint="eastAsia" w:ascii="宋体" w:hAnsi="宋体" w:eastAsia="宋体" w:cs="宋体"/>
          <w:i w:val="0"/>
          <w:iCs w:val="0"/>
          <w:caps w:val="0"/>
          <w:color w:val="auto"/>
          <w:spacing w:val="0"/>
          <w:kern w:val="2"/>
          <w:sz w:val="24"/>
          <w:szCs w:val="24"/>
          <w:highlight w:val="none"/>
          <w:u w:val="none"/>
          <w:shd w:val="clear" w:color="auto" w:fill="auto"/>
        </w:rPr>
        <w:t>（产品名称2）</w:t>
      </w:r>
      <w:r>
        <w:rPr>
          <w:rFonts w:hint="eastAsia" w:ascii="宋体" w:hAnsi="宋体" w:eastAsia="宋体" w:cs="宋体"/>
          <w:i w:val="0"/>
          <w:iCs w:val="0"/>
          <w:caps w:val="0"/>
          <w:color w:val="auto"/>
          <w:spacing w:val="0"/>
          <w:kern w:val="2"/>
          <w:sz w:val="24"/>
          <w:szCs w:val="24"/>
          <w:highlight w:val="none"/>
          <w:shd w:val="clear" w:color="auto" w:fill="auto"/>
        </w:rPr>
        <w:t>的</w:t>
      </w:r>
      <w:r>
        <w:rPr>
          <w:rFonts w:hint="eastAsia" w:ascii="宋体" w:hAnsi="宋体" w:eastAsia="宋体" w:cs="宋体"/>
          <w:i w:val="0"/>
          <w:iCs w:val="0"/>
          <w:caps w:val="0"/>
          <w:color w:val="auto"/>
          <w:spacing w:val="0"/>
          <w:kern w:val="2"/>
          <w:sz w:val="24"/>
          <w:szCs w:val="24"/>
          <w:highlight w:val="none"/>
          <w:u w:val="none"/>
          <w:shd w:val="clear" w:color="auto" w:fill="auto"/>
        </w:rPr>
        <w:t>（关键组件）</w:t>
      </w:r>
      <w:r>
        <w:rPr>
          <w:rFonts w:hint="eastAsia" w:ascii="宋体" w:hAnsi="宋体" w:eastAsia="宋体" w:cs="宋体"/>
          <w:i w:val="0"/>
          <w:iCs w:val="0"/>
          <w:caps w:val="0"/>
          <w:color w:val="auto"/>
          <w:spacing w:val="0"/>
          <w:kern w:val="2"/>
          <w:sz w:val="24"/>
          <w:szCs w:val="24"/>
          <w:highlight w:val="none"/>
          <w:shd w:val="clear" w:color="auto" w:fill="auto"/>
        </w:rPr>
        <w:t>在中国境内生产。</w:t>
      </w:r>
      <w:r>
        <w:rPr>
          <w:rFonts w:hint="eastAsia" w:ascii="宋体" w:hAnsi="宋体" w:eastAsia="宋体" w:cs="宋体"/>
          <w:i w:val="0"/>
          <w:iCs w:val="0"/>
          <w:caps w:val="0"/>
          <w:color w:val="auto"/>
          <w:spacing w:val="0"/>
          <w:kern w:val="2"/>
          <w:sz w:val="24"/>
          <w:szCs w:val="24"/>
          <w:highlight w:val="none"/>
          <w:u w:val="none"/>
          <w:shd w:val="clear" w:color="auto" w:fill="auto"/>
        </w:rPr>
        <w:t>（产品名称2）</w:t>
      </w:r>
      <w:r>
        <w:rPr>
          <w:rFonts w:hint="eastAsia" w:ascii="宋体" w:hAnsi="宋体" w:eastAsia="宋体" w:cs="宋体"/>
          <w:i w:val="0"/>
          <w:iCs w:val="0"/>
          <w:caps w:val="0"/>
          <w:color w:val="auto"/>
          <w:spacing w:val="0"/>
          <w:kern w:val="2"/>
          <w:sz w:val="24"/>
          <w:szCs w:val="24"/>
          <w:highlight w:val="none"/>
          <w:shd w:val="clear" w:color="auto" w:fill="auto"/>
        </w:rPr>
        <w:t>的</w:t>
      </w:r>
      <w:r>
        <w:rPr>
          <w:rFonts w:hint="eastAsia" w:ascii="宋体" w:hAnsi="宋体" w:eastAsia="宋体" w:cs="宋体"/>
          <w:i w:val="0"/>
          <w:iCs w:val="0"/>
          <w:caps w:val="0"/>
          <w:color w:val="auto"/>
          <w:spacing w:val="0"/>
          <w:kern w:val="2"/>
          <w:sz w:val="24"/>
          <w:szCs w:val="24"/>
          <w:highlight w:val="none"/>
          <w:u w:val="none"/>
          <w:shd w:val="clear" w:color="auto" w:fill="auto"/>
        </w:rPr>
        <w:t>（关键工序）</w:t>
      </w:r>
      <w:r>
        <w:rPr>
          <w:rFonts w:hint="eastAsia" w:ascii="宋体" w:hAnsi="宋体" w:eastAsia="宋体" w:cs="宋体"/>
          <w:i w:val="0"/>
          <w:iCs w:val="0"/>
          <w:caps w:val="0"/>
          <w:color w:val="auto"/>
          <w:spacing w:val="0"/>
          <w:kern w:val="2"/>
          <w:sz w:val="24"/>
          <w:szCs w:val="24"/>
          <w:highlight w:val="none"/>
          <w:shd w:val="clear" w:color="auto" w:fill="auto"/>
        </w:rPr>
        <w:t>在中国境内完成。</w:t>
      </w:r>
    </w:p>
    <w:p w14:paraId="15228339">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rPr>
        <w:t>……</w:t>
      </w:r>
    </w:p>
    <w:p w14:paraId="2E0EE39B">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rPr>
        <w:t>本公司（单位）对上述声明内容的真实性负责。如有虚假，愿承担相应法律责任。</w:t>
      </w:r>
    </w:p>
    <w:p w14:paraId="365A959F">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rPr>
          <w:rFonts w:hint="eastAsia" w:ascii="宋体" w:hAnsi="宋体" w:eastAsia="宋体" w:cs="宋体"/>
          <w:i w:val="0"/>
          <w:iCs w:val="0"/>
          <w:caps w:val="0"/>
          <w:color w:val="auto"/>
          <w:spacing w:val="0"/>
          <w:kern w:val="2"/>
          <w:sz w:val="24"/>
          <w:szCs w:val="24"/>
          <w:highlight w:val="none"/>
        </w:rPr>
      </w:pPr>
    </w:p>
    <w:p w14:paraId="10FC4B01">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right"/>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rPr>
        <w:t>公司（单位）名称（盖章）：　        </w:t>
      </w:r>
    </w:p>
    <w:p w14:paraId="40CD1DC5">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right"/>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rPr>
        <w:t>日期：　     年　  月　  日         </w:t>
      </w:r>
    </w:p>
    <w:p w14:paraId="44032E98">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left"/>
        <w:rPr>
          <w:rFonts w:hint="eastAsia" w:ascii="宋体" w:hAnsi="宋体" w:eastAsia="宋体" w:cs="宋体"/>
          <w:i w:val="0"/>
          <w:iCs w:val="0"/>
          <w:caps w:val="0"/>
          <w:color w:val="auto"/>
          <w:spacing w:val="0"/>
          <w:kern w:val="2"/>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rPr>
        <w:t>__________________</w:t>
      </w:r>
    </w:p>
    <w:p w14:paraId="1F7ACF56">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rPr>
        <w:t>1.产品如有型号，请在“产品名称”栏一并填写。</w:t>
      </w:r>
    </w:p>
    <w:p w14:paraId="1C902E3A">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rPr>
        <w:t>2.生产厂名与厂址应与生产厂营业执照载明的相关信息保持一致。</w:t>
      </w:r>
    </w:p>
    <w:p w14:paraId="72693F1F">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rPr>
        <w:t>3.该产品的中国境内生产的组件成本占比相关要求实施前，“规定比例”栏可不填，下同。</w:t>
      </w:r>
    </w:p>
    <w:p w14:paraId="2013224A">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kern w:val="2"/>
          <w:sz w:val="21"/>
          <w:szCs w:val="21"/>
          <w:highlight w:val="none"/>
        </w:rPr>
      </w:pPr>
      <w:r>
        <w:rPr>
          <w:rFonts w:hint="eastAsia" w:ascii="宋体" w:hAnsi="宋体" w:eastAsia="宋体" w:cs="宋体"/>
          <w:i w:val="0"/>
          <w:iCs w:val="0"/>
          <w:caps w:val="0"/>
          <w:color w:val="auto"/>
          <w:spacing w:val="0"/>
          <w:kern w:val="2"/>
          <w:sz w:val="21"/>
          <w:szCs w:val="21"/>
          <w:highlight w:val="none"/>
          <w:shd w:val="clear" w:color="auto" w:fill="auto"/>
        </w:rPr>
        <w:t>4.该产品的关键组件要求实施前，“关键组件”栏可不填，下同。</w:t>
      </w:r>
    </w:p>
    <w:p w14:paraId="6FCB4A6C">
      <w:pPr>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auto"/>
        </w:rPr>
        <w:t>5.该产品的关键工序要求实施前，“关键工序”栏可不填，下同。</w:t>
      </w:r>
    </w:p>
    <w:p w14:paraId="5CCF2ADB">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i w:val="0"/>
          <w:iCs w:val="0"/>
          <w:caps w:val="0"/>
          <w:color w:val="auto"/>
          <w:spacing w:val="0"/>
          <w:sz w:val="24"/>
          <w:szCs w:val="24"/>
          <w:highlight w:val="none"/>
          <w:shd w:val="clear" w:color="auto" w:fill="FFFFFF"/>
          <w:lang w:val="en-US" w:eastAsia="zh-CN"/>
        </w:rPr>
      </w:pPr>
    </w:p>
    <w:p w14:paraId="48B21F50">
      <w:pPr>
        <w:rPr>
          <w:rFonts w:hint="eastAsia" w:ascii="宋体" w:cs="宋体"/>
          <w:color w:val="auto"/>
          <w:szCs w:val="21"/>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注：</w:t>
      </w:r>
      <w:r>
        <w:rPr>
          <w:rFonts w:hint="eastAsia" w:ascii="宋体" w:hAnsi="宋体" w:eastAsia="宋体" w:cs="宋体"/>
          <w:i w:val="0"/>
          <w:iCs w:val="0"/>
          <w:caps w:val="0"/>
          <w:color w:val="auto"/>
          <w:spacing w:val="0"/>
          <w:sz w:val="24"/>
          <w:szCs w:val="24"/>
          <w:highlight w:val="none"/>
          <w:shd w:val="clear" w:color="auto" w:fill="FFFFFF"/>
        </w:rPr>
        <w:t>中标供应商提供的《声明函》或有关证明文件随中标结果同时公告。</w:t>
      </w:r>
      <w:r>
        <w:rPr>
          <w:rFonts w:hint="eastAsia" w:ascii="宋体" w:cs="宋体"/>
          <w:color w:val="auto"/>
          <w:szCs w:val="21"/>
          <w:highlight w:val="none"/>
        </w:rPr>
        <w:br w:type="page"/>
      </w:r>
    </w:p>
    <w:p w14:paraId="64F64947">
      <w:pPr>
        <w:shd w:val="clear" w:color="auto" w:fill="FFFFFF"/>
        <w:spacing w:line="480" w:lineRule="atLeast"/>
        <w:jc w:val="left"/>
        <w:rPr>
          <w:color w:val="auto"/>
          <w:highlight w:val="none"/>
        </w:rPr>
      </w:pPr>
      <w:r>
        <w:rPr>
          <w:rFonts w:hint="eastAsia" w:ascii="宋体" w:cs="宋体"/>
          <w:color w:val="auto"/>
          <w:sz w:val="28"/>
          <w:szCs w:val="28"/>
          <w:highlight w:val="none"/>
          <w:lang w:val="en-US" w:eastAsia="zh-CN"/>
        </w:rPr>
        <w:t>4</w:t>
      </w:r>
      <w:r>
        <w:rPr>
          <w:rFonts w:hint="eastAsia" w:ascii="宋体" w:cs="宋体"/>
          <w:color w:val="auto"/>
          <w:sz w:val="28"/>
          <w:szCs w:val="28"/>
          <w:highlight w:val="none"/>
        </w:rPr>
        <w:t>.</w:t>
      </w:r>
      <w:r>
        <w:rPr>
          <w:rFonts w:hint="eastAsia" w:ascii="宋体" w:cs="宋体"/>
          <w:color w:val="auto"/>
          <w:kern w:val="0"/>
          <w:sz w:val="28"/>
          <w:szCs w:val="28"/>
          <w:highlight w:val="none"/>
        </w:rPr>
        <w:t>广西壮族自治区政府采购项目合同验收书的格式：</w:t>
      </w:r>
    </w:p>
    <w:p w14:paraId="08C25266">
      <w:pPr>
        <w:shd w:val="clear" w:color="auto" w:fill="FFFFFF"/>
        <w:spacing w:line="480" w:lineRule="atLeast"/>
        <w:jc w:val="center"/>
        <w:rPr>
          <w:rFonts w:ascii="宋体" w:cs="宋体"/>
          <w:color w:val="auto"/>
          <w:kern w:val="0"/>
          <w:sz w:val="32"/>
          <w:szCs w:val="32"/>
          <w:highlight w:val="none"/>
        </w:rPr>
      </w:pPr>
    </w:p>
    <w:p w14:paraId="1EA38266">
      <w:pPr>
        <w:shd w:val="clear" w:color="auto" w:fill="FFFFFF"/>
        <w:spacing w:line="480" w:lineRule="atLeast"/>
        <w:jc w:val="center"/>
        <w:rPr>
          <w:rFonts w:ascii="宋体" w:cs="宋体"/>
          <w:color w:val="auto"/>
          <w:kern w:val="0"/>
          <w:sz w:val="32"/>
          <w:szCs w:val="32"/>
          <w:highlight w:val="none"/>
        </w:rPr>
      </w:pPr>
      <w:r>
        <w:rPr>
          <w:rFonts w:hint="eastAsia" w:ascii="宋体" w:cs="宋体"/>
          <w:color w:val="auto"/>
          <w:kern w:val="0"/>
          <w:sz w:val="32"/>
          <w:szCs w:val="32"/>
          <w:highlight w:val="none"/>
        </w:rPr>
        <w:t>广西壮族自治区政府采购项目合同验收书</w:t>
      </w:r>
    </w:p>
    <w:p w14:paraId="35C38F52">
      <w:pPr>
        <w:shd w:val="clear" w:color="auto" w:fill="FFFFFF"/>
        <w:spacing w:line="480" w:lineRule="atLeast"/>
        <w:jc w:val="center"/>
        <w:rPr>
          <w:rFonts w:ascii="宋体" w:cs="宋体"/>
          <w:color w:val="auto"/>
          <w:kern w:val="0"/>
          <w:sz w:val="32"/>
          <w:szCs w:val="32"/>
          <w:highlight w:val="none"/>
        </w:rPr>
      </w:pPr>
    </w:p>
    <w:p w14:paraId="0CF1B6A6">
      <w:pPr>
        <w:shd w:val="clear" w:color="auto" w:fill="FFFFFF"/>
        <w:snapToGrid w:val="0"/>
        <w:spacing w:line="320" w:lineRule="atLeast"/>
        <w:ind w:firstLine="480"/>
        <w:jc w:val="left"/>
        <w:rPr>
          <w:rFonts w:ascii="宋体" w:cs="宋体"/>
          <w:color w:val="auto"/>
          <w:kern w:val="0"/>
          <w:szCs w:val="21"/>
          <w:highlight w:val="none"/>
        </w:rPr>
      </w:pPr>
      <w:r>
        <w:rPr>
          <w:rFonts w:hint="eastAsia" w:ascii="宋体" w:cs="宋体"/>
          <w:color w:val="auto"/>
          <w:kern w:val="0"/>
          <w:szCs w:val="21"/>
          <w:highlight w:val="none"/>
        </w:rPr>
        <w:t>根据政府采购项目（</w:t>
      </w:r>
      <w:r>
        <w:rPr>
          <w:rFonts w:hint="eastAsia" w:ascii="宋体" w:cs="宋体"/>
          <w:color w:val="auto"/>
          <w:kern w:val="0"/>
          <w:szCs w:val="21"/>
          <w:highlight w:val="none"/>
          <w:u w:val="single"/>
        </w:rPr>
        <w:t>采购合同编号：</w:t>
      </w:r>
      <w:r>
        <w:rPr>
          <w:rFonts w:hint="eastAsia" w:ascii="宋体" w:cs="宋体"/>
          <w:color w:val="auto"/>
          <w:kern w:val="0"/>
          <w:szCs w:val="21"/>
          <w:highlight w:val="none"/>
          <w:u w:val="single"/>
        </w:rPr>
        <w:softHyphen/>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）的约定，我单位对（</w:t>
      </w:r>
      <w:r>
        <w:rPr>
          <w:rFonts w:hint="eastAsia" w:ascii="宋体" w:cs="宋体"/>
          <w:color w:val="auto"/>
          <w:kern w:val="0"/>
          <w:szCs w:val="21"/>
          <w:highlight w:val="none"/>
          <w:u w:val="single"/>
        </w:rPr>
        <w:t xml:space="preserve"> 项目名称 </w:t>
      </w:r>
      <w:r>
        <w:rPr>
          <w:rFonts w:hint="eastAsia" w:ascii="宋体" w:cs="宋体"/>
          <w:color w:val="auto"/>
          <w:kern w:val="0"/>
          <w:szCs w:val="21"/>
          <w:highlight w:val="none"/>
        </w:rPr>
        <w:t>） 政府采购项目中标（或者成交）投标人（</w:t>
      </w:r>
      <w:r>
        <w:rPr>
          <w:rFonts w:hint="eastAsia" w:ascii="宋体" w:cs="宋体"/>
          <w:color w:val="auto"/>
          <w:kern w:val="0"/>
          <w:szCs w:val="21"/>
          <w:highlight w:val="none"/>
          <w:u w:val="single"/>
        </w:rPr>
        <w:t xml:space="preserve"> 公司名称 </w:t>
      </w:r>
      <w:r>
        <w:rPr>
          <w:rFonts w:hint="eastAsia" w:ascii="宋体" w:cs="宋体"/>
          <w:color w:val="auto"/>
          <w:kern w:val="0"/>
          <w:szCs w:val="21"/>
          <w:highlight w:val="none"/>
        </w:rPr>
        <w:t>） 提供的货物（或者工程、服务）进行了验收，验收情况如下：</w:t>
      </w:r>
    </w:p>
    <w:tbl>
      <w:tblPr>
        <w:tblStyle w:val="27"/>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621F6D03">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3A3DB28C">
            <w:pPr>
              <w:snapToGrid w:val="0"/>
              <w:spacing w:before="100" w:beforeAutospacing="1" w:after="100" w:afterAutospacing="1" w:line="320" w:lineRule="atLeast"/>
              <w:ind w:firstLine="5"/>
              <w:jc w:val="center"/>
              <w:rPr>
                <w:rFonts w:ascii="宋体" w:cs="宋体"/>
                <w:color w:val="auto"/>
                <w:kern w:val="0"/>
                <w:szCs w:val="21"/>
                <w:highlight w:val="none"/>
              </w:rPr>
            </w:pPr>
            <w:r>
              <w:rPr>
                <w:rFonts w:hint="eastAsia" w:ascii="宋体"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vAlign w:val="center"/>
          </w:tcPr>
          <w:p w14:paraId="0D5B1727">
            <w:pPr>
              <w:snapToGrid w:val="0"/>
              <w:spacing w:before="100" w:beforeAutospacing="1" w:after="100" w:afterAutospacing="1" w:line="320" w:lineRule="atLeast"/>
              <w:ind w:firstLine="480"/>
              <w:jc w:val="center"/>
              <w:rPr>
                <w:rFonts w:ascii="宋体" w:cs="宋体"/>
                <w:color w:val="auto"/>
                <w:kern w:val="0"/>
                <w:szCs w:val="21"/>
                <w:highlight w:val="none"/>
              </w:rPr>
            </w:pPr>
            <w:r>
              <w:rPr>
                <w:rFonts w:hint="eastAsia" w:ascii="宋体" w:cs="宋体"/>
                <w:color w:val="auto"/>
                <w:kern w:val="0"/>
                <w:szCs w:val="21"/>
                <w:highlight w:val="none"/>
              </w:rPr>
              <w:t>□自行验收 □委托验收</w:t>
            </w:r>
          </w:p>
        </w:tc>
      </w:tr>
      <w:tr w14:paraId="51D1C663">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3AEF97F7">
            <w:pPr>
              <w:snapToGrid w:val="0"/>
              <w:spacing w:before="100" w:beforeAutospacing="1" w:after="100" w:afterAutospacing="1" w:line="320" w:lineRule="atLeast"/>
              <w:ind w:firstLine="2"/>
              <w:jc w:val="center"/>
              <w:rPr>
                <w:rFonts w:ascii="宋体" w:cs="宋体"/>
                <w:color w:val="auto"/>
                <w:kern w:val="0"/>
                <w:szCs w:val="21"/>
                <w:highlight w:val="none"/>
              </w:rPr>
            </w:pPr>
            <w:r>
              <w:rPr>
                <w:rFonts w:hint="eastAsia" w:ascii="宋体" w:cs="宋体"/>
                <w:color w:val="auto"/>
                <w:kern w:val="0"/>
                <w:szCs w:val="21"/>
                <w:highlight w:val="none"/>
              </w:rPr>
              <w:t>序号</w:t>
            </w:r>
          </w:p>
        </w:tc>
        <w:tc>
          <w:tcPr>
            <w:tcW w:w="1921" w:type="dxa"/>
            <w:tcBorders>
              <w:top w:val="nil"/>
              <w:left w:val="nil"/>
              <w:bottom w:val="single" w:color="auto" w:sz="8" w:space="0"/>
              <w:right w:val="single" w:color="auto" w:sz="8" w:space="0"/>
            </w:tcBorders>
            <w:vAlign w:val="center"/>
          </w:tcPr>
          <w:p w14:paraId="1C8D2C84">
            <w:pPr>
              <w:snapToGrid w:val="0"/>
              <w:spacing w:before="100" w:beforeAutospacing="1" w:after="100" w:afterAutospacing="1" w:line="320" w:lineRule="atLeast"/>
              <w:ind w:firstLine="2"/>
              <w:jc w:val="center"/>
              <w:rPr>
                <w:rFonts w:ascii="宋体" w:cs="宋体"/>
                <w:color w:val="auto"/>
                <w:kern w:val="0"/>
                <w:szCs w:val="21"/>
                <w:highlight w:val="none"/>
              </w:rPr>
            </w:pPr>
            <w:r>
              <w:rPr>
                <w:rFonts w:hint="eastAsia" w:ascii="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vAlign w:val="center"/>
          </w:tcPr>
          <w:p w14:paraId="29DE33B4">
            <w:pPr>
              <w:snapToGrid w:val="0"/>
              <w:spacing w:before="100" w:beforeAutospacing="1" w:after="100" w:afterAutospacing="1" w:line="320" w:lineRule="atLeast"/>
              <w:ind w:firstLine="2"/>
              <w:jc w:val="center"/>
              <w:rPr>
                <w:rFonts w:ascii="宋体" w:cs="宋体"/>
                <w:color w:val="auto"/>
                <w:kern w:val="0"/>
                <w:szCs w:val="21"/>
                <w:highlight w:val="none"/>
              </w:rPr>
            </w:pPr>
            <w:r>
              <w:rPr>
                <w:rFonts w:hint="eastAsia" w:ascii="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03AFAB25">
            <w:pPr>
              <w:snapToGrid w:val="0"/>
              <w:spacing w:before="100" w:beforeAutospacing="1" w:after="100" w:afterAutospacing="1" w:line="320" w:lineRule="atLeast"/>
              <w:jc w:val="center"/>
              <w:rPr>
                <w:rFonts w:ascii="宋体" w:cs="宋体"/>
                <w:color w:val="auto"/>
                <w:kern w:val="0"/>
                <w:szCs w:val="21"/>
                <w:highlight w:val="none"/>
              </w:rPr>
            </w:pPr>
            <w:r>
              <w:rPr>
                <w:rFonts w:hint="eastAsia" w:ascii="宋体" w:cs="宋体"/>
                <w:color w:val="auto"/>
                <w:kern w:val="0"/>
                <w:szCs w:val="21"/>
                <w:highlight w:val="none"/>
              </w:rPr>
              <w:t>数量</w:t>
            </w:r>
          </w:p>
        </w:tc>
        <w:tc>
          <w:tcPr>
            <w:tcW w:w="2354" w:type="dxa"/>
            <w:tcBorders>
              <w:top w:val="nil"/>
              <w:left w:val="nil"/>
              <w:bottom w:val="single" w:color="auto" w:sz="8" w:space="0"/>
              <w:right w:val="single" w:color="auto" w:sz="8" w:space="0"/>
            </w:tcBorders>
            <w:vAlign w:val="center"/>
          </w:tcPr>
          <w:p w14:paraId="43D6A8C1">
            <w:pPr>
              <w:snapToGrid w:val="0"/>
              <w:spacing w:before="100" w:beforeAutospacing="1" w:after="100" w:afterAutospacing="1" w:line="320" w:lineRule="atLeast"/>
              <w:ind w:firstLine="2"/>
              <w:jc w:val="center"/>
              <w:rPr>
                <w:rFonts w:ascii="宋体" w:cs="宋体"/>
                <w:color w:val="auto"/>
                <w:kern w:val="0"/>
                <w:szCs w:val="21"/>
                <w:highlight w:val="none"/>
              </w:rPr>
            </w:pPr>
            <w:r>
              <w:rPr>
                <w:rFonts w:hint="eastAsia" w:ascii="宋体" w:cs="宋体"/>
                <w:color w:val="auto"/>
                <w:kern w:val="0"/>
                <w:szCs w:val="21"/>
                <w:highlight w:val="none"/>
              </w:rPr>
              <w:t>金 额</w:t>
            </w:r>
          </w:p>
        </w:tc>
      </w:tr>
      <w:tr w14:paraId="297D9730">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35738310">
            <w:pPr>
              <w:spacing w:before="100" w:beforeAutospacing="1" w:after="100" w:afterAutospacing="1" w:line="240" w:lineRule="atLeast"/>
              <w:jc w:val="center"/>
              <w:rPr>
                <w:rFonts w:asci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7400817C">
            <w:pPr>
              <w:spacing w:before="100" w:beforeAutospacing="1" w:after="100" w:afterAutospacing="1" w:line="240" w:lineRule="atLeast"/>
              <w:jc w:val="center"/>
              <w:rPr>
                <w:rFonts w:asci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5D154F8B">
            <w:pPr>
              <w:spacing w:before="100" w:beforeAutospacing="1" w:after="100" w:afterAutospacing="1" w:line="240" w:lineRule="atLeast"/>
              <w:jc w:val="center"/>
              <w:rPr>
                <w:rFonts w:asci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7416D830">
            <w:pPr>
              <w:spacing w:before="100" w:beforeAutospacing="1" w:after="100" w:afterAutospacing="1" w:line="240" w:lineRule="atLeast"/>
              <w:jc w:val="center"/>
              <w:rPr>
                <w:rFonts w:ascii="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03397487">
            <w:pPr>
              <w:spacing w:before="100" w:beforeAutospacing="1" w:after="100" w:afterAutospacing="1" w:line="240" w:lineRule="atLeast"/>
              <w:jc w:val="center"/>
              <w:rPr>
                <w:rFonts w:ascii="宋体" w:cs="宋体"/>
                <w:color w:val="auto"/>
                <w:kern w:val="0"/>
                <w:szCs w:val="21"/>
                <w:highlight w:val="none"/>
              </w:rPr>
            </w:pPr>
          </w:p>
        </w:tc>
      </w:tr>
      <w:tr w14:paraId="4960146C">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69D129BB">
            <w:pPr>
              <w:spacing w:before="100" w:beforeAutospacing="1" w:after="100" w:afterAutospacing="1" w:line="240" w:lineRule="atLeast"/>
              <w:jc w:val="center"/>
              <w:rPr>
                <w:rFonts w:asci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350E8C22">
            <w:pPr>
              <w:spacing w:before="100" w:beforeAutospacing="1" w:after="100" w:afterAutospacing="1" w:line="240" w:lineRule="atLeast"/>
              <w:jc w:val="center"/>
              <w:rPr>
                <w:rFonts w:asci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4F9F5E91">
            <w:pPr>
              <w:spacing w:before="100" w:beforeAutospacing="1" w:after="100" w:afterAutospacing="1" w:line="240" w:lineRule="atLeast"/>
              <w:jc w:val="center"/>
              <w:rPr>
                <w:rFonts w:asci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69C63DE7">
            <w:pPr>
              <w:spacing w:before="100" w:beforeAutospacing="1" w:after="100" w:afterAutospacing="1" w:line="240" w:lineRule="atLeast"/>
              <w:jc w:val="center"/>
              <w:rPr>
                <w:rFonts w:ascii="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3A05D3E6">
            <w:pPr>
              <w:spacing w:before="100" w:beforeAutospacing="1" w:after="100" w:afterAutospacing="1" w:line="240" w:lineRule="atLeast"/>
              <w:jc w:val="center"/>
              <w:rPr>
                <w:rFonts w:ascii="宋体" w:cs="宋体"/>
                <w:color w:val="auto"/>
                <w:kern w:val="0"/>
                <w:szCs w:val="21"/>
                <w:highlight w:val="none"/>
              </w:rPr>
            </w:pPr>
          </w:p>
        </w:tc>
      </w:tr>
      <w:tr w14:paraId="687624E5">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4F675C9A">
            <w:pPr>
              <w:spacing w:before="100" w:beforeAutospacing="1" w:after="100" w:afterAutospacing="1" w:line="240" w:lineRule="atLeast"/>
              <w:jc w:val="center"/>
              <w:rPr>
                <w:rFonts w:ascii="宋体" w:cs="宋体"/>
                <w:color w:val="auto"/>
                <w:kern w:val="0"/>
                <w:szCs w:val="21"/>
                <w:highlight w:val="none"/>
              </w:rPr>
            </w:pPr>
          </w:p>
        </w:tc>
        <w:tc>
          <w:tcPr>
            <w:tcW w:w="1921" w:type="dxa"/>
            <w:tcBorders>
              <w:top w:val="nil"/>
              <w:left w:val="nil"/>
              <w:bottom w:val="single" w:color="auto" w:sz="8" w:space="0"/>
              <w:right w:val="single" w:color="auto" w:sz="8" w:space="0"/>
            </w:tcBorders>
            <w:vAlign w:val="center"/>
          </w:tcPr>
          <w:p w14:paraId="75B7A78F">
            <w:pPr>
              <w:spacing w:before="100" w:beforeAutospacing="1" w:after="100" w:afterAutospacing="1" w:line="240" w:lineRule="atLeast"/>
              <w:jc w:val="center"/>
              <w:rPr>
                <w:rFonts w:ascii="宋体"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1F8659EA">
            <w:pPr>
              <w:spacing w:before="100" w:beforeAutospacing="1" w:after="100" w:afterAutospacing="1" w:line="240" w:lineRule="atLeast"/>
              <w:jc w:val="center"/>
              <w:rPr>
                <w:rFonts w:ascii="宋体"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284B321D">
            <w:pPr>
              <w:spacing w:before="100" w:beforeAutospacing="1" w:after="100" w:afterAutospacing="1" w:line="240" w:lineRule="atLeast"/>
              <w:jc w:val="center"/>
              <w:rPr>
                <w:rFonts w:ascii="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491FCA3E">
            <w:pPr>
              <w:spacing w:before="100" w:beforeAutospacing="1" w:after="100" w:afterAutospacing="1" w:line="240" w:lineRule="atLeast"/>
              <w:jc w:val="center"/>
              <w:rPr>
                <w:rFonts w:ascii="宋体" w:cs="宋体"/>
                <w:color w:val="auto"/>
                <w:kern w:val="0"/>
                <w:szCs w:val="21"/>
                <w:highlight w:val="none"/>
              </w:rPr>
            </w:pPr>
          </w:p>
        </w:tc>
      </w:tr>
      <w:tr w14:paraId="00DC4ED3">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214B6661">
            <w:pPr>
              <w:snapToGrid w:val="0"/>
              <w:spacing w:before="100" w:beforeAutospacing="1" w:after="100" w:afterAutospacing="1" w:line="320" w:lineRule="atLeast"/>
              <w:ind w:firstLine="5"/>
              <w:jc w:val="center"/>
              <w:rPr>
                <w:rFonts w:ascii="宋体" w:cs="宋体"/>
                <w:color w:val="auto"/>
                <w:kern w:val="0"/>
                <w:szCs w:val="21"/>
                <w:highlight w:val="none"/>
              </w:rPr>
            </w:pPr>
            <w:r>
              <w:rPr>
                <w:rFonts w:hint="eastAsia" w:ascii="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14:paraId="68B5ED84">
            <w:pPr>
              <w:spacing w:before="100" w:beforeAutospacing="1" w:after="100" w:afterAutospacing="1" w:line="240" w:lineRule="atLeast"/>
              <w:jc w:val="center"/>
              <w:rPr>
                <w:rFonts w:ascii="宋体" w:cs="宋体"/>
                <w:color w:val="auto"/>
                <w:kern w:val="0"/>
                <w:szCs w:val="21"/>
                <w:highlight w:val="none"/>
              </w:rPr>
            </w:pPr>
          </w:p>
        </w:tc>
        <w:tc>
          <w:tcPr>
            <w:tcW w:w="2354" w:type="dxa"/>
            <w:tcBorders>
              <w:top w:val="nil"/>
              <w:left w:val="nil"/>
              <w:bottom w:val="single" w:color="auto" w:sz="8" w:space="0"/>
              <w:right w:val="single" w:color="auto" w:sz="8" w:space="0"/>
            </w:tcBorders>
            <w:vAlign w:val="center"/>
          </w:tcPr>
          <w:p w14:paraId="06D83523">
            <w:pPr>
              <w:spacing w:before="100" w:beforeAutospacing="1" w:after="100" w:afterAutospacing="1" w:line="240" w:lineRule="atLeast"/>
              <w:jc w:val="center"/>
              <w:rPr>
                <w:rFonts w:ascii="宋体" w:cs="宋体"/>
                <w:color w:val="auto"/>
                <w:kern w:val="0"/>
                <w:szCs w:val="21"/>
                <w:highlight w:val="none"/>
              </w:rPr>
            </w:pPr>
          </w:p>
        </w:tc>
      </w:tr>
      <w:tr w14:paraId="3F82CC75">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14:paraId="5A3AA420">
            <w:pPr>
              <w:snapToGrid w:val="0"/>
              <w:spacing w:before="100" w:beforeAutospacing="1" w:after="100" w:afterAutospacing="1" w:line="320" w:lineRule="atLeast"/>
              <w:ind w:firstLine="2"/>
              <w:jc w:val="left"/>
              <w:rPr>
                <w:rFonts w:ascii="宋体" w:cs="宋体"/>
                <w:color w:val="auto"/>
                <w:kern w:val="0"/>
                <w:szCs w:val="21"/>
                <w:highlight w:val="none"/>
              </w:rPr>
            </w:pPr>
            <w:r>
              <w:rPr>
                <w:rFonts w:hint="eastAsia" w:ascii="宋体" w:cs="宋体"/>
                <w:color w:val="auto"/>
                <w:kern w:val="0"/>
                <w:szCs w:val="21"/>
                <w:highlight w:val="none"/>
              </w:rPr>
              <w:t>合计大写金额： 亿 仟 佰 拾 万 仟 佰 拾 元</w:t>
            </w:r>
          </w:p>
        </w:tc>
      </w:tr>
      <w:tr w14:paraId="57368A86">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1C6B7E92">
            <w:pPr>
              <w:snapToGrid w:val="0"/>
              <w:spacing w:before="100" w:beforeAutospacing="1" w:after="100" w:afterAutospacing="1" w:line="320" w:lineRule="atLeast"/>
              <w:ind w:firstLine="2"/>
              <w:jc w:val="center"/>
              <w:rPr>
                <w:rFonts w:ascii="宋体" w:cs="宋体"/>
                <w:color w:val="auto"/>
                <w:kern w:val="0"/>
                <w:szCs w:val="21"/>
                <w:highlight w:val="none"/>
              </w:rPr>
            </w:pPr>
            <w:r>
              <w:rPr>
                <w:rFonts w:hint="eastAsia" w:ascii="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vAlign w:val="center"/>
          </w:tcPr>
          <w:p w14:paraId="008E2FED">
            <w:pPr>
              <w:spacing w:before="100" w:beforeAutospacing="1" w:after="100" w:afterAutospacing="1" w:line="240" w:lineRule="atLeast"/>
              <w:jc w:val="center"/>
              <w:rPr>
                <w:rFonts w:asci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48683318">
            <w:pPr>
              <w:snapToGrid w:val="0"/>
              <w:spacing w:before="100" w:beforeAutospacing="1" w:after="100" w:afterAutospacing="1" w:line="320" w:lineRule="atLeast"/>
              <w:ind w:firstLine="46"/>
              <w:jc w:val="center"/>
              <w:rPr>
                <w:rFonts w:ascii="宋体" w:cs="宋体"/>
                <w:color w:val="auto"/>
                <w:kern w:val="0"/>
                <w:szCs w:val="21"/>
                <w:highlight w:val="none"/>
              </w:rPr>
            </w:pPr>
            <w:r>
              <w:rPr>
                <w:rFonts w:hint="eastAsia" w:ascii="宋体" w:cs="宋体"/>
                <w:color w:val="auto"/>
                <w:kern w:val="0"/>
                <w:szCs w:val="21"/>
                <w:highlight w:val="none"/>
              </w:rPr>
              <w:t>合同交货验收日期</w:t>
            </w:r>
          </w:p>
        </w:tc>
        <w:tc>
          <w:tcPr>
            <w:tcW w:w="3039" w:type="dxa"/>
            <w:gridSpan w:val="2"/>
            <w:tcBorders>
              <w:top w:val="nil"/>
              <w:left w:val="nil"/>
              <w:bottom w:val="single" w:color="auto" w:sz="8" w:space="0"/>
              <w:right w:val="single" w:color="auto" w:sz="8" w:space="0"/>
            </w:tcBorders>
            <w:vAlign w:val="center"/>
          </w:tcPr>
          <w:p w14:paraId="4289D373">
            <w:pPr>
              <w:spacing w:before="100" w:beforeAutospacing="1" w:after="100" w:afterAutospacing="1" w:line="240" w:lineRule="atLeast"/>
              <w:jc w:val="center"/>
              <w:rPr>
                <w:rFonts w:ascii="宋体" w:cs="宋体"/>
                <w:color w:val="auto"/>
                <w:kern w:val="0"/>
                <w:szCs w:val="21"/>
                <w:highlight w:val="none"/>
              </w:rPr>
            </w:pPr>
          </w:p>
        </w:tc>
      </w:tr>
      <w:tr w14:paraId="31041661">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16991424">
            <w:pPr>
              <w:spacing w:before="100" w:beforeAutospacing="1" w:after="100" w:afterAutospacing="1" w:line="240" w:lineRule="atLeast"/>
              <w:jc w:val="center"/>
              <w:rPr>
                <w:rFonts w:ascii="宋体" w:cs="宋体"/>
                <w:color w:val="auto"/>
                <w:kern w:val="0"/>
                <w:szCs w:val="21"/>
                <w:highlight w:val="none"/>
              </w:rPr>
            </w:pPr>
          </w:p>
        </w:tc>
        <w:tc>
          <w:tcPr>
            <w:tcW w:w="2719" w:type="dxa"/>
            <w:gridSpan w:val="2"/>
            <w:tcBorders>
              <w:top w:val="nil"/>
              <w:left w:val="nil"/>
              <w:bottom w:val="single" w:color="auto" w:sz="8" w:space="0"/>
              <w:right w:val="single" w:color="auto" w:sz="8" w:space="0"/>
            </w:tcBorders>
            <w:vAlign w:val="center"/>
          </w:tcPr>
          <w:p w14:paraId="18C4442C">
            <w:pPr>
              <w:spacing w:before="100" w:beforeAutospacing="1" w:after="100" w:afterAutospacing="1" w:line="240" w:lineRule="atLeast"/>
              <w:jc w:val="center"/>
              <w:rPr>
                <w:rFonts w:ascii="宋体"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67661AF6">
            <w:pPr>
              <w:spacing w:before="100" w:beforeAutospacing="1" w:after="100" w:afterAutospacing="1" w:line="240" w:lineRule="atLeast"/>
              <w:jc w:val="center"/>
              <w:rPr>
                <w:rFonts w:ascii="宋体" w:cs="宋体"/>
                <w:color w:val="auto"/>
                <w:kern w:val="0"/>
                <w:szCs w:val="21"/>
                <w:highlight w:val="none"/>
              </w:rPr>
            </w:pPr>
          </w:p>
        </w:tc>
        <w:tc>
          <w:tcPr>
            <w:tcW w:w="3039" w:type="dxa"/>
            <w:gridSpan w:val="2"/>
            <w:tcBorders>
              <w:top w:val="nil"/>
              <w:left w:val="nil"/>
              <w:bottom w:val="single" w:color="auto" w:sz="8" w:space="0"/>
              <w:right w:val="single" w:color="auto" w:sz="8" w:space="0"/>
            </w:tcBorders>
            <w:vAlign w:val="center"/>
          </w:tcPr>
          <w:p w14:paraId="12540B7C">
            <w:pPr>
              <w:spacing w:before="100" w:beforeAutospacing="1" w:after="100" w:afterAutospacing="1" w:line="240" w:lineRule="atLeast"/>
              <w:jc w:val="center"/>
              <w:rPr>
                <w:rFonts w:ascii="宋体" w:cs="宋体"/>
                <w:color w:val="auto"/>
                <w:kern w:val="0"/>
                <w:szCs w:val="21"/>
                <w:highlight w:val="none"/>
              </w:rPr>
            </w:pPr>
          </w:p>
        </w:tc>
      </w:tr>
      <w:tr w14:paraId="242B338D">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left w:w="108" w:type="dxa"/>
              <w:right w:w="108" w:type="dxa"/>
            </w:tcMar>
            <w:vAlign w:val="center"/>
          </w:tcPr>
          <w:p w14:paraId="7639F632">
            <w:pPr>
              <w:snapToGrid w:val="0"/>
              <w:spacing w:before="100" w:beforeAutospacing="1" w:after="100" w:afterAutospacing="1" w:line="320" w:lineRule="atLeast"/>
              <w:jc w:val="left"/>
              <w:rPr>
                <w:rFonts w:ascii="宋体" w:cs="宋体"/>
                <w:color w:val="auto"/>
                <w:kern w:val="0"/>
                <w:szCs w:val="21"/>
                <w:highlight w:val="none"/>
              </w:rPr>
            </w:pPr>
            <w:r>
              <w:rPr>
                <w:rFonts w:hint="eastAsia" w:ascii="宋体"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tcMar>
              <w:left w:w="108" w:type="dxa"/>
              <w:right w:w="108" w:type="dxa"/>
            </w:tcMar>
            <w:vAlign w:val="center"/>
          </w:tcPr>
          <w:p w14:paraId="6AD37F89">
            <w:pPr>
              <w:snapToGrid w:val="0"/>
              <w:spacing w:before="100" w:beforeAutospacing="1" w:after="100" w:afterAutospacing="1" w:line="320" w:lineRule="atLeast"/>
              <w:jc w:val="left"/>
              <w:rPr>
                <w:rFonts w:ascii="宋体" w:cs="宋体"/>
                <w:color w:val="auto"/>
                <w:kern w:val="0"/>
                <w:szCs w:val="21"/>
                <w:highlight w:val="none"/>
              </w:rPr>
            </w:pPr>
            <w:r>
              <w:rPr>
                <w:rFonts w:hint="eastAsia" w:ascii="宋体" w:cs="宋体"/>
                <w:color w:val="auto"/>
                <w:ker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19589991">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36285F38">
            <w:pPr>
              <w:spacing w:before="100" w:beforeAutospacing="1" w:after="100" w:afterAutospacing="1" w:line="320" w:lineRule="atLeast"/>
              <w:jc w:val="left"/>
              <w:rPr>
                <w:rFonts w:ascii="宋体" w:cs="宋体"/>
                <w:color w:val="auto"/>
                <w:kern w:val="0"/>
                <w:szCs w:val="21"/>
                <w:highlight w:val="none"/>
              </w:rPr>
            </w:pPr>
            <w:r>
              <w:rPr>
                <w:rFonts w:hint="eastAsia" w:ascii="宋体"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vAlign w:val="center"/>
          </w:tcPr>
          <w:p w14:paraId="1D74FDF1">
            <w:pPr>
              <w:spacing w:before="100" w:beforeAutospacing="1" w:after="100" w:afterAutospacing="1" w:line="320" w:lineRule="atLeast"/>
              <w:jc w:val="left"/>
              <w:rPr>
                <w:rFonts w:ascii="宋体" w:cs="宋体"/>
                <w:color w:val="auto"/>
                <w:kern w:val="0"/>
                <w:szCs w:val="21"/>
                <w:highlight w:val="none"/>
              </w:rPr>
            </w:pPr>
            <w:r>
              <w:rPr>
                <w:rFonts w:hint="eastAsia" w:ascii="宋体" w:cs="宋体"/>
                <w:color w:val="auto"/>
                <w:kern w:val="0"/>
                <w:szCs w:val="21"/>
                <w:highlight w:val="none"/>
              </w:rPr>
              <w:t>验收结论性意见：</w:t>
            </w:r>
          </w:p>
        </w:tc>
      </w:tr>
      <w:tr w14:paraId="68D7126C">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43932BDB">
            <w:pPr>
              <w:rPr>
                <w:color w:val="auto"/>
                <w:highlight w:val="none"/>
              </w:rPr>
            </w:pPr>
          </w:p>
        </w:tc>
        <w:tc>
          <w:tcPr>
            <w:tcW w:w="8040" w:type="dxa"/>
            <w:gridSpan w:val="7"/>
            <w:tcBorders>
              <w:top w:val="nil"/>
              <w:left w:val="nil"/>
              <w:bottom w:val="single" w:color="auto" w:sz="8" w:space="0"/>
              <w:right w:val="single" w:color="auto" w:sz="8" w:space="0"/>
            </w:tcBorders>
            <w:vAlign w:val="center"/>
          </w:tcPr>
          <w:p w14:paraId="2157C640">
            <w:pPr>
              <w:spacing w:before="100" w:beforeAutospacing="1" w:after="100" w:afterAutospacing="1" w:line="320" w:lineRule="atLeast"/>
              <w:ind w:firstLine="96"/>
              <w:jc w:val="left"/>
              <w:rPr>
                <w:rFonts w:ascii="宋体" w:cs="宋体"/>
                <w:color w:val="auto"/>
                <w:kern w:val="0"/>
                <w:szCs w:val="21"/>
                <w:highlight w:val="none"/>
              </w:rPr>
            </w:pPr>
            <w:r>
              <w:rPr>
                <w:rFonts w:hint="eastAsia" w:ascii="宋体" w:cs="宋体"/>
                <w:color w:val="auto"/>
                <w:kern w:val="0"/>
                <w:szCs w:val="21"/>
                <w:highlight w:val="none"/>
              </w:rPr>
              <w:t>有异议的意见和说明理由：</w:t>
            </w:r>
          </w:p>
          <w:p w14:paraId="7350A4FC">
            <w:pPr>
              <w:spacing w:before="100" w:beforeAutospacing="1" w:after="100" w:afterAutospacing="1" w:line="320" w:lineRule="atLeast"/>
              <w:jc w:val="left"/>
              <w:rPr>
                <w:rFonts w:ascii="宋体" w:cs="宋体"/>
                <w:color w:val="auto"/>
                <w:kern w:val="0"/>
                <w:szCs w:val="21"/>
                <w:highlight w:val="none"/>
              </w:rPr>
            </w:pPr>
            <w:r>
              <w:rPr>
                <w:rFonts w:hint="eastAsia" w:ascii="宋体" w:cs="宋体"/>
                <w:color w:val="auto"/>
                <w:kern w:val="0"/>
                <w:szCs w:val="21"/>
                <w:highlight w:val="none"/>
              </w:rPr>
              <w:t>签字：</w:t>
            </w:r>
          </w:p>
        </w:tc>
      </w:tr>
      <w:tr w14:paraId="49D57B01">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left w:w="108" w:type="dxa"/>
              <w:right w:w="108" w:type="dxa"/>
            </w:tcMar>
            <w:vAlign w:val="center"/>
          </w:tcPr>
          <w:p w14:paraId="0A6A0ABB">
            <w:pPr>
              <w:spacing w:before="100" w:beforeAutospacing="1" w:after="100" w:afterAutospacing="1" w:line="320" w:lineRule="atLeast"/>
              <w:jc w:val="left"/>
              <w:rPr>
                <w:rFonts w:ascii="宋体" w:cs="宋体"/>
                <w:color w:val="auto"/>
                <w:kern w:val="0"/>
                <w:szCs w:val="21"/>
                <w:highlight w:val="none"/>
              </w:rPr>
            </w:pPr>
            <w:r>
              <w:rPr>
                <w:rFonts w:hint="eastAsia" w:ascii="宋体" w:cs="宋体"/>
                <w:color w:val="auto"/>
                <w:kern w:val="0"/>
                <w:szCs w:val="21"/>
                <w:highlight w:val="none"/>
              </w:rPr>
              <w:t>验收小组成员签字：</w:t>
            </w:r>
          </w:p>
        </w:tc>
      </w:tr>
      <w:tr w14:paraId="67CC5CF7">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left w:w="108" w:type="dxa"/>
              <w:right w:w="108" w:type="dxa"/>
            </w:tcMar>
            <w:vAlign w:val="center"/>
          </w:tcPr>
          <w:p w14:paraId="2D1D266A">
            <w:pPr>
              <w:spacing w:before="100" w:beforeAutospacing="1" w:after="100" w:afterAutospacing="1" w:line="320" w:lineRule="atLeast"/>
              <w:jc w:val="left"/>
              <w:rPr>
                <w:rFonts w:ascii="宋体" w:cs="宋体"/>
                <w:color w:val="auto"/>
                <w:kern w:val="0"/>
                <w:szCs w:val="21"/>
                <w:highlight w:val="none"/>
              </w:rPr>
            </w:pPr>
            <w:r>
              <w:rPr>
                <w:rFonts w:hint="eastAsia" w:ascii="宋体" w:cs="宋体"/>
                <w:color w:val="auto"/>
                <w:kern w:val="0"/>
                <w:szCs w:val="21"/>
                <w:highlight w:val="none"/>
              </w:rPr>
              <w:t>监督人员或者其他相关人员签字：</w:t>
            </w:r>
          </w:p>
          <w:p w14:paraId="44E6EBEF">
            <w:pPr>
              <w:spacing w:before="100" w:beforeAutospacing="1" w:after="100" w:afterAutospacing="1" w:line="320" w:lineRule="atLeast"/>
              <w:ind w:firstLine="74"/>
              <w:jc w:val="left"/>
              <w:rPr>
                <w:rFonts w:ascii="宋体" w:cs="宋体"/>
                <w:color w:val="auto"/>
                <w:kern w:val="0"/>
                <w:szCs w:val="21"/>
                <w:highlight w:val="none"/>
              </w:rPr>
            </w:pPr>
            <w:r>
              <w:rPr>
                <w:rFonts w:hint="eastAsia" w:ascii="宋体" w:cs="宋体"/>
                <w:color w:val="auto"/>
                <w:kern w:val="0"/>
                <w:szCs w:val="21"/>
                <w:highlight w:val="none"/>
              </w:rPr>
              <w:t>或者受邀机构的意见（盖章）：</w:t>
            </w:r>
          </w:p>
        </w:tc>
      </w:tr>
      <w:tr w14:paraId="25BA96A5">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tcMar>
              <w:left w:w="108" w:type="dxa"/>
              <w:right w:w="108" w:type="dxa"/>
            </w:tcMar>
            <w:vAlign w:val="center"/>
          </w:tcPr>
          <w:p w14:paraId="519FC393">
            <w:pPr>
              <w:spacing w:before="100" w:beforeAutospacing="1" w:after="100" w:afterAutospacing="1" w:line="320" w:lineRule="atLeast"/>
              <w:ind w:firstLine="74"/>
              <w:jc w:val="left"/>
              <w:rPr>
                <w:rFonts w:ascii="宋体" w:cs="宋体"/>
                <w:color w:val="auto"/>
                <w:kern w:val="0"/>
                <w:szCs w:val="21"/>
                <w:highlight w:val="none"/>
              </w:rPr>
            </w:pPr>
            <w:r>
              <w:rPr>
                <w:rFonts w:hint="eastAsia" w:ascii="宋体" w:cs="宋体"/>
                <w:color w:val="auto"/>
                <w:kern w:val="0"/>
                <w:szCs w:val="21"/>
                <w:highlight w:val="none"/>
              </w:rPr>
              <w:t>中标或者成交人负责人签字或者盖章：</w:t>
            </w:r>
          </w:p>
          <w:p w14:paraId="1BC47E93">
            <w:pPr>
              <w:spacing w:before="100" w:beforeAutospacing="1" w:after="100" w:afterAutospacing="1" w:line="320" w:lineRule="atLeast"/>
              <w:jc w:val="left"/>
              <w:rPr>
                <w:rFonts w:ascii="宋体" w:cs="宋体"/>
                <w:color w:val="auto"/>
                <w:kern w:val="0"/>
                <w:szCs w:val="21"/>
                <w:highlight w:val="none"/>
              </w:rPr>
            </w:pPr>
            <w:r>
              <w:rPr>
                <w:rFonts w:hint="eastAsia" w:ascii="宋体" w:cs="宋体"/>
                <w:color w:val="auto"/>
                <w:kern w:val="0"/>
                <w:szCs w:val="21"/>
                <w:highlight w:val="none"/>
              </w:rPr>
              <w:t xml:space="preserve">联系电话： </w:t>
            </w:r>
          </w:p>
          <w:p w14:paraId="476A0EA6">
            <w:pPr>
              <w:spacing w:before="100" w:beforeAutospacing="1" w:after="100" w:afterAutospacing="1" w:line="320" w:lineRule="atLeast"/>
              <w:ind w:firstLine="2940" w:firstLineChars="1400"/>
              <w:jc w:val="left"/>
              <w:rPr>
                <w:rFonts w:ascii="宋体" w:cs="宋体"/>
                <w:color w:val="auto"/>
                <w:kern w:val="0"/>
                <w:szCs w:val="21"/>
                <w:highlight w:val="none"/>
              </w:rPr>
            </w:pPr>
            <w:r>
              <w:rPr>
                <w:rFonts w:hint="eastAsia" w:ascii="宋体" w:cs="宋体"/>
                <w:color w:val="auto"/>
                <w:kern w:val="0"/>
                <w:szCs w:val="21"/>
                <w:highlight w:val="none"/>
              </w:rPr>
              <w:t>年 月 日</w:t>
            </w:r>
          </w:p>
        </w:tc>
        <w:tc>
          <w:tcPr>
            <w:tcW w:w="5219" w:type="dxa"/>
            <w:gridSpan w:val="4"/>
            <w:tcBorders>
              <w:top w:val="nil"/>
              <w:left w:val="single" w:color="auto" w:sz="4" w:space="0"/>
              <w:bottom w:val="single" w:color="auto" w:sz="8" w:space="0"/>
              <w:right w:val="single" w:color="auto" w:sz="8" w:space="0"/>
            </w:tcBorders>
            <w:vAlign w:val="center"/>
          </w:tcPr>
          <w:p w14:paraId="66211206">
            <w:pPr>
              <w:spacing w:before="100" w:beforeAutospacing="1" w:after="100" w:afterAutospacing="1" w:line="320" w:lineRule="atLeast"/>
              <w:jc w:val="left"/>
              <w:rPr>
                <w:rFonts w:ascii="宋体" w:cs="宋体"/>
                <w:color w:val="auto"/>
                <w:kern w:val="0"/>
                <w:szCs w:val="21"/>
                <w:highlight w:val="none"/>
              </w:rPr>
            </w:pPr>
            <w:r>
              <w:rPr>
                <w:rFonts w:hint="eastAsia" w:ascii="宋体" w:cs="宋体"/>
                <w:color w:val="auto"/>
                <w:kern w:val="0"/>
                <w:szCs w:val="21"/>
                <w:highlight w:val="none"/>
              </w:rPr>
              <w:t>采购人或者受托机构的意见（盖章）：</w:t>
            </w:r>
          </w:p>
          <w:p w14:paraId="4EB0D929">
            <w:pPr>
              <w:spacing w:before="100" w:beforeAutospacing="1" w:after="100" w:afterAutospacing="1" w:line="320" w:lineRule="atLeast"/>
              <w:jc w:val="left"/>
              <w:rPr>
                <w:rFonts w:ascii="宋体" w:cs="宋体"/>
                <w:color w:val="auto"/>
                <w:kern w:val="0"/>
                <w:szCs w:val="21"/>
                <w:highlight w:val="none"/>
              </w:rPr>
            </w:pPr>
            <w:r>
              <w:rPr>
                <w:rFonts w:hint="eastAsia" w:ascii="宋体" w:cs="宋体"/>
                <w:color w:val="auto"/>
                <w:kern w:val="0"/>
                <w:szCs w:val="21"/>
                <w:highlight w:val="none"/>
              </w:rPr>
              <w:t xml:space="preserve">联系电话： </w:t>
            </w:r>
          </w:p>
          <w:p w14:paraId="3731DF27">
            <w:pPr>
              <w:spacing w:before="100" w:beforeAutospacing="1" w:after="100" w:afterAutospacing="1" w:line="320" w:lineRule="atLeast"/>
              <w:ind w:firstLine="3780" w:firstLineChars="1800"/>
              <w:jc w:val="left"/>
              <w:rPr>
                <w:rFonts w:ascii="宋体" w:cs="宋体"/>
                <w:color w:val="auto"/>
                <w:kern w:val="0"/>
                <w:szCs w:val="21"/>
                <w:highlight w:val="none"/>
              </w:rPr>
            </w:pPr>
            <w:r>
              <w:rPr>
                <w:rFonts w:hint="eastAsia" w:ascii="宋体" w:cs="宋体"/>
                <w:color w:val="auto"/>
                <w:kern w:val="0"/>
                <w:szCs w:val="21"/>
                <w:highlight w:val="none"/>
              </w:rPr>
              <w:t>年 月 日</w:t>
            </w:r>
          </w:p>
        </w:tc>
      </w:tr>
    </w:tbl>
    <w:p w14:paraId="66097866">
      <w:pPr>
        <w:jc w:val="left"/>
        <w:rPr>
          <w:rFonts w:ascii="宋体" w:cs="宋体"/>
          <w:color w:val="auto"/>
          <w:highlight w:val="none"/>
        </w:rPr>
      </w:pPr>
      <w:r>
        <w:rPr>
          <w:rFonts w:hint="eastAsia" w:ascii="宋体" w:cs="宋体"/>
          <w:color w:val="auto"/>
          <w:highlight w:val="none"/>
        </w:rPr>
        <w:br w:type="page"/>
      </w:r>
      <w:r>
        <w:rPr>
          <w:rFonts w:hint="eastAsia" w:ascii="宋体" w:cs="宋体"/>
          <w:color w:val="auto"/>
          <w:sz w:val="28"/>
          <w:szCs w:val="28"/>
          <w:highlight w:val="none"/>
          <w:lang w:val="en-US" w:eastAsia="zh-CN"/>
        </w:rPr>
        <w:t>5</w:t>
      </w:r>
      <w:r>
        <w:rPr>
          <w:rFonts w:hint="eastAsia" w:ascii="宋体" w:cs="宋体"/>
          <w:color w:val="auto"/>
          <w:sz w:val="28"/>
          <w:szCs w:val="28"/>
          <w:highlight w:val="none"/>
        </w:rPr>
        <w:t>.政府采购项目履约保证金退付意见书的格式：</w:t>
      </w:r>
    </w:p>
    <w:p w14:paraId="698C9A09">
      <w:pPr>
        <w:jc w:val="center"/>
        <w:rPr>
          <w:rFonts w:ascii="宋体" w:cs="宋体"/>
          <w:color w:val="auto"/>
          <w:sz w:val="32"/>
          <w:szCs w:val="32"/>
          <w:highlight w:val="none"/>
        </w:rPr>
      </w:pPr>
    </w:p>
    <w:p w14:paraId="279FEEEE">
      <w:pPr>
        <w:jc w:val="center"/>
        <w:rPr>
          <w:rFonts w:ascii="宋体" w:cs="宋体"/>
          <w:color w:val="auto"/>
          <w:sz w:val="32"/>
          <w:szCs w:val="32"/>
          <w:highlight w:val="none"/>
        </w:rPr>
      </w:pPr>
      <w:r>
        <w:rPr>
          <w:rFonts w:hint="eastAsia" w:ascii="宋体" w:cs="宋体"/>
          <w:color w:val="auto"/>
          <w:sz w:val="32"/>
          <w:szCs w:val="32"/>
          <w:highlight w:val="none"/>
        </w:rPr>
        <w:t>政府采购项目履约保证金退付意见书（参考）</w:t>
      </w:r>
    </w:p>
    <w:p w14:paraId="306C8F9A">
      <w:pPr>
        <w:jc w:val="center"/>
        <w:rPr>
          <w:rFonts w:ascii="宋体" w:cs="宋体"/>
          <w:color w:val="auto"/>
          <w:sz w:val="36"/>
          <w:szCs w:val="36"/>
          <w:highlight w:val="none"/>
        </w:rPr>
      </w:pPr>
    </w:p>
    <w:tbl>
      <w:tblPr>
        <w:tblStyle w:val="27"/>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289E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04F1EA32">
            <w:pPr>
              <w:jc w:val="center"/>
              <w:rPr>
                <w:rFonts w:ascii="宋体" w:cs="宋体"/>
                <w:color w:val="auto"/>
                <w:sz w:val="24"/>
                <w:highlight w:val="none"/>
              </w:rPr>
            </w:pPr>
            <w:r>
              <w:rPr>
                <w:rFonts w:hint="eastAsia" w:ascii="宋体" w:cs="宋体"/>
                <w:color w:val="auto"/>
                <w:sz w:val="24"/>
                <w:highlight w:val="none"/>
              </w:rPr>
              <w:t>供</w:t>
            </w:r>
          </w:p>
          <w:p w14:paraId="42B323A1">
            <w:pPr>
              <w:jc w:val="center"/>
              <w:rPr>
                <w:rFonts w:ascii="宋体" w:cs="宋体"/>
                <w:color w:val="auto"/>
                <w:sz w:val="24"/>
                <w:highlight w:val="none"/>
              </w:rPr>
            </w:pPr>
            <w:r>
              <w:rPr>
                <w:rFonts w:hint="eastAsia" w:ascii="宋体" w:cs="宋体"/>
                <w:color w:val="auto"/>
                <w:sz w:val="24"/>
                <w:highlight w:val="none"/>
              </w:rPr>
              <w:t>应</w:t>
            </w:r>
          </w:p>
          <w:p w14:paraId="3041EAFD">
            <w:pPr>
              <w:jc w:val="center"/>
              <w:rPr>
                <w:rFonts w:ascii="宋体" w:cs="宋体"/>
                <w:color w:val="auto"/>
                <w:sz w:val="24"/>
                <w:highlight w:val="none"/>
              </w:rPr>
            </w:pPr>
            <w:r>
              <w:rPr>
                <w:rFonts w:hint="eastAsia" w:ascii="宋体" w:cs="宋体"/>
                <w:color w:val="auto"/>
                <w:sz w:val="24"/>
                <w:highlight w:val="none"/>
              </w:rPr>
              <w:t>商</w:t>
            </w:r>
          </w:p>
          <w:p w14:paraId="3B60A036">
            <w:pPr>
              <w:jc w:val="center"/>
              <w:rPr>
                <w:rFonts w:ascii="宋体" w:cs="宋体"/>
                <w:color w:val="auto"/>
                <w:sz w:val="24"/>
                <w:highlight w:val="none"/>
              </w:rPr>
            </w:pPr>
            <w:r>
              <w:rPr>
                <w:rFonts w:hint="eastAsia" w:ascii="宋体" w:cs="宋体"/>
                <w:color w:val="auto"/>
                <w:sz w:val="24"/>
                <w:highlight w:val="none"/>
              </w:rPr>
              <w:t>申</w:t>
            </w:r>
          </w:p>
          <w:p w14:paraId="167DB18F">
            <w:pPr>
              <w:jc w:val="center"/>
              <w:rPr>
                <w:rFonts w:ascii="宋体" w:cs="宋体"/>
                <w:color w:val="auto"/>
                <w:sz w:val="24"/>
                <w:highlight w:val="none"/>
              </w:rPr>
            </w:pPr>
            <w:r>
              <w:rPr>
                <w:rFonts w:hint="eastAsia" w:ascii="宋体" w:cs="宋体"/>
                <w:color w:val="auto"/>
                <w:sz w:val="24"/>
                <w:highlight w:val="none"/>
              </w:rPr>
              <w:t>请</w:t>
            </w:r>
          </w:p>
        </w:tc>
        <w:tc>
          <w:tcPr>
            <w:tcW w:w="8456" w:type="dxa"/>
            <w:vAlign w:val="center"/>
          </w:tcPr>
          <w:p w14:paraId="00F94280">
            <w:pPr>
              <w:rPr>
                <w:rFonts w:ascii="宋体" w:cs="宋体"/>
                <w:color w:val="auto"/>
                <w:sz w:val="24"/>
                <w:highlight w:val="none"/>
              </w:rPr>
            </w:pPr>
            <w:r>
              <w:rPr>
                <w:rFonts w:hint="eastAsia" w:ascii="宋体" w:cs="宋体"/>
                <w:color w:val="auto"/>
                <w:sz w:val="24"/>
                <w:highlight w:val="none"/>
              </w:rPr>
              <w:t>项目编号：</w:t>
            </w:r>
          </w:p>
        </w:tc>
      </w:tr>
      <w:tr w14:paraId="70D9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2CB54B5A">
            <w:pPr>
              <w:rPr>
                <w:color w:val="auto"/>
                <w:highlight w:val="none"/>
              </w:rPr>
            </w:pPr>
          </w:p>
        </w:tc>
        <w:tc>
          <w:tcPr>
            <w:tcW w:w="8456" w:type="dxa"/>
            <w:vAlign w:val="center"/>
          </w:tcPr>
          <w:p w14:paraId="29093574">
            <w:pPr>
              <w:rPr>
                <w:rFonts w:ascii="宋体" w:cs="宋体"/>
                <w:color w:val="auto"/>
                <w:sz w:val="24"/>
                <w:highlight w:val="none"/>
              </w:rPr>
            </w:pPr>
            <w:r>
              <w:rPr>
                <w:rFonts w:hint="eastAsia" w:ascii="宋体" w:cs="宋体"/>
                <w:color w:val="auto"/>
                <w:sz w:val="24"/>
                <w:highlight w:val="none"/>
              </w:rPr>
              <w:t>项目名称：</w:t>
            </w:r>
          </w:p>
        </w:tc>
      </w:tr>
      <w:tr w14:paraId="499F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7004B292">
            <w:pPr>
              <w:rPr>
                <w:color w:val="auto"/>
                <w:highlight w:val="none"/>
              </w:rPr>
            </w:pPr>
          </w:p>
        </w:tc>
        <w:tc>
          <w:tcPr>
            <w:tcW w:w="8456" w:type="dxa"/>
          </w:tcPr>
          <w:p w14:paraId="53B9BA9D">
            <w:pPr>
              <w:rPr>
                <w:rFonts w:ascii="宋体" w:cs="宋体"/>
                <w:color w:val="auto"/>
                <w:sz w:val="24"/>
                <w:highlight w:val="none"/>
              </w:rPr>
            </w:pPr>
            <w:r>
              <w:rPr>
                <w:rFonts w:hint="eastAsia" w:ascii="宋体" w:cs="宋体"/>
                <w:color w:val="auto"/>
                <w:sz w:val="24"/>
                <w:highlight w:val="none"/>
              </w:rPr>
              <w:t xml:space="preserve">  </w:t>
            </w:r>
          </w:p>
          <w:p w14:paraId="2E025999">
            <w:pPr>
              <w:spacing w:line="400" w:lineRule="exact"/>
              <w:ind w:firstLine="480" w:firstLineChars="200"/>
              <w:rPr>
                <w:rFonts w:ascii="宋体" w:cs="宋体"/>
                <w:color w:val="auto"/>
                <w:sz w:val="24"/>
                <w:highlight w:val="none"/>
              </w:rPr>
            </w:pPr>
            <w:r>
              <w:rPr>
                <w:rFonts w:hint="eastAsia" w:ascii="宋体" w:cs="宋体"/>
                <w:color w:val="auto"/>
                <w:sz w:val="24"/>
                <w:highlight w:val="none"/>
              </w:rPr>
              <w:t>该项目已于</w:t>
            </w:r>
            <w:r>
              <w:rPr>
                <w:rFonts w:hint="eastAsia" w:ascii="宋体" w:cs="宋体"/>
                <w:color w:val="auto"/>
                <w:sz w:val="24"/>
                <w:highlight w:val="none"/>
                <w:u w:val="single"/>
              </w:rPr>
              <w:t xml:space="preserve">       </w:t>
            </w:r>
            <w:r>
              <w:rPr>
                <w:rFonts w:hint="eastAsia" w:ascii="宋体" w:cs="宋体"/>
                <w:color w:val="auto"/>
                <w:sz w:val="24"/>
                <w:highlight w:val="none"/>
              </w:rPr>
              <w:t>年</w:t>
            </w:r>
            <w:r>
              <w:rPr>
                <w:rFonts w:hint="eastAsia" w:ascii="宋体" w:cs="宋体"/>
                <w:color w:val="auto"/>
                <w:sz w:val="24"/>
                <w:highlight w:val="none"/>
                <w:u w:val="single"/>
              </w:rPr>
              <w:t xml:space="preserve">     </w:t>
            </w:r>
            <w:r>
              <w:rPr>
                <w:rFonts w:hint="eastAsia" w:ascii="宋体" w:cs="宋体"/>
                <w:color w:val="auto"/>
                <w:sz w:val="24"/>
                <w:highlight w:val="none"/>
              </w:rPr>
              <w:t>月</w:t>
            </w:r>
            <w:r>
              <w:rPr>
                <w:rFonts w:hint="eastAsia" w:ascii="宋体" w:cs="宋体"/>
                <w:color w:val="auto"/>
                <w:sz w:val="24"/>
                <w:highlight w:val="none"/>
                <w:u w:val="single"/>
              </w:rPr>
              <w:t xml:space="preserve">     </w:t>
            </w:r>
            <w:r>
              <w:rPr>
                <w:rFonts w:hint="eastAsia" w:ascii="宋体" w:cs="宋体"/>
                <w:color w:val="auto"/>
                <w:sz w:val="24"/>
                <w:highlight w:val="none"/>
              </w:rPr>
              <w:t>日验收并交付使用。根据合同规定，该项目的履约保证金期限于</w:t>
            </w:r>
            <w:r>
              <w:rPr>
                <w:rFonts w:hint="eastAsia" w:ascii="宋体" w:cs="宋体"/>
                <w:color w:val="auto"/>
                <w:sz w:val="24"/>
                <w:highlight w:val="none"/>
                <w:u w:val="single"/>
              </w:rPr>
              <w:t xml:space="preserve">         </w:t>
            </w:r>
            <w:r>
              <w:rPr>
                <w:rFonts w:hint="eastAsia" w:ascii="宋体" w:cs="宋体"/>
                <w:color w:val="auto"/>
                <w:sz w:val="24"/>
                <w:highlight w:val="none"/>
              </w:rPr>
              <w:t>年</w:t>
            </w:r>
            <w:r>
              <w:rPr>
                <w:rFonts w:hint="eastAsia" w:ascii="宋体" w:cs="宋体"/>
                <w:color w:val="auto"/>
                <w:sz w:val="24"/>
                <w:highlight w:val="none"/>
                <w:u w:val="single"/>
              </w:rPr>
              <w:t xml:space="preserve">      </w:t>
            </w:r>
            <w:r>
              <w:rPr>
                <w:rFonts w:hint="eastAsia" w:ascii="宋体" w:cs="宋体"/>
                <w:color w:val="auto"/>
                <w:sz w:val="24"/>
                <w:highlight w:val="none"/>
              </w:rPr>
              <w:t>月</w:t>
            </w:r>
            <w:r>
              <w:rPr>
                <w:rFonts w:hint="eastAsia" w:ascii="宋体" w:cs="宋体"/>
                <w:color w:val="auto"/>
                <w:sz w:val="24"/>
                <w:highlight w:val="none"/>
                <w:u w:val="single"/>
              </w:rPr>
              <w:t xml:space="preserve">       </w:t>
            </w:r>
            <w:r>
              <w:rPr>
                <w:rFonts w:hint="eastAsia" w:ascii="宋体" w:cs="宋体"/>
                <w:color w:val="auto"/>
                <w:sz w:val="24"/>
                <w:highlight w:val="none"/>
              </w:rPr>
              <w:t>日已满，请将履约保证金（大写）人民币                              （小写）¥</w:t>
            </w:r>
            <w:r>
              <w:rPr>
                <w:rFonts w:hint="eastAsia" w:ascii="宋体" w:cs="宋体"/>
                <w:color w:val="auto"/>
                <w:sz w:val="24"/>
                <w:highlight w:val="none"/>
                <w:u w:val="single"/>
              </w:rPr>
              <w:t xml:space="preserve">           </w:t>
            </w:r>
            <w:r>
              <w:rPr>
                <w:rFonts w:hint="eastAsia" w:ascii="宋体" w:cs="宋体"/>
                <w:color w:val="auto"/>
                <w:sz w:val="24"/>
                <w:highlight w:val="none"/>
              </w:rPr>
              <w:t>退付到达以下账户。</w:t>
            </w:r>
          </w:p>
          <w:p w14:paraId="00297802">
            <w:pPr>
              <w:spacing w:line="400" w:lineRule="exact"/>
              <w:rPr>
                <w:rFonts w:ascii="宋体" w:cs="宋体"/>
                <w:color w:val="auto"/>
                <w:sz w:val="24"/>
                <w:highlight w:val="none"/>
              </w:rPr>
            </w:pPr>
          </w:p>
          <w:p w14:paraId="41BAC805">
            <w:pPr>
              <w:spacing w:line="400" w:lineRule="exact"/>
              <w:ind w:firstLine="480" w:firstLineChars="200"/>
              <w:rPr>
                <w:rFonts w:ascii="宋体" w:cs="宋体"/>
                <w:color w:val="auto"/>
                <w:sz w:val="24"/>
                <w:highlight w:val="none"/>
              </w:rPr>
            </w:pPr>
            <w:r>
              <w:rPr>
                <w:rFonts w:hint="eastAsia" w:ascii="宋体" w:cs="宋体"/>
                <w:color w:val="auto"/>
                <w:sz w:val="24"/>
                <w:highlight w:val="none"/>
              </w:rPr>
              <w:t>单位名称：</w:t>
            </w:r>
          </w:p>
          <w:p w14:paraId="24909037">
            <w:pPr>
              <w:spacing w:line="400" w:lineRule="exact"/>
              <w:ind w:firstLine="480" w:firstLineChars="200"/>
              <w:rPr>
                <w:rFonts w:ascii="宋体" w:cs="宋体"/>
                <w:color w:val="auto"/>
                <w:sz w:val="24"/>
                <w:highlight w:val="none"/>
              </w:rPr>
            </w:pPr>
            <w:r>
              <w:rPr>
                <w:rFonts w:hint="eastAsia" w:ascii="宋体" w:cs="宋体"/>
                <w:color w:val="auto"/>
                <w:sz w:val="24"/>
                <w:highlight w:val="none"/>
              </w:rPr>
              <w:t>开户银行：</w:t>
            </w:r>
          </w:p>
          <w:p w14:paraId="3DB1CDB7">
            <w:pPr>
              <w:spacing w:line="400" w:lineRule="exact"/>
              <w:ind w:firstLine="480" w:firstLineChars="200"/>
              <w:rPr>
                <w:rFonts w:ascii="宋体" w:cs="宋体"/>
                <w:color w:val="auto"/>
                <w:sz w:val="24"/>
                <w:highlight w:val="none"/>
              </w:rPr>
            </w:pPr>
            <w:r>
              <w:rPr>
                <w:rFonts w:hint="eastAsia" w:ascii="宋体" w:cs="宋体"/>
                <w:color w:val="auto"/>
                <w:sz w:val="24"/>
                <w:highlight w:val="none"/>
              </w:rPr>
              <w:t>账   号：</w:t>
            </w:r>
          </w:p>
          <w:p w14:paraId="3CDB034E">
            <w:pPr>
              <w:spacing w:line="400" w:lineRule="exact"/>
              <w:ind w:firstLine="480" w:firstLineChars="200"/>
              <w:rPr>
                <w:rFonts w:ascii="宋体" w:cs="宋体"/>
                <w:color w:val="auto"/>
                <w:sz w:val="24"/>
                <w:highlight w:val="none"/>
              </w:rPr>
            </w:pPr>
            <w:r>
              <w:rPr>
                <w:rFonts w:hint="eastAsia" w:ascii="宋体" w:cs="宋体"/>
                <w:color w:val="auto"/>
                <w:sz w:val="24"/>
                <w:highlight w:val="none"/>
              </w:rPr>
              <w:t>联系人及电话：</w:t>
            </w:r>
          </w:p>
          <w:p w14:paraId="359C6F97">
            <w:pPr>
              <w:spacing w:line="400" w:lineRule="exact"/>
              <w:rPr>
                <w:rFonts w:ascii="宋体" w:cs="宋体"/>
                <w:color w:val="auto"/>
                <w:sz w:val="24"/>
                <w:highlight w:val="none"/>
              </w:rPr>
            </w:pPr>
          </w:p>
          <w:p w14:paraId="69907B3B">
            <w:pPr>
              <w:spacing w:line="520" w:lineRule="exact"/>
              <w:jc w:val="center"/>
              <w:rPr>
                <w:rFonts w:ascii="宋体" w:cs="宋体"/>
                <w:color w:val="auto"/>
                <w:sz w:val="24"/>
                <w:highlight w:val="none"/>
              </w:rPr>
            </w:pPr>
            <w:r>
              <w:rPr>
                <w:rFonts w:hint="eastAsia" w:ascii="宋体" w:cs="宋体"/>
                <w:color w:val="auto"/>
                <w:sz w:val="24"/>
                <w:highlight w:val="none"/>
              </w:rPr>
              <w:t xml:space="preserve">         投标人签章：</w:t>
            </w:r>
          </w:p>
          <w:p w14:paraId="59511FE6">
            <w:pPr>
              <w:spacing w:line="520" w:lineRule="exact"/>
              <w:jc w:val="center"/>
              <w:rPr>
                <w:rFonts w:ascii="宋体" w:cs="宋体"/>
                <w:color w:val="auto"/>
                <w:sz w:val="24"/>
                <w:highlight w:val="none"/>
              </w:rPr>
            </w:pPr>
            <w:r>
              <w:rPr>
                <w:rFonts w:hint="eastAsia" w:ascii="宋体" w:cs="宋体"/>
                <w:color w:val="auto"/>
                <w:sz w:val="24"/>
                <w:highlight w:val="none"/>
              </w:rPr>
              <w:t xml:space="preserve">                           年    月     日</w:t>
            </w:r>
          </w:p>
        </w:tc>
      </w:tr>
      <w:tr w14:paraId="21C8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vAlign w:val="center"/>
          </w:tcPr>
          <w:p w14:paraId="06D4CA5C">
            <w:pPr>
              <w:jc w:val="center"/>
              <w:rPr>
                <w:rFonts w:ascii="宋体" w:cs="宋体"/>
                <w:color w:val="auto"/>
                <w:sz w:val="24"/>
                <w:highlight w:val="none"/>
              </w:rPr>
            </w:pPr>
            <w:r>
              <w:rPr>
                <w:rFonts w:hint="eastAsia" w:ascii="宋体" w:cs="宋体"/>
                <w:color w:val="auto"/>
                <w:sz w:val="24"/>
                <w:highlight w:val="none"/>
              </w:rPr>
              <w:t>采</w:t>
            </w:r>
          </w:p>
          <w:p w14:paraId="5904A280">
            <w:pPr>
              <w:jc w:val="center"/>
              <w:rPr>
                <w:rFonts w:ascii="宋体" w:cs="宋体"/>
                <w:color w:val="auto"/>
                <w:sz w:val="24"/>
                <w:highlight w:val="none"/>
              </w:rPr>
            </w:pPr>
            <w:r>
              <w:rPr>
                <w:rFonts w:hint="eastAsia" w:ascii="宋体" w:cs="宋体"/>
                <w:color w:val="auto"/>
                <w:sz w:val="24"/>
                <w:highlight w:val="none"/>
              </w:rPr>
              <w:t>购</w:t>
            </w:r>
          </w:p>
          <w:p w14:paraId="0E0C730F">
            <w:pPr>
              <w:jc w:val="center"/>
              <w:rPr>
                <w:rFonts w:ascii="宋体" w:cs="宋体"/>
                <w:color w:val="auto"/>
                <w:sz w:val="24"/>
                <w:highlight w:val="none"/>
              </w:rPr>
            </w:pPr>
            <w:r>
              <w:rPr>
                <w:rFonts w:hint="eastAsia" w:ascii="宋体" w:cs="宋体"/>
                <w:color w:val="auto"/>
                <w:sz w:val="24"/>
                <w:highlight w:val="none"/>
              </w:rPr>
              <w:t>人</w:t>
            </w:r>
          </w:p>
          <w:p w14:paraId="0EC84BB5">
            <w:pPr>
              <w:jc w:val="center"/>
              <w:rPr>
                <w:rFonts w:ascii="宋体" w:cs="宋体"/>
                <w:color w:val="auto"/>
                <w:sz w:val="24"/>
                <w:highlight w:val="none"/>
              </w:rPr>
            </w:pPr>
            <w:r>
              <w:rPr>
                <w:rFonts w:hint="eastAsia" w:ascii="宋体" w:cs="宋体"/>
                <w:color w:val="auto"/>
                <w:sz w:val="24"/>
                <w:highlight w:val="none"/>
              </w:rPr>
              <w:t>意</w:t>
            </w:r>
          </w:p>
          <w:p w14:paraId="0076A659">
            <w:pPr>
              <w:jc w:val="center"/>
              <w:rPr>
                <w:rFonts w:ascii="宋体" w:cs="宋体"/>
                <w:color w:val="auto"/>
                <w:sz w:val="24"/>
                <w:highlight w:val="none"/>
              </w:rPr>
            </w:pPr>
            <w:r>
              <w:rPr>
                <w:rFonts w:hint="eastAsia" w:ascii="宋体" w:cs="宋体"/>
                <w:color w:val="auto"/>
                <w:sz w:val="24"/>
                <w:highlight w:val="none"/>
              </w:rPr>
              <w:t>见</w:t>
            </w:r>
          </w:p>
        </w:tc>
        <w:tc>
          <w:tcPr>
            <w:tcW w:w="8456" w:type="dxa"/>
          </w:tcPr>
          <w:p w14:paraId="612B7E2F">
            <w:pPr>
              <w:rPr>
                <w:rFonts w:ascii="宋体" w:cs="宋体"/>
                <w:color w:val="auto"/>
                <w:sz w:val="24"/>
                <w:highlight w:val="none"/>
              </w:rPr>
            </w:pPr>
          </w:p>
          <w:p w14:paraId="4467E527">
            <w:pPr>
              <w:rPr>
                <w:rFonts w:ascii="宋体" w:cs="宋体"/>
                <w:color w:val="auto"/>
                <w:sz w:val="24"/>
                <w:highlight w:val="none"/>
              </w:rPr>
            </w:pPr>
            <w:r>
              <w:rPr>
                <w:rFonts w:hint="eastAsia" w:ascii="宋体" w:cs="宋体"/>
                <w:color w:val="auto"/>
                <w:sz w:val="24"/>
                <w:highlight w:val="none"/>
              </w:rPr>
              <w:t>退付意见：（是否同意退付履约保证金及退付金额）</w:t>
            </w:r>
          </w:p>
          <w:p w14:paraId="70C18F24">
            <w:pPr>
              <w:rPr>
                <w:rFonts w:ascii="宋体" w:cs="宋体"/>
                <w:color w:val="auto"/>
                <w:sz w:val="24"/>
                <w:highlight w:val="none"/>
              </w:rPr>
            </w:pPr>
          </w:p>
          <w:p w14:paraId="1F413F97">
            <w:pPr>
              <w:rPr>
                <w:rFonts w:ascii="宋体" w:cs="宋体"/>
                <w:color w:val="auto"/>
                <w:sz w:val="24"/>
                <w:highlight w:val="none"/>
              </w:rPr>
            </w:pPr>
          </w:p>
          <w:p w14:paraId="47AB49EB">
            <w:pPr>
              <w:rPr>
                <w:rFonts w:ascii="宋体" w:cs="宋体"/>
                <w:color w:val="auto"/>
                <w:sz w:val="24"/>
                <w:highlight w:val="none"/>
              </w:rPr>
            </w:pPr>
          </w:p>
          <w:p w14:paraId="04EA9124">
            <w:pPr>
              <w:rPr>
                <w:rFonts w:ascii="宋体" w:cs="宋体"/>
                <w:color w:val="auto"/>
                <w:sz w:val="24"/>
                <w:highlight w:val="none"/>
              </w:rPr>
            </w:pPr>
          </w:p>
          <w:p w14:paraId="4F57699D">
            <w:pPr>
              <w:spacing w:line="520" w:lineRule="exact"/>
              <w:rPr>
                <w:rFonts w:ascii="宋体" w:cs="宋体"/>
                <w:color w:val="auto"/>
                <w:sz w:val="24"/>
                <w:highlight w:val="none"/>
              </w:rPr>
            </w:pPr>
            <w:r>
              <w:rPr>
                <w:rFonts w:hint="eastAsia" w:ascii="宋体" w:cs="宋体"/>
                <w:color w:val="auto"/>
                <w:sz w:val="24"/>
                <w:highlight w:val="none"/>
              </w:rPr>
              <w:t>联系人及电话：                         采购人签章</w:t>
            </w:r>
          </w:p>
          <w:p w14:paraId="512AAB78">
            <w:pPr>
              <w:spacing w:line="520" w:lineRule="exact"/>
              <w:jc w:val="center"/>
              <w:rPr>
                <w:rFonts w:ascii="宋体" w:cs="宋体"/>
                <w:color w:val="auto"/>
                <w:sz w:val="24"/>
                <w:highlight w:val="none"/>
              </w:rPr>
            </w:pPr>
            <w:r>
              <w:rPr>
                <w:rFonts w:hint="eastAsia" w:ascii="宋体" w:cs="宋体"/>
                <w:color w:val="auto"/>
                <w:sz w:val="24"/>
                <w:highlight w:val="none"/>
              </w:rPr>
              <w:t xml:space="preserve">                                        年    月     日</w:t>
            </w:r>
          </w:p>
        </w:tc>
      </w:tr>
      <w:tr w14:paraId="525D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vAlign w:val="center"/>
          </w:tcPr>
          <w:p w14:paraId="00ABF3A9">
            <w:pPr>
              <w:jc w:val="center"/>
              <w:rPr>
                <w:rFonts w:ascii="宋体" w:cs="宋体"/>
                <w:color w:val="auto"/>
                <w:sz w:val="24"/>
                <w:highlight w:val="none"/>
              </w:rPr>
            </w:pPr>
            <w:r>
              <w:rPr>
                <w:rFonts w:hint="eastAsia" w:ascii="宋体" w:cs="宋体"/>
                <w:color w:val="auto"/>
                <w:sz w:val="24"/>
                <w:highlight w:val="none"/>
              </w:rPr>
              <w:t>备注</w:t>
            </w:r>
          </w:p>
        </w:tc>
        <w:tc>
          <w:tcPr>
            <w:tcW w:w="8456" w:type="dxa"/>
          </w:tcPr>
          <w:p w14:paraId="73C7C2F1">
            <w:pPr>
              <w:rPr>
                <w:rFonts w:ascii="宋体" w:cs="宋体"/>
                <w:color w:val="auto"/>
                <w:sz w:val="24"/>
                <w:highlight w:val="none"/>
              </w:rPr>
            </w:pPr>
          </w:p>
        </w:tc>
      </w:tr>
    </w:tbl>
    <w:p w14:paraId="198CFD37">
      <w:pPr>
        <w:pStyle w:val="10"/>
        <w:ind w:left="420" w:leftChars="114" w:hanging="181" w:hangingChars="100"/>
        <w:rPr>
          <w:rFonts w:ascii="宋体" w:cs="宋体"/>
          <w:b/>
          <w:bCs/>
          <w:color w:val="auto"/>
          <w:sz w:val="18"/>
          <w:highlight w:val="none"/>
        </w:rPr>
      </w:pPr>
      <w:r>
        <w:rPr>
          <w:rFonts w:hint="eastAsia" w:ascii="宋体" w:cs="宋体"/>
          <w:b/>
          <w:bCs/>
          <w:color w:val="auto"/>
          <w:sz w:val="18"/>
          <w:highlight w:val="none"/>
        </w:rPr>
        <w:t>注：投标人凭经采购人审批的退付意见书到履约保证金收取单位办理履约保证金退付事宜。</w:t>
      </w:r>
    </w:p>
    <w:p w14:paraId="4B679C95">
      <w:pPr>
        <w:widowControl/>
        <w:spacing w:line="360" w:lineRule="auto"/>
        <w:jc w:val="left"/>
        <w:rPr>
          <w:rFonts w:ascii="宋体" w:cs="宋体"/>
          <w:color w:val="auto"/>
          <w:szCs w:val="21"/>
          <w:highlight w:val="none"/>
        </w:rPr>
        <w:sectPr>
          <w:pgSz w:w="11906" w:h="16838"/>
          <w:pgMar w:top="1134" w:right="1134" w:bottom="1134" w:left="1134" w:header="720" w:footer="720" w:gutter="0"/>
          <w:cols w:space="720" w:num="1"/>
          <w:docGrid w:type="lines" w:linePitch="331" w:charSpace="0"/>
        </w:sectPr>
      </w:pPr>
    </w:p>
    <w:p w14:paraId="14CDDE69">
      <w:pPr>
        <w:snapToGrid w:val="0"/>
        <w:spacing w:before="50" w:after="165" w:afterLines="50" w:line="360" w:lineRule="auto"/>
        <w:jc w:val="left"/>
        <w:rPr>
          <w:rFonts w:ascii="宋体" w:cs="宋体"/>
          <w:color w:val="auto"/>
          <w:sz w:val="20"/>
          <w:highlight w:val="none"/>
        </w:rPr>
      </w:pPr>
    </w:p>
    <w:p w14:paraId="17E3D4A4">
      <w:pPr>
        <w:pStyle w:val="14"/>
        <w:tabs>
          <w:tab w:val="left" w:pos="2472"/>
        </w:tabs>
        <w:spacing w:line="460" w:lineRule="exact"/>
        <w:jc w:val="center"/>
        <w:rPr>
          <w:rFonts w:cs="宋体"/>
          <w:b/>
          <w:color w:val="auto"/>
          <w:sz w:val="36"/>
          <w:highlight w:val="none"/>
        </w:rPr>
      </w:pPr>
    </w:p>
    <w:p w14:paraId="7253A9A0">
      <w:pPr>
        <w:pStyle w:val="14"/>
        <w:tabs>
          <w:tab w:val="left" w:pos="2472"/>
        </w:tabs>
        <w:spacing w:line="460" w:lineRule="exact"/>
        <w:jc w:val="center"/>
        <w:rPr>
          <w:rFonts w:cs="宋体"/>
          <w:b/>
          <w:color w:val="auto"/>
          <w:sz w:val="36"/>
          <w:highlight w:val="none"/>
        </w:rPr>
      </w:pPr>
    </w:p>
    <w:p w14:paraId="55619797">
      <w:pPr>
        <w:pStyle w:val="14"/>
        <w:tabs>
          <w:tab w:val="left" w:pos="2472"/>
        </w:tabs>
        <w:spacing w:line="460" w:lineRule="exact"/>
        <w:jc w:val="center"/>
        <w:rPr>
          <w:rFonts w:cs="宋体"/>
          <w:b/>
          <w:color w:val="auto"/>
          <w:sz w:val="36"/>
          <w:highlight w:val="none"/>
        </w:rPr>
      </w:pPr>
    </w:p>
    <w:p w14:paraId="217E7CEA">
      <w:pPr>
        <w:pStyle w:val="14"/>
        <w:tabs>
          <w:tab w:val="left" w:pos="2472"/>
        </w:tabs>
        <w:spacing w:line="460" w:lineRule="exact"/>
        <w:jc w:val="center"/>
        <w:rPr>
          <w:rFonts w:cs="宋体"/>
          <w:b/>
          <w:color w:val="auto"/>
          <w:sz w:val="36"/>
          <w:highlight w:val="none"/>
        </w:rPr>
      </w:pPr>
    </w:p>
    <w:p w14:paraId="4F662474">
      <w:pPr>
        <w:pStyle w:val="14"/>
        <w:tabs>
          <w:tab w:val="left" w:pos="2472"/>
        </w:tabs>
        <w:spacing w:line="460" w:lineRule="exact"/>
        <w:jc w:val="center"/>
        <w:rPr>
          <w:rFonts w:cs="宋体"/>
          <w:b/>
          <w:color w:val="auto"/>
          <w:sz w:val="36"/>
          <w:highlight w:val="none"/>
        </w:rPr>
      </w:pPr>
    </w:p>
    <w:p w14:paraId="1548DAFA">
      <w:pPr>
        <w:pStyle w:val="14"/>
        <w:tabs>
          <w:tab w:val="left" w:pos="2472"/>
        </w:tabs>
        <w:spacing w:line="460" w:lineRule="exact"/>
        <w:jc w:val="center"/>
        <w:rPr>
          <w:rFonts w:cs="宋体"/>
          <w:b/>
          <w:color w:val="auto"/>
          <w:sz w:val="36"/>
          <w:highlight w:val="none"/>
        </w:rPr>
      </w:pPr>
    </w:p>
    <w:p w14:paraId="097C4C38">
      <w:pPr>
        <w:pStyle w:val="14"/>
        <w:tabs>
          <w:tab w:val="left" w:pos="2472"/>
        </w:tabs>
        <w:spacing w:line="460" w:lineRule="exact"/>
        <w:jc w:val="center"/>
        <w:rPr>
          <w:rFonts w:cs="宋体"/>
          <w:b/>
          <w:color w:val="auto"/>
          <w:sz w:val="36"/>
          <w:highlight w:val="none"/>
        </w:rPr>
      </w:pPr>
    </w:p>
    <w:p w14:paraId="08297B15">
      <w:pPr>
        <w:pStyle w:val="14"/>
        <w:tabs>
          <w:tab w:val="left" w:pos="2472"/>
        </w:tabs>
        <w:spacing w:line="460" w:lineRule="exact"/>
        <w:jc w:val="center"/>
        <w:rPr>
          <w:rFonts w:cs="宋体"/>
          <w:b/>
          <w:color w:val="auto"/>
          <w:sz w:val="36"/>
          <w:highlight w:val="none"/>
        </w:rPr>
      </w:pPr>
    </w:p>
    <w:p w14:paraId="6019BF70">
      <w:pPr>
        <w:pStyle w:val="14"/>
        <w:tabs>
          <w:tab w:val="left" w:pos="2472"/>
        </w:tabs>
        <w:spacing w:line="460" w:lineRule="exact"/>
        <w:jc w:val="center"/>
        <w:rPr>
          <w:rFonts w:cs="宋体"/>
          <w:b/>
          <w:color w:val="auto"/>
          <w:sz w:val="36"/>
          <w:highlight w:val="none"/>
        </w:rPr>
      </w:pPr>
    </w:p>
    <w:p w14:paraId="35D41BCE">
      <w:pPr>
        <w:pStyle w:val="14"/>
        <w:tabs>
          <w:tab w:val="left" w:pos="2472"/>
        </w:tabs>
        <w:spacing w:line="460" w:lineRule="exact"/>
        <w:jc w:val="center"/>
        <w:rPr>
          <w:rFonts w:cs="宋体"/>
          <w:b/>
          <w:color w:val="auto"/>
          <w:sz w:val="36"/>
          <w:highlight w:val="none"/>
        </w:rPr>
      </w:pPr>
    </w:p>
    <w:p w14:paraId="554E0D40">
      <w:pPr>
        <w:pStyle w:val="14"/>
        <w:tabs>
          <w:tab w:val="left" w:pos="2472"/>
        </w:tabs>
        <w:spacing w:line="460" w:lineRule="exact"/>
        <w:jc w:val="center"/>
        <w:rPr>
          <w:rFonts w:cs="宋体"/>
          <w:b/>
          <w:color w:val="auto"/>
          <w:sz w:val="36"/>
          <w:highlight w:val="none"/>
        </w:rPr>
      </w:pPr>
    </w:p>
    <w:p w14:paraId="6A284AF4">
      <w:pPr>
        <w:pStyle w:val="14"/>
        <w:tabs>
          <w:tab w:val="left" w:pos="2472"/>
        </w:tabs>
        <w:spacing w:line="460" w:lineRule="exact"/>
        <w:jc w:val="center"/>
        <w:outlineLvl w:val="0"/>
        <w:rPr>
          <w:rFonts w:cs="宋体"/>
          <w:color w:val="auto"/>
          <w:sz w:val="20"/>
          <w:highlight w:val="none"/>
        </w:rPr>
        <w:sectPr>
          <w:pgSz w:w="11906" w:h="16838"/>
          <w:pgMar w:top="1134" w:right="1134" w:bottom="1134" w:left="1134" w:header="720" w:footer="720" w:gutter="0"/>
          <w:cols w:space="720" w:num="1"/>
          <w:docGrid w:type="lines" w:linePitch="331" w:charSpace="0"/>
        </w:sectPr>
      </w:pPr>
      <w:bookmarkStart w:id="299" w:name="_Toc19823"/>
      <w:bookmarkStart w:id="300" w:name="_Toc8663"/>
      <w:bookmarkStart w:id="301" w:name="_Toc30176"/>
      <w:bookmarkStart w:id="302" w:name="_Toc15281"/>
      <w:bookmarkStart w:id="303" w:name="_Toc10282"/>
      <w:bookmarkStart w:id="304" w:name="_Toc8133"/>
      <w:bookmarkStart w:id="305" w:name="_Toc1424"/>
      <w:bookmarkStart w:id="306" w:name="_Toc4526"/>
      <w:bookmarkStart w:id="307" w:name="_Toc29827"/>
      <w:bookmarkStart w:id="308" w:name="_Toc18201"/>
      <w:bookmarkStart w:id="309" w:name="_Toc8319"/>
      <w:r>
        <w:rPr>
          <w:rFonts w:hint="eastAsia" w:cs="宋体"/>
          <w:b/>
          <w:color w:val="auto"/>
          <w:sz w:val="36"/>
          <w:highlight w:val="none"/>
        </w:rPr>
        <w:t>第七章 质疑、投诉材料格</w:t>
      </w:r>
      <w:bookmarkEnd w:id="299"/>
      <w:bookmarkEnd w:id="300"/>
      <w:bookmarkEnd w:id="301"/>
      <w:r>
        <w:rPr>
          <w:rFonts w:hint="eastAsia" w:cs="宋体"/>
          <w:b/>
          <w:color w:val="auto"/>
          <w:sz w:val="36"/>
          <w:highlight w:val="none"/>
        </w:rPr>
        <w:t>式</w:t>
      </w:r>
      <w:bookmarkEnd w:id="302"/>
      <w:bookmarkEnd w:id="303"/>
      <w:bookmarkEnd w:id="304"/>
      <w:bookmarkEnd w:id="305"/>
      <w:bookmarkEnd w:id="306"/>
      <w:bookmarkEnd w:id="307"/>
      <w:bookmarkEnd w:id="308"/>
      <w:bookmarkEnd w:id="309"/>
    </w:p>
    <w:p w14:paraId="01EE9805">
      <w:pPr>
        <w:pStyle w:val="3"/>
        <w:jc w:val="center"/>
        <w:rPr>
          <w:rFonts w:ascii="宋体" w:eastAsia="宋体" w:cs="宋体"/>
          <w:b w:val="0"/>
          <w:bCs w:val="0"/>
          <w:color w:val="auto"/>
          <w:highlight w:val="none"/>
        </w:rPr>
      </w:pPr>
      <w:bookmarkStart w:id="310" w:name="_Toc5790"/>
      <w:bookmarkStart w:id="311" w:name="_Toc19413"/>
      <w:bookmarkStart w:id="312" w:name="_Toc25079"/>
      <w:bookmarkStart w:id="313" w:name="_Toc12534"/>
      <w:bookmarkStart w:id="314" w:name="_Toc18910"/>
      <w:r>
        <w:rPr>
          <w:rFonts w:hint="eastAsia" w:ascii="宋体" w:eastAsia="宋体" w:cs="宋体"/>
          <w:b w:val="0"/>
          <w:bCs w:val="0"/>
          <w:color w:val="auto"/>
          <w:highlight w:val="none"/>
        </w:rPr>
        <w:t>第一节 质疑函（格式，投标时不需提供）</w:t>
      </w:r>
      <w:bookmarkEnd w:id="310"/>
      <w:bookmarkEnd w:id="311"/>
      <w:bookmarkEnd w:id="312"/>
      <w:bookmarkEnd w:id="313"/>
      <w:bookmarkEnd w:id="314"/>
    </w:p>
    <w:p w14:paraId="380B869C">
      <w:pPr>
        <w:jc w:val="center"/>
        <w:rPr>
          <w:rFonts w:ascii="宋体" w:cs="宋体"/>
          <w:b/>
          <w:bCs/>
          <w:color w:val="auto"/>
          <w:sz w:val="44"/>
          <w:szCs w:val="44"/>
          <w:highlight w:val="none"/>
        </w:rPr>
      </w:pPr>
      <w:r>
        <w:rPr>
          <w:rFonts w:hint="eastAsia" w:ascii="宋体" w:cs="宋体"/>
          <w:b/>
          <w:bCs/>
          <w:color w:val="auto"/>
          <w:sz w:val="30"/>
          <w:szCs w:val="30"/>
          <w:highlight w:val="none"/>
        </w:rPr>
        <w:t>质疑函</w:t>
      </w:r>
    </w:p>
    <w:p w14:paraId="59F49786">
      <w:pPr>
        <w:adjustRightInd w:val="0"/>
        <w:snapToGrid w:val="0"/>
        <w:spacing w:before="331" w:beforeLines="100" w:line="360" w:lineRule="auto"/>
        <w:rPr>
          <w:rFonts w:ascii="宋体" w:cs="宋体"/>
          <w:bCs/>
          <w:color w:val="auto"/>
          <w:sz w:val="24"/>
          <w:highlight w:val="none"/>
        </w:rPr>
      </w:pPr>
      <w:r>
        <w:rPr>
          <w:rFonts w:hint="eastAsia" w:ascii="宋体" w:cs="宋体"/>
          <w:bCs/>
          <w:color w:val="auto"/>
          <w:sz w:val="24"/>
          <w:highlight w:val="none"/>
        </w:rPr>
        <w:t>一、质疑供应商基本信息</w:t>
      </w:r>
    </w:p>
    <w:p w14:paraId="56CB8766">
      <w:pPr>
        <w:adjustRightInd w:val="0"/>
        <w:snapToGrid w:val="0"/>
        <w:spacing w:line="360" w:lineRule="auto"/>
        <w:rPr>
          <w:rFonts w:ascii="宋体" w:cs="宋体"/>
          <w:color w:val="auto"/>
          <w:sz w:val="24"/>
          <w:highlight w:val="none"/>
          <w:u w:val="dotted"/>
        </w:rPr>
      </w:pPr>
      <w:r>
        <w:rPr>
          <w:rFonts w:hint="eastAsia" w:ascii="宋体" w:cs="宋体"/>
          <w:color w:val="auto"/>
          <w:sz w:val="24"/>
          <w:highlight w:val="none"/>
        </w:rPr>
        <w:t>质疑供应商：</w:t>
      </w:r>
      <w:r>
        <w:rPr>
          <w:rFonts w:hint="eastAsia" w:ascii="宋体" w:cs="宋体"/>
          <w:color w:val="auto"/>
          <w:sz w:val="24"/>
          <w:highlight w:val="none"/>
          <w:u w:val="dotted"/>
        </w:rPr>
        <w:t xml:space="preserve">                                        </w:t>
      </w:r>
    </w:p>
    <w:p w14:paraId="01434189">
      <w:pPr>
        <w:adjustRightInd w:val="0"/>
        <w:snapToGrid w:val="0"/>
        <w:spacing w:line="360" w:lineRule="auto"/>
        <w:rPr>
          <w:rFonts w:ascii="宋体" w:cs="宋体"/>
          <w:color w:val="auto"/>
          <w:sz w:val="24"/>
          <w:highlight w:val="none"/>
        </w:rPr>
      </w:pPr>
      <w:r>
        <w:rPr>
          <w:rFonts w:hint="eastAsia" w:ascii="宋体" w:cs="宋体"/>
          <w:color w:val="auto"/>
          <w:sz w:val="24"/>
          <w:highlight w:val="none"/>
        </w:rPr>
        <w:t>地址：</w:t>
      </w:r>
      <w:r>
        <w:rPr>
          <w:rFonts w:hint="eastAsia" w:ascii="宋体" w:cs="宋体"/>
          <w:color w:val="auto"/>
          <w:sz w:val="24"/>
          <w:highlight w:val="none"/>
          <w:u w:val="dotted"/>
        </w:rPr>
        <w:t xml:space="preserve">                          </w:t>
      </w:r>
      <w:r>
        <w:rPr>
          <w:rFonts w:hint="eastAsia" w:ascii="宋体" w:cs="宋体"/>
          <w:color w:val="auto"/>
          <w:sz w:val="24"/>
          <w:highlight w:val="none"/>
        </w:rPr>
        <w:t>邮编：</w:t>
      </w:r>
      <w:r>
        <w:rPr>
          <w:rFonts w:hint="eastAsia" w:ascii="宋体" w:cs="宋体"/>
          <w:color w:val="auto"/>
          <w:sz w:val="24"/>
          <w:highlight w:val="none"/>
          <w:u w:val="dotted"/>
        </w:rPr>
        <w:t xml:space="preserve">                                                   </w:t>
      </w:r>
    </w:p>
    <w:p w14:paraId="5373953F">
      <w:pPr>
        <w:adjustRightInd w:val="0"/>
        <w:snapToGrid w:val="0"/>
        <w:spacing w:line="360" w:lineRule="auto"/>
        <w:rPr>
          <w:rFonts w:ascii="宋体" w:cs="宋体"/>
          <w:color w:val="auto"/>
          <w:sz w:val="24"/>
          <w:highlight w:val="none"/>
        </w:rPr>
      </w:pPr>
      <w:r>
        <w:rPr>
          <w:rFonts w:hint="eastAsia" w:ascii="宋体" w:cs="宋体"/>
          <w:color w:val="auto"/>
          <w:sz w:val="24"/>
          <w:highlight w:val="none"/>
        </w:rPr>
        <w:t>联系人：</w:t>
      </w:r>
      <w:r>
        <w:rPr>
          <w:rFonts w:hint="eastAsia" w:ascii="宋体" w:cs="宋体"/>
          <w:color w:val="auto"/>
          <w:sz w:val="24"/>
          <w:highlight w:val="none"/>
          <w:u w:val="dotted"/>
        </w:rPr>
        <w:t xml:space="preserve">                      </w:t>
      </w:r>
      <w:r>
        <w:rPr>
          <w:rFonts w:hint="eastAsia" w:ascii="宋体" w:cs="宋体"/>
          <w:color w:val="auto"/>
          <w:sz w:val="24"/>
          <w:highlight w:val="none"/>
        </w:rPr>
        <w:t>联系电话：</w:t>
      </w:r>
      <w:r>
        <w:rPr>
          <w:rFonts w:hint="eastAsia" w:ascii="宋体" w:cs="宋体"/>
          <w:color w:val="auto"/>
          <w:sz w:val="24"/>
          <w:highlight w:val="none"/>
          <w:u w:val="dotted"/>
        </w:rPr>
        <w:t xml:space="preserve">                              </w:t>
      </w:r>
    </w:p>
    <w:p w14:paraId="27548B1F">
      <w:pPr>
        <w:adjustRightInd w:val="0"/>
        <w:snapToGrid w:val="0"/>
        <w:spacing w:line="360" w:lineRule="auto"/>
        <w:rPr>
          <w:rFonts w:ascii="宋体" w:cs="宋体"/>
          <w:color w:val="auto"/>
          <w:sz w:val="24"/>
          <w:highlight w:val="none"/>
          <w:u w:val="dotted"/>
        </w:rPr>
      </w:pPr>
      <w:r>
        <w:rPr>
          <w:rFonts w:hint="eastAsia" w:ascii="宋体" w:cs="宋体"/>
          <w:color w:val="auto"/>
          <w:sz w:val="24"/>
          <w:highlight w:val="none"/>
        </w:rPr>
        <w:t>授权代表：</w:t>
      </w:r>
      <w:r>
        <w:rPr>
          <w:rFonts w:hint="eastAsia" w:ascii="宋体" w:cs="宋体"/>
          <w:color w:val="auto"/>
          <w:sz w:val="24"/>
          <w:highlight w:val="none"/>
          <w:u w:val="dotted"/>
        </w:rPr>
        <w:t xml:space="preserve">                                          </w:t>
      </w:r>
    </w:p>
    <w:p w14:paraId="493DF737">
      <w:pPr>
        <w:adjustRightInd w:val="0"/>
        <w:snapToGrid w:val="0"/>
        <w:spacing w:line="360" w:lineRule="auto"/>
        <w:rPr>
          <w:rFonts w:ascii="宋体" w:cs="宋体"/>
          <w:color w:val="auto"/>
          <w:sz w:val="24"/>
          <w:highlight w:val="none"/>
        </w:rPr>
      </w:pPr>
      <w:r>
        <w:rPr>
          <w:rFonts w:hint="eastAsia" w:ascii="宋体" w:cs="宋体"/>
          <w:color w:val="auto"/>
          <w:sz w:val="24"/>
          <w:highlight w:val="none"/>
        </w:rPr>
        <w:t>联系电话：</w:t>
      </w:r>
      <w:r>
        <w:rPr>
          <w:rFonts w:hint="eastAsia" w:ascii="宋体" w:cs="宋体"/>
          <w:color w:val="auto"/>
          <w:sz w:val="24"/>
          <w:highlight w:val="none"/>
          <w:u w:val="dotted"/>
        </w:rPr>
        <w:t xml:space="preserve">                                           </w:t>
      </w:r>
      <w:r>
        <w:rPr>
          <w:rFonts w:hint="eastAsia" w:ascii="宋体" w:cs="宋体"/>
          <w:color w:val="auto"/>
          <w:sz w:val="24"/>
          <w:highlight w:val="none"/>
        </w:rPr>
        <w:t xml:space="preserve"> </w:t>
      </w:r>
    </w:p>
    <w:p w14:paraId="75955085">
      <w:pPr>
        <w:adjustRightInd w:val="0"/>
        <w:snapToGrid w:val="0"/>
        <w:spacing w:line="360" w:lineRule="auto"/>
        <w:rPr>
          <w:rFonts w:ascii="宋体" w:cs="宋体"/>
          <w:color w:val="auto"/>
          <w:sz w:val="24"/>
          <w:highlight w:val="none"/>
        </w:rPr>
      </w:pPr>
      <w:r>
        <w:rPr>
          <w:rFonts w:hint="eastAsia" w:ascii="宋体" w:cs="宋体"/>
          <w:color w:val="auto"/>
          <w:sz w:val="24"/>
          <w:highlight w:val="none"/>
        </w:rPr>
        <w:t xml:space="preserve">地址： </w:t>
      </w:r>
      <w:r>
        <w:rPr>
          <w:rFonts w:hint="eastAsia" w:ascii="宋体" w:cs="宋体"/>
          <w:color w:val="auto"/>
          <w:sz w:val="24"/>
          <w:highlight w:val="none"/>
          <w:u w:val="dotted"/>
        </w:rPr>
        <w:t xml:space="preserve">                        </w:t>
      </w:r>
      <w:r>
        <w:rPr>
          <w:rFonts w:hint="eastAsia" w:ascii="宋体" w:cs="宋体"/>
          <w:color w:val="auto"/>
          <w:sz w:val="24"/>
          <w:highlight w:val="none"/>
        </w:rPr>
        <w:t>邮编：</w:t>
      </w:r>
      <w:r>
        <w:rPr>
          <w:rFonts w:hint="eastAsia" w:ascii="宋体" w:cs="宋体"/>
          <w:color w:val="auto"/>
          <w:sz w:val="24"/>
          <w:highlight w:val="none"/>
          <w:u w:val="dotted"/>
        </w:rPr>
        <w:t xml:space="preserve">                                                </w:t>
      </w:r>
    </w:p>
    <w:p w14:paraId="7E7A223D">
      <w:pPr>
        <w:adjustRightInd w:val="0"/>
        <w:snapToGrid w:val="0"/>
        <w:spacing w:line="360" w:lineRule="auto"/>
        <w:rPr>
          <w:rFonts w:ascii="宋体" w:cs="宋体"/>
          <w:bCs/>
          <w:color w:val="auto"/>
          <w:sz w:val="24"/>
          <w:highlight w:val="none"/>
        </w:rPr>
      </w:pPr>
      <w:r>
        <w:rPr>
          <w:rFonts w:hint="eastAsia" w:ascii="宋体" w:cs="宋体"/>
          <w:bCs/>
          <w:color w:val="auto"/>
          <w:sz w:val="24"/>
          <w:highlight w:val="none"/>
        </w:rPr>
        <w:t>二、质疑项目基本情况</w:t>
      </w:r>
    </w:p>
    <w:p w14:paraId="120CC9EF">
      <w:pPr>
        <w:adjustRightInd w:val="0"/>
        <w:snapToGrid w:val="0"/>
        <w:spacing w:line="360" w:lineRule="auto"/>
        <w:rPr>
          <w:rFonts w:ascii="宋体" w:cs="宋体"/>
          <w:color w:val="auto"/>
          <w:sz w:val="24"/>
          <w:highlight w:val="none"/>
        </w:rPr>
      </w:pPr>
      <w:r>
        <w:rPr>
          <w:rFonts w:hint="eastAsia" w:ascii="宋体" w:cs="宋体"/>
          <w:color w:val="auto"/>
          <w:sz w:val="24"/>
          <w:highlight w:val="none"/>
        </w:rPr>
        <w:t>质疑项目的名称：</w:t>
      </w:r>
      <w:r>
        <w:rPr>
          <w:rFonts w:hint="eastAsia" w:ascii="宋体" w:cs="宋体"/>
          <w:color w:val="auto"/>
          <w:sz w:val="24"/>
          <w:highlight w:val="none"/>
          <w:u w:val="dotted"/>
        </w:rPr>
        <w:t xml:space="preserve">                           </w:t>
      </w:r>
    </w:p>
    <w:p w14:paraId="4F0E752A">
      <w:pPr>
        <w:adjustRightInd w:val="0"/>
        <w:snapToGrid w:val="0"/>
        <w:spacing w:line="360" w:lineRule="auto"/>
        <w:rPr>
          <w:rFonts w:ascii="宋体" w:cs="宋体"/>
          <w:color w:val="auto"/>
          <w:sz w:val="24"/>
          <w:highlight w:val="none"/>
        </w:rPr>
      </w:pPr>
      <w:r>
        <w:rPr>
          <w:rFonts w:hint="eastAsia" w:ascii="宋体" w:cs="宋体"/>
          <w:color w:val="auto"/>
          <w:sz w:val="24"/>
          <w:highlight w:val="none"/>
        </w:rPr>
        <w:t>质疑项目的编号：</w:t>
      </w:r>
      <w:r>
        <w:rPr>
          <w:rFonts w:hint="eastAsia" w:ascii="宋体" w:cs="宋体"/>
          <w:color w:val="auto"/>
          <w:sz w:val="24"/>
          <w:highlight w:val="none"/>
          <w:u w:val="dotted"/>
        </w:rPr>
        <w:t xml:space="preserve">                          </w:t>
      </w:r>
      <w:r>
        <w:rPr>
          <w:rFonts w:hint="eastAsia" w:ascii="宋体" w:cs="宋体"/>
          <w:color w:val="auto"/>
          <w:sz w:val="24"/>
          <w:highlight w:val="none"/>
        </w:rPr>
        <w:t>包号：</w:t>
      </w:r>
      <w:r>
        <w:rPr>
          <w:rFonts w:hint="eastAsia" w:ascii="宋体" w:cs="宋体"/>
          <w:color w:val="auto"/>
          <w:sz w:val="24"/>
          <w:highlight w:val="none"/>
          <w:u w:val="dotted"/>
        </w:rPr>
        <w:t xml:space="preserve">                 </w:t>
      </w:r>
    </w:p>
    <w:p w14:paraId="67698906">
      <w:pPr>
        <w:adjustRightInd w:val="0"/>
        <w:snapToGrid w:val="0"/>
        <w:spacing w:line="360" w:lineRule="auto"/>
        <w:rPr>
          <w:rFonts w:ascii="宋体" w:cs="宋体"/>
          <w:color w:val="auto"/>
          <w:sz w:val="24"/>
          <w:highlight w:val="none"/>
          <w:u w:val="dotted"/>
        </w:rPr>
      </w:pPr>
      <w:r>
        <w:rPr>
          <w:rFonts w:hint="eastAsia" w:ascii="宋体" w:cs="宋体"/>
          <w:color w:val="auto"/>
          <w:sz w:val="24"/>
          <w:highlight w:val="none"/>
        </w:rPr>
        <w:t>采购人名称：</w:t>
      </w:r>
      <w:r>
        <w:rPr>
          <w:rFonts w:hint="eastAsia" w:ascii="宋体" w:cs="宋体"/>
          <w:color w:val="auto"/>
          <w:sz w:val="24"/>
          <w:highlight w:val="none"/>
          <w:u w:val="dotted"/>
        </w:rPr>
        <w:t xml:space="preserve">  </w:t>
      </w:r>
      <w:bookmarkStart w:id="315" w:name="PO_3000001867_PM026_5"/>
      <w:r>
        <w:rPr>
          <w:rFonts w:hint="eastAsia" w:ascii="宋体" w:cs="宋体"/>
          <w:color w:val="auto"/>
          <w:sz w:val="24"/>
          <w:highlight w:val="none"/>
          <w:u w:val="dotted"/>
        </w:rPr>
        <w:t xml:space="preserve">                        </w:t>
      </w:r>
      <w:bookmarkEnd w:id="315"/>
      <w:r>
        <w:rPr>
          <w:rFonts w:hint="eastAsia" w:ascii="宋体" w:cs="宋体"/>
          <w:color w:val="auto"/>
          <w:sz w:val="24"/>
          <w:highlight w:val="none"/>
          <w:u w:val="dotted"/>
        </w:rPr>
        <w:t xml:space="preserve">  </w:t>
      </w:r>
    </w:p>
    <w:p w14:paraId="349E942F">
      <w:pPr>
        <w:adjustRightInd w:val="0"/>
        <w:snapToGrid w:val="0"/>
        <w:spacing w:line="360" w:lineRule="auto"/>
        <w:rPr>
          <w:rFonts w:ascii="宋体" w:cs="宋体"/>
          <w:color w:val="auto"/>
          <w:sz w:val="24"/>
          <w:highlight w:val="none"/>
          <w:lang w:val="zh-CN"/>
        </w:rPr>
      </w:pPr>
      <w:r>
        <w:rPr>
          <w:rFonts w:hint="eastAsia" w:ascii="宋体" w:cs="宋体"/>
          <w:color w:val="auto"/>
          <w:sz w:val="24"/>
          <w:highlight w:val="none"/>
          <w:lang w:val="zh-CN"/>
        </w:rPr>
        <w:t>质疑事项：</w:t>
      </w:r>
    </w:p>
    <w:p w14:paraId="50BA35FB">
      <w:pPr>
        <w:adjustRightInd w:val="0"/>
        <w:snapToGrid w:val="0"/>
        <w:spacing w:line="360" w:lineRule="auto"/>
        <w:rPr>
          <w:rFonts w:ascii="宋体" w:cs="宋体"/>
          <w:color w:val="auto"/>
          <w:sz w:val="24"/>
          <w:highlight w:val="none"/>
          <w:lang w:val="zh-CN"/>
        </w:rPr>
      </w:pPr>
      <w:r>
        <w:rPr>
          <w:rFonts w:hint="eastAsia" w:ascii="宋体" w:cs="宋体"/>
          <w:color w:val="auto"/>
          <w:sz w:val="24"/>
          <w:highlight w:val="none"/>
          <w:lang w:val="zh-CN"/>
        </w:rPr>
        <w:t>□采购文件   采购文件获取日期：</w:t>
      </w:r>
      <w:r>
        <w:rPr>
          <w:rFonts w:hint="eastAsia" w:ascii="宋体" w:cs="宋体"/>
          <w:color w:val="auto"/>
          <w:sz w:val="24"/>
          <w:highlight w:val="none"/>
          <w:u w:val="dotted"/>
        </w:rPr>
        <w:t xml:space="preserve">                         </w:t>
      </w:r>
      <w:r>
        <w:rPr>
          <w:rFonts w:hint="eastAsia" w:ascii="宋体" w:cs="宋体"/>
          <w:color w:val="auto"/>
          <w:sz w:val="24"/>
          <w:highlight w:val="none"/>
          <w:lang w:val="zh-CN"/>
        </w:rPr>
        <w:t xml:space="preserve">  </w:t>
      </w:r>
    </w:p>
    <w:p w14:paraId="1AC46788">
      <w:pPr>
        <w:adjustRightInd w:val="0"/>
        <w:snapToGrid w:val="0"/>
        <w:spacing w:line="360" w:lineRule="auto"/>
        <w:rPr>
          <w:rFonts w:ascii="宋体" w:cs="宋体"/>
          <w:color w:val="auto"/>
          <w:sz w:val="24"/>
          <w:highlight w:val="none"/>
          <w:lang w:val="zh-CN"/>
        </w:rPr>
      </w:pPr>
      <w:r>
        <w:rPr>
          <w:rFonts w:hint="eastAsia" w:ascii="宋体" w:cs="宋体"/>
          <w:color w:val="auto"/>
          <w:sz w:val="24"/>
          <w:highlight w:val="none"/>
          <w:lang w:val="zh-CN"/>
        </w:rPr>
        <w:t xml:space="preserve">□采购过程   </w:t>
      </w:r>
    </w:p>
    <w:p w14:paraId="4F8643C1">
      <w:pPr>
        <w:adjustRightInd w:val="0"/>
        <w:snapToGrid w:val="0"/>
        <w:spacing w:line="360" w:lineRule="auto"/>
        <w:rPr>
          <w:rFonts w:ascii="宋体" w:cs="宋体"/>
          <w:color w:val="auto"/>
          <w:sz w:val="24"/>
          <w:highlight w:val="none"/>
          <w:lang w:val="zh-CN"/>
        </w:rPr>
      </w:pPr>
      <w:r>
        <w:rPr>
          <w:rFonts w:hint="eastAsia" w:ascii="宋体" w:cs="宋体"/>
          <w:color w:val="auto"/>
          <w:sz w:val="24"/>
          <w:highlight w:val="none"/>
          <w:lang w:val="zh-CN"/>
        </w:rPr>
        <w:t xml:space="preserve">□中标结果   </w:t>
      </w:r>
    </w:p>
    <w:p w14:paraId="0A0C858F">
      <w:pPr>
        <w:adjustRightInd w:val="0"/>
        <w:snapToGrid w:val="0"/>
        <w:spacing w:line="360" w:lineRule="auto"/>
        <w:rPr>
          <w:rFonts w:ascii="宋体" w:cs="宋体"/>
          <w:bCs/>
          <w:color w:val="auto"/>
          <w:sz w:val="24"/>
          <w:highlight w:val="none"/>
        </w:rPr>
      </w:pPr>
      <w:r>
        <w:rPr>
          <w:rFonts w:hint="eastAsia" w:ascii="宋体" w:cs="宋体"/>
          <w:bCs/>
          <w:color w:val="auto"/>
          <w:sz w:val="24"/>
          <w:highlight w:val="none"/>
        </w:rPr>
        <w:t>三、质疑事项具体内容</w:t>
      </w:r>
    </w:p>
    <w:p w14:paraId="692F6154">
      <w:pPr>
        <w:adjustRightInd w:val="0"/>
        <w:snapToGrid w:val="0"/>
        <w:spacing w:line="360" w:lineRule="auto"/>
        <w:rPr>
          <w:rFonts w:ascii="宋体" w:cs="宋体"/>
          <w:color w:val="auto"/>
          <w:sz w:val="24"/>
          <w:highlight w:val="none"/>
          <w:u w:val="dotted"/>
        </w:rPr>
      </w:pPr>
      <w:r>
        <w:rPr>
          <w:rFonts w:hint="eastAsia" w:ascii="宋体" w:cs="宋体"/>
          <w:color w:val="auto"/>
          <w:sz w:val="24"/>
          <w:highlight w:val="none"/>
        </w:rPr>
        <w:t>质疑事项1：</w:t>
      </w:r>
      <w:r>
        <w:rPr>
          <w:rFonts w:hint="eastAsia" w:ascii="宋体" w:cs="宋体"/>
          <w:color w:val="auto"/>
          <w:sz w:val="24"/>
          <w:highlight w:val="none"/>
          <w:u w:val="dotted"/>
        </w:rPr>
        <w:t xml:space="preserve">                                         </w:t>
      </w:r>
    </w:p>
    <w:p w14:paraId="0C1A7BBA">
      <w:pPr>
        <w:adjustRightInd w:val="0"/>
        <w:snapToGrid w:val="0"/>
        <w:spacing w:line="360" w:lineRule="auto"/>
        <w:rPr>
          <w:rFonts w:ascii="宋体" w:cs="宋体"/>
          <w:color w:val="auto"/>
          <w:sz w:val="24"/>
          <w:highlight w:val="none"/>
          <w:u w:val="dotted"/>
        </w:rPr>
      </w:pPr>
      <w:r>
        <w:rPr>
          <w:rFonts w:hint="eastAsia" w:ascii="宋体" w:cs="宋体"/>
          <w:color w:val="auto"/>
          <w:sz w:val="24"/>
          <w:highlight w:val="none"/>
        </w:rPr>
        <w:t>事实依据：</w:t>
      </w:r>
      <w:r>
        <w:rPr>
          <w:rFonts w:hint="eastAsia" w:ascii="宋体" w:cs="宋体"/>
          <w:color w:val="auto"/>
          <w:sz w:val="24"/>
          <w:highlight w:val="none"/>
          <w:u w:val="dotted"/>
        </w:rPr>
        <w:t xml:space="preserve">                                          </w:t>
      </w:r>
    </w:p>
    <w:p w14:paraId="201EE857">
      <w:pPr>
        <w:adjustRightInd w:val="0"/>
        <w:snapToGrid w:val="0"/>
        <w:spacing w:line="360" w:lineRule="auto"/>
        <w:rPr>
          <w:rFonts w:ascii="宋体" w:cs="宋体"/>
          <w:color w:val="auto"/>
          <w:sz w:val="24"/>
          <w:highlight w:val="none"/>
        </w:rPr>
      </w:pPr>
      <w:r>
        <w:rPr>
          <w:rFonts w:hint="eastAsia" w:ascii="宋体" w:cs="宋体"/>
          <w:color w:val="auto"/>
          <w:sz w:val="24"/>
          <w:highlight w:val="none"/>
          <w:u w:val="dotted"/>
        </w:rPr>
        <w:t xml:space="preserve">                                                       </w:t>
      </w:r>
    </w:p>
    <w:p w14:paraId="69401F82">
      <w:pPr>
        <w:adjustRightInd w:val="0"/>
        <w:snapToGrid w:val="0"/>
        <w:spacing w:line="360" w:lineRule="auto"/>
        <w:rPr>
          <w:rFonts w:ascii="宋体" w:cs="宋体"/>
          <w:color w:val="auto"/>
          <w:sz w:val="24"/>
          <w:highlight w:val="none"/>
          <w:u w:val="dotted"/>
        </w:rPr>
      </w:pPr>
      <w:r>
        <w:rPr>
          <w:rFonts w:hint="eastAsia" w:ascii="宋体" w:cs="宋体"/>
          <w:color w:val="auto"/>
          <w:sz w:val="24"/>
          <w:highlight w:val="none"/>
        </w:rPr>
        <w:t>法律依据：</w:t>
      </w:r>
      <w:r>
        <w:rPr>
          <w:rFonts w:hint="eastAsia" w:ascii="宋体" w:cs="宋体"/>
          <w:color w:val="auto"/>
          <w:sz w:val="24"/>
          <w:highlight w:val="none"/>
          <w:u w:val="dotted"/>
        </w:rPr>
        <w:t xml:space="preserve">                                          </w:t>
      </w:r>
    </w:p>
    <w:p w14:paraId="3C8A570F">
      <w:pPr>
        <w:adjustRightInd w:val="0"/>
        <w:snapToGrid w:val="0"/>
        <w:spacing w:line="360" w:lineRule="auto"/>
        <w:rPr>
          <w:rFonts w:ascii="宋体" w:cs="宋体"/>
          <w:color w:val="auto"/>
          <w:sz w:val="24"/>
          <w:highlight w:val="none"/>
          <w:u w:val="dotted"/>
        </w:rPr>
      </w:pPr>
      <w:r>
        <w:rPr>
          <w:rFonts w:hint="eastAsia" w:ascii="宋体" w:cs="宋体"/>
          <w:color w:val="auto"/>
          <w:sz w:val="24"/>
          <w:highlight w:val="none"/>
          <w:u w:val="dotted"/>
        </w:rPr>
        <w:t xml:space="preserve">                                                     </w:t>
      </w:r>
    </w:p>
    <w:p w14:paraId="38EDCC5E">
      <w:pPr>
        <w:adjustRightInd w:val="0"/>
        <w:snapToGrid w:val="0"/>
        <w:spacing w:line="360" w:lineRule="auto"/>
        <w:rPr>
          <w:rFonts w:ascii="宋体" w:cs="宋体"/>
          <w:color w:val="auto"/>
          <w:sz w:val="24"/>
          <w:highlight w:val="none"/>
          <w:u w:val="dotted"/>
        </w:rPr>
      </w:pPr>
      <w:r>
        <w:rPr>
          <w:rFonts w:hint="eastAsia" w:ascii="宋体" w:cs="宋体"/>
          <w:color w:val="auto"/>
          <w:sz w:val="24"/>
          <w:highlight w:val="none"/>
        </w:rPr>
        <w:t>质疑事项2</w:t>
      </w:r>
    </w:p>
    <w:p w14:paraId="18744EF9">
      <w:pPr>
        <w:adjustRightInd w:val="0"/>
        <w:snapToGrid w:val="0"/>
        <w:spacing w:line="360" w:lineRule="auto"/>
        <w:rPr>
          <w:rFonts w:ascii="宋体" w:cs="宋体"/>
          <w:color w:val="auto"/>
          <w:sz w:val="24"/>
          <w:highlight w:val="none"/>
        </w:rPr>
      </w:pPr>
      <w:r>
        <w:rPr>
          <w:rFonts w:hint="eastAsia" w:ascii="宋体" w:cs="宋体"/>
          <w:color w:val="auto"/>
          <w:sz w:val="24"/>
          <w:highlight w:val="none"/>
        </w:rPr>
        <w:t>……</w:t>
      </w:r>
    </w:p>
    <w:p w14:paraId="14B51B90">
      <w:pPr>
        <w:adjustRightInd w:val="0"/>
        <w:snapToGrid w:val="0"/>
        <w:spacing w:line="360" w:lineRule="auto"/>
        <w:rPr>
          <w:rFonts w:ascii="宋体" w:cs="宋体"/>
          <w:bCs/>
          <w:color w:val="auto"/>
          <w:sz w:val="24"/>
          <w:highlight w:val="none"/>
        </w:rPr>
      </w:pPr>
      <w:r>
        <w:rPr>
          <w:rFonts w:hint="eastAsia" w:ascii="宋体" w:cs="宋体"/>
          <w:bCs/>
          <w:color w:val="auto"/>
          <w:sz w:val="24"/>
          <w:highlight w:val="none"/>
        </w:rPr>
        <w:t>四、与质疑事项相关的质疑请求</w:t>
      </w:r>
    </w:p>
    <w:p w14:paraId="0E9D8C52">
      <w:pPr>
        <w:adjustRightInd w:val="0"/>
        <w:snapToGrid w:val="0"/>
        <w:spacing w:line="360" w:lineRule="auto"/>
        <w:rPr>
          <w:rFonts w:ascii="宋体" w:cs="宋体"/>
          <w:color w:val="auto"/>
          <w:sz w:val="24"/>
          <w:highlight w:val="none"/>
          <w:u w:val="dotted"/>
        </w:rPr>
      </w:pPr>
      <w:r>
        <w:rPr>
          <w:rFonts w:hint="eastAsia" w:ascii="宋体" w:cs="宋体"/>
          <w:color w:val="auto"/>
          <w:sz w:val="24"/>
          <w:highlight w:val="none"/>
        </w:rPr>
        <w:t>请求：</w:t>
      </w:r>
      <w:r>
        <w:rPr>
          <w:rFonts w:hint="eastAsia" w:ascii="宋体" w:cs="宋体"/>
          <w:color w:val="auto"/>
          <w:sz w:val="24"/>
          <w:highlight w:val="none"/>
          <w:u w:val="dotted"/>
        </w:rPr>
        <w:t xml:space="preserve">                                               </w:t>
      </w:r>
    </w:p>
    <w:p w14:paraId="571EB761">
      <w:pPr>
        <w:rPr>
          <w:rFonts w:ascii="宋体" w:cs="宋体"/>
          <w:color w:val="auto"/>
          <w:sz w:val="24"/>
          <w:highlight w:val="none"/>
        </w:rPr>
      </w:pPr>
      <w:r>
        <w:rPr>
          <w:rFonts w:hint="eastAsia" w:ascii="宋体" w:cs="宋体"/>
          <w:color w:val="auto"/>
          <w:sz w:val="24"/>
          <w:highlight w:val="none"/>
        </w:rPr>
        <w:t xml:space="preserve">签字(签章)：                   公章：                      </w:t>
      </w:r>
    </w:p>
    <w:p w14:paraId="15E0CC23">
      <w:pPr>
        <w:ind w:firstLine="6240" w:firstLineChars="2600"/>
        <w:rPr>
          <w:rFonts w:ascii="宋体" w:cs="宋体"/>
          <w:color w:val="auto"/>
          <w:sz w:val="24"/>
          <w:highlight w:val="none"/>
        </w:rPr>
      </w:pPr>
      <w:r>
        <w:rPr>
          <w:rFonts w:hint="eastAsia" w:ascii="宋体" w:cs="宋体"/>
          <w:color w:val="auto"/>
          <w:sz w:val="24"/>
          <w:highlight w:val="none"/>
        </w:rPr>
        <w:t xml:space="preserve">日期：    </w:t>
      </w:r>
    </w:p>
    <w:p w14:paraId="5DCB1592">
      <w:pPr>
        <w:rPr>
          <w:rFonts w:ascii="宋体" w:cs="宋体"/>
          <w:b/>
          <w:color w:val="auto"/>
          <w:sz w:val="24"/>
          <w:highlight w:val="none"/>
        </w:rPr>
      </w:pPr>
    </w:p>
    <w:p w14:paraId="7799FCAB">
      <w:pPr>
        <w:spacing w:line="360" w:lineRule="auto"/>
        <w:rPr>
          <w:rFonts w:ascii="宋体" w:cs="宋体"/>
          <w:b/>
          <w:color w:val="auto"/>
          <w:sz w:val="24"/>
          <w:highlight w:val="none"/>
        </w:rPr>
      </w:pPr>
      <w:r>
        <w:rPr>
          <w:rFonts w:hint="eastAsia" w:ascii="宋体" w:cs="宋体"/>
          <w:b/>
          <w:color w:val="auto"/>
          <w:sz w:val="24"/>
          <w:highlight w:val="none"/>
        </w:rPr>
        <w:t>质疑函制作说明：</w:t>
      </w:r>
    </w:p>
    <w:p w14:paraId="56A90199">
      <w:pPr>
        <w:widowControl/>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1.供应商提出质疑时，应提交质疑函和必要的证明材料。</w:t>
      </w:r>
    </w:p>
    <w:p w14:paraId="1D2ED5B9">
      <w:pPr>
        <w:widowControl/>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2.质疑供应商若委托代理人进行质疑的，质疑函应按要求列明“授权代表”的有关内容，并在附件中提交由质疑</w:t>
      </w:r>
      <w:r>
        <w:rPr>
          <w:rFonts w:hint="eastAsia" w:ascii="宋体" w:cs="宋体"/>
          <w:color w:val="auto"/>
          <w:kern w:val="0"/>
          <w:szCs w:val="21"/>
          <w:highlight w:val="none"/>
        </w:rPr>
        <w:t>供应商签署的授权委托书。授权委托书应载明代理人的姓名或者名称、代理事项、具体权限、期限和相关事项。</w:t>
      </w:r>
    </w:p>
    <w:p w14:paraId="44A2F8F7">
      <w:pPr>
        <w:widowControl/>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3.质疑供应商若对项目的某一分包进行质疑，质疑函中应列明具体分包号。</w:t>
      </w:r>
    </w:p>
    <w:p w14:paraId="6E6C31C7">
      <w:pPr>
        <w:widowControl/>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4.质疑函的质疑事项应具体、明确，并有必要的事实依据和法律依据。</w:t>
      </w:r>
    </w:p>
    <w:p w14:paraId="5FE882D9">
      <w:pPr>
        <w:widowControl/>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5.质疑函的质疑请求应与质疑事项相关。</w:t>
      </w:r>
    </w:p>
    <w:p w14:paraId="08F6086B">
      <w:pPr>
        <w:widowControl/>
        <w:spacing w:line="360" w:lineRule="auto"/>
        <w:ind w:firstLine="420" w:firstLineChars="200"/>
        <w:jc w:val="left"/>
        <w:rPr>
          <w:rFonts w:ascii="宋体" w:cs="宋体"/>
          <w:color w:val="auto"/>
          <w:sz w:val="28"/>
          <w:szCs w:val="28"/>
          <w:highlight w:val="none"/>
        </w:rPr>
      </w:pPr>
      <w:r>
        <w:rPr>
          <w:rFonts w:hint="eastAsia" w:ascii="宋体" w:cs="宋体"/>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742959F4">
      <w:pPr>
        <w:pStyle w:val="3"/>
        <w:jc w:val="center"/>
        <w:rPr>
          <w:rFonts w:ascii="宋体" w:eastAsia="宋体" w:cs="宋体"/>
          <w:b w:val="0"/>
          <w:bCs w:val="0"/>
          <w:color w:val="auto"/>
          <w:highlight w:val="none"/>
        </w:rPr>
      </w:pPr>
      <w:bookmarkStart w:id="316" w:name="_Toc11085"/>
      <w:bookmarkStart w:id="317" w:name="_Toc31115"/>
    </w:p>
    <w:p w14:paraId="2BA4BCF1">
      <w:pPr>
        <w:pStyle w:val="3"/>
        <w:jc w:val="center"/>
        <w:rPr>
          <w:rFonts w:ascii="宋体" w:eastAsia="宋体" w:cs="宋体"/>
          <w:b w:val="0"/>
          <w:bCs w:val="0"/>
          <w:color w:val="auto"/>
          <w:highlight w:val="none"/>
        </w:rPr>
      </w:pPr>
    </w:p>
    <w:p w14:paraId="28E39771">
      <w:pPr>
        <w:pStyle w:val="3"/>
        <w:jc w:val="center"/>
        <w:rPr>
          <w:rFonts w:ascii="宋体" w:eastAsia="宋体" w:cs="宋体"/>
          <w:b w:val="0"/>
          <w:bCs w:val="0"/>
          <w:color w:val="auto"/>
          <w:highlight w:val="none"/>
        </w:rPr>
      </w:pPr>
    </w:p>
    <w:p w14:paraId="02FEB3EF">
      <w:pPr>
        <w:pStyle w:val="3"/>
        <w:jc w:val="center"/>
        <w:rPr>
          <w:rFonts w:ascii="宋体" w:eastAsia="宋体" w:cs="宋体"/>
          <w:b w:val="0"/>
          <w:bCs w:val="0"/>
          <w:color w:val="auto"/>
          <w:highlight w:val="none"/>
        </w:rPr>
      </w:pPr>
    </w:p>
    <w:p w14:paraId="7BD81488">
      <w:pPr>
        <w:rPr>
          <w:rFonts w:ascii="宋体" w:cs="宋体"/>
          <w:color w:val="auto"/>
          <w:highlight w:val="none"/>
        </w:rPr>
      </w:pPr>
    </w:p>
    <w:p w14:paraId="5F3B472A">
      <w:pPr>
        <w:pStyle w:val="17"/>
        <w:rPr>
          <w:rFonts w:ascii="宋体" w:cs="宋体"/>
          <w:color w:val="auto"/>
          <w:highlight w:val="none"/>
        </w:rPr>
      </w:pPr>
    </w:p>
    <w:p w14:paraId="2F9EE056">
      <w:pPr>
        <w:pStyle w:val="17"/>
        <w:rPr>
          <w:rFonts w:ascii="宋体" w:cs="宋体"/>
          <w:color w:val="auto"/>
          <w:highlight w:val="none"/>
        </w:rPr>
      </w:pPr>
    </w:p>
    <w:p w14:paraId="0BEC6390">
      <w:pPr>
        <w:pStyle w:val="17"/>
        <w:rPr>
          <w:rFonts w:ascii="宋体" w:cs="宋体"/>
          <w:color w:val="auto"/>
          <w:highlight w:val="none"/>
        </w:rPr>
      </w:pPr>
    </w:p>
    <w:p w14:paraId="77942E77">
      <w:pPr>
        <w:pStyle w:val="17"/>
        <w:rPr>
          <w:rFonts w:ascii="宋体" w:cs="宋体"/>
          <w:color w:val="auto"/>
          <w:highlight w:val="none"/>
        </w:rPr>
      </w:pPr>
    </w:p>
    <w:p w14:paraId="2DD36AB1">
      <w:pPr>
        <w:pStyle w:val="17"/>
        <w:rPr>
          <w:rFonts w:ascii="宋体" w:cs="宋体"/>
          <w:color w:val="auto"/>
          <w:highlight w:val="none"/>
        </w:rPr>
      </w:pPr>
    </w:p>
    <w:p w14:paraId="5F1F5B9E">
      <w:pPr>
        <w:pStyle w:val="17"/>
        <w:rPr>
          <w:rFonts w:ascii="宋体" w:cs="宋体"/>
          <w:color w:val="auto"/>
          <w:highlight w:val="none"/>
        </w:rPr>
      </w:pPr>
    </w:p>
    <w:p w14:paraId="02DCAC25">
      <w:pPr>
        <w:pStyle w:val="17"/>
        <w:rPr>
          <w:rFonts w:ascii="宋体" w:cs="宋体"/>
          <w:color w:val="auto"/>
          <w:highlight w:val="none"/>
        </w:rPr>
      </w:pPr>
    </w:p>
    <w:p w14:paraId="78C1690E">
      <w:pPr>
        <w:pStyle w:val="17"/>
        <w:rPr>
          <w:rFonts w:ascii="宋体" w:cs="宋体"/>
          <w:color w:val="auto"/>
          <w:highlight w:val="none"/>
        </w:rPr>
      </w:pPr>
    </w:p>
    <w:p w14:paraId="5C6EE019">
      <w:pPr>
        <w:pStyle w:val="17"/>
        <w:rPr>
          <w:rFonts w:ascii="宋体" w:cs="宋体"/>
          <w:color w:val="auto"/>
          <w:highlight w:val="none"/>
        </w:rPr>
      </w:pPr>
    </w:p>
    <w:p w14:paraId="12F65E8D">
      <w:pPr>
        <w:pStyle w:val="17"/>
        <w:rPr>
          <w:rFonts w:ascii="宋体" w:cs="宋体"/>
          <w:color w:val="auto"/>
          <w:highlight w:val="none"/>
        </w:rPr>
      </w:pPr>
    </w:p>
    <w:p w14:paraId="2E2792AA">
      <w:pPr>
        <w:pStyle w:val="17"/>
        <w:rPr>
          <w:rFonts w:ascii="宋体" w:cs="宋体"/>
          <w:color w:val="auto"/>
          <w:highlight w:val="none"/>
        </w:rPr>
      </w:pPr>
    </w:p>
    <w:p w14:paraId="7DAA0F90">
      <w:pPr>
        <w:pStyle w:val="17"/>
        <w:rPr>
          <w:rFonts w:ascii="宋体" w:cs="宋体"/>
          <w:color w:val="auto"/>
          <w:highlight w:val="none"/>
        </w:rPr>
      </w:pPr>
    </w:p>
    <w:p w14:paraId="2D0159B1">
      <w:pPr>
        <w:pStyle w:val="17"/>
        <w:rPr>
          <w:rFonts w:ascii="宋体" w:cs="宋体"/>
          <w:color w:val="auto"/>
          <w:highlight w:val="none"/>
        </w:rPr>
      </w:pPr>
    </w:p>
    <w:p w14:paraId="2C6E2FAC">
      <w:pPr>
        <w:pStyle w:val="17"/>
        <w:rPr>
          <w:rFonts w:ascii="宋体" w:cs="宋体"/>
          <w:color w:val="auto"/>
          <w:highlight w:val="none"/>
        </w:rPr>
      </w:pPr>
    </w:p>
    <w:p w14:paraId="44000D46">
      <w:pPr>
        <w:pStyle w:val="17"/>
        <w:rPr>
          <w:rFonts w:ascii="宋体" w:cs="宋体"/>
          <w:color w:val="auto"/>
          <w:highlight w:val="none"/>
        </w:rPr>
      </w:pPr>
    </w:p>
    <w:p w14:paraId="766CCA4D">
      <w:pPr>
        <w:pStyle w:val="3"/>
        <w:jc w:val="center"/>
        <w:rPr>
          <w:rFonts w:ascii="宋体" w:eastAsia="宋体" w:cs="宋体"/>
          <w:b w:val="0"/>
          <w:bCs w:val="0"/>
          <w:color w:val="auto"/>
          <w:highlight w:val="none"/>
        </w:rPr>
      </w:pPr>
      <w:bookmarkStart w:id="318" w:name="_Toc6950"/>
      <w:bookmarkStart w:id="319" w:name="_Toc22163"/>
      <w:bookmarkStart w:id="320" w:name="_Toc11120"/>
      <w:r>
        <w:rPr>
          <w:rFonts w:hint="eastAsia" w:ascii="宋体" w:eastAsia="宋体" w:cs="宋体"/>
          <w:b w:val="0"/>
          <w:bCs w:val="0"/>
          <w:color w:val="auto"/>
          <w:highlight w:val="none"/>
        </w:rPr>
        <w:t>第二节 投诉书（格式，投标时不需提供）</w:t>
      </w:r>
      <w:bookmarkEnd w:id="316"/>
      <w:bookmarkEnd w:id="317"/>
      <w:bookmarkEnd w:id="318"/>
      <w:bookmarkEnd w:id="319"/>
      <w:bookmarkEnd w:id="320"/>
    </w:p>
    <w:p w14:paraId="5519DAFE">
      <w:pPr>
        <w:jc w:val="center"/>
        <w:rPr>
          <w:rFonts w:ascii="宋体" w:cs="宋体"/>
          <w:b/>
          <w:color w:val="auto"/>
          <w:sz w:val="44"/>
          <w:szCs w:val="44"/>
          <w:highlight w:val="none"/>
        </w:rPr>
      </w:pPr>
      <w:r>
        <w:rPr>
          <w:rFonts w:hint="eastAsia" w:ascii="宋体" w:cs="宋体"/>
          <w:b/>
          <w:color w:val="auto"/>
          <w:sz w:val="30"/>
          <w:szCs w:val="30"/>
          <w:highlight w:val="none"/>
        </w:rPr>
        <w:t>投诉书</w:t>
      </w:r>
    </w:p>
    <w:p w14:paraId="038ACFB5">
      <w:pPr>
        <w:spacing w:line="360" w:lineRule="auto"/>
        <w:rPr>
          <w:rFonts w:ascii="宋体" w:cs="宋体"/>
          <w:color w:val="auto"/>
          <w:sz w:val="24"/>
          <w:highlight w:val="none"/>
        </w:rPr>
      </w:pPr>
      <w:r>
        <w:rPr>
          <w:rFonts w:hint="eastAsia" w:ascii="宋体" w:cs="宋体"/>
          <w:color w:val="auto"/>
          <w:sz w:val="24"/>
          <w:highlight w:val="none"/>
        </w:rPr>
        <w:t>一、投诉相关主体基本情况</w:t>
      </w:r>
    </w:p>
    <w:p w14:paraId="3670DE08">
      <w:pPr>
        <w:spacing w:line="360" w:lineRule="auto"/>
        <w:rPr>
          <w:rFonts w:ascii="宋体" w:cs="宋体"/>
          <w:color w:val="auto"/>
          <w:sz w:val="24"/>
          <w:highlight w:val="none"/>
          <w:u w:val="dotted"/>
        </w:rPr>
      </w:pPr>
      <w:r>
        <w:rPr>
          <w:rFonts w:hint="eastAsia" w:ascii="宋体" w:cs="宋体"/>
          <w:color w:val="auto"/>
          <w:sz w:val="24"/>
          <w:highlight w:val="none"/>
        </w:rPr>
        <w:t>投诉人：</w:t>
      </w:r>
      <w:r>
        <w:rPr>
          <w:rFonts w:hint="eastAsia" w:ascii="宋体" w:cs="宋体"/>
          <w:color w:val="auto"/>
          <w:sz w:val="24"/>
          <w:highlight w:val="none"/>
          <w:u w:val="dotted"/>
        </w:rPr>
        <w:t xml:space="preserve">                                               </w:t>
      </w:r>
    </w:p>
    <w:p w14:paraId="513331F7">
      <w:pPr>
        <w:spacing w:line="360" w:lineRule="auto"/>
        <w:rPr>
          <w:rFonts w:ascii="宋体" w:cs="宋体"/>
          <w:color w:val="auto"/>
          <w:sz w:val="24"/>
          <w:highlight w:val="none"/>
          <w:u w:val="single"/>
        </w:rPr>
      </w:pPr>
      <w:r>
        <w:rPr>
          <w:rFonts w:hint="eastAsia" w:ascii="宋体" w:cs="宋体"/>
          <w:color w:val="auto"/>
          <w:sz w:val="24"/>
          <w:highlight w:val="none"/>
        </w:rPr>
        <w:t>地     址：</w:t>
      </w:r>
      <w:r>
        <w:rPr>
          <w:rFonts w:hint="eastAsia" w:ascii="宋体" w:cs="宋体"/>
          <w:color w:val="auto"/>
          <w:sz w:val="24"/>
          <w:highlight w:val="none"/>
          <w:u w:val="dotted"/>
        </w:rPr>
        <w:t xml:space="preserve">                             </w:t>
      </w:r>
      <w:r>
        <w:rPr>
          <w:rFonts w:hint="eastAsia" w:ascii="宋体" w:cs="宋体"/>
          <w:color w:val="auto"/>
          <w:sz w:val="24"/>
          <w:highlight w:val="none"/>
        </w:rPr>
        <w:t>邮编：</w:t>
      </w:r>
      <w:r>
        <w:rPr>
          <w:rFonts w:hint="eastAsia" w:ascii="宋体" w:cs="宋体"/>
          <w:color w:val="auto"/>
          <w:sz w:val="24"/>
          <w:highlight w:val="none"/>
          <w:u w:val="dotted"/>
        </w:rPr>
        <w:t xml:space="preserve">         </w:t>
      </w:r>
    </w:p>
    <w:p w14:paraId="45932A0E">
      <w:pPr>
        <w:tabs>
          <w:tab w:val="left" w:pos="6510"/>
        </w:tabs>
        <w:spacing w:line="360" w:lineRule="auto"/>
        <w:jc w:val="left"/>
        <w:rPr>
          <w:rFonts w:ascii="宋体" w:cs="宋体"/>
          <w:color w:val="auto"/>
          <w:sz w:val="24"/>
          <w:highlight w:val="none"/>
        </w:rPr>
      </w:pPr>
      <w:r>
        <w:rPr>
          <w:rFonts w:hint="eastAsia" w:ascii="宋体" w:cs="宋体"/>
          <w:color w:val="auto"/>
          <w:sz w:val="24"/>
          <w:highlight w:val="none"/>
        </w:rPr>
        <w:t>法定代表人/主要负责人：</w:t>
      </w:r>
      <w:r>
        <w:rPr>
          <w:rFonts w:hint="eastAsia" w:ascii="宋体" w:cs="宋体"/>
          <w:color w:val="auto"/>
          <w:sz w:val="24"/>
          <w:highlight w:val="none"/>
          <w:u w:val="dotted"/>
        </w:rPr>
        <w:t xml:space="preserve">                                   </w:t>
      </w:r>
      <w:r>
        <w:rPr>
          <w:rFonts w:hint="eastAsia" w:ascii="宋体" w:cs="宋体"/>
          <w:color w:val="auto"/>
          <w:sz w:val="24"/>
          <w:highlight w:val="none"/>
        </w:rPr>
        <w:t xml:space="preserve">  </w:t>
      </w:r>
    </w:p>
    <w:p w14:paraId="7CE7E668">
      <w:pPr>
        <w:tabs>
          <w:tab w:val="left" w:pos="6510"/>
        </w:tabs>
        <w:spacing w:line="360" w:lineRule="auto"/>
        <w:rPr>
          <w:rFonts w:ascii="宋体" w:cs="宋体"/>
          <w:color w:val="auto"/>
          <w:sz w:val="24"/>
          <w:highlight w:val="none"/>
          <w:u w:val="dotted"/>
        </w:rPr>
      </w:pPr>
      <w:r>
        <w:rPr>
          <w:rFonts w:hint="eastAsia" w:ascii="宋体" w:cs="宋体"/>
          <w:color w:val="auto"/>
          <w:sz w:val="24"/>
          <w:highlight w:val="none"/>
        </w:rPr>
        <w:t>联系电话：</w:t>
      </w:r>
      <w:r>
        <w:rPr>
          <w:rFonts w:hint="eastAsia" w:ascii="宋体" w:cs="宋体"/>
          <w:color w:val="auto"/>
          <w:sz w:val="24"/>
          <w:highlight w:val="none"/>
          <w:u w:val="dotted"/>
        </w:rPr>
        <w:t xml:space="preserve">                                             </w:t>
      </w:r>
    </w:p>
    <w:p w14:paraId="69807B7B">
      <w:pPr>
        <w:spacing w:line="360" w:lineRule="auto"/>
        <w:rPr>
          <w:rFonts w:ascii="宋体" w:cs="宋体"/>
          <w:color w:val="auto"/>
          <w:sz w:val="24"/>
          <w:highlight w:val="none"/>
          <w:u w:val="dotted"/>
        </w:rPr>
      </w:pPr>
      <w:r>
        <w:rPr>
          <w:rFonts w:hint="eastAsia" w:ascii="宋体" w:cs="宋体"/>
          <w:color w:val="auto"/>
          <w:sz w:val="24"/>
          <w:highlight w:val="none"/>
        </w:rPr>
        <w:t>授权代表：</w:t>
      </w:r>
      <w:r>
        <w:rPr>
          <w:rFonts w:hint="eastAsia" w:ascii="宋体" w:cs="宋体"/>
          <w:color w:val="auto"/>
          <w:sz w:val="24"/>
          <w:highlight w:val="none"/>
          <w:u w:val="dotted"/>
        </w:rPr>
        <w:t xml:space="preserve">             </w:t>
      </w:r>
      <w:r>
        <w:rPr>
          <w:rFonts w:hint="eastAsia" w:ascii="宋体" w:cs="宋体"/>
          <w:color w:val="auto"/>
          <w:sz w:val="24"/>
          <w:highlight w:val="none"/>
        </w:rPr>
        <w:t>联系电话</w:t>
      </w:r>
      <w:r>
        <w:rPr>
          <w:rFonts w:hint="eastAsia" w:ascii="宋体" w:cs="宋体"/>
          <w:color w:val="auto"/>
          <w:sz w:val="24"/>
          <w:highlight w:val="none"/>
          <w:u w:val="dotted"/>
        </w:rPr>
        <w:t xml:space="preserve">：                  </w:t>
      </w:r>
    </w:p>
    <w:p w14:paraId="1036D802">
      <w:pPr>
        <w:spacing w:line="360" w:lineRule="auto"/>
        <w:rPr>
          <w:rFonts w:ascii="宋体" w:cs="宋体"/>
          <w:color w:val="auto"/>
          <w:sz w:val="24"/>
          <w:highlight w:val="none"/>
          <w:u w:val="dotted"/>
        </w:rPr>
      </w:pPr>
      <w:r>
        <w:rPr>
          <w:rFonts w:hint="eastAsia" w:ascii="宋体" w:cs="宋体"/>
          <w:color w:val="auto"/>
          <w:sz w:val="24"/>
          <w:highlight w:val="none"/>
        </w:rPr>
        <w:t>地     址：</w:t>
      </w:r>
      <w:r>
        <w:rPr>
          <w:rFonts w:hint="eastAsia" w:ascii="宋体" w:cs="宋体"/>
          <w:color w:val="auto"/>
          <w:sz w:val="24"/>
          <w:highlight w:val="none"/>
          <w:u w:val="dotted"/>
        </w:rPr>
        <w:t xml:space="preserve">                             </w:t>
      </w:r>
      <w:r>
        <w:rPr>
          <w:rFonts w:hint="eastAsia" w:ascii="宋体" w:cs="宋体"/>
          <w:color w:val="auto"/>
          <w:sz w:val="24"/>
          <w:highlight w:val="none"/>
        </w:rPr>
        <w:t>邮编：</w:t>
      </w:r>
      <w:r>
        <w:rPr>
          <w:rFonts w:hint="eastAsia" w:ascii="宋体" w:cs="宋体"/>
          <w:color w:val="auto"/>
          <w:sz w:val="24"/>
          <w:highlight w:val="none"/>
          <w:u w:val="dotted"/>
        </w:rPr>
        <w:t xml:space="preserve">             </w:t>
      </w:r>
    </w:p>
    <w:p w14:paraId="7A79FB2F">
      <w:pPr>
        <w:spacing w:line="360" w:lineRule="auto"/>
        <w:rPr>
          <w:rFonts w:ascii="宋体" w:cs="宋体"/>
          <w:color w:val="auto"/>
          <w:sz w:val="24"/>
          <w:highlight w:val="none"/>
          <w:u w:val="single"/>
        </w:rPr>
      </w:pPr>
      <w:r>
        <w:rPr>
          <w:rFonts w:hint="eastAsia" w:ascii="宋体" w:cs="宋体"/>
          <w:color w:val="auto"/>
          <w:sz w:val="24"/>
          <w:highlight w:val="none"/>
        </w:rPr>
        <w:t>被投诉人1：</w:t>
      </w:r>
      <w:r>
        <w:rPr>
          <w:rFonts w:hint="eastAsia" w:ascii="宋体" w:cs="宋体"/>
          <w:color w:val="auto"/>
          <w:sz w:val="24"/>
          <w:highlight w:val="none"/>
          <w:u w:val="dotted"/>
        </w:rPr>
        <w:t xml:space="preserve">                                                </w:t>
      </w:r>
    </w:p>
    <w:p w14:paraId="45E2891A">
      <w:pPr>
        <w:spacing w:line="360" w:lineRule="auto"/>
        <w:rPr>
          <w:rFonts w:ascii="宋体" w:cs="宋体"/>
          <w:color w:val="auto"/>
          <w:sz w:val="24"/>
          <w:highlight w:val="none"/>
          <w:u w:val="single"/>
        </w:rPr>
      </w:pPr>
      <w:r>
        <w:rPr>
          <w:rFonts w:hint="eastAsia" w:ascii="宋体" w:cs="宋体"/>
          <w:color w:val="auto"/>
          <w:sz w:val="24"/>
          <w:highlight w:val="none"/>
        </w:rPr>
        <w:t>地     址：</w:t>
      </w:r>
      <w:r>
        <w:rPr>
          <w:rFonts w:hint="eastAsia" w:ascii="宋体" w:cs="宋体"/>
          <w:color w:val="auto"/>
          <w:sz w:val="24"/>
          <w:highlight w:val="none"/>
          <w:u w:val="dotted"/>
        </w:rPr>
        <w:t xml:space="preserve">                             </w:t>
      </w:r>
      <w:r>
        <w:rPr>
          <w:rFonts w:hint="eastAsia" w:ascii="宋体" w:cs="宋体"/>
          <w:color w:val="auto"/>
          <w:sz w:val="24"/>
          <w:highlight w:val="none"/>
        </w:rPr>
        <w:t>邮编：</w:t>
      </w:r>
      <w:r>
        <w:rPr>
          <w:rFonts w:hint="eastAsia" w:ascii="宋体" w:cs="宋体"/>
          <w:color w:val="auto"/>
          <w:sz w:val="24"/>
          <w:highlight w:val="none"/>
          <w:u w:val="dotted"/>
        </w:rPr>
        <w:t xml:space="preserve">             </w:t>
      </w:r>
    </w:p>
    <w:p w14:paraId="12905D50">
      <w:pPr>
        <w:spacing w:line="360" w:lineRule="auto"/>
        <w:rPr>
          <w:rFonts w:ascii="宋体" w:cs="宋体"/>
          <w:color w:val="auto"/>
          <w:sz w:val="24"/>
          <w:highlight w:val="none"/>
          <w:u w:val="single"/>
        </w:rPr>
      </w:pPr>
      <w:r>
        <w:rPr>
          <w:rFonts w:hint="eastAsia" w:ascii="宋体" w:cs="宋体"/>
          <w:color w:val="auto"/>
          <w:sz w:val="24"/>
          <w:highlight w:val="none"/>
        </w:rPr>
        <w:t>联系人：</w:t>
      </w:r>
      <w:r>
        <w:rPr>
          <w:rFonts w:hint="eastAsia" w:ascii="宋体" w:cs="宋体"/>
          <w:color w:val="auto"/>
          <w:sz w:val="24"/>
          <w:highlight w:val="none"/>
          <w:u w:val="dotted"/>
        </w:rPr>
        <w:t xml:space="preserve">               </w:t>
      </w:r>
      <w:r>
        <w:rPr>
          <w:rFonts w:hint="eastAsia" w:ascii="宋体" w:cs="宋体"/>
          <w:color w:val="auto"/>
          <w:sz w:val="24"/>
          <w:highlight w:val="none"/>
        </w:rPr>
        <w:t>联系电话：</w:t>
      </w:r>
      <w:r>
        <w:rPr>
          <w:rFonts w:hint="eastAsia" w:ascii="宋体" w:cs="宋体"/>
          <w:color w:val="auto"/>
          <w:sz w:val="24"/>
          <w:highlight w:val="none"/>
          <w:u w:val="dotted"/>
        </w:rPr>
        <w:t xml:space="preserve">                           </w:t>
      </w:r>
    </w:p>
    <w:p w14:paraId="2B26BC27">
      <w:pPr>
        <w:spacing w:line="360" w:lineRule="auto"/>
        <w:rPr>
          <w:rFonts w:ascii="宋体" w:cs="宋体"/>
          <w:color w:val="auto"/>
          <w:sz w:val="24"/>
          <w:highlight w:val="none"/>
        </w:rPr>
      </w:pPr>
      <w:r>
        <w:rPr>
          <w:rFonts w:hint="eastAsia" w:ascii="宋体" w:cs="宋体"/>
          <w:color w:val="auto"/>
          <w:sz w:val="24"/>
          <w:highlight w:val="none"/>
        </w:rPr>
        <w:t>被投诉人2</w:t>
      </w:r>
    </w:p>
    <w:p w14:paraId="5CCB9AC5">
      <w:pPr>
        <w:spacing w:line="360" w:lineRule="auto"/>
        <w:rPr>
          <w:rFonts w:ascii="宋体" w:cs="宋体"/>
          <w:color w:val="auto"/>
          <w:sz w:val="24"/>
          <w:highlight w:val="none"/>
          <w:u w:val="dotted"/>
        </w:rPr>
      </w:pPr>
      <w:r>
        <w:rPr>
          <w:rFonts w:hint="eastAsia" w:ascii="宋体" w:cs="宋体"/>
          <w:color w:val="auto"/>
          <w:sz w:val="24"/>
          <w:highlight w:val="none"/>
        </w:rPr>
        <w:t>……</w:t>
      </w:r>
    </w:p>
    <w:p w14:paraId="362CF034">
      <w:pPr>
        <w:spacing w:line="360" w:lineRule="auto"/>
        <w:rPr>
          <w:rFonts w:ascii="宋体" w:cs="宋体"/>
          <w:color w:val="auto"/>
          <w:sz w:val="24"/>
          <w:highlight w:val="none"/>
          <w:u w:val="single"/>
        </w:rPr>
      </w:pPr>
      <w:r>
        <w:rPr>
          <w:rFonts w:hint="eastAsia" w:ascii="宋体" w:cs="宋体"/>
          <w:color w:val="auto"/>
          <w:sz w:val="24"/>
          <w:highlight w:val="none"/>
        </w:rPr>
        <w:t>相关供应商：</w:t>
      </w:r>
      <w:r>
        <w:rPr>
          <w:rFonts w:hint="eastAsia" w:ascii="宋体" w:cs="宋体"/>
          <w:color w:val="auto"/>
          <w:sz w:val="24"/>
          <w:highlight w:val="none"/>
          <w:u w:val="dotted"/>
        </w:rPr>
        <w:t xml:space="preserve">                                              </w:t>
      </w:r>
    </w:p>
    <w:p w14:paraId="5554363E">
      <w:pPr>
        <w:spacing w:line="360" w:lineRule="auto"/>
        <w:rPr>
          <w:rFonts w:ascii="宋体" w:cs="宋体"/>
          <w:color w:val="auto"/>
          <w:sz w:val="24"/>
          <w:highlight w:val="none"/>
          <w:u w:val="single"/>
        </w:rPr>
      </w:pPr>
      <w:r>
        <w:rPr>
          <w:rFonts w:hint="eastAsia" w:ascii="宋体" w:cs="宋体"/>
          <w:color w:val="auto"/>
          <w:sz w:val="24"/>
          <w:highlight w:val="none"/>
        </w:rPr>
        <w:t>地     址：</w:t>
      </w:r>
      <w:r>
        <w:rPr>
          <w:rFonts w:hint="eastAsia" w:ascii="宋体" w:cs="宋体"/>
          <w:color w:val="auto"/>
          <w:sz w:val="24"/>
          <w:highlight w:val="none"/>
          <w:u w:val="dotted"/>
        </w:rPr>
        <w:t xml:space="preserve">                             </w:t>
      </w:r>
      <w:r>
        <w:rPr>
          <w:rFonts w:hint="eastAsia" w:ascii="宋体" w:cs="宋体"/>
          <w:color w:val="auto"/>
          <w:sz w:val="24"/>
          <w:highlight w:val="none"/>
        </w:rPr>
        <w:t>邮编：</w:t>
      </w:r>
      <w:r>
        <w:rPr>
          <w:rFonts w:hint="eastAsia" w:ascii="宋体" w:cs="宋体"/>
          <w:color w:val="auto"/>
          <w:sz w:val="24"/>
          <w:highlight w:val="none"/>
          <w:u w:val="dotted"/>
        </w:rPr>
        <w:t xml:space="preserve">             </w:t>
      </w:r>
    </w:p>
    <w:p w14:paraId="12C9C81C">
      <w:pPr>
        <w:spacing w:line="360" w:lineRule="auto"/>
        <w:rPr>
          <w:rFonts w:ascii="宋体" w:cs="宋体"/>
          <w:color w:val="auto"/>
          <w:sz w:val="24"/>
          <w:highlight w:val="none"/>
        </w:rPr>
      </w:pPr>
      <w:r>
        <w:rPr>
          <w:rFonts w:hint="eastAsia" w:ascii="宋体" w:cs="宋体"/>
          <w:color w:val="auto"/>
          <w:sz w:val="24"/>
          <w:highlight w:val="none"/>
        </w:rPr>
        <w:t>联系人：</w:t>
      </w:r>
      <w:r>
        <w:rPr>
          <w:rFonts w:hint="eastAsia" w:ascii="宋体" w:cs="宋体"/>
          <w:color w:val="auto"/>
          <w:sz w:val="24"/>
          <w:highlight w:val="none"/>
          <w:u w:val="dotted"/>
        </w:rPr>
        <w:t xml:space="preserve">               </w:t>
      </w:r>
      <w:r>
        <w:rPr>
          <w:rFonts w:hint="eastAsia" w:ascii="宋体" w:cs="宋体"/>
          <w:color w:val="auto"/>
          <w:sz w:val="24"/>
          <w:highlight w:val="none"/>
        </w:rPr>
        <w:t>联系电话：</w:t>
      </w:r>
      <w:r>
        <w:rPr>
          <w:rFonts w:hint="eastAsia" w:ascii="宋体" w:cs="宋体"/>
          <w:color w:val="auto"/>
          <w:sz w:val="24"/>
          <w:highlight w:val="none"/>
          <w:u w:val="dotted"/>
        </w:rPr>
        <w:t xml:space="preserve">                         </w:t>
      </w:r>
    </w:p>
    <w:p w14:paraId="1118064D">
      <w:pPr>
        <w:spacing w:line="360" w:lineRule="auto"/>
        <w:rPr>
          <w:rFonts w:ascii="宋体" w:cs="宋体"/>
          <w:color w:val="auto"/>
          <w:sz w:val="24"/>
          <w:highlight w:val="none"/>
        </w:rPr>
      </w:pPr>
      <w:r>
        <w:rPr>
          <w:rFonts w:hint="eastAsia" w:ascii="宋体" w:cs="宋体"/>
          <w:color w:val="auto"/>
          <w:sz w:val="24"/>
          <w:highlight w:val="none"/>
        </w:rPr>
        <w:t>二、投诉项目基本情况</w:t>
      </w:r>
    </w:p>
    <w:p w14:paraId="15972719">
      <w:pPr>
        <w:spacing w:line="360" w:lineRule="auto"/>
        <w:rPr>
          <w:rFonts w:ascii="宋体" w:cs="宋体"/>
          <w:color w:val="auto"/>
          <w:sz w:val="24"/>
          <w:highlight w:val="none"/>
          <w:u w:val="dotted"/>
        </w:rPr>
      </w:pPr>
      <w:r>
        <w:rPr>
          <w:rFonts w:hint="eastAsia" w:ascii="宋体" w:cs="宋体"/>
          <w:color w:val="auto"/>
          <w:sz w:val="24"/>
          <w:highlight w:val="none"/>
        </w:rPr>
        <w:t>采购项目名称：</w:t>
      </w:r>
      <w:r>
        <w:rPr>
          <w:rFonts w:hint="eastAsia" w:ascii="宋体" w:cs="宋体"/>
          <w:color w:val="auto"/>
          <w:sz w:val="24"/>
          <w:highlight w:val="none"/>
          <w:u w:val="dotted"/>
        </w:rPr>
        <w:t xml:space="preserve">  </w:t>
      </w:r>
      <w:bookmarkStart w:id="321" w:name="PO_3000001867_PM002_12"/>
      <w:r>
        <w:rPr>
          <w:rFonts w:hint="eastAsia" w:ascii="宋体" w:cs="宋体"/>
          <w:color w:val="auto"/>
          <w:sz w:val="24"/>
          <w:highlight w:val="none"/>
          <w:u w:val="dotted"/>
        </w:rPr>
        <w:t xml:space="preserve">                    </w:t>
      </w:r>
      <w:bookmarkEnd w:id="321"/>
      <w:r>
        <w:rPr>
          <w:rFonts w:hint="eastAsia" w:ascii="宋体" w:cs="宋体"/>
          <w:color w:val="auto"/>
          <w:sz w:val="24"/>
          <w:highlight w:val="none"/>
          <w:u w:val="dotted"/>
        </w:rPr>
        <w:t xml:space="preserve">  </w:t>
      </w:r>
    </w:p>
    <w:p w14:paraId="768D128F">
      <w:pPr>
        <w:spacing w:line="360" w:lineRule="auto"/>
        <w:rPr>
          <w:rFonts w:ascii="宋体" w:cs="宋体"/>
          <w:color w:val="auto"/>
          <w:sz w:val="24"/>
          <w:highlight w:val="none"/>
          <w:u w:val="single"/>
        </w:rPr>
      </w:pPr>
      <w:r>
        <w:rPr>
          <w:rFonts w:hint="eastAsia" w:ascii="宋体" w:cs="宋体"/>
          <w:color w:val="auto"/>
          <w:sz w:val="24"/>
          <w:highlight w:val="none"/>
        </w:rPr>
        <w:t>采购项目编号：</w:t>
      </w:r>
      <w:r>
        <w:rPr>
          <w:rFonts w:hint="eastAsia" w:ascii="宋体" w:cs="宋体"/>
          <w:color w:val="auto"/>
          <w:sz w:val="24"/>
          <w:highlight w:val="none"/>
          <w:u w:val="dotted"/>
        </w:rPr>
        <w:t xml:space="preserve">  </w:t>
      </w:r>
      <w:bookmarkStart w:id="322" w:name="PO_3000001867_PM001_9"/>
      <w:r>
        <w:rPr>
          <w:rFonts w:hint="eastAsia" w:ascii="宋体" w:cs="宋体"/>
          <w:color w:val="auto"/>
          <w:sz w:val="24"/>
          <w:highlight w:val="none"/>
          <w:u w:val="dotted"/>
        </w:rPr>
        <w:t xml:space="preserve">                    </w:t>
      </w:r>
      <w:bookmarkEnd w:id="322"/>
      <w:r>
        <w:rPr>
          <w:rFonts w:hint="eastAsia" w:ascii="宋体" w:cs="宋体"/>
          <w:color w:val="auto"/>
          <w:sz w:val="24"/>
          <w:highlight w:val="none"/>
          <w:u w:val="dotted"/>
        </w:rPr>
        <w:t xml:space="preserve"> </w:t>
      </w:r>
      <w:r>
        <w:rPr>
          <w:rFonts w:hint="eastAsia" w:ascii="宋体" w:cs="宋体"/>
          <w:color w:val="auto"/>
          <w:sz w:val="24"/>
          <w:highlight w:val="none"/>
        </w:rPr>
        <w:t>包号：</w:t>
      </w:r>
      <w:r>
        <w:rPr>
          <w:rFonts w:hint="eastAsia" w:ascii="宋体" w:cs="宋体"/>
          <w:color w:val="auto"/>
          <w:sz w:val="24"/>
          <w:highlight w:val="none"/>
          <w:u w:val="dotted"/>
        </w:rPr>
        <w:t xml:space="preserve">              </w:t>
      </w:r>
    </w:p>
    <w:p w14:paraId="0E3FB32F">
      <w:pPr>
        <w:spacing w:line="360" w:lineRule="auto"/>
        <w:rPr>
          <w:rFonts w:ascii="宋体" w:cs="宋体"/>
          <w:color w:val="auto"/>
          <w:sz w:val="24"/>
          <w:highlight w:val="none"/>
        </w:rPr>
      </w:pPr>
      <w:r>
        <w:rPr>
          <w:rFonts w:hint="eastAsia" w:ascii="宋体" w:cs="宋体"/>
          <w:color w:val="auto"/>
          <w:sz w:val="24"/>
          <w:highlight w:val="none"/>
        </w:rPr>
        <w:t>采购人名称：</w:t>
      </w:r>
      <w:r>
        <w:rPr>
          <w:rFonts w:hint="eastAsia" w:ascii="宋体" w:cs="宋体"/>
          <w:color w:val="auto"/>
          <w:sz w:val="24"/>
          <w:highlight w:val="none"/>
          <w:u w:val="dotted"/>
        </w:rPr>
        <w:t xml:space="preserve">  </w:t>
      </w:r>
      <w:bookmarkStart w:id="323" w:name="PO_3000001867_PM026_6"/>
      <w:r>
        <w:rPr>
          <w:rFonts w:hint="eastAsia" w:ascii="宋体" w:cs="宋体"/>
          <w:color w:val="auto"/>
          <w:sz w:val="24"/>
          <w:highlight w:val="none"/>
          <w:u w:val="dotted"/>
        </w:rPr>
        <w:t xml:space="preserve">                    </w:t>
      </w:r>
      <w:bookmarkEnd w:id="323"/>
      <w:r>
        <w:rPr>
          <w:rFonts w:hint="eastAsia" w:ascii="宋体" w:cs="宋体"/>
          <w:color w:val="auto"/>
          <w:sz w:val="24"/>
          <w:highlight w:val="none"/>
          <w:u w:val="dotted"/>
        </w:rPr>
        <w:t xml:space="preserve">  </w:t>
      </w:r>
    </w:p>
    <w:p w14:paraId="1588DCDB">
      <w:pPr>
        <w:spacing w:line="360" w:lineRule="auto"/>
        <w:rPr>
          <w:rFonts w:ascii="宋体" w:cs="宋体"/>
          <w:color w:val="auto"/>
          <w:sz w:val="24"/>
          <w:highlight w:val="none"/>
          <w:u w:val="single"/>
        </w:rPr>
      </w:pPr>
      <w:r>
        <w:rPr>
          <w:rFonts w:hint="eastAsia" w:ascii="宋体" w:cs="宋体"/>
          <w:color w:val="auto"/>
          <w:sz w:val="24"/>
          <w:highlight w:val="none"/>
        </w:rPr>
        <w:t>代理机构名称：</w:t>
      </w:r>
      <w:r>
        <w:rPr>
          <w:rFonts w:hint="eastAsia" w:ascii="宋体" w:cs="宋体"/>
          <w:color w:val="auto"/>
          <w:sz w:val="24"/>
          <w:highlight w:val="none"/>
          <w:u w:val="dotted"/>
        </w:rPr>
        <w:t xml:space="preserve">                                         </w:t>
      </w:r>
    </w:p>
    <w:p w14:paraId="6D0A08C2">
      <w:pPr>
        <w:spacing w:line="360" w:lineRule="auto"/>
        <w:rPr>
          <w:rFonts w:ascii="宋体" w:cs="宋体"/>
          <w:color w:val="auto"/>
          <w:sz w:val="24"/>
          <w:highlight w:val="none"/>
          <w:u w:val="dotted"/>
        </w:rPr>
      </w:pPr>
      <w:r>
        <w:rPr>
          <w:rFonts w:hint="eastAsia" w:ascii="宋体" w:cs="宋体"/>
          <w:color w:val="auto"/>
          <w:sz w:val="24"/>
          <w:highlight w:val="none"/>
        </w:rPr>
        <w:t>采购文件公告：</w:t>
      </w:r>
      <w:r>
        <w:rPr>
          <w:rFonts w:hint="eastAsia" w:ascii="宋体" w:cs="宋体"/>
          <w:color w:val="auto"/>
          <w:sz w:val="24"/>
          <w:highlight w:val="none"/>
          <w:u w:val="dotted"/>
        </w:rPr>
        <w:t xml:space="preserve">是/否 </w:t>
      </w:r>
      <w:r>
        <w:rPr>
          <w:rFonts w:hint="eastAsia" w:ascii="宋体" w:cs="宋体"/>
          <w:color w:val="auto"/>
          <w:sz w:val="24"/>
          <w:highlight w:val="none"/>
        </w:rPr>
        <w:t>公告期限：</w:t>
      </w:r>
      <w:r>
        <w:rPr>
          <w:rFonts w:hint="eastAsia" w:ascii="宋体" w:cs="宋体"/>
          <w:color w:val="auto"/>
          <w:sz w:val="24"/>
          <w:highlight w:val="none"/>
          <w:u w:val="dotted"/>
        </w:rPr>
        <w:t xml:space="preserve">                                 </w:t>
      </w:r>
    </w:p>
    <w:p w14:paraId="6B9B87A2">
      <w:pPr>
        <w:spacing w:line="360" w:lineRule="auto"/>
        <w:rPr>
          <w:rFonts w:ascii="宋体" w:cs="宋体"/>
          <w:color w:val="auto"/>
          <w:sz w:val="24"/>
          <w:highlight w:val="none"/>
          <w:u w:val="single"/>
        </w:rPr>
      </w:pPr>
      <w:r>
        <w:rPr>
          <w:rFonts w:hint="eastAsia" w:ascii="宋体" w:cs="宋体"/>
          <w:color w:val="auto"/>
          <w:sz w:val="24"/>
          <w:highlight w:val="none"/>
        </w:rPr>
        <w:t>采购结果公告：</w:t>
      </w:r>
      <w:r>
        <w:rPr>
          <w:rFonts w:hint="eastAsia" w:ascii="宋体" w:cs="宋体"/>
          <w:color w:val="auto"/>
          <w:sz w:val="24"/>
          <w:highlight w:val="none"/>
          <w:u w:val="dotted"/>
        </w:rPr>
        <w:t xml:space="preserve">是/否 </w:t>
      </w:r>
      <w:r>
        <w:rPr>
          <w:rFonts w:hint="eastAsia" w:ascii="宋体" w:cs="宋体"/>
          <w:color w:val="auto"/>
          <w:sz w:val="24"/>
          <w:highlight w:val="none"/>
        </w:rPr>
        <w:t>公告期限：</w:t>
      </w:r>
      <w:r>
        <w:rPr>
          <w:rFonts w:hint="eastAsia" w:ascii="宋体" w:cs="宋体"/>
          <w:color w:val="auto"/>
          <w:sz w:val="24"/>
          <w:highlight w:val="none"/>
          <w:u w:val="dotted"/>
        </w:rPr>
        <w:t xml:space="preserve">                        </w:t>
      </w:r>
    </w:p>
    <w:p w14:paraId="59DC2937">
      <w:pPr>
        <w:spacing w:line="360" w:lineRule="auto"/>
        <w:rPr>
          <w:rFonts w:ascii="宋体" w:cs="宋体"/>
          <w:color w:val="auto"/>
          <w:sz w:val="24"/>
          <w:highlight w:val="none"/>
        </w:rPr>
      </w:pPr>
      <w:r>
        <w:rPr>
          <w:rFonts w:hint="eastAsia" w:ascii="宋体" w:cs="宋体"/>
          <w:color w:val="auto"/>
          <w:sz w:val="24"/>
          <w:highlight w:val="none"/>
        </w:rPr>
        <w:t>三、质疑基本情况</w:t>
      </w:r>
    </w:p>
    <w:p w14:paraId="52B8BD79">
      <w:pPr>
        <w:spacing w:line="360" w:lineRule="auto"/>
        <w:ind w:firstLine="480" w:firstLineChars="200"/>
        <w:rPr>
          <w:rFonts w:ascii="宋体" w:cs="宋体"/>
          <w:color w:val="auto"/>
          <w:sz w:val="24"/>
          <w:highlight w:val="none"/>
          <w:u w:val="dotted"/>
        </w:rPr>
      </w:pPr>
      <w:r>
        <w:rPr>
          <w:rFonts w:hint="eastAsia" w:ascii="宋体" w:cs="宋体"/>
          <w:color w:val="auto"/>
          <w:sz w:val="24"/>
          <w:highlight w:val="none"/>
        </w:rPr>
        <w:t>投诉人于</w:t>
      </w:r>
      <w:r>
        <w:rPr>
          <w:rFonts w:hint="eastAsia" w:ascii="宋体" w:cs="宋体"/>
          <w:color w:val="auto"/>
          <w:sz w:val="24"/>
          <w:highlight w:val="none"/>
          <w:u w:val="dotted"/>
        </w:rPr>
        <w:t xml:space="preserve">   </w:t>
      </w:r>
      <w:r>
        <w:rPr>
          <w:rFonts w:hint="eastAsia" w:ascii="宋体" w:cs="宋体"/>
          <w:color w:val="auto"/>
          <w:sz w:val="24"/>
          <w:highlight w:val="none"/>
        </w:rPr>
        <w:t>年</w:t>
      </w:r>
      <w:r>
        <w:rPr>
          <w:rFonts w:hint="eastAsia" w:ascii="宋体" w:cs="宋体"/>
          <w:color w:val="auto"/>
          <w:sz w:val="24"/>
          <w:highlight w:val="none"/>
          <w:u w:val="dotted"/>
        </w:rPr>
        <w:t xml:space="preserve">   </w:t>
      </w:r>
      <w:r>
        <w:rPr>
          <w:rFonts w:hint="eastAsia" w:ascii="宋体" w:cs="宋体"/>
          <w:color w:val="auto"/>
          <w:sz w:val="24"/>
          <w:highlight w:val="none"/>
        </w:rPr>
        <w:t>月</w:t>
      </w:r>
      <w:r>
        <w:rPr>
          <w:rFonts w:hint="eastAsia" w:ascii="宋体" w:cs="宋体"/>
          <w:color w:val="auto"/>
          <w:sz w:val="24"/>
          <w:highlight w:val="none"/>
          <w:u w:val="dotted"/>
        </w:rPr>
        <w:t xml:space="preserve">  </w:t>
      </w:r>
      <w:r>
        <w:rPr>
          <w:rFonts w:hint="eastAsia" w:ascii="宋体" w:cs="宋体"/>
          <w:color w:val="auto"/>
          <w:sz w:val="24"/>
          <w:highlight w:val="none"/>
        </w:rPr>
        <w:t>日,向</w:t>
      </w:r>
      <w:r>
        <w:rPr>
          <w:rFonts w:hint="eastAsia" w:ascii="宋体" w:cs="宋体"/>
          <w:color w:val="auto"/>
          <w:sz w:val="24"/>
          <w:highlight w:val="none"/>
          <w:u w:val="dotted"/>
        </w:rPr>
        <w:t xml:space="preserve">                   </w:t>
      </w:r>
      <w:r>
        <w:rPr>
          <w:rFonts w:hint="eastAsia" w:ascii="宋体" w:cs="宋体"/>
          <w:color w:val="auto"/>
          <w:sz w:val="24"/>
          <w:highlight w:val="none"/>
        </w:rPr>
        <w:t>提出质疑，质疑事项为：</w:t>
      </w:r>
      <w:r>
        <w:rPr>
          <w:rFonts w:hint="eastAsia" w:ascii="宋体" w:cs="宋体"/>
          <w:color w:val="auto"/>
          <w:sz w:val="24"/>
          <w:highlight w:val="none"/>
          <w:u w:val="dotted"/>
        </w:rPr>
        <w:t xml:space="preserve">                                </w:t>
      </w:r>
    </w:p>
    <w:p w14:paraId="5F2BD5F7">
      <w:pPr>
        <w:spacing w:line="360" w:lineRule="auto"/>
        <w:rPr>
          <w:rFonts w:ascii="宋体" w:cs="宋体"/>
          <w:color w:val="auto"/>
          <w:sz w:val="24"/>
          <w:highlight w:val="none"/>
          <w:u w:val="dotted"/>
        </w:rPr>
      </w:pPr>
      <w:r>
        <w:rPr>
          <w:rFonts w:hint="eastAsia" w:ascii="宋体" w:cs="宋体"/>
          <w:color w:val="auto"/>
          <w:sz w:val="24"/>
          <w:highlight w:val="none"/>
          <w:u w:val="dotted"/>
        </w:rPr>
        <w:t xml:space="preserve">                                                     </w:t>
      </w:r>
      <w:r>
        <w:rPr>
          <w:rFonts w:hint="eastAsia" w:ascii="宋体" w:cs="宋体"/>
          <w:color w:val="auto"/>
          <w:sz w:val="24"/>
          <w:highlight w:val="none"/>
        </w:rPr>
        <w:t xml:space="preserve">  </w:t>
      </w:r>
    </w:p>
    <w:p w14:paraId="4FE17FD5">
      <w:pPr>
        <w:spacing w:line="360" w:lineRule="auto"/>
        <w:ind w:firstLine="360" w:firstLineChars="150"/>
        <w:rPr>
          <w:rFonts w:ascii="宋体" w:cs="宋体"/>
          <w:color w:val="auto"/>
          <w:sz w:val="24"/>
          <w:highlight w:val="none"/>
        </w:rPr>
      </w:pPr>
      <w:r>
        <w:rPr>
          <w:rFonts w:hint="eastAsia" w:ascii="宋体" w:cs="宋体"/>
          <w:color w:val="auto"/>
          <w:sz w:val="24"/>
          <w:highlight w:val="none"/>
          <w:u w:val="dotted"/>
        </w:rPr>
        <w:t>采购人/采购代理机构</w:t>
      </w:r>
      <w:r>
        <w:rPr>
          <w:rFonts w:hint="eastAsia" w:ascii="宋体" w:cs="宋体"/>
          <w:color w:val="auto"/>
          <w:sz w:val="24"/>
          <w:highlight w:val="none"/>
        </w:rPr>
        <w:t>于</w:t>
      </w:r>
      <w:r>
        <w:rPr>
          <w:rFonts w:hint="eastAsia" w:ascii="宋体" w:cs="宋体"/>
          <w:color w:val="auto"/>
          <w:sz w:val="24"/>
          <w:highlight w:val="none"/>
          <w:u w:val="dotted"/>
        </w:rPr>
        <w:t xml:space="preserve">   </w:t>
      </w:r>
      <w:r>
        <w:rPr>
          <w:rFonts w:hint="eastAsia" w:ascii="宋体" w:cs="宋体"/>
          <w:color w:val="auto"/>
          <w:sz w:val="24"/>
          <w:highlight w:val="none"/>
        </w:rPr>
        <w:t>年</w:t>
      </w:r>
      <w:r>
        <w:rPr>
          <w:rFonts w:hint="eastAsia" w:ascii="宋体" w:cs="宋体"/>
          <w:color w:val="auto"/>
          <w:sz w:val="24"/>
          <w:highlight w:val="none"/>
          <w:u w:val="dotted"/>
        </w:rPr>
        <w:t xml:space="preserve">   </w:t>
      </w:r>
      <w:r>
        <w:rPr>
          <w:rFonts w:hint="eastAsia" w:ascii="宋体" w:cs="宋体"/>
          <w:color w:val="auto"/>
          <w:sz w:val="24"/>
          <w:highlight w:val="none"/>
        </w:rPr>
        <w:t>月</w:t>
      </w:r>
      <w:r>
        <w:rPr>
          <w:rFonts w:hint="eastAsia" w:ascii="宋体" w:cs="宋体"/>
          <w:color w:val="auto"/>
          <w:sz w:val="24"/>
          <w:highlight w:val="none"/>
          <w:u w:val="dotted"/>
        </w:rPr>
        <w:t xml:space="preserve">   </w:t>
      </w:r>
      <w:r>
        <w:rPr>
          <w:rFonts w:hint="eastAsia" w:ascii="宋体" w:cs="宋体"/>
          <w:color w:val="auto"/>
          <w:sz w:val="24"/>
          <w:highlight w:val="none"/>
        </w:rPr>
        <w:t>日,就质疑事项作出了答复/没有在法定期限内作出答复。</w:t>
      </w:r>
    </w:p>
    <w:p w14:paraId="686E1EB3">
      <w:pPr>
        <w:spacing w:line="360" w:lineRule="auto"/>
        <w:rPr>
          <w:rFonts w:ascii="宋体" w:cs="宋体"/>
          <w:color w:val="auto"/>
          <w:sz w:val="24"/>
          <w:highlight w:val="none"/>
        </w:rPr>
      </w:pPr>
      <w:r>
        <w:rPr>
          <w:rFonts w:hint="eastAsia" w:ascii="宋体" w:cs="宋体"/>
          <w:color w:val="auto"/>
          <w:sz w:val="24"/>
          <w:highlight w:val="none"/>
        </w:rPr>
        <w:t>四、投诉事项具体内容</w:t>
      </w:r>
    </w:p>
    <w:p w14:paraId="3EF811C2">
      <w:pPr>
        <w:spacing w:line="360" w:lineRule="auto"/>
        <w:rPr>
          <w:rFonts w:ascii="宋体" w:cs="宋体"/>
          <w:color w:val="auto"/>
          <w:sz w:val="24"/>
          <w:highlight w:val="none"/>
          <w:u w:val="single"/>
        </w:rPr>
      </w:pPr>
      <w:r>
        <w:rPr>
          <w:rFonts w:hint="eastAsia" w:ascii="宋体" w:cs="宋体"/>
          <w:color w:val="auto"/>
          <w:sz w:val="24"/>
          <w:highlight w:val="none"/>
        </w:rPr>
        <w:t>投诉事项 1：</w:t>
      </w:r>
      <w:r>
        <w:rPr>
          <w:rFonts w:hint="eastAsia" w:ascii="宋体" w:cs="宋体"/>
          <w:color w:val="auto"/>
          <w:sz w:val="24"/>
          <w:highlight w:val="none"/>
          <w:u w:val="dotted"/>
        </w:rPr>
        <w:t xml:space="preserve">                                       </w:t>
      </w:r>
    </w:p>
    <w:p w14:paraId="1C85A4C9">
      <w:pPr>
        <w:spacing w:line="360" w:lineRule="auto"/>
        <w:rPr>
          <w:rFonts w:ascii="宋体" w:cs="宋体"/>
          <w:color w:val="auto"/>
          <w:sz w:val="24"/>
          <w:highlight w:val="none"/>
        </w:rPr>
      </w:pPr>
      <w:r>
        <w:rPr>
          <w:rFonts w:hint="eastAsia" w:ascii="宋体" w:cs="宋体"/>
          <w:color w:val="auto"/>
          <w:sz w:val="24"/>
          <w:highlight w:val="none"/>
        </w:rPr>
        <w:t>事实依据：</w:t>
      </w:r>
      <w:r>
        <w:rPr>
          <w:rFonts w:hint="eastAsia" w:ascii="宋体" w:cs="宋体"/>
          <w:color w:val="auto"/>
          <w:sz w:val="24"/>
          <w:highlight w:val="none"/>
          <w:u w:val="dotted"/>
        </w:rPr>
        <w:t xml:space="preserve">                                         </w:t>
      </w:r>
    </w:p>
    <w:p w14:paraId="6AF34979">
      <w:pPr>
        <w:spacing w:line="360" w:lineRule="auto"/>
        <w:rPr>
          <w:rFonts w:ascii="宋体" w:cs="宋体"/>
          <w:color w:val="auto"/>
          <w:sz w:val="24"/>
          <w:highlight w:val="none"/>
          <w:u w:val="dotted"/>
        </w:rPr>
      </w:pPr>
      <w:r>
        <w:rPr>
          <w:rFonts w:hint="eastAsia" w:ascii="宋体" w:cs="宋体"/>
          <w:color w:val="auto"/>
          <w:sz w:val="24"/>
          <w:highlight w:val="none"/>
          <w:u w:val="dotted"/>
        </w:rPr>
        <w:t xml:space="preserve">                                                      </w:t>
      </w:r>
    </w:p>
    <w:p w14:paraId="3AF02AA7">
      <w:pPr>
        <w:spacing w:line="360" w:lineRule="auto"/>
        <w:rPr>
          <w:rFonts w:ascii="宋体" w:cs="宋体"/>
          <w:color w:val="auto"/>
          <w:sz w:val="24"/>
          <w:highlight w:val="none"/>
          <w:u w:val="single"/>
        </w:rPr>
      </w:pPr>
      <w:r>
        <w:rPr>
          <w:rFonts w:hint="eastAsia" w:ascii="宋体" w:cs="宋体"/>
          <w:color w:val="auto"/>
          <w:sz w:val="24"/>
          <w:highlight w:val="none"/>
        </w:rPr>
        <w:t>法律依据：</w:t>
      </w:r>
      <w:r>
        <w:rPr>
          <w:rFonts w:hint="eastAsia" w:ascii="宋体" w:cs="宋体"/>
          <w:color w:val="auto"/>
          <w:sz w:val="24"/>
          <w:highlight w:val="none"/>
          <w:u w:val="dotted"/>
        </w:rPr>
        <w:t xml:space="preserve">                                          </w:t>
      </w:r>
    </w:p>
    <w:p w14:paraId="71FC9D19">
      <w:pPr>
        <w:spacing w:line="360" w:lineRule="auto"/>
        <w:rPr>
          <w:rFonts w:ascii="宋体" w:cs="宋体"/>
          <w:color w:val="auto"/>
          <w:sz w:val="24"/>
          <w:highlight w:val="none"/>
          <w:u w:val="dotted"/>
        </w:rPr>
      </w:pPr>
      <w:r>
        <w:rPr>
          <w:rFonts w:hint="eastAsia" w:ascii="宋体" w:cs="宋体"/>
          <w:color w:val="auto"/>
          <w:sz w:val="24"/>
          <w:highlight w:val="none"/>
          <w:u w:val="dotted"/>
        </w:rPr>
        <w:t xml:space="preserve">                                                      </w:t>
      </w:r>
    </w:p>
    <w:p w14:paraId="40CF61D8">
      <w:pPr>
        <w:spacing w:line="360" w:lineRule="auto"/>
        <w:rPr>
          <w:rFonts w:ascii="宋体" w:cs="宋体"/>
          <w:color w:val="auto"/>
          <w:sz w:val="24"/>
          <w:highlight w:val="none"/>
        </w:rPr>
      </w:pPr>
      <w:r>
        <w:rPr>
          <w:rFonts w:hint="eastAsia" w:ascii="宋体" w:cs="宋体"/>
          <w:color w:val="auto"/>
          <w:sz w:val="24"/>
          <w:highlight w:val="none"/>
        </w:rPr>
        <w:t>投诉事项2</w:t>
      </w:r>
    </w:p>
    <w:p w14:paraId="4CDCE05D">
      <w:pPr>
        <w:spacing w:line="360" w:lineRule="auto"/>
        <w:rPr>
          <w:rFonts w:ascii="宋体" w:cs="宋体"/>
          <w:color w:val="auto"/>
          <w:sz w:val="24"/>
          <w:highlight w:val="none"/>
          <w:u w:val="dotted"/>
        </w:rPr>
      </w:pPr>
      <w:r>
        <w:rPr>
          <w:rFonts w:hint="eastAsia" w:ascii="宋体" w:cs="宋体"/>
          <w:color w:val="auto"/>
          <w:sz w:val="24"/>
          <w:highlight w:val="none"/>
        </w:rPr>
        <w:t>……</w:t>
      </w:r>
    </w:p>
    <w:p w14:paraId="07B84A47">
      <w:pPr>
        <w:spacing w:line="360" w:lineRule="auto"/>
        <w:rPr>
          <w:rFonts w:ascii="宋体" w:cs="宋体"/>
          <w:color w:val="auto"/>
          <w:sz w:val="24"/>
          <w:highlight w:val="none"/>
        </w:rPr>
      </w:pPr>
      <w:r>
        <w:rPr>
          <w:rFonts w:hint="eastAsia" w:ascii="宋体" w:cs="宋体"/>
          <w:color w:val="auto"/>
          <w:sz w:val="24"/>
          <w:highlight w:val="none"/>
        </w:rPr>
        <w:t>五、与投诉事项相关的投诉请求</w:t>
      </w:r>
    </w:p>
    <w:p w14:paraId="7BD8A4AE">
      <w:pPr>
        <w:spacing w:line="360" w:lineRule="auto"/>
        <w:rPr>
          <w:rFonts w:ascii="宋体" w:cs="宋体"/>
          <w:color w:val="auto"/>
          <w:sz w:val="24"/>
          <w:highlight w:val="none"/>
        </w:rPr>
      </w:pPr>
      <w:r>
        <w:rPr>
          <w:rFonts w:hint="eastAsia" w:ascii="宋体" w:cs="宋体"/>
          <w:color w:val="auto"/>
          <w:sz w:val="24"/>
          <w:highlight w:val="none"/>
        </w:rPr>
        <w:t>请求：</w:t>
      </w:r>
      <w:r>
        <w:rPr>
          <w:rFonts w:hint="eastAsia" w:ascii="宋体" w:cs="宋体"/>
          <w:color w:val="auto"/>
          <w:sz w:val="24"/>
          <w:highlight w:val="none"/>
          <w:u w:val="dotted"/>
        </w:rPr>
        <w:t xml:space="preserve">                                              </w:t>
      </w:r>
      <w:r>
        <w:rPr>
          <w:rFonts w:hint="eastAsia" w:ascii="宋体" w:cs="宋体"/>
          <w:color w:val="auto"/>
          <w:sz w:val="24"/>
          <w:highlight w:val="none"/>
        </w:rPr>
        <w:t xml:space="preserve"> </w:t>
      </w:r>
    </w:p>
    <w:p w14:paraId="5DCD1744">
      <w:pPr>
        <w:spacing w:line="360" w:lineRule="auto"/>
        <w:rPr>
          <w:rFonts w:ascii="宋体" w:cs="宋体"/>
          <w:color w:val="auto"/>
          <w:sz w:val="24"/>
          <w:highlight w:val="none"/>
          <w:u w:val="single"/>
        </w:rPr>
      </w:pPr>
      <w:r>
        <w:rPr>
          <w:rFonts w:hint="eastAsia" w:ascii="宋体" w:cs="宋体"/>
          <w:color w:val="auto"/>
          <w:sz w:val="24"/>
          <w:highlight w:val="none"/>
        </w:rPr>
        <w:t xml:space="preserve">                                                                                                    </w:t>
      </w:r>
    </w:p>
    <w:p w14:paraId="35A337EA">
      <w:pPr>
        <w:spacing w:line="360" w:lineRule="auto"/>
        <w:rPr>
          <w:rFonts w:ascii="宋体" w:cs="宋体"/>
          <w:color w:val="auto"/>
          <w:sz w:val="24"/>
          <w:highlight w:val="none"/>
        </w:rPr>
      </w:pPr>
      <w:r>
        <w:rPr>
          <w:rFonts w:hint="eastAsia" w:ascii="宋体" w:cs="宋体"/>
          <w:color w:val="auto"/>
          <w:sz w:val="24"/>
          <w:highlight w:val="none"/>
        </w:rPr>
        <w:t xml:space="preserve">签字(签章)：                   公章：                      </w:t>
      </w:r>
    </w:p>
    <w:p w14:paraId="134EF60B">
      <w:pPr>
        <w:spacing w:line="360" w:lineRule="auto"/>
        <w:ind w:firstLine="6960" w:firstLineChars="2900"/>
        <w:rPr>
          <w:rFonts w:ascii="宋体" w:cs="宋体"/>
          <w:color w:val="auto"/>
          <w:sz w:val="24"/>
          <w:highlight w:val="none"/>
        </w:rPr>
      </w:pPr>
      <w:r>
        <w:rPr>
          <w:rFonts w:hint="eastAsia" w:ascii="宋体" w:cs="宋体"/>
          <w:color w:val="auto"/>
          <w:sz w:val="24"/>
          <w:highlight w:val="none"/>
        </w:rPr>
        <w:t xml:space="preserve">日期：    </w:t>
      </w:r>
    </w:p>
    <w:p w14:paraId="0B2830DC">
      <w:pPr>
        <w:spacing w:line="360" w:lineRule="auto"/>
        <w:rPr>
          <w:rFonts w:ascii="宋体" w:cs="宋体"/>
          <w:b/>
          <w:color w:val="auto"/>
          <w:sz w:val="24"/>
          <w:highlight w:val="none"/>
        </w:rPr>
      </w:pPr>
    </w:p>
    <w:p w14:paraId="4251F805">
      <w:pPr>
        <w:spacing w:line="360" w:lineRule="auto"/>
        <w:rPr>
          <w:rFonts w:ascii="宋体" w:cs="宋体"/>
          <w:b/>
          <w:color w:val="auto"/>
          <w:sz w:val="24"/>
          <w:highlight w:val="none"/>
        </w:rPr>
      </w:pPr>
      <w:r>
        <w:rPr>
          <w:rFonts w:hint="eastAsia" w:ascii="宋体" w:cs="宋体"/>
          <w:b/>
          <w:color w:val="auto"/>
          <w:sz w:val="24"/>
          <w:highlight w:val="none"/>
        </w:rPr>
        <w:t>投诉书制作说明：</w:t>
      </w:r>
    </w:p>
    <w:p w14:paraId="781E497B">
      <w:pPr>
        <w:widowControl/>
        <w:spacing w:line="360" w:lineRule="auto"/>
        <w:ind w:firstLine="420" w:firstLineChars="200"/>
        <w:rPr>
          <w:rFonts w:ascii="宋体" w:cs="宋体"/>
          <w:color w:val="auto"/>
          <w:kern w:val="0"/>
          <w:szCs w:val="21"/>
          <w:highlight w:val="none"/>
        </w:rPr>
      </w:pPr>
      <w:r>
        <w:rPr>
          <w:rFonts w:hint="eastAsia" w:ascii="宋体" w:cs="宋体"/>
          <w:color w:val="auto"/>
          <w:szCs w:val="21"/>
          <w:highlight w:val="none"/>
        </w:rPr>
        <w:t>1.投诉人提起投诉时，应当提交投诉书和必要的证明材料，并按照被投诉人和与投诉事项有关的供应商数量提供投诉书副本。</w:t>
      </w:r>
    </w:p>
    <w:p w14:paraId="0A04BB0A">
      <w:pPr>
        <w:widowControl/>
        <w:spacing w:line="360" w:lineRule="auto"/>
        <w:ind w:firstLine="420" w:firstLineChars="200"/>
        <w:jc w:val="left"/>
        <w:rPr>
          <w:rFonts w:ascii="宋体" w:cs="宋体"/>
          <w:color w:val="auto"/>
          <w:kern w:val="0"/>
          <w:szCs w:val="21"/>
          <w:highlight w:val="none"/>
        </w:rPr>
      </w:pPr>
      <w:r>
        <w:rPr>
          <w:rFonts w:hint="eastAsia" w:ascii="宋体" w:cs="宋体"/>
          <w:color w:val="auto"/>
          <w:szCs w:val="21"/>
          <w:highlight w:val="none"/>
        </w:rPr>
        <w:t>2.投诉人若委托代理人进行投诉的，投诉书应按照要求列明“授权代表”的有关内容，并在附件中提交由</w:t>
      </w:r>
      <w:r>
        <w:rPr>
          <w:rFonts w:hint="eastAsia" w:ascii="宋体" w:cs="宋体"/>
          <w:color w:val="auto"/>
          <w:kern w:val="0"/>
          <w:szCs w:val="21"/>
          <w:highlight w:val="none"/>
        </w:rPr>
        <w:t>投诉人签署的授权委托书。授权委托书应当载明代理人的姓名或者名称、代理事项、具体权限、期限和相关事项。</w:t>
      </w:r>
    </w:p>
    <w:p w14:paraId="41AC3C06">
      <w:pPr>
        <w:widowControl/>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3.投诉人若对项目的某一分包进行投诉，投诉书应列明具体分包号。</w:t>
      </w:r>
    </w:p>
    <w:p w14:paraId="77652F41">
      <w:pPr>
        <w:widowControl/>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4.投诉书应简要列明质疑事项，质疑函、质疑答复等作为附件材料提供。</w:t>
      </w:r>
    </w:p>
    <w:p w14:paraId="3C3090C2">
      <w:pPr>
        <w:widowControl/>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5.投诉书的投诉事项应具体、明确，并有必要的事实依据和法律依据。</w:t>
      </w:r>
    </w:p>
    <w:p w14:paraId="372EF073">
      <w:pPr>
        <w:widowControl/>
        <w:spacing w:line="360" w:lineRule="auto"/>
        <w:ind w:firstLine="420" w:firstLineChars="200"/>
        <w:jc w:val="left"/>
        <w:rPr>
          <w:rFonts w:ascii="宋体" w:cs="宋体"/>
          <w:color w:val="auto"/>
          <w:szCs w:val="21"/>
          <w:highlight w:val="none"/>
        </w:rPr>
      </w:pPr>
      <w:r>
        <w:rPr>
          <w:rFonts w:hint="eastAsia" w:ascii="宋体" w:cs="宋体"/>
          <w:color w:val="auto"/>
          <w:szCs w:val="21"/>
          <w:highlight w:val="none"/>
        </w:rPr>
        <w:t>6.投诉书的投诉请求应与投诉事项相关。</w:t>
      </w:r>
    </w:p>
    <w:p w14:paraId="238D1884">
      <w:pPr>
        <w:widowControl/>
        <w:spacing w:line="360" w:lineRule="auto"/>
        <w:ind w:firstLine="420" w:firstLineChars="200"/>
        <w:jc w:val="left"/>
        <w:rPr>
          <w:rFonts w:ascii="宋体" w:cs="宋体"/>
          <w:color w:val="auto"/>
          <w:kern w:val="0"/>
          <w:szCs w:val="21"/>
          <w:highlight w:val="none"/>
        </w:rPr>
      </w:pPr>
      <w:r>
        <w:rPr>
          <w:rFonts w:hint="eastAsia" w:ascii="宋体" w:cs="宋体"/>
          <w:color w:val="auto"/>
          <w:szCs w:val="21"/>
          <w:highlight w:val="none"/>
        </w:rPr>
        <w:t>7.投诉人为自然人的，投诉书应当由本人签字；投诉人为法人或者其他组织的，投诉书应当由法定代表人、主要负责人，或者其授权代表签字或者盖章，并加盖公章。</w:t>
      </w:r>
    </w:p>
    <w:p w14:paraId="3E31DDE1">
      <w:pPr>
        <w:rPr>
          <w:rFonts w:ascii="宋体" w:cs="宋体"/>
          <w:color w:val="auto"/>
          <w:highlight w:val="none"/>
        </w:rPr>
      </w:pPr>
    </w:p>
    <w:sectPr>
      <w:footerReference r:id="rId7" w:type="first"/>
      <w:headerReference r:id="rId4" w:type="default"/>
      <w:footerReference r:id="rId5" w:type="default"/>
      <w:footerReference r:id="rId6"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宋体">
    <w:panose1 w:val="02010600030101010101"/>
    <w:charset w:val="86"/>
    <w:family w:val="auto"/>
    <w:pitch w:val="default"/>
    <w:sig w:usb0="00000203" w:usb1="288F0000" w:usb2="00000006" w:usb3="00000000" w:csb0="00040001"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81DA3">
    <w:pPr>
      <w:pStyle w:val="17"/>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4610" cy="156210"/>
              <wp:effectExtent l="0" t="0" r="0" b="0"/>
              <wp:wrapNone/>
              <wp:docPr id="1" name="文本框 1"/>
              <wp:cNvGraphicFramePr/>
              <a:graphic xmlns:a="http://schemas.openxmlformats.org/drawingml/2006/main">
                <a:graphicData uri="http://schemas.microsoft.com/office/word/2010/wordprocessingShape">
                  <wps:wsp>
                    <wps:cNvSpPr/>
                    <wps:spPr>
                      <a:xfrm>
                        <a:off x="0" y="0"/>
                        <a:ext cx="54864" cy="156248"/>
                      </a:xfrm>
                      <a:prstGeom prst="rect">
                        <a:avLst/>
                      </a:prstGeom>
                      <a:noFill/>
                      <a:ln w="12700" cap="flat" cmpd="sng">
                        <a:noFill/>
                        <a:prstDash val="solid"/>
                        <a:round/>
                      </a:ln>
                    </wps:spPr>
                    <wps:txbx>
                      <w:txbxContent>
                        <w:p w14:paraId="270F4DC6">
                          <w:pPr>
                            <w:pStyle w:val="17"/>
                          </w:pPr>
                          <w:r>
                            <w:rPr>
                              <w:rFonts w:hint="eastAsia"/>
                            </w:rPr>
                            <w:fldChar w:fldCharType="begin"/>
                          </w:r>
                          <w:r>
                            <w:rPr>
                              <w:rFonts w:hint="eastAsia"/>
                            </w:rPr>
                            <w:instrText xml:space="preserve"> PAGE  \* MERGEFORMAT </w:instrText>
                          </w:r>
                          <w:r>
                            <w:rPr>
                              <w:rFonts w:hint="eastAsia"/>
                            </w:rPr>
                            <w:fldChar w:fldCharType="separate"/>
                          </w:r>
                          <w:r>
                            <w:t>52</w:t>
                          </w:r>
                          <w:r>
                            <w:rPr>
                              <w:rFonts w:hint="eastAsia"/>
                            </w:rPr>
                            <w:fldChar w:fldCharType="end"/>
                          </w: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12.3pt;width:4.3pt;mso-position-horizontal:center;mso-position-horizontal-relative:margin;mso-wrap-style:none;z-index:251659264;mso-width-relative:page;mso-height-relative:page;" filled="f" stroked="f" coordsize="21600,21600" o:gfxdata="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XVjVfSAAAAAgEAAA8AAAAAAAAAAQAgAAAAIgAAAGRycy9kb3ducmV2&#10;LnhtbFBLAQIUABQAAAAIAIdO4kDIIA80AgIAAPQDAAAOAAAAAAAAAAEAIAAAACEBAABkcnMvZTJv&#10;RG9jLnhtbFBLBQYAAAAABgAGAFkBAACVBQAAAAA=&#10;">
              <v:fill on="f" focussize="0,0"/>
              <v:stroke on="f" weight="1pt" joinstyle="round"/>
              <v:imagedata o:title=""/>
              <o:lock v:ext="edit" aspectratio="f"/>
              <v:textbox inset="0mm,0mm,0mm,0mm" style="mso-fit-shape-to-text:t;">
                <w:txbxContent>
                  <w:p w14:paraId="270F4DC6">
                    <w:pPr>
                      <w:pStyle w:val="17"/>
                    </w:pPr>
                    <w:r>
                      <w:rPr>
                        <w:rFonts w:hint="eastAsia"/>
                      </w:rPr>
                      <w:fldChar w:fldCharType="begin"/>
                    </w:r>
                    <w:r>
                      <w:rPr>
                        <w:rFonts w:hint="eastAsia"/>
                      </w:rPr>
                      <w:instrText xml:space="preserve"> PAGE  \* MERGEFORMAT </w:instrText>
                    </w:r>
                    <w:r>
                      <w:rPr>
                        <w:rFonts w:hint="eastAsia"/>
                      </w:rPr>
                      <w:fldChar w:fldCharType="separate"/>
                    </w:r>
                    <w:r>
                      <w:t>52</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68363">
    <w:pPr>
      <w:pStyle w:val="17"/>
      <w:jc w:val="center"/>
    </w:pPr>
    <w:r>
      <mc:AlternateContent>
        <mc:Choice Requires="wps">
          <w:drawing>
            <wp:anchor distT="0" distB="0" distL="113665" distR="113665" simplePos="0" relativeHeight="251660288" behindDoc="0" locked="0" layoutInCell="1" allowOverlap="1">
              <wp:simplePos x="0" y="0"/>
              <wp:positionH relativeFrom="margin">
                <wp:align>center</wp:align>
              </wp:positionH>
              <wp:positionV relativeFrom="paragraph">
                <wp:posOffset>0</wp:posOffset>
              </wp:positionV>
              <wp:extent cx="130175" cy="156210"/>
              <wp:effectExtent l="0" t="0" r="0" b="0"/>
              <wp:wrapNone/>
              <wp:docPr id="4" name="文本框 4"/>
              <wp:cNvGraphicFramePr/>
              <a:graphic xmlns:a="http://schemas.openxmlformats.org/drawingml/2006/main">
                <a:graphicData uri="http://schemas.microsoft.com/office/word/2010/wordprocessingShape">
                  <wps:wsp>
                    <wps:cNvSpPr/>
                    <wps:spPr>
                      <a:xfrm>
                        <a:off x="0" y="0"/>
                        <a:ext cx="130301" cy="156248"/>
                      </a:xfrm>
                      <a:prstGeom prst="rect">
                        <a:avLst/>
                      </a:prstGeom>
                      <a:noFill/>
                      <a:ln w="12700" cap="flat" cmpd="sng">
                        <a:noFill/>
                        <a:prstDash val="solid"/>
                        <a:round/>
                      </a:ln>
                    </wps:spPr>
                    <wps:txbx>
                      <w:txbxContent>
                        <w:p w14:paraId="55895DD3">
                          <w:pPr>
                            <w:pStyle w:val="17"/>
                            <w:jc w:val="center"/>
                          </w:pPr>
                          <w:r>
                            <w:fldChar w:fldCharType="begin"/>
                          </w:r>
                          <w:r>
                            <w:instrText xml:space="preserve"> PAGE   \* MERGEFORMAT </w:instrText>
                          </w:r>
                          <w:r>
                            <w:fldChar w:fldCharType="separate"/>
                          </w:r>
                          <w:r>
                            <w:rPr>
                              <w:lang w:val="zh-CN"/>
                            </w:rPr>
                            <w:t>89</w:t>
                          </w:r>
                          <w:r>
                            <w:fldChar w:fldCharType="end"/>
                          </w:r>
                        </w:p>
                      </w:txbxContent>
                    </wps:txbx>
                    <wps:bodyPr vert="horz" wrap="none" lIns="0" tIns="0" rIns="0" bIns="0" anchor="t" anchorCtr="0" upright="1">
                      <a:spAutoFit/>
                    </wps:bodyPr>
                  </wps:wsp>
                </a:graphicData>
              </a:graphic>
            </wp:anchor>
          </w:drawing>
        </mc:Choice>
        <mc:Fallback>
          <w:pict>
            <v:rect id="文本框 4" o:spid="_x0000_s1026" o:spt="1" style="position:absolute;left:0pt;margin-top:0pt;height:12.3pt;width:10.25pt;mso-position-horizontal:center;mso-position-horizontal-relative:margin;mso-wrap-style:none;z-index:251660288;mso-width-relative:page;mso-height-relative:page;" filled="f" stroked="f" coordsize="21600,21600" o:gfxdata="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2Ysdn9IAAAADAQAADwAAAAAAAAABACAAAAAiAAAAZHJzL2Rvd25y&#10;ZXYueG1sUEsBAhQAFAAAAAgAh07iQMigvicEAgAA9QMAAA4AAAAAAAAAAQAgAAAAIQEAAGRycy9l&#10;Mm9Eb2MueG1sUEsFBgAAAAAGAAYAWQEAAJcFAAAAAA==&#10;">
              <v:fill on="f" focussize="0,0"/>
              <v:stroke on="f" weight="1pt" joinstyle="round"/>
              <v:imagedata o:title=""/>
              <o:lock v:ext="edit" aspectratio="f"/>
              <v:textbox inset="0mm,0mm,0mm,0mm" style="mso-fit-shape-to-text:t;">
                <w:txbxContent>
                  <w:p w14:paraId="55895DD3">
                    <w:pPr>
                      <w:pStyle w:val="17"/>
                      <w:jc w:val="center"/>
                    </w:pPr>
                    <w:r>
                      <w:fldChar w:fldCharType="begin"/>
                    </w:r>
                    <w:r>
                      <w:instrText xml:space="preserve"> PAGE   \* MERGEFORMAT </w:instrText>
                    </w:r>
                    <w:r>
                      <w:fldChar w:fldCharType="separate"/>
                    </w:r>
                    <w:r>
                      <w:rPr>
                        <w:lang w:val="zh-CN"/>
                      </w:rPr>
                      <w:t>89</w:t>
                    </w:r>
                    <w:r>
                      <w:fldChar w:fldCharType="end"/>
                    </w:r>
                  </w:p>
                </w:txbxContent>
              </v:textbox>
            </v:rect>
          </w:pict>
        </mc:Fallback>
      </mc:AlternateContent>
    </w:r>
  </w:p>
  <w:p w14:paraId="66140C28">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81888">
    <w:pPr>
      <w:pStyle w:val="17"/>
      <w:framePr w:wrap="around" w:vAnchor="text" w:hAnchor="margin" w:xAlign="center" w:y="1"/>
      <w:rPr>
        <w:rStyle w:val="31"/>
      </w:rPr>
    </w:pPr>
    <w:r>
      <w:rPr>
        <w:rStyle w:val="31"/>
      </w:rPr>
      <w:fldChar w:fldCharType="begin"/>
    </w:r>
    <w:r>
      <w:rPr>
        <w:rStyle w:val="31"/>
      </w:rPr>
      <w:instrText xml:space="preserve">PAGE  </w:instrText>
    </w:r>
    <w:r>
      <w:fldChar w:fldCharType="end"/>
    </w:r>
  </w:p>
  <w:p w14:paraId="6C7377C0">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557CB">
    <w:pPr>
      <w:pStyle w:val="17"/>
      <w:framePr w:wrap="around" w:vAnchor="text" w:hAnchor="margin" w:xAlign="right" w:y="1"/>
      <w:rPr>
        <w:rStyle w:val="31"/>
      </w:rPr>
    </w:pPr>
    <w:r>
      <w:rPr>
        <w:rStyle w:val="31"/>
      </w:rPr>
      <w:fldChar w:fldCharType="begin"/>
    </w:r>
    <w:r>
      <w:rPr>
        <w:rStyle w:val="31"/>
      </w:rPr>
      <w:instrText xml:space="preserve">PAGE  </w:instrText>
    </w:r>
    <w:r>
      <w:fldChar w:fldCharType="separate"/>
    </w:r>
    <w:r>
      <w:rPr>
        <w:rStyle w:val="31"/>
      </w:rPr>
      <w:t>122</w:t>
    </w:r>
    <w:r>
      <w:fldChar w:fldCharType="end"/>
    </w:r>
  </w:p>
  <w:p w14:paraId="7E88CD85">
    <w:pPr>
      <w:pStyle w:val="17"/>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2D80A">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japaneseCounting"/>
      <w:lvlText w:val="（%1）"/>
      <w:lvlJc w:val="left"/>
      <w:pPr>
        <w:tabs>
          <w:tab w:val="left" w:pos="0"/>
        </w:tabs>
        <w:ind w:left="1237" w:hanging="765"/>
      </w:pPr>
      <w:rPr>
        <w:rFonts w:hint="default"/>
      </w:rPr>
    </w:lvl>
    <w:lvl w:ilvl="1" w:tentative="0">
      <w:start w:val="1"/>
      <w:numFmt w:val="lowerLetter"/>
      <w:lvlText w:val="%2)"/>
      <w:lvlJc w:val="left"/>
      <w:pPr>
        <w:tabs>
          <w:tab w:val="left" w:pos="0"/>
        </w:tabs>
        <w:ind w:left="1312" w:hanging="420"/>
      </w:pPr>
    </w:lvl>
    <w:lvl w:ilvl="2" w:tentative="0">
      <w:start w:val="1"/>
      <w:numFmt w:val="lowerRoman"/>
      <w:lvlText w:val="%3."/>
      <w:lvlJc w:val="right"/>
      <w:pPr>
        <w:tabs>
          <w:tab w:val="left" w:pos="0"/>
        </w:tabs>
        <w:ind w:left="1732" w:hanging="420"/>
      </w:pPr>
    </w:lvl>
    <w:lvl w:ilvl="3" w:tentative="0">
      <w:start w:val="1"/>
      <w:numFmt w:val="decimal"/>
      <w:lvlText w:val="%4."/>
      <w:lvlJc w:val="left"/>
      <w:pPr>
        <w:tabs>
          <w:tab w:val="left" w:pos="0"/>
        </w:tabs>
        <w:ind w:left="2152" w:hanging="420"/>
      </w:pPr>
    </w:lvl>
    <w:lvl w:ilvl="4" w:tentative="0">
      <w:start w:val="1"/>
      <w:numFmt w:val="lowerLetter"/>
      <w:lvlText w:val="%5)"/>
      <w:lvlJc w:val="left"/>
      <w:pPr>
        <w:tabs>
          <w:tab w:val="left" w:pos="0"/>
        </w:tabs>
        <w:ind w:left="2572" w:hanging="420"/>
      </w:pPr>
    </w:lvl>
    <w:lvl w:ilvl="5" w:tentative="0">
      <w:start w:val="1"/>
      <w:numFmt w:val="lowerRoman"/>
      <w:lvlText w:val="%6."/>
      <w:lvlJc w:val="right"/>
      <w:pPr>
        <w:tabs>
          <w:tab w:val="left" w:pos="0"/>
        </w:tabs>
        <w:ind w:left="2992" w:hanging="420"/>
      </w:pPr>
    </w:lvl>
    <w:lvl w:ilvl="6" w:tentative="0">
      <w:start w:val="1"/>
      <w:numFmt w:val="decimal"/>
      <w:lvlText w:val="%7."/>
      <w:lvlJc w:val="left"/>
      <w:pPr>
        <w:tabs>
          <w:tab w:val="left" w:pos="0"/>
        </w:tabs>
        <w:ind w:left="3412" w:hanging="420"/>
      </w:pPr>
    </w:lvl>
    <w:lvl w:ilvl="7" w:tentative="0">
      <w:start w:val="1"/>
      <w:numFmt w:val="lowerLetter"/>
      <w:lvlText w:val="%8)"/>
      <w:lvlJc w:val="left"/>
      <w:pPr>
        <w:tabs>
          <w:tab w:val="left" w:pos="0"/>
        </w:tabs>
        <w:ind w:left="3832" w:hanging="420"/>
      </w:pPr>
    </w:lvl>
    <w:lvl w:ilvl="8" w:tentative="0">
      <w:start w:val="1"/>
      <w:numFmt w:val="lowerRoman"/>
      <w:lvlText w:val="%9."/>
      <w:lvlJc w:val="right"/>
      <w:pPr>
        <w:tabs>
          <w:tab w:val="left" w:pos="0"/>
        </w:tabs>
        <w:ind w:left="4252" w:hanging="420"/>
      </w:pPr>
    </w:lvl>
  </w:abstractNum>
  <w:abstractNum w:abstractNumId="1">
    <w:nsid w:val="00000002"/>
    <w:multiLevelType w:val="multilevel"/>
    <w:tmpl w:val="00000002"/>
    <w:lvl w:ilvl="0" w:tentative="0">
      <w:start w:val="1"/>
      <w:numFmt w:val="decimal"/>
      <w:lvlText w:val="（%1）"/>
      <w:lvlJc w:val="left"/>
      <w:pPr>
        <w:tabs>
          <w:tab w:val="left" w:pos="0"/>
        </w:tabs>
        <w:ind w:left="1140" w:hanging="720"/>
      </w:pPr>
      <w:rPr>
        <w:rFonts w:ascii="宋体" w:hAnsi="宋体" w:eastAsia="宋体" w:cs="Times New Roman"/>
      </w:rPr>
    </w:lvl>
    <w:lvl w:ilvl="1" w:tentative="0">
      <w:start w:val="1"/>
      <w:numFmt w:val="lowerLetter"/>
      <w:lvlText w:val="%2)"/>
      <w:lvlJc w:val="left"/>
      <w:pPr>
        <w:tabs>
          <w:tab w:val="left" w:pos="0"/>
        </w:tabs>
        <w:ind w:left="1260" w:hanging="420"/>
      </w:pPr>
    </w:lvl>
    <w:lvl w:ilvl="2" w:tentative="0">
      <w:start w:val="1"/>
      <w:numFmt w:val="lowerRoman"/>
      <w:lvlText w:val="%3."/>
      <w:lvlJc w:val="right"/>
      <w:pPr>
        <w:tabs>
          <w:tab w:val="left" w:pos="0"/>
        </w:tabs>
        <w:ind w:left="1680" w:hanging="420"/>
      </w:pPr>
    </w:lvl>
    <w:lvl w:ilvl="3" w:tentative="0">
      <w:start w:val="1"/>
      <w:numFmt w:val="decimal"/>
      <w:lvlText w:val="%4."/>
      <w:lvlJc w:val="left"/>
      <w:pPr>
        <w:tabs>
          <w:tab w:val="left" w:pos="0"/>
        </w:tabs>
        <w:ind w:left="2100" w:hanging="420"/>
      </w:pPr>
    </w:lvl>
    <w:lvl w:ilvl="4" w:tentative="0">
      <w:start w:val="1"/>
      <w:numFmt w:val="lowerLetter"/>
      <w:lvlText w:val="%5)"/>
      <w:lvlJc w:val="left"/>
      <w:pPr>
        <w:tabs>
          <w:tab w:val="left" w:pos="0"/>
        </w:tabs>
        <w:ind w:left="2520" w:hanging="420"/>
      </w:pPr>
    </w:lvl>
    <w:lvl w:ilvl="5" w:tentative="0">
      <w:start w:val="1"/>
      <w:numFmt w:val="lowerRoman"/>
      <w:lvlText w:val="%6."/>
      <w:lvlJc w:val="right"/>
      <w:pPr>
        <w:tabs>
          <w:tab w:val="left" w:pos="0"/>
        </w:tabs>
        <w:ind w:left="2940" w:hanging="420"/>
      </w:pPr>
    </w:lvl>
    <w:lvl w:ilvl="6" w:tentative="0">
      <w:start w:val="1"/>
      <w:numFmt w:val="decimal"/>
      <w:lvlText w:val="%7."/>
      <w:lvlJc w:val="left"/>
      <w:pPr>
        <w:tabs>
          <w:tab w:val="left" w:pos="0"/>
        </w:tabs>
        <w:ind w:left="3360" w:hanging="420"/>
      </w:pPr>
    </w:lvl>
    <w:lvl w:ilvl="7" w:tentative="0">
      <w:start w:val="1"/>
      <w:numFmt w:val="lowerLetter"/>
      <w:lvlText w:val="%8)"/>
      <w:lvlJc w:val="left"/>
      <w:pPr>
        <w:tabs>
          <w:tab w:val="left" w:pos="0"/>
        </w:tabs>
        <w:ind w:left="3780" w:hanging="420"/>
      </w:pPr>
    </w:lvl>
    <w:lvl w:ilvl="8" w:tentative="0">
      <w:start w:val="1"/>
      <w:numFmt w:val="lowerRoman"/>
      <w:lvlText w:val="%9."/>
      <w:lvlJc w:val="right"/>
      <w:pPr>
        <w:tabs>
          <w:tab w:val="left" w:pos="0"/>
        </w:tabs>
        <w:ind w:left="4200" w:hanging="420"/>
      </w:pPr>
    </w:lvl>
  </w:abstractNum>
  <w:abstractNum w:abstractNumId="2">
    <w:nsid w:val="2FFE01E0"/>
    <w:multiLevelType w:val="singleLevel"/>
    <w:tmpl w:val="2FFE01E0"/>
    <w:lvl w:ilvl="0" w:tentative="0">
      <w:start w:val="1"/>
      <w:numFmt w:val="decimal"/>
      <w:suff w:val="nothing"/>
      <w:lvlText w:val="%1、"/>
      <w:lvlJc w:val="left"/>
      <w:pPr>
        <w:tabs>
          <w:tab w:val="left"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ZkN2ViODExMTQ2NDBiYjcxMmIzNTI3NWIxYmEzZDMifQ=="/>
  </w:docVars>
  <w:rsids>
    <w:rsidRoot w:val="001D0409"/>
    <w:rsid w:val="00002B13"/>
    <w:rsid w:val="000031C9"/>
    <w:rsid w:val="00005FF0"/>
    <w:rsid w:val="00012050"/>
    <w:rsid w:val="000233C3"/>
    <w:rsid w:val="000234F6"/>
    <w:rsid w:val="00025447"/>
    <w:rsid w:val="00025DDA"/>
    <w:rsid w:val="00026D5C"/>
    <w:rsid w:val="000278BE"/>
    <w:rsid w:val="00030366"/>
    <w:rsid w:val="00032B1B"/>
    <w:rsid w:val="000341BB"/>
    <w:rsid w:val="00041BD0"/>
    <w:rsid w:val="000420FE"/>
    <w:rsid w:val="00045B2F"/>
    <w:rsid w:val="000473DC"/>
    <w:rsid w:val="00047C97"/>
    <w:rsid w:val="00050110"/>
    <w:rsid w:val="00050FDE"/>
    <w:rsid w:val="000521FA"/>
    <w:rsid w:val="000526DF"/>
    <w:rsid w:val="000531F1"/>
    <w:rsid w:val="0005469B"/>
    <w:rsid w:val="00054B61"/>
    <w:rsid w:val="000553C3"/>
    <w:rsid w:val="00055587"/>
    <w:rsid w:val="0005744D"/>
    <w:rsid w:val="00063213"/>
    <w:rsid w:val="00063F55"/>
    <w:rsid w:val="00066BAB"/>
    <w:rsid w:val="00067244"/>
    <w:rsid w:val="000677D3"/>
    <w:rsid w:val="00073815"/>
    <w:rsid w:val="0007415A"/>
    <w:rsid w:val="00083727"/>
    <w:rsid w:val="00083D83"/>
    <w:rsid w:val="00085E76"/>
    <w:rsid w:val="00092EB9"/>
    <w:rsid w:val="000964AF"/>
    <w:rsid w:val="000A0FC5"/>
    <w:rsid w:val="000A15EA"/>
    <w:rsid w:val="000A17CE"/>
    <w:rsid w:val="000A4690"/>
    <w:rsid w:val="000A469A"/>
    <w:rsid w:val="000A5431"/>
    <w:rsid w:val="000A6BB1"/>
    <w:rsid w:val="000A6FA8"/>
    <w:rsid w:val="000B00E2"/>
    <w:rsid w:val="000B6C39"/>
    <w:rsid w:val="000B6F55"/>
    <w:rsid w:val="000B7CFD"/>
    <w:rsid w:val="000C1562"/>
    <w:rsid w:val="000C21F6"/>
    <w:rsid w:val="000C243C"/>
    <w:rsid w:val="000C2F9E"/>
    <w:rsid w:val="000C5E54"/>
    <w:rsid w:val="000C61E3"/>
    <w:rsid w:val="000C632B"/>
    <w:rsid w:val="000C6D19"/>
    <w:rsid w:val="000D11F1"/>
    <w:rsid w:val="000D1761"/>
    <w:rsid w:val="000D2F80"/>
    <w:rsid w:val="000D3395"/>
    <w:rsid w:val="000D5686"/>
    <w:rsid w:val="000D6ECE"/>
    <w:rsid w:val="000E0139"/>
    <w:rsid w:val="000E2F02"/>
    <w:rsid w:val="000E333A"/>
    <w:rsid w:val="000E4C10"/>
    <w:rsid w:val="000E5606"/>
    <w:rsid w:val="000E719E"/>
    <w:rsid w:val="000F07B0"/>
    <w:rsid w:val="000F21A1"/>
    <w:rsid w:val="000F4C04"/>
    <w:rsid w:val="000F7252"/>
    <w:rsid w:val="000F7C3A"/>
    <w:rsid w:val="0010077A"/>
    <w:rsid w:val="00105689"/>
    <w:rsid w:val="001069C1"/>
    <w:rsid w:val="00111DD0"/>
    <w:rsid w:val="00113B0E"/>
    <w:rsid w:val="00113EB2"/>
    <w:rsid w:val="00121F6D"/>
    <w:rsid w:val="0012241A"/>
    <w:rsid w:val="001237A8"/>
    <w:rsid w:val="00127C16"/>
    <w:rsid w:val="00127F9A"/>
    <w:rsid w:val="00133EF7"/>
    <w:rsid w:val="00135D44"/>
    <w:rsid w:val="00141E93"/>
    <w:rsid w:val="001433C3"/>
    <w:rsid w:val="00146F48"/>
    <w:rsid w:val="00146FA6"/>
    <w:rsid w:val="00150AD7"/>
    <w:rsid w:val="00152005"/>
    <w:rsid w:val="00154D8F"/>
    <w:rsid w:val="00154E5C"/>
    <w:rsid w:val="0015581D"/>
    <w:rsid w:val="0015593C"/>
    <w:rsid w:val="00156FD8"/>
    <w:rsid w:val="0016081D"/>
    <w:rsid w:val="00165295"/>
    <w:rsid w:val="00172EA7"/>
    <w:rsid w:val="00173C6F"/>
    <w:rsid w:val="00176448"/>
    <w:rsid w:val="00177316"/>
    <w:rsid w:val="001806A0"/>
    <w:rsid w:val="00182075"/>
    <w:rsid w:val="001829BE"/>
    <w:rsid w:val="00185E47"/>
    <w:rsid w:val="001864E4"/>
    <w:rsid w:val="00191330"/>
    <w:rsid w:val="00192764"/>
    <w:rsid w:val="0019343A"/>
    <w:rsid w:val="00195083"/>
    <w:rsid w:val="001A0048"/>
    <w:rsid w:val="001A0223"/>
    <w:rsid w:val="001A64E7"/>
    <w:rsid w:val="001B02BE"/>
    <w:rsid w:val="001B13AA"/>
    <w:rsid w:val="001B46AA"/>
    <w:rsid w:val="001B5661"/>
    <w:rsid w:val="001B593A"/>
    <w:rsid w:val="001B5BFD"/>
    <w:rsid w:val="001C04FA"/>
    <w:rsid w:val="001C0B5E"/>
    <w:rsid w:val="001C0DC8"/>
    <w:rsid w:val="001C2F6A"/>
    <w:rsid w:val="001C3120"/>
    <w:rsid w:val="001C38FC"/>
    <w:rsid w:val="001C649A"/>
    <w:rsid w:val="001C695E"/>
    <w:rsid w:val="001C76AD"/>
    <w:rsid w:val="001C771D"/>
    <w:rsid w:val="001D0409"/>
    <w:rsid w:val="001D0BB1"/>
    <w:rsid w:val="001D2E55"/>
    <w:rsid w:val="001E0396"/>
    <w:rsid w:val="001E0D66"/>
    <w:rsid w:val="001E2647"/>
    <w:rsid w:val="001E2CEC"/>
    <w:rsid w:val="001E3156"/>
    <w:rsid w:val="001E38BD"/>
    <w:rsid w:val="001E5628"/>
    <w:rsid w:val="001F062D"/>
    <w:rsid w:val="001F10AF"/>
    <w:rsid w:val="001F26A6"/>
    <w:rsid w:val="001F7279"/>
    <w:rsid w:val="00202320"/>
    <w:rsid w:val="00206A6D"/>
    <w:rsid w:val="00207895"/>
    <w:rsid w:val="00220AC5"/>
    <w:rsid w:val="00223D2B"/>
    <w:rsid w:val="00224C77"/>
    <w:rsid w:val="00231BDA"/>
    <w:rsid w:val="002337D9"/>
    <w:rsid w:val="00237689"/>
    <w:rsid w:val="00243E56"/>
    <w:rsid w:val="0024414E"/>
    <w:rsid w:val="00245843"/>
    <w:rsid w:val="00253924"/>
    <w:rsid w:val="0025449F"/>
    <w:rsid w:val="002566CA"/>
    <w:rsid w:val="00261FC6"/>
    <w:rsid w:val="00262F8E"/>
    <w:rsid w:val="00264065"/>
    <w:rsid w:val="00266F71"/>
    <w:rsid w:val="002671AE"/>
    <w:rsid w:val="0026795C"/>
    <w:rsid w:val="00271590"/>
    <w:rsid w:val="00271A67"/>
    <w:rsid w:val="00271D9F"/>
    <w:rsid w:val="00274F00"/>
    <w:rsid w:val="00275CA4"/>
    <w:rsid w:val="00276AEC"/>
    <w:rsid w:val="00280CE1"/>
    <w:rsid w:val="0028297B"/>
    <w:rsid w:val="00284EFD"/>
    <w:rsid w:val="00286539"/>
    <w:rsid w:val="002903D5"/>
    <w:rsid w:val="00291383"/>
    <w:rsid w:val="00295B2D"/>
    <w:rsid w:val="00297DFB"/>
    <w:rsid w:val="002A27DC"/>
    <w:rsid w:val="002B1390"/>
    <w:rsid w:val="002B1A87"/>
    <w:rsid w:val="002B1AEB"/>
    <w:rsid w:val="002B3E13"/>
    <w:rsid w:val="002C037B"/>
    <w:rsid w:val="002C1159"/>
    <w:rsid w:val="002C45FB"/>
    <w:rsid w:val="002C5927"/>
    <w:rsid w:val="002C7F98"/>
    <w:rsid w:val="002D04AA"/>
    <w:rsid w:val="002D104A"/>
    <w:rsid w:val="002D2E51"/>
    <w:rsid w:val="002D3359"/>
    <w:rsid w:val="002D3555"/>
    <w:rsid w:val="002D5AF8"/>
    <w:rsid w:val="002D689E"/>
    <w:rsid w:val="002D6901"/>
    <w:rsid w:val="002D6CB7"/>
    <w:rsid w:val="002D73BD"/>
    <w:rsid w:val="002D75D5"/>
    <w:rsid w:val="002D7E20"/>
    <w:rsid w:val="002E331C"/>
    <w:rsid w:val="002E358B"/>
    <w:rsid w:val="002E48BE"/>
    <w:rsid w:val="002E5FA5"/>
    <w:rsid w:val="002E6E2F"/>
    <w:rsid w:val="002E7C3F"/>
    <w:rsid w:val="002F4AAA"/>
    <w:rsid w:val="002F4C09"/>
    <w:rsid w:val="002F7DF0"/>
    <w:rsid w:val="00302438"/>
    <w:rsid w:val="0030607C"/>
    <w:rsid w:val="0030682F"/>
    <w:rsid w:val="00313851"/>
    <w:rsid w:val="00323993"/>
    <w:rsid w:val="00325861"/>
    <w:rsid w:val="00326126"/>
    <w:rsid w:val="003314D8"/>
    <w:rsid w:val="00332CBE"/>
    <w:rsid w:val="00333854"/>
    <w:rsid w:val="00333BCD"/>
    <w:rsid w:val="00335D15"/>
    <w:rsid w:val="003426C3"/>
    <w:rsid w:val="003462A5"/>
    <w:rsid w:val="003470EB"/>
    <w:rsid w:val="00350458"/>
    <w:rsid w:val="0035057B"/>
    <w:rsid w:val="0035394F"/>
    <w:rsid w:val="00353E5B"/>
    <w:rsid w:val="0035429D"/>
    <w:rsid w:val="00354368"/>
    <w:rsid w:val="0035475B"/>
    <w:rsid w:val="00356460"/>
    <w:rsid w:val="0035646C"/>
    <w:rsid w:val="00356D2E"/>
    <w:rsid w:val="00363F83"/>
    <w:rsid w:val="003643F8"/>
    <w:rsid w:val="00367209"/>
    <w:rsid w:val="0037242F"/>
    <w:rsid w:val="003734F9"/>
    <w:rsid w:val="003739DD"/>
    <w:rsid w:val="00374471"/>
    <w:rsid w:val="00380B76"/>
    <w:rsid w:val="00381EB9"/>
    <w:rsid w:val="00383653"/>
    <w:rsid w:val="0038469D"/>
    <w:rsid w:val="0038549A"/>
    <w:rsid w:val="00385566"/>
    <w:rsid w:val="00393773"/>
    <w:rsid w:val="003950F7"/>
    <w:rsid w:val="003A01A6"/>
    <w:rsid w:val="003A483D"/>
    <w:rsid w:val="003A59F9"/>
    <w:rsid w:val="003A7185"/>
    <w:rsid w:val="003A73B6"/>
    <w:rsid w:val="003B0012"/>
    <w:rsid w:val="003B4C72"/>
    <w:rsid w:val="003B52CB"/>
    <w:rsid w:val="003B5ED2"/>
    <w:rsid w:val="003C5165"/>
    <w:rsid w:val="003C73C5"/>
    <w:rsid w:val="003D1B4F"/>
    <w:rsid w:val="003D618D"/>
    <w:rsid w:val="003D6E6A"/>
    <w:rsid w:val="003D73FD"/>
    <w:rsid w:val="003D7F87"/>
    <w:rsid w:val="003E0FCB"/>
    <w:rsid w:val="003E130D"/>
    <w:rsid w:val="003F6E24"/>
    <w:rsid w:val="00401423"/>
    <w:rsid w:val="00401895"/>
    <w:rsid w:val="0040204D"/>
    <w:rsid w:val="0040243D"/>
    <w:rsid w:val="00405646"/>
    <w:rsid w:val="00406161"/>
    <w:rsid w:val="0040667F"/>
    <w:rsid w:val="00410708"/>
    <w:rsid w:val="00410964"/>
    <w:rsid w:val="00412B90"/>
    <w:rsid w:val="00417609"/>
    <w:rsid w:val="0042137E"/>
    <w:rsid w:val="00423325"/>
    <w:rsid w:val="0042452C"/>
    <w:rsid w:val="0042464A"/>
    <w:rsid w:val="00424E4E"/>
    <w:rsid w:val="00425B04"/>
    <w:rsid w:val="0042645D"/>
    <w:rsid w:val="00434E00"/>
    <w:rsid w:val="0044056D"/>
    <w:rsid w:val="00441E82"/>
    <w:rsid w:val="00442630"/>
    <w:rsid w:val="004438BA"/>
    <w:rsid w:val="00444A33"/>
    <w:rsid w:val="004454C1"/>
    <w:rsid w:val="00447DC8"/>
    <w:rsid w:val="00454BA9"/>
    <w:rsid w:val="00455550"/>
    <w:rsid w:val="004559EC"/>
    <w:rsid w:val="00460052"/>
    <w:rsid w:val="004602EE"/>
    <w:rsid w:val="00461BC6"/>
    <w:rsid w:val="00471330"/>
    <w:rsid w:val="00471976"/>
    <w:rsid w:val="00471F00"/>
    <w:rsid w:val="00484098"/>
    <w:rsid w:val="00485DAE"/>
    <w:rsid w:val="0048763C"/>
    <w:rsid w:val="00487F1D"/>
    <w:rsid w:val="004A05AB"/>
    <w:rsid w:val="004A2E09"/>
    <w:rsid w:val="004A4DDD"/>
    <w:rsid w:val="004A7840"/>
    <w:rsid w:val="004A7B33"/>
    <w:rsid w:val="004B079C"/>
    <w:rsid w:val="004B07D1"/>
    <w:rsid w:val="004B2D0D"/>
    <w:rsid w:val="004B391F"/>
    <w:rsid w:val="004B3B22"/>
    <w:rsid w:val="004B4FD5"/>
    <w:rsid w:val="004B5E04"/>
    <w:rsid w:val="004B6123"/>
    <w:rsid w:val="004B6C2E"/>
    <w:rsid w:val="004B7F6F"/>
    <w:rsid w:val="004C0A2D"/>
    <w:rsid w:val="004C1E90"/>
    <w:rsid w:val="004C408A"/>
    <w:rsid w:val="004C44B8"/>
    <w:rsid w:val="004C5AFC"/>
    <w:rsid w:val="004C6ACB"/>
    <w:rsid w:val="004D2B9E"/>
    <w:rsid w:val="004D2BB6"/>
    <w:rsid w:val="004D5B5D"/>
    <w:rsid w:val="004D5E1A"/>
    <w:rsid w:val="004D6EAD"/>
    <w:rsid w:val="004E0019"/>
    <w:rsid w:val="004E12EF"/>
    <w:rsid w:val="004E203C"/>
    <w:rsid w:val="004E3306"/>
    <w:rsid w:val="004E3B37"/>
    <w:rsid w:val="004E6356"/>
    <w:rsid w:val="004F2172"/>
    <w:rsid w:val="004F3F20"/>
    <w:rsid w:val="004F640B"/>
    <w:rsid w:val="004F7757"/>
    <w:rsid w:val="004F79C0"/>
    <w:rsid w:val="00501607"/>
    <w:rsid w:val="00501F1F"/>
    <w:rsid w:val="0050237D"/>
    <w:rsid w:val="0050305E"/>
    <w:rsid w:val="00505718"/>
    <w:rsid w:val="0050596C"/>
    <w:rsid w:val="005071ED"/>
    <w:rsid w:val="0050795D"/>
    <w:rsid w:val="00510B37"/>
    <w:rsid w:val="005137EC"/>
    <w:rsid w:val="00514C69"/>
    <w:rsid w:val="00514DA4"/>
    <w:rsid w:val="0051511B"/>
    <w:rsid w:val="00517E6A"/>
    <w:rsid w:val="005206D1"/>
    <w:rsid w:val="00521CDC"/>
    <w:rsid w:val="00522285"/>
    <w:rsid w:val="00525803"/>
    <w:rsid w:val="00527AE4"/>
    <w:rsid w:val="005319D6"/>
    <w:rsid w:val="00533647"/>
    <w:rsid w:val="005337A6"/>
    <w:rsid w:val="00536760"/>
    <w:rsid w:val="00537F5A"/>
    <w:rsid w:val="005406FE"/>
    <w:rsid w:val="005406FF"/>
    <w:rsid w:val="00541815"/>
    <w:rsid w:val="00541B51"/>
    <w:rsid w:val="00543AE3"/>
    <w:rsid w:val="005465C6"/>
    <w:rsid w:val="00551500"/>
    <w:rsid w:val="00551521"/>
    <w:rsid w:val="00552238"/>
    <w:rsid w:val="00553124"/>
    <w:rsid w:val="005549A7"/>
    <w:rsid w:val="005615C7"/>
    <w:rsid w:val="00562671"/>
    <w:rsid w:val="00564A6A"/>
    <w:rsid w:val="00565B32"/>
    <w:rsid w:val="00566269"/>
    <w:rsid w:val="00566E70"/>
    <w:rsid w:val="00570162"/>
    <w:rsid w:val="005706FE"/>
    <w:rsid w:val="00570C09"/>
    <w:rsid w:val="005715DA"/>
    <w:rsid w:val="005724C5"/>
    <w:rsid w:val="00572E4D"/>
    <w:rsid w:val="005773F6"/>
    <w:rsid w:val="00585958"/>
    <w:rsid w:val="0059290C"/>
    <w:rsid w:val="00592A4A"/>
    <w:rsid w:val="005933EF"/>
    <w:rsid w:val="005950AC"/>
    <w:rsid w:val="00596647"/>
    <w:rsid w:val="00596752"/>
    <w:rsid w:val="00597CFE"/>
    <w:rsid w:val="005A0547"/>
    <w:rsid w:val="005A1898"/>
    <w:rsid w:val="005A39FD"/>
    <w:rsid w:val="005A48E2"/>
    <w:rsid w:val="005A4DE2"/>
    <w:rsid w:val="005A4E85"/>
    <w:rsid w:val="005B0263"/>
    <w:rsid w:val="005B14E4"/>
    <w:rsid w:val="005B567C"/>
    <w:rsid w:val="005B5796"/>
    <w:rsid w:val="005C0474"/>
    <w:rsid w:val="005C24F4"/>
    <w:rsid w:val="005C3050"/>
    <w:rsid w:val="005C3759"/>
    <w:rsid w:val="005C3843"/>
    <w:rsid w:val="005C4A29"/>
    <w:rsid w:val="005C4E82"/>
    <w:rsid w:val="005C53B0"/>
    <w:rsid w:val="005C56D3"/>
    <w:rsid w:val="005D2A68"/>
    <w:rsid w:val="005D3032"/>
    <w:rsid w:val="005D466A"/>
    <w:rsid w:val="005D4C15"/>
    <w:rsid w:val="005D58AE"/>
    <w:rsid w:val="005D5A66"/>
    <w:rsid w:val="005E1201"/>
    <w:rsid w:val="005E45C9"/>
    <w:rsid w:val="005E4840"/>
    <w:rsid w:val="005E4CFB"/>
    <w:rsid w:val="005F071E"/>
    <w:rsid w:val="005F07A9"/>
    <w:rsid w:val="005F73CA"/>
    <w:rsid w:val="00600723"/>
    <w:rsid w:val="00600C62"/>
    <w:rsid w:val="00600FFE"/>
    <w:rsid w:val="006012EF"/>
    <w:rsid w:val="00610C0B"/>
    <w:rsid w:val="00610C2D"/>
    <w:rsid w:val="0061177F"/>
    <w:rsid w:val="00617E46"/>
    <w:rsid w:val="00620EE1"/>
    <w:rsid w:val="006364DC"/>
    <w:rsid w:val="0064443C"/>
    <w:rsid w:val="00646E70"/>
    <w:rsid w:val="00646F0A"/>
    <w:rsid w:val="006524F2"/>
    <w:rsid w:val="00653A5E"/>
    <w:rsid w:val="006559C3"/>
    <w:rsid w:val="0065616D"/>
    <w:rsid w:val="006561AF"/>
    <w:rsid w:val="006603F2"/>
    <w:rsid w:val="00661AFE"/>
    <w:rsid w:val="00661F9E"/>
    <w:rsid w:val="00663723"/>
    <w:rsid w:val="00664EC5"/>
    <w:rsid w:val="00667927"/>
    <w:rsid w:val="006740C3"/>
    <w:rsid w:val="0067496E"/>
    <w:rsid w:val="00677574"/>
    <w:rsid w:val="00682470"/>
    <w:rsid w:val="00690B41"/>
    <w:rsid w:val="006917DB"/>
    <w:rsid w:val="006925C8"/>
    <w:rsid w:val="0069318F"/>
    <w:rsid w:val="00693FAD"/>
    <w:rsid w:val="00697036"/>
    <w:rsid w:val="0069717F"/>
    <w:rsid w:val="006977F5"/>
    <w:rsid w:val="006A0D25"/>
    <w:rsid w:val="006A1BFA"/>
    <w:rsid w:val="006A222B"/>
    <w:rsid w:val="006A3D2E"/>
    <w:rsid w:val="006B25BB"/>
    <w:rsid w:val="006B3310"/>
    <w:rsid w:val="006B420C"/>
    <w:rsid w:val="006B4F1A"/>
    <w:rsid w:val="006B535E"/>
    <w:rsid w:val="006B6D9B"/>
    <w:rsid w:val="006C10A7"/>
    <w:rsid w:val="006C2272"/>
    <w:rsid w:val="006C22E1"/>
    <w:rsid w:val="006C2D2C"/>
    <w:rsid w:val="006C399A"/>
    <w:rsid w:val="006C4B05"/>
    <w:rsid w:val="006C737A"/>
    <w:rsid w:val="006C7FAC"/>
    <w:rsid w:val="006D3AB6"/>
    <w:rsid w:val="006D5071"/>
    <w:rsid w:val="006D7514"/>
    <w:rsid w:val="006D7DA8"/>
    <w:rsid w:val="006E11D5"/>
    <w:rsid w:val="006E2825"/>
    <w:rsid w:val="006E2D61"/>
    <w:rsid w:val="006E32BF"/>
    <w:rsid w:val="006E36A9"/>
    <w:rsid w:val="006E5CE9"/>
    <w:rsid w:val="006E5E0E"/>
    <w:rsid w:val="006E7D3E"/>
    <w:rsid w:val="006F0305"/>
    <w:rsid w:val="006F3549"/>
    <w:rsid w:val="006F3B83"/>
    <w:rsid w:val="006F7B47"/>
    <w:rsid w:val="00700513"/>
    <w:rsid w:val="00700AE2"/>
    <w:rsid w:val="00702485"/>
    <w:rsid w:val="00712407"/>
    <w:rsid w:val="00713C42"/>
    <w:rsid w:val="00715ABA"/>
    <w:rsid w:val="0071618F"/>
    <w:rsid w:val="00716A6D"/>
    <w:rsid w:val="007178E1"/>
    <w:rsid w:val="0072001F"/>
    <w:rsid w:val="00725EEE"/>
    <w:rsid w:val="00726F01"/>
    <w:rsid w:val="00733227"/>
    <w:rsid w:val="00733A6C"/>
    <w:rsid w:val="00744B85"/>
    <w:rsid w:val="007452E8"/>
    <w:rsid w:val="00750465"/>
    <w:rsid w:val="00751B41"/>
    <w:rsid w:val="00754417"/>
    <w:rsid w:val="00754C9D"/>
    <w:rsid w:val="00755E63"/>
    <w:rsid w:val="007567BB"/>
    <w:rsid w:val="0076672F"/>
    <w:rsid w:val="007702DB"/>
    <w:rsid w:val="007722BF"/>
    <w:rsid w:val="007727CB"/>
    <w:rsid w:val="0077588E"/>
    <w:rsid w:val="007762BA"/>
    <w:rsid w:val="00780C1E"/>
    <w:rsid w:val="00782302"/>
    <w:rsid w:val="0078352E"/>
    <w:rsid w:val="00783CD8"/>
    <w:rsid w:val="00786164"/>
    <w:rsid w:val="007863B6"/>
    <w:rsid w:val="00786671"/>
    <w:rsid w:val="00786CB2"/>
    <w:rsid w:val="00796375"/>
    <w:rsid w:val="007A1B0D"/>
    <w:rsid w:val="007A4E13"/>
    <w:rsid w:val="007A58AC"/>
    <w:rsid w:val="007A5B54"/>
    <w:rsid w:val="007A5BEC"/>
    <w:rsid w:val="007A5EE0"/>
    <w:rsid w:val="007A67A7"/>
    <w:rsid w:val="007A6C4A"/>
    <w:rsid w:val="007A6FA2"/>
    <w:rsid w:val="007A71AD"/>
    <w:rsid w:val="007B07B1"/>
    <w:rsid w:val="007B0B75"/>
    <w:rsid w:val="007B5466"/>
    <w:rsid w:val="007B555B"/>
    <w:rsid w:val="007B78D7"/>
    <w:rsid w:val="007B7D9D"/>
    <w:rsid w:val="007C01D9"/>
    <w:rsid w:val="007C0A42"/>
    <w:rsid w:val="007C187A"/>
    <w:rsid w:val="007C2931"/>
    <w:rsid w:val="007C343A"/>
    <w:rsid w:val="007D617B"/>
    <w:rsid w:val="007D6493"/>
    <w:rsid w:val="007E040C"/>
    <w:rsid w:val="007E0DEB"/>
    <w:rsid w:val="007E2E25"/>
    <w:rsid w:val="007E332D"/>
    <w:rsid w:val="007E7993"/>
    <w:rsid w:val="007F0A4A"/>
    <w:rsid w:val="007F15F7"/>
    <w:rsid w:val="007F20FE"/>
    <w:rsid w:val="007F23D9"/>
    <w:rsid w:val="007F5048"/>
    <w:rsid w:val="007F50D5"/>
    <w:rsid w:val="007F5228"/>
    <w:rsid w:val="007F63B0"/>
    <w:rsid w:val="007F7A2D"/>
    <w:rsid w:val="008016AC"/>
    <w:rsid w:val="0080590A"/>
    <w:rsid w:val="00812E73"/>
    <w:rsid w:val="0081322F"/>
    <w:rsid w:val="00816214"/>
    <w:rsid w:val="008241A6"/>
    <w:rsid w:val="00827522"/>
    <w:rsid w:val="0083183E"/>
    <w:rsid w:val="00837EF8"/>
    <w:rsid w:val="008414DB"/>
    <w:rsid w:val="0084360F"/>
    <w:rsid w:val="00845841"/>
    <w:rsid w:val="00845DD8"/>
    <w:rsid w:val="0084665D"/>
    <w:rsid w:val="00852965"/>
    <w:rsid w:val="0085645E"/>
    <w:rsid w:val="00856E72"/>
    <w:rsid w:val="00864614"/>
    <w:rsid w:val="00870520"/>
    <w:rsid w:val="0087127C"/>
    <w:rsid w:val="0087144D"/>
    <w:rsid w:val="0087281F"/>
    <w:rsid w:val="00873694"/>
    <w:rsid w:val="00873929"/>
    <w:rsid w:val="008740D5"/>
    <w:rsid w:val="00875A86"/>
    <w:rsid w:val="008764E6"/>
    <w:rsid w:val="00876687"/>
    <w:rsid w:val="0088060F"/>
    <w:rsid w:val="0088174E"/>
    <w:rsid w:val="0088655A"/>
    <w:rsid w:val="0088780E"/>
    <w:rsid w:val="00887CA5"/>
    <w:rsid w:val="008931FB"/>
    <w:rsid w:val="00893E9D"/>
    <w:rsid w:val="00895AC7"/>
    <w:rsid w:val="008A2220"/>
    <w:rsid w:val="008A5C7F"/>
    <w:rsid w:val="008A73B6"/>
    <w:rsid w:val="008A774B"/>
    <w:rsid w:val="008B011A"/>
    <w:rsid w:val="008B08B0"/>
    <w:rsid w:val="008B0E6A"/>
    <w:rsid w:val="008B2BF5"/>
    <w:rsid w:val="008B3149"/>
    <w:rsid w:val="008B3B4C"/>
    <w:rsid w:val="008B4776"/>
    <w:rsid w:val="008C4D6D"/>
    <w:rsid w:val="008C5F14"/>
    <w:rsid w:val="008D0B32"/>
    <w:rsid w:val="008D0BF9"/>
    <w:rsid w:val="008D2E57"/>
    <w:rsid w:val="008D34BF"/>
    <w:rsid w:val="008D4D29"/>
    <w:rsid w:val="008E016F"/>
    <w:rsid w:val="008E04C3"/>
    <w:rsid w:val="008E3788"/>
    <w:rsid w:val="008E6909"/>
    <w:rsid w:val="008F25F5"/>
    <w:rsid w:val="008F5A94"/>
    <w:rsid w:val="008F7DFB"/>
    <w:rsid w:val="00900B5D"/>
    <w:rsid w:val="00903E51"/>
    <w:rsid w:val="00906A41"/>
    <w:rsid w:val="00906CA6"/>
    <w:rsid w:val="00911DBE"/>
    <w:rsid w:val="00912247"/>
    <w:rsid w:val="00912660"/>
    <w:rsid w:val="00912755"/>
    <w:rsid w:val="009134A1"/>
    <w:rsid w:val="00913D35"/>
    <w:rsid w:val="00915B90"/>
    <w:rsid w:val="00921283"/>
    <w:rsid w:val="00921D09"/>
    <w:rsid w:val="00927B7B"/>
    <w:rsid w:val="00936671"/>
    <w:rsid w:val="00941258"/>
    <w:rsid w:val="00943975"/>
    <w:rsid w:val="00945206"/>
    <w:rsid w:val="00945948"/>
    <w:rsid w:val="00946C25"/>
    <w:rsid w:val="00947913"/>
    <w:rsid w:val="00950BAE"/>
    <w:rsid w:val="00953DDE"/>
    <w:rsid w:val="00956F2D"/>
    <w:rsid w:val="00957EA2"/>
    <w:rsid w:val="00960375"/>
    <w:rsid w:val="00960FA1"/>
    <w:rsid w:val="009618BB"/>
    <w:rsid w:val="009639EB"/>
    <w:rsid w:val="00966168"/>
    <w:rsid w:val="00967F36"/>
    <w:rsid w:val="00972DE4"/>
    <w:rsid w:val="00973AE0"/>
    <w:rsid w:val="009743E9"/>
    <w:rsid w:val="00976069"/>
    <w:rsid w:val="0097620B"/>
    <w:rsid w:val="00981BA1"/>
    <w:rsid w:val="009829AA"/>
    <w:rsid w:val="009843E5"/>
    <w:rsid w:val="009848AE"/>
    <w:rsid w:val="0098704C"/>
    <w:rsid w:val="00991E68"/>
    <w:rsid w:val="0099538F"/>
    <w:rsid w:val="009A35BF"/>
    <w:rsid w:val="009A3D21"/>
    <w:rsid w:val="009A6D07"/>
    <w:rsid w:val="009A716A"/>
    <w:rsid w:val="009B15AE"/>
    <w:rsid w:val="009B18F6"/>
    <w:rsid w:val="009B204B"/>
    <w:rsid w:val="009B3DAB"/>
    <w:rsid w:val="009B57BA"/>
    <w:rsid w:val="009B73B2"/>
    <w:rsid w:val="009C5D0C"/>
    <w:rsid w:val="009C6196"/>
    <w:rsid w:val="009D3CEA"/>
    <w:rsid w:val="009D4081"/>
    <w:rsid w:val="009D4A20"/>
    <w:rsid w:val="009E0943"/>
    <w:rsid w:val="009E0E12"/>
    <w:rsid w:val="009E35D2"/>
    <w:rsid w:val="009E61CC"/>
    <w:rsid w:val="009F1781"/>
    <w:rsid w:val="009F29DD"/>
    <w:rsid w:val="009F2CA0"/>
    <w:rsid w:val="009F491B"/>
    <w:rsid w:val="00A022CA"/>
    <w:rsid w:val="00A05286"/>
    <w:rsid w:val="00A106BF"/>
    <w:rsid w:val="00A11ECA"/>
    <w:rsid w:val="00A15C40"/>
    <w:rsid w:val="00A20EB7"/>
    <w:rsid w:val="00A21A5E"/>
    <w:rsid w:val="00A252D6"/>
    <w:rsid w:val="00A258AD"/>
    <w:rsid w:val="00A315FE"/>
    <w:rsid w:val="00A36662"/>
    <w:rsid w:val="00A401AF"/>
    <w:rsid w:val="00A402CC"/>
    <w:rsid w:val="00A41032"/>
    <w:rsid w:val="00A419F5"/>
    <w:rsid w:val="00A44766"/>
    <w:rsid w:val="00A44B1E"/>
    <w:rsid w:val="00A45EB5"/>
    <w:rsid w:val="00A53B8B"/>
    <w:rsid w:val="00A54941"/>
    <w:rsid w:val="00A56727"/>
    <w:rsid w:val="00A61ABD"/>
    <w:rsid w:val="00A623D0"/>
    <w:rsid w:val="00A626A0"/>
    <w:rsid w:val="00A63A68"/>
    <w:rsid w:val="00A64C5E"/>
    <w:rsid w:val="00A6514E"/>
    <w:rsid w:val="00A66A84"/>
    <w:rsid w:val="00A7064E"/>
    <w:rsid w:val="00A71133"/>
    <w:rsid w:val="00A73E0C"/>
    <w:rsid w:val="00A750F8"/>
    <w:rsid w:val="00A7778A"/>
    <w:rsid w:val="00A77882"/>
    <w:rsid w:val="00A8064B"/>
    <w:rsid w:val="00A80BF1"/>
    <w:rsid w:val="00A81419"/>
    <w:rsid w:val="00A81C8E"/>
    <w:rsid w:val="00A8255E"/>
    <w:rsid w:val="00A830FE"/>
    <w:rsid w:val="00A85579"/>
    <w:rsid w:val="00A86093"/>
    <w:rsid w:val="00A861FC"/>
    <w:rsid w:val="00A86258"/>
    <w:rsid w:val="00A86AC8"/>
    <w:rsid w:val="00A90000"/>
    <w:rsid w:val="00A91E32"/>
    <w:rsid w:val="00A92BCF"/>
    <w:rsid w:val="00A934F7"/>
    <w:rsid w:val="00A935B0"/>
    <w:rsid w:val="00A951BC"/>
    <w:rsid w:val="00AA5A0F"/>
    <w:rsid w:val="00AB0AB7"/>
    <w:rsid w:val="00AB1DE3"/>
    <w:rsid w:val="00AB49D3"/>
    <w:rsid w:val="00AB526C"/>
    <w:rsid w:val="00AB7C9A"/>
    <w:rsid w:val="00AC2F76"/>
    <w:rsid w:val="00AC50A0"/>
    <w:rsid w:val="00AC6E1C"/>
    <w:rsid w:val="00AC72DA"/>
    <w:rsid w:val="00AD20D5"/>
    <w:rsid w:val="00AD33B8"/>
    <w:rsid w:val="00AD4FE7"/>
    <w:rsid w:val="00AE4EE4"/>
    <w:rsid w:val="00AF0950"/>
    <w:rsid w:val="00AF14F6"/>
    <w:rsid w:val="00AF26A5"/>
    <w:rsid w:val="00B02AFE"/>
    <w:rsid w:val="00B07996"/>
    <w:rsid w:val="00B13613"/>
    <w:rsid w:val="00B15821"/>
    <w:rsid w:val="00B1785C"/>
    <w:rsid w:val="00B20909"/>
    <w:rsid w:val="00B25F0E"/>
    <w:rsid w:val="00B2760B"/>
    <w:rsid w:val="00B278F5"/>
    <w:rsid w:val="00B31BE3"/>
    <w:rsid w:val="00B334C6"/>
    <w:rsid w:val="00B35DF6"/>
    <w:rsid w:val="00B404DF"/>
    <w:rsid w:val="00B4069C"/>
    <w:rsid w:val="00B40890"/>
    <w:rsid w:val="00B415E8"/>
    <w:rsid w:val="00B41978"/>
    <w:rsid w:val="00B4209D"/>
    <w:rsid w:val="00B42D24"/>
    <w:rsid w:val="00B4428B"/>
    <w:rsid w:val="00B507EA"/>
    <w:rsid w:val="00B50E40"/>
    <w:rsid w:val="00B53819"/>
    <w:rsid w:val="00B545B6"/>
    <w:rsid w:val="00B54EBC"/>
    <w:rsid w:val="00B555BC"/>
    <w:rsid w:val="00B5621C"/>
    <w:rsid w:val="00B564D7"/>
    <w:rsid w:val="00B56794"/>
    <w:rsid w:val="00B57B77"/>
    <w:rsid w:val="00B62E39"/>
    <w:rsid w:val="00B6450E"/>
    <w:rsid w:val="00B65E6A"/>
    <w:rsid w:val="00B67892"/>
    <w:rsid w:val="00B70332"/>
    <w:rsid w:val="00B71844"/>
    <w:rsid w:val="00B72604"/>
    <w:rsid w:val="00B729C3"/>
    <w:rsid w:val="00B732A4"/>
    <w:rsid w:val="00B77FD6"/>
    <w:rsid w:val="00B80B42"/>
    <w:rsid w:val="00B83E3F"/>
    <w:rsid w:val="00B9139D"/>
    <w:rsid w:val="00B9163A"/>
    <w:rsid w:val="00B95605"/>
    <w:rsid w:val="00B96F9D"/>
    <w:rsid w:val="00BA3E42"/>
    <w:rsid w:val="00BA4065"/>
    <w:rsid w:val="00BA5AA6"/>
    <w:rsid w:val="00BA625F"/>
    <w:rsid w:val="00BB01F9"/>
    <w:rsid w:val="00BB1CFB"/>
    <w:rsid w:val="00BB267A"/>
    <w:rsid w:val="00BB2D8B"/>
    <w:rsid w:val="00BB34DA"/>
    <w:rsid w:val="00BB44D5"/>
    <w:rsid w:val="00BC21A9"/>
    <w:rsid w:val="00BC21F6"/>
    <w:rsid w:val="00BC24B7"/>
    <w:rsid w:val="00BC2761"/>
    <w:rsid w:val="00BD0631"/>
    <w:rsid w:val="00BD0E09"/>
    <w:rsid w:val="00BD182D"/>
    <w:rsid w:val="00BD3DF2"/>
    <w:rsid w:val="00BD4309"/>
    <w:rsid w:val="00BD5A4A"/>
    <w:rsid w:val="00BD77B8"/>
    <w:rsid w:val="00BD7F5A"/>
    <w:rsid w:val="00BE00E9"/>
    <w:rsid w:val="00BE3645"/>
    <w:rsid w:val="00BE3EDD"/>
    <w:rsid w:val="00BE42FE"/>
    <w:rsid w:val="00BE5138"/>
    <w:rsid w:val="00BE5921"/>
    <w:rsid w:val="00BF17C6"/>
    <w:rsid w:val="00BF3A55"/>
    <w:rsid w:val="00BF3E53"/>
    <w:rsid w:val="00C007EE"/>
    <w:rsid w:val="00C01E37"/>
    <w:rsid w:val="00C02778"/>
    <w:rsid w:val="00C02B7C"/>
    <w:rsid w:val="00C02BEF"/>
    <w:rsid w:val="00C03799"/>
    <w:rsid w:val="00C0402F"/>
    <w:rsid w:val="00C047FC"/>
    <w:rsid w:val="00C070AB"/>
    <w:rsid w:val="00C102D0"/>
    <w:rsid w:val="00C1095C"/>
    <w:rsid w:val="00C15339"/>
    <w:rsid w:val="00C16463"/>
    <w:rsid w:val="00C22170"/>
    <w:rsid w:val="00C22BE9"/>
    <w:rsid w:val="00C25127"/>
    <w:rsid w:val="00C2553D"/>
    <w:rsid w:val="00C25D7B"/>
    <w:rsid w:val="00C302ED"/>
    <w:rsid w:val="00C37F4D"/>
    <w:rsid w:val="00C43496"/>
    <w:rsid w:val="00C4569D"/>
    <w:rsid w:val="00C47424"/>
    <w:rsid w:val="00C50821"/>
    <w:rsid w:val="00C6055A"/>
    <w:rsid w:val="00C62EB6"/>
    <w:rsid w:val="00C6381A"/>
    <w:rsid w:val="00C64358"/>
    <w:rsid w:val="00C64C8F"/>
    <w:rsid w:val="00C656E7"/>
    <w:rsid w:val="00C660E9"/>
    <w:rsid w:val="00C66734"/>
    <w:rsid w:val="00C717C0"/>
    <w:rsid w:val="00C72536"/>
    <w:rsid w:val="00C73D58"/>
    <w:rsid w:val="00C76682"/>
    <w:rsid w:val="00C84D4C"/>
    <w:rsid w:val="00C901B0"/>
    <w:rsid w:val="00C92B2F"/>
    <w:rsid w:val="00C93F25"/>
    <w:rsid w:val="00C94B0C"/>
    <w:rsid w:val="00C9714B"/>
    <w:rsid w:val="00CA2338"/>
    <w:rsid w:val="00CA2A00"/>
    <w:rsid w:val="00CA648F"/>
    <w:rsid w:val="00CA6772"/>
    <w:rsid w:val="00CB220C"/>
    <w:rsid w:val="00CB7E70"/>
    <w:rsid w:val="00CC02B9"/>
    <w:rsid w:val="00CC0D5C"/>
    <w:rsid w:val="00CC15A5"/>
    <w:rsid w:val="00CC4C2B"/>
    <w:rsid w:val="00CC60EA"/>
    <w:rsid w:val="00CD35F3"/>
    <w:rsid w:val="00CE241C"/>
    <w:rsid w:val="00CE2F19"/>
    <w:rsid w:val="00CE4919"/>
    <w:rsid w:val="00CE549E"/>
    <w:rsid w:val="00CE652C"/>
    <w:rsid w:val="00CE7D86"/>
    <w:rsid w:val="00CF2A70"/>
    <w:rsid w:val="00CF2C4D"/>
    <w:rsid w:val="00CF40F9"/>
    <w:rsid w:val="00CF64C5"/>
    <w:rsid w:val="00D02CD5"/>
    <w:rsid w:val="00D04F0B"/>
    <w:rsid w:val="00D04FB5"/>
    <w:rsid w:val="00D061D6"/>
    <w:rsid w:val="00D07406"/>
    <w:rsid w:val="00D07AAD"/>
    <w:rsid w:val="00D1140C"/>
    <w:rsid w:val="00D12CAD"/>
    <w:rsid w:val="00D1349D"/>
    <w:rsid w:val="00D137FB"/>
    <w:rsid w:val="00D166B3"/>
    <w:rsid w:val="00D17CE7"/>
    <w:rsid w:val="00D203B9"/>
    <w:rsid w:val="00D20B4E"/>
    <w:rsid w:val="00D2207A"/>
    <w:rsid w:val="00D22903"/>
    <w:rsid w:val="00D23347"/>
    <w:rsid w:val="00D27FA0"/>
    <w:rsid w:val="00D30C9B"/>
    <w:rsid w:val="00D3318E"/>
    <w:rsid w:val="00D35C1C"/>
    <w:rsid w:val="00D35CD8"/>
    <w:rsid w:val="00D4022E"/>
    <w:rsid w:val="00D40367"/>
    <w:rsid w:val="00D40E93"/>
    <w:rsid w:val="00D47E27"/>
    <w:rsid w:val="00D553BD"/>
    <w:rsid w:val="00D648A4"/>
    <w:rsid w:val="00D67711"/>
    <w:rsid w:val="00D74369"/>
    <w:rsid w:val="00D75966"/>
    <w:rsid w:val="00D75A07"/>
    <w:rsid w:val="00D83542"/>
    <w:rsid w:val="00D865EC"/>
    <w:rsid w:val="00D91692"/>
    <w:rsid w:val="00D9316A"/>
    <w:rsid w:val="00D9354A"/>
    <w:rsid w:val="00D93653"/>
    <w:rsid w:val="00D94366"/>
    <w:rsid w:val="00D96443"/>
    <w:rsid w:val="00DA14F1"/>
    <w:rsid w:val="00DA3386"/>
    <w:rsid w:val="00DA3484"/>
    <w:rsid w:val="00DA5E5E"/>
    <w:rsid w:val="00DA60A2"/>
    <w:rsid w:val="00DB53ED"/>
    <w:rsid w:val="00DB5C41"/>
    <w:rsid w:val="00DC1A7F"/>
    <w:rsid w:val="00DC4A7A"/>
    <w:rsid w:val="00DC6B5C"/>
    <w:rsid w:val="00DC71C7"/>
    <w:rsid w:val="00DC7CBA"/>
    <w:rsid w:val="00DD2F7D"/>
    <w:rsid w:val="00DD349D"/>
    <w:rsid w:val="00DD371B"/>
    <w:rsid w:val="00DD4AD8"/>
    <w:rsid w:val="00DD7DE6"/>
    <w:rsid w:val="00DE001B"/>
    <w:rsid w:val="00DE0947"/>
    <w:rsid w:val="00DE151B"/>
    <w:rsid w:val="00DE7AD3"/>
    <w:rsid w:val="00DF0166"/>
    <w:rsid w:val="00DF0E2C"/>
    <w:rsid w:val="00DF4838"/>
    <w:rsid w:val="00E0789F"/>
    <w:rsid w:val="00E10442"/>
    <w:rsid w:val="00E1457D"/>
    <w:rsid w:val="00E17C3A"/>
    <w:rsid w:val="00E20BAD"/>
    <w:rsid w:val="00E232C0"/>
    <w:rsid w:val="00E238FE"/>
    <w:rsid w:val="00E25463"/>
    <w:rsid w:val="00E258FD"/>
    <w:rsid w:val="00E27E98"/>
    <w:rsid w:val="00E306CB"/>
    <w:rsid w:val="00E32812"/>
    <w:rsid w:val="00E33FFA"/>
    <w:rsid w:val="00E411EA"/>
    <w:rsid w:val="00E41410"/>
    <w:rsid w:val="00E424FB"/>
    <w:rsid w:val="00E42C93"/>
    <w:rsid w:val="00E4370A"/>
    <w:rsid w:val="00E44E73"/>
    <w:rsid w:val="00E45528"/>
    <w:rsid w:val="00E4578C"/>
    <w:rsid w:val="00E4596A"/>
    <w:rsid w:val="00E47755"/>
    <w:rsid w:val="00E50A2D"/>
    <w:rsid w:val="00E5114A"/>
    <w:rsid w:val="00E52275"/>
    <w:rsid w:val="00E53E51"/>
    <w:rsid w:val="00E55833"/>
    <w:rsid w:val="00E5610F"/>
    <w:rsid w:val="00E60962"/>
    <w:rsid w:val="00E63E51"/>
    <w:rsid w:val="00E671EE"/>
    <w:rsid w:val="00E70168"/>
    <w:rsid w:val="00E768D5"/>
    <w:rsid w:val="00E82561"/>
    <w:rsid w:val="00E82E8B"/>
    <w:rsid w:val="00E8484A"/>
    <w:rsid w:val="00E850C8"/>
    <w:rsid w:val="00E90D61"/>
    <w:rsid w:val="00E97315"/>
    <w:rsid w:val="00EA0EE7"/>
    <w:rsid w:val="00EA206E"/>
    <w:rsid w:val="00EA3480"/>
    <w:rsid w:val="00EA47ED"/>
    <w:rsid w:val="00EA5031"/>
    <w:rsid w:val="00EA57E4"/>
    <w:rsid w:val="00EA584B"/>
    <w:rsid w:val="00EA6925"/>
    <w:rsid w:val="00EB05CF"/>
    <w:rsid w:val="00EB25CE"/>
    <w:rsid w:val="00EB4EC5"/>
    <w:rsid w:val="00EB5931"/>
    <w:rsid w:val="00EC01F1"/>
    <w:rsid w:val="00EC1465"/>
    <w:rsid w:val="00EC3573"/>
    <w:rsid w:val="00EC3EFD"/>
    <w:rsid w:val="00ED247E"/>
    <w:rsid w:val="00ED2544"/>
    <w:rsid w:val="00ED4455"/>
    <w:rsid w:val="00ED5C52"/>
    <w:rsid w:val="00ED6A35"/>
    <w:rsid w:val="00ED76A3"/>
    <w:rsid w:val="00EE5EAF"/>
    <w:rsid w:val="00EE7557"/>
    <w:rsid w:val="00EE7740"/>
    <w:rsid w:val="00EF2614"/>
    <w:rsid w:val="00EF4302"/>
    <w:rsid w:val="00F00677"/>
    <w:rsid w:val="00F0127B"/>
    <w:rsid w:val="00F01B1C"/>
    <w:rsid w:val="00F04238"/>
    <w:rsid w:val="00F04F8B"/>
    <w:rsid w:val="00F06166"/>
    <w:rsid w:val="00F06BF7"/>
    <w:rsid w:val="00F0738F"/>
    <w:rsid w:val="00F12DF4"/>
    <w:rsid w:val="00F12E47"/>
    <w:rsid w:val="00F13DFE"/>
    <w:rsid w:val="00F14112"/>
    <w:rsid w:val="00F162D7"/>
    <w:rsid w:val="00F166E3"/>
    <w:rsid w:val="00F16DE6"/>
    <w:rsid w:val="00F17828"/>
    <w:rsid w:val="00F17AFA"/>
    <w:rsid w:val="00F2079E"/>
    <w:rsid w:val="00F24A23"/>
    <w:rsid w:val="00F25C05"/>
    <w:rsid w:val="00F268E8"/>
    <w:rsid w:val="00F27F4B"/>
    <w:rsid w:val="00F33EDE"/>
    <w:rsid w:val="00F42AAB"/>
    <w:rsid w:val="00F451D8"/>
    <w:rsid w:val="00F516B7"/>
    <w:rsid w:val="00F55EE4"/>
    <w:rsid w:val="00F57F13"/>
    <w:rsid w:val="00F67EC7"/>
    <w:rsid w:val="00F67EFD"/>
    <w:rsid w:val="00F71596"/>
    <w:rsid w:val="00F73980"/>
    <w:rsid w:val="00F77BE7"/>
    <w:rsid w:val="00F8148F"/>
    <w:rsid w:val="00F84BB6"/>
    <w:rsid w:val="00F85EF5"/>
    <w:rsid w:val="00F86307"/>
    <w:rsid w:val="00F90229"/>
    <w:rsid w:val="00F90D21"/>
    <w:rsid w:val="00FA3FC2"/>
    <w:rsid w:val="00FA6B12"/>
    <w:rsid w:val="00FB05B4"/>
    <w:rsid w:val="00FB0D78"/>
    <w:rsid w:val="00FB44FD"/>
    <w:rsid w:val="00FB530D"/>
    <w:rsid w:val="00FB5A6A"/>
    <w:rsid w:val="00FB750D"/>
    <w:rsid w:val="00FB7B4D"/>
    <w:rsid w:val="00FC2810"/>
    <w:rsid w:val="00FC364C"/>
    <w:rsid w:val="00FC36D5"/>
    <w:rsid w:val="00FD06A4"/>
    <w:rsid w:val="00FD4084"/>
    <w:rsid w:val="00FD5644"/>
    <w:rsid w:val="00FD624C"/>
    <w:rsid w:val="00FE0BAB"/>
    <w:rsid w:val="00FE1735"/>
    <w:rsid w:val="00FE3831"/>
    <w:rsid w:val="00FE79EC"/>
    <w:rsid w:val="00FF0410"/>
    <w:rsid w:val="00FF2E07"/>
    <w:rsid w:val="00FF4D96"/>
    <w:rsid w:val="0116655D"/>
    <w:rsid w:val="014D4677"/>
    <w:rsid w:val="01571D4D"/>
    <w:rsid w:val="018207C5"/>
    <w:rsid w:val="01944054"/>
    <w:rsid w:val="019D1426"/>
    <w:rsid w:val="01B6221C"/>
    <w:rsid w:val="01DA3DC2"/>
    <w:rsid w:val="01E6394A"/>
    <w:rsid w:val="01EE19B6"/>
    <w:rsid w:val="025B4CFF"/>
    <w:rsid w:val="026954E1"/>
    <w:rsid w:val="030138A7"/>
    <w:rsid w:val="032A4C70"/>
    <w:rsid w:val="035246AA"/>
    <w:rsid w:val="03E868D9"/>
    <w:rsid w:val="043A7135"/>
    <w:rsid w:val="043B2EAD"/>
    <w:rsid w:val="04D34EC1"/>
    <w:rsid w:val="04F72EC0"/>
    <w:rsid w:val="05085CE8"/>
    <w:rsid w:val="051C683A"/>
    <w:rsid w:val="05631463"/>
    <w:rsid w:val="05975077"/>
    <w:rsid w:val="05AA2A12"/>
    <w:rsid w:val="061B2F96"/>
    <w:rsid w:val="06626E08"/>
    <w:rsid w:val="06730EA9"/>
    <w:rsid w:val="06930D7E"/>
    <w:rsid w:val="06D80E87"/>
    <w:rsid w:val="07131EBF"/>
    <w:rsid w:val="07944DAE"/>
    <w:rsid w:val="07A11279"/>
    <w:rsid w:val="082E0A9E"/>
    <w:rsid w:val="084469C4"/>
    <w:rsid w:val="08753EEB"/>
    <w:rsid w:val="08E9361F"/>
    <w:rsid w:val="0906705B"/>
    <w:rsid w:val="09304FAA"/>
    <w:rsid w:val="09322582"/>
    <w:rsid w:val="0949462F"/>
    <w:rsid w:val="09880942"/>
    <w:rsid w:val="098B0432"/>
    <w:rsid w:val="09943844"/>
    <w:rsid w:val="09B50F88"/>
    <w:rsid w:val="09C91CD1"/>
    <w:rsid w:val="09CB6A81"/>
    <w:rsid w:val="09D85635"/>
    <w:rsid w:val="09DD6F83"/>
    <w:rsid w:val="0A146016"/>
    <w:rsid w:val="0A2D6C5D"/>
    <w:rsid w:val="0A46791B"/>
    <w:rsid w:val="0A786C09"/>
    <w:rsid w:val="0ABA0FCF"/>
    <w:rsid w:val="0ACA0AE6"/>
    <w:rsid w:val="0B4F4373"/>
    <w:rsid w:val="0B7205B8"/>
    <w:rsid w:val="0BF54C43"/>
    <w:rsid w:val="0BFF66C0"/>
    <w:rsid w:val="0C6D2071"/>
    <w:rsid w:val="0C7D22B4"/>
    <w:rsid w:val="0C811679"/>
    <w:rsid w:val="0C9213B8"/>
    <w:rsid w:val="0C9E222B"/>
    <w:rsid w:val="0CC55A09"/>
    <w:rsid w:val="0D0C3638"/>
    <w:rsid w:val="0D186481"/>
    <w:rsid w:val="0D2E7E88"/>
    <w:rsid w:val="0D6E50C8"/>
    <w:rsid w:val="0DAD0977"/>
    <w:rsid w:val="0DF93BBD"/>
    <w:rsid w:val="0E1C3D4F"/>
    <w:rsid w:val="0E5C60A2"/>
    <w:rsid w:val="0EBA4906"/>
    <w:rsid w:val="0EBD108E"/>
    <w:rsid w:val="0F346E76"/>
    <w:rsid w:val="0F4006A8"/>
    <w:rsid w:val="0F9D0BCE"/>
    <w:rsid w:val="0FDE05A1"/>
    <w:rsid w:val="0FE0209E"/>
    <w:rsid w:val="10044A9B"/>
    <w:rsid w:val="103119B1"/>
    <w:rsid w:val="10394744"/>
    <w:rsid w:val="103C5252"/>
    <w:rsid w:val="10453E8B"/>
    <w:rsid w:val="104B4477"/>
    <w:rsid w:val="105B7B98"/>
    <w:rsid w:val="107D6A1A"/>
    <w:rsid w:val="10810622"/>
    <w:rsid w:val="109220A6"/>
    <w:rsid w:val="10C36704"/>
    <w:rsid w:val="10CA7A92"/>
    <w:rsid w:val="11BD3153"/>
    <w:rsid w:val="11DD55A3"/>
    <w:rsid w:val="11DF756D"/>
    <w:rsid w:val="125D34BF"/>
    <w:rsid w:val="12A3059B"/>
    <w:rsid w:val="12B03E97"/>
    <w:rsid w:val="12D06EB6"/>
    <w:rsid w:val="12D35ECB"/>
    <w:rsid w:val="13482EF0"/>
    <w:rsid w:val="13C22CA3"/>
    <w:rsid w:val="13DA2702"/>
    <w:rsid w:val="14111A90"/>
    <w:rsid w:val="14166BB9"/>
    <w:rsid w:val="142E779B"/>
    <w:rsid w:val="147D6E18"/>
    <w:rsid w:val="148443FC"/>
    <w:rsid w:val="148949B9"/>
    <w:rsid w:val="14DF7381"/>
    <w:rsid w:val="15115C90"/>
    <w:rsid w:val="15233607"/>
    <w:rsid w:val="15534A60"/>
    <w:rsid w:val="15806971"/>
    <w:rsid w:val="158A77F0"/>
    <w:rsid w:val="15AF54A9"/>
    <w:rsid w:val="15B30AF5"/>
    <w:rsid w:val="15BD7BC5"/>
    <w:rsid w:val="15EB255B"/>
    <w:rsid w:val="160B0931"/>
    <w:rsid w:val="165F428D"/>
    <w:rsid w:val="16D37DA5"/>
    <w:rsid w:val="17126FDE"/>
    <w:rsid w:val="171A37D0"/>
    <w:rsid w:val="172A128B"/>
    <w:rsid w:val="17662E62"/>
    <w:rsid w:val="176D73C9"/>
    <w:rsid w:val="17832749"/>
    <w:rsid w:val="17AB42F9"/>
    <w:rsid w:val="17D84957"/>
    <w:rsid w:val="17D941E1"/>
    <w:rsid w:val="17EF33B1"/>
    <w:rsid w:val="181141F9"/>
    <w:rsid w:val="1890163D"/>
    <w:rsid w:val="18A43C7A"/>
    <w:rsid w:val="18B020FF"/>
    <w:rsid w:val="194D74B2"/>
    <w:rsid w:val="19764A41"/>
    <w:rsid w:val="19830749"/>
    <w:rsid w:val="19A1335A"/>
    <w:rsid w:val="19B7185E"/>
    <w:rsid w:val="19E5692A"/>
    <w:rsid w:val="1A07140F"/>
    <w:rsid w:val="1A7840BB"/>
    <w:rsid w:val="1AB754F6"/>
    <w:rsid w:val="1AFF658A"/>
    <w:rsid w:val="1B0C3C7D"/>
    <w:rsid w:val="1B461F36"/>
    <w:rsid w:val="1BAF7FB0"/>
    <w:rsid w:val="1BD47A17"/>
    <w:rsid w:val="1BE34F36"/>
    <w:rsid w:val="1C0A168B"/>
    <w:rsid w:val="1C872CDB"/>
    <w:rsid w:val="1CA6768D"/>
    <w:rsid w:val="1D305121"/>
    <w:rsid w:val="1D743260"/>
    <w:rsid w:val="1D943B13"/>
    <w:rsid w:val="1DC72C45"/>
    <w:rsid w:val="1E1862E1"/>
    <w:rsid w:val="1E206AD9"/>
    <w:rsid w:val="1F5A67A2"/>
    <w:rsid w:val="20540EEF"/>
    <w:rsid w:val="206D3F96"/>
    <w:rsid w:val="20C938C2"/>
    <w:rsid w:val="21093CBF"/>
    <w:rsid w:val="21CB71C6"/>
    <w:rsid w:val="224376A4"/>
    <w:rsid w:val="225673D8"/>
    <w:rsid w:val="22724AAB"/>
    <w:rsid w:val="22822B1F"/>
    <w:rsid w:val="22BD3097"/>
    <w:rsid w:val="22DB168B"/>
    <w:rsid w:val="22DF6DB2"/>
    <w:rsid w:val="23717B3A"/>
    <w:rsid w:val="23754AA7"/>
    <w:rsid w:val="23C87DB4"/>
    <w:rsid w:val="245711E5"/>
    <w:rsid w:val="24575689"/>
    <w:rsid w:val="2495369C"/>
    <w:rsid w:val="24AC299A"/>
    <w:rsid w:val="250A44A9"/>
    <w:rsid w:val="25194B68"/>
    <w:rsid w:val="25327D57"/>
    <w:rsid w:val="253E01F6"/>
    <w:rsid w:val="25B52F73"/>
    <w:rsid w:val="25BD32CA"/>
    <w:rsid w:val="25C83BDB"/>
    <w:rsid w:val="268D3239"/>
    <w:rsid w:val="26E83E2F"/>
    <w:rsid w:val="27077C17"/>
    <w:rsid w:val="27194F7C"/>
    <w:rsid w:val="274E4B21"/>
    <w:rsid w:val="27A9340E"/>
    <w:rsid w:val="27E15995"/>
    <w:rsid w:val="28302479"/>
    <w:rsid w:val="284B2485"/>
    <w:rsid w:val="2879797C"/>
    <w:rsid w:val="28836A4D"/>
    <w:rsid w:val="28AD5878"/>
    <w:rsid w:val="291E0523"/>
    <w:rsid w:val="29721F07"/>
    <w:rsid w:val="29FB2613"/>
    <w:rsid w:val="2A4614C7"/>
    <w:rsid w:val="2A5C57A7"/>
    <w:rsid w:val="2A752F2D"/>
    <w:rsid w:val="2A8B6906"/>
    <w:rsid w:val="2AA94BA3"/>
    <w:rsid w:val="2AAB5DE7"/>
    <w:rsid w:val="2AC86999"/>
    <w:rsid w:val="2AFACDEF"/>
    <w:rsid w:val="2B2A0B7E"/>
    <w:rsid w:val="2B391645"/>
    <w:rsid w:val="2B3B360F"/>
    <w:rsid w:val="2B4D0A2D"/>
    <w:rsid w:val="2BC96E6C"/>
    <w:rsid w:val="2C152690"/>
    <w:rsid w:val="2CCD0296"/>
    <w:rsid w:val="2D345679"/>
    <w:rsid w:val="2D5409B8"/>
    <w:rsid w:val="2DA62123"/>
    <w:rsid w:val="2DC01BA9"/>
    <w:rsid w:val="2E2717C6"/>
    <w:rsid w:val="2E3B3926"/>
    <w:rsid w:val="2E3D769E"/>
    <w:rsid w:val="2E3F6F72"/>
    <w:rsid w:val="2E783F54"/>
    <w:rsid w:val="2EA65243"/>
    <w:rsid w:val="2ECC42AE"/>
    <w:rsid w:val="2ED743AA"/>
    <w:rsid w:val="2EE36CB6"/>
    <w:rsid w:val="2F190994"/>
    <w:rsid w:val="2F2919D0"/>
    <w:rsid w:val="2FA1668B"/>
    <w:rsid w:val="2FF95846"/>
    <w:rsid w:val="3011493E"/>
    <w:rsid w:val="305956BF"/>
    <w:rsid w:val="30760C45"/>
    <w:rsid w:val="30CF216E"/>
    <w:rsid w:val="30D30CA1"/>
    <w:rsid w:val="30E37D67"/>
    <w:rsid w:val="30F2476F"/>
    <w:rsid w:val="311A3999"/>
    <w:rsid w:val="314350F7"/>
    <w:rsid w:val="31450BAF"/>
    <w:rsid w:val="32335040"/>
    <w:rsid w:val="32833D20"/>
    <w:rsid w:val="32AD1732"/>
    <w:rsid w:val="32BC7B09"/>
    <w:rsid w:val="32CE2FBA"/>
    <w:rsid w:val="33263D63"/>
    <w:rsid w:val="333262C3"/>
    <w:rsid w:val="33550F27"/>
    <w:rsid w:val="33582884"/>
    <w:rsid w:val="33590AD6"/>
    <w:rsid w:val="33AA6EA7"/>
    <w:rsid w:val="33C11647"/>
    <w:rsid w:val="33CA3782"/>
    <w:rsid w:val="340E3279"/>
    <w:rsid w:val="341D33E7"/>
    <w:rsid w:val="342C6F22"/>
    <w:rsid w:val="34567652"/>
    <w:rsid w:val="34913EC3"/>
    <w:rsid w:val="351739D3"/>
    <w:rsid w:val="3520766A"/>
    <w:rsid w:val="35B253CA"/>
    <w:rsid w:val="35B53E09"/>
    <w:rsid w:val="35F72828"/>
    <w:rsid w:val="361721AD"/>
    <w:rsid w:val="36561233"/>
    <w:rsid w:val="368C0B1F"/>
    <w:rsid w:val="36DC73AD"/>
    <w:rsid w:val="36F652AE"/>
    <w:rsid w:val="374675C3"/>
    <w:rsid w:val="375172DC"/>
    <w:rsid w:val="3762046C"/>
    <w:rsid w:val="377931D1"/>
    <w:rsid w:val="37AB38CA"/>
    <w:rsid w:val="37B82FC5"/>
    <w:rsid w:val="37C52BDE"/>
    <w:rsid w:val="38084878"/>
    <w:rsid w:val="380A1B7E"/>
    <w:rsid w:val="38A2353F"/>
    <w:rsid w:val="38A722E3"/>
    <w:rsid w:val="38BC487D"/>
    <w:rsid w:val="38CA5FD2"/>
    <w:rsid w:val="3904061D"/>
    <w:rsid w:val="39041D1E"/>
    <w:rsid w:val="392C1402"/>
    <w:rsid w:val="39561614"/>
    <w:rsid w:val="3A047D34"/>
    <w:rsid w:val="3AF70BD4"/>
    <w:rsid w:val="3B273268"/>
    <w:rsid w:val="3B312338"/>
    <w:rsid w:val="3B59226A"/>
    <w:rsid w:val="3B6444BC"/>
    <w:rsid w:val="3BD50F16"/>
    <w:rsid w:val="3C0958C6"/>
    <w:rsid w:val="3C5C6F51"/>
    <w:rsid w:val="3C7A284E"/>
    <w:rsid w:val="3CB52AF5"/>
    <w:rsid w:val="3CE84C78"/>
    <w:rsid w:val="3D2D6B2F"/>
    <w:rsid w:val="3D6C58AA"/>
    <w:rsid w:val="3D9C7908"/>
    <w:rsid w:val="3E06185A"/>
    <w:rsid w:val="3E196AA7"/>
    <w:rsid w:val="3E1B3ABB"/>
    <w:rsid w:val="3E81631A"/>
    <w:rsid w:val="3EAF1EF2"/>
    <w:rsid w:val="3EB72B54"/>
    <w:rsid w:val="3ECB4852"/>
    <w:rsid w:val="3F166EAD"/>
    <w:rsid w:val="40244B38"/>
    <w:rsid w:val="40844CB8"/>
    <w:rsid w:val="409F0332"/>
    <w:rsid w:val="40E15777"/>
    <w:rsid w:val="40EF2A79"/>
    <w:rsid w:val="412A58C9"/>
    <w:rsid w:val="41320BB8"/>
    <w:rsid w:val="41C42E55"/>
    <w:rsid w:val="41D80075"/>
    <w:rsid w:val="42014F3E"/>
    <w:rsid w:val="420267DC"/>
    <w:rsid w:val="42347E5F"/>
    <w:rsid w:val="42576939"/>
    <w:rsid w:val="427674A2"/>
    <w:rsid w:val="428174D9"/>
    <w:rsid w:val="42C74A2F"/>
    <w:rsid w:val="42D31499"/>
    <w:rsid w:val="42E73E0F"/>
    <w:rsid w:val="43280271"/>
    <w:rsid w:val="43B27D8E"/>
    <w:rsid w:val="43B31F49"/>
    <w:rsid w:val="43F31C8B"/>
    <w:rsid w:val="442F155D"/>
    <w:rsid w:val="444E7AB7"/>
    <w:rsid w:val="447A5F85"/>
    <w:rsid w:val="448259B3"/>
    <w:rsid w:val="44953938"/>
    <w:rsid w:val="44BA514C"/>
    <w:rsid w:val="45140D01"/>
    <w:rsid w:val="4517434D"/>
    <w:rsid w:val="45674B13"/>
    <w:rsid w:val="456C2AEB"/>
    <w:rsid w:val="46003033"/>
    <w:rsid w:val="46D00C57"/>
    <w:rsid w:val="47705F96"/>
    <w:rsid w:val="477C0DDF"/>
    <w:rsid w:val="478343E7"/>
    <w:rsid w:val="48141018"/>
    <w:rsid w:val="483E5A27"/>
    <w:rsid w:val="4843441C"/>
    <w:rsid w:val="48B71185"/>
    <w:rsid w:val="48E51C68"/>
    <w:rsid w:val="49290AF3"/>
    <w:rsid w:val="49A330DF"/>
    <w:rsid w:val="49B22896"/>
    <w:rsid w:val="49EC3FFA"/>
    <w:rsid w:val="49FA5FEB"/>
    <w:rsid w:val="4A183041"/>
    <w:rsid w:val="4A324FA5"/>
    <w:rsid w:val="4A3D4856"/>
    <w:rsid w:val="4ABC69C0"/>
    <w:rsid w:val="4AE66BEE"/>
    <w:rsid w:val="4B463710"/>
    <w:rsid w:val="4B667DDC"/>
    <w:rsid w:val="4BAD27E2"/>
    <w:rsid w:val="4BB86F47"/>
    <w:rsid w:val="4C7450FB"/>
    <w:rsid w:val="4C91428E"/>
    <w:rsid w:val="4CCA439B"/>
    <w:rsid w:val="4CE54D31"/>
    <w:rsid w:val="4D0567FD"/>
    <w:rsid w:val="4D0F1DAD"/>
    <w:rsid w:val="4D987FF5"/>
    <w:rsid w:val="4E281379"/>
    <w:rsid w:val="4F26273B"/>
    <w:rsid w:val="4F624383"/>
    <w:rsid w:val="4F7AD1E0"/>
    <w:rsid w:val="4FBA3A5A"/>
    <w:rsid w:val="4FCC3F86"/>
    <w:rsid w:val="4FEB6B02"/>
    <w:rsid w:val="505446A7"/>
    <w:rsid w:val="508C3566"/>
    <w:rsid w:val="509B4084"/>
    <w:rsid w:val="50A70901"/>
    <w:rsid w:val="51B77938"/>
    <w:rsid w:val="51F970FC"/>
    <w:rsid w:val="523D116B"/>
    <w:rsid w:val="52666914"/>
    <w:rsid w:val="526B4EE7"/>
    <w:rsid w:val="52796647"/>
    <w:rsid w:val="52A615E6"/>
    <w:rsid w:val="52AA4A52"/>
    <w:rsid w:val="52BA27BB"/>
    <w:rsid w:val="52DC0984"/>
    <w:rsid w:val="52EF249C"/>
    <w:rsid w:val="53837051"/>
    <w:rsid w:val="53980D4F"/>
    <w:rsid w:val="53FD5056"/>
    <w:rsid w:val="54403A31"/>
    <w:rsid w:val="54640C31"/>
    <w:rsid w:val="54901814"/>
    <w:rsid w:val="555111B5"/>
    <w:rsid w:val="5552317F"/>
    <w:rsid w:val="55673E4F"/>
    <w:rsid w:val="55B6370E"/>
    <w:rsid w:val="55FE41C5"/>
    <w:rsid w:val="55FF50B5"/>
    <w:rsid w:val="56734BD1"/>
    <w:rsid w:val="568E752C"/>
    <w:rsid w:val="570556BE"/>
    <w:rsid w:val="57106E4E"/>
    <w:rsid w:val="57322457"/>
    <w:rsid w:val="57323268"/>
    <w:rsid w:val="57335763"/>
    <w:rsid w:val="57B45F10"/>
    <w:rsid w:val="58272B0D"/>
    <w:rsid w:val="589553D7"/>
    <w:rsid w:val="58C359AD"/>
    <w:rsid w:val="58EF340B"/>
    <w:rsid w:val="59044790"/>
    <w:rsid w:val="593A6404"/>
    <w:rsid w:val="599F19E5"/>
    <w:rsid w:val="59AB414C"/>
    <w:rsid w:val="59BF5987"/>
    <w:rsid w:val="59E6611F"/>
    <w:rsid w:val="59EC3BA2"/>
    <w:rsid w:val="59FB5B93"/>
    <w:rsid w:val="5A032C9A"/>
    <w:rsid w:val="5A2570B4"/>
    <w:rsid w:val="5A2A46CB"/>
    <w:rsid w:val="5A385205"/>
    <w:rsid w:val="5A3B2434"/>
    <w:rsid w:val="5A4C73DE"/>
    <w:rsid w:val="5ACA3526"/>
    <w:rsid w:val="5B1909C7"/>
    <w:rsid w:val="5BBE156E"/>
    <w:rsid w:val="5BC01116"/>
    <w:rsid w:val="5C3655A9"/>
    <w:rsid w:val="5C4001D5"/>
    <w:rsid w:val="5C563555"/>
    <w:rsid w:val="5C602626"/>
    <w:rsid w:val="5C6439F8"/>
    <w:rsid w:val="5CE172C2"/>
    <w:rsid w:val="5CF61214"/>
    <w:rsid w:val="5CFD1C71"/>
    <w:rsid w:val="5D1C343F"/>
    <w:rsid w:val="5D55380D"/>
    <w:rsid w:val="5D641CA2"/>
    <w:rsid w:val="5D9702C9"/>
    <w:rsid w:val="5DA16A52"/>
    <w:rsid w:val="5DA81CE6"/>
    <w:rsid w:val="5E167440"/>
    <w:rsid w:val="5E392465"/>
    <w:rsid w:val="5E997941"/>
    <w:rsid w:val="5ED6671C"/>
    <w:rsid w:val="5EEC1F4F"/>
    <w:rsid w:val="5EF62DCD"/>
    <w:rsid w:val="5F6B47EE"/>
    <w:rsid w:val="5F786775"/>
    <w:rsid w:val="5F8E3006"/>
    <w:rsid w:val="5FBC5DC5"/>
    <w:rsid w:val="5FD924D3"/>
    <w:rsid w:val="5FDC1FC3"/>
    <w:rsid w:val="602816AC"/>
    <w:rsid w:val="60575AEE"/>
    <w:rsid w:val="60785C8E"/>
    <w:rsid w:val="6164717C"/>
    <w:rsid w:val="618D3C62"/>
    <w:rsid w:val="61BB68C6"/>
    <w:rsid w:val="61DA0784"/>
    <w:rsid w:val="62922E0D"/>
    <w:rsid w:val="63A1155A"/>
    <w:rsid w:val="63D63E24"/>
    <w:rsid w:val="63F30334"/>
    <w:rsid w:val="640A35A3"/>
    <w:rsid w:val="640F75B7"/>
    <w:rsid w:val="646802C9"/>
    <w:rsid w:val="648570CD"/>
    <w:rsid w:val="64A37504"/>
    <w:rsid w:val="64D71DB7"/>
    <w:rsid w:val="654264DE"/>
    <w:rsid w:val="654F3237"/>
    <w:rsid w:val="65AE4402"/>
    <w:rsid w:val="65B17AC9"/>
    <w:rsid w:val="65B469E6"/>
    <w:rsid w:val="65D8147F"/>
    <w:rsid w:val="661E50E3"/>
    <w:rsid w:val="663C4348"/>
    <w:rsid w:val="666A657B"/>
    <w:rsid w:val="6695375E"/>
    <w:rsid w:val="66AB7269"/>
    <w:rsid w:val="66B477F6"/>
    <w:rsid w:val="66F66060"/>
    <w:rsid w:val="672562FC"/>
    <w:rsid w:val="67423EE4"/>
    <w:rsid w:val="67667E72"/>
    <w:rsid w:val="68073DC7"/>
    <w:rsid w:val="68476448"/>
    <w:rsid w:val="687F5BE1"/>
    <w:rsid w:val="6885769C"/>
    <w:rsid w:val="68923C20"/>
    <w:rsid w:val="68DB3760"/>
    <w:rsid w:val="690A194F"/>
    <w:rsid w:val="697C3EC8"/>
    <w:rsid w:val="69807689"/>
    <w:rsid w:val="69A578CA"/>
    <w:rsid w:val="6A44702C"/>
    <w:rsid w:val="6A450DD1"/>
    <w:rsid w:val="6A5877AE"/>
    <w:rsid w:val="6A70612A"/>
    <w:rsid w:val="6AB53B3C"/>
    <w:rsid w:val="6AF71FD1"/>
    <w:rsid w:val="6B13771A"/>
    <w:rsid w:val="6B18254C"/>
    <w:rsid w:val="6B6535FA"/>
    <w:rsid w:val="6B7F7FD4"/>
    <w:rsid w:val="6B9919CE"/>
    <w:rsid w:val="6C5E57D7"/>
    <w:rsid w:val="6C7748D6"/>
    <w:rsid w:val="6CE6684F"/>
    <w:rsid w:val="6D1A4FF7"/>
    <w:rsid w:val="6D723F67"/>
    <w:rsid w:val="6DA32372"/>
    <w:rsid w:val="6DAE1C71"/>
    <w:rsid w:val="6E201C15"/>
    <w:rsid w:val="6E761D2C"/>
    <w:rsid w:val="6EF410D7"/>
    <w:rsid w:val="6F342624"/>
    <w:rsid w:val="6F854425"/>
    <w:rsid w:val="6F946416"/>
    <w:rsid w:val="6F9D0FDB"/>
    <w:rsid w:val="6FB25334"/>
    <w:rsid w:val="6FE335BD"/>
    <w:rsid w:val="700942E7"/>
    <w:rsid w:val="703A5210"/>
    <w:rsid w:val="705067E1"/>
    <w:rsid w:val="70AA0AD5"/>
    <w:rsid w:val="70D15F91"/>
    <w:rsid w:val="70DC1E23"/>
    <w:rsid w:val="714E0847"/>
    <w:rsid w:val="715C2EF8"/>
    <w:rsid w:val="717B788E"/>
    <w:rsid w:val="717C7EFD"/>
    <w:rsid w:val="71A14E1B"/>
    <w:rsid w:val="71AE563F"/>
    <w:rsid w:val="7256750B"/>
    <w:rsid w:val="725F0F5E"/>
    <w:rsid w:val="72B97FD0"/>
    <w:rsid w:val="72C15774"/>
    <w:rsid w:val="730D1BFA"/>
    <w:rsid w:val="732B0E40"/>
    <w:rsid w:val="733B1918"/>
    <w:rsid w:val="73641122"/>
    <w:rsid w:val="73B2330F"/>
    <w:rsid w:val="73DD2584"/>
    <w:rsid w:val="74194A6B"/>
    <w:rsid w:val="748C7164"/>
    <w:rsid w:val="749E05C6"/>
    <w:rsid w:val="74A9300E"/>
    <w:rsid w:val="74B60BDD"/>
    <w:rsid w:val="74D073B4"/>
    <w:rsid w:val="75060409"/>
    <w:rsid w:val="75157FF9"/>
    <w:rsid w:val="755C1784"/>
    <w:rsid w:val="75A56968"/>
    <w:rsid w:val="75EA6D90"/>
    <w:rsid w:val="768F123A"/>
    <w:rsid w:val="7696299F"/>
    <w:rsid w:val="770519A8"/>
    <w:rsid w:val="773317A2"/>
    <w:rsid w:val="777850C3"/>
    <w:rsid w:val="779F5F8D"/>
    <w:rsid w:val="77BA627F"/>
    <w:rsid w:val="77DF1FFC"/>
    <w:rsid w:val="780211ED"/>
    <w:rsid w:val="78056103"/>
    <w:rsid w:val="78306EF8"/>
    <w:rsid w:val="784C3D32"/>
    <w:rsid w:val="78537310"/>
    <w:rsid w:val="785726D7"/>
    <w:rsid w:val="78B74F24"/>
    <w:rsid w:val="78E93ADE"/>
    <w:rsid w:val="791F81AF"/>
    <w:rsid w:val="792C2C0F"/>
    <w:rsid w:val="792C4091"/>
    <w:rsid w:val="79500D88"/>
    <w:rsid w:val="796B643A"/>
    <w:rsid w:val="79782905"/>
    <w:rsid w:val="79B8785E"/>
    <w:rsid w:val="79CB31A4"/>
    <w:rsid w:val="79FF2F27"/>
    <w:rsid w:val="7A3337D4"/>
    <w:rsid w:val="7A580848"/>
    <w:rsid w:val="7A803DCE"/>
    <w:rsid w:val="7A8B0864"/>
    <w:rsid w:val="7A9814B1"/>
    <w:rsid w:val="7B86755B"/>
    <w:rsid w:val="7BA050EE"/>
    <w:rsid w:val="7BB06386"/>
    <w:rsid w:val="7BDF5887"/>
    <w:rsid w:val="7C1B48DE"/>
    <w:rsid w:val="7C2B1496"/>
    <w:rsid w:val="7C2D5C29"/>
    <w:rsid w:val="7C352E14"/>
    <w:rsid w:val="7C354ADD"/>
    <w:rsid w:val="7C4513AC"/>
    <w:rsid w:val="7C7E0232"/>
    <w:rsid w:val="7CB83E2E"/>
    <w:rsid w:val="7CDE6F23"/>
    <w:rsid w:val="7CE85FF3"/>
    <w:rsid w:val="7CEC7892"/>
    <w:rsid w:val="7D480B46"/>
    <w:rsid w:val="7E3F60E7"/>
    <w:rsid w:val="7E967390"/>
    <w:rsid w:val="7EFE7D84"/>
    <w:rsid w:val="7F1906E6"/>
    <w:rsid w:val="7F712D22"/>
    <w:rsid w:val="9F3FFDA3"/>
    <w:rsid w:val="A6BD1F0E"/>
    <w:rsid w:val="BF7F5581"/>
    <w:rsid w:val="EBEFE767"/>
    <w:rsid w:val="F6FDAD3B"/>
    <w:rsid w:val="F9EFFF08"/>
    <w:rsid w:val="FEECB284"/>
    <w:rsid w:val="FFB74419"/>
    <w:rsid w:val="FFEC753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ascii="宋体"/>
      <w:b/>
      <w:kern w:val="44"/>
      <w:sz w:val="48"/>
      <w:szCs w:val="48"/>
    </w:rPr>
  </w:style>
  <w:style w:type="paragraph" w:styleId="3">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autoRedefine/>
    <w:qFormat/>
    <w:uiPriority w:val="0"/>
    <w:pPr>
      <w:spacing w:line="400" w:lineRule="exact"/>
      <w:ind w:firstLine="643" w:firstLineChars="200"/>
      <w:jc w:val="center"/>
      <w:outlineLvl w:val="2"/>
    </w:pPr>
    <w:rPr>
      <w:b/>
      <w:bCs/>
      <w:sz w:val="32"/>
      <w:szCs w:val="32"/>
    </w:rPr>
  </w:style>
  <w:style w:type="paragraph" w:styleId="5">
    <w:name w:val="heading 5"/>
    <w:basedOn w:val="1"/>
    <w:next w:val="6"/>
    <w:autoRedefine/>
    <w:qFormat/>
    <w:uiPriority w:val="0"/>
    <w:pPr>
      <w:keepNext/>
      <w:keepLines/>
      <w:spacing w:before="280" w:after="290" w:line="377" w:lineRule="auto"/>
      <w:outlineLvl w:val="4"/>
    </w:pPr>
    <w:rPr>
      <w:b/>
      <w:bCs/>
      <w:sz w:val="28"/>
      <w:szCs w:val="28"/>
    </w:rPr>
  </w:style>
  <w:style w:type="character" w:default="1" w:styleId="29">
    <w:name w:val="Default Paragraph Font"/>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7">
    <w:name w:val="index 8"/>
    <w:basedOn w:val="1"/>
    <w:next w:val="1"/>
    <w:autoRedefine/>
    <w:qFormat/>
    <w:uiPriority w:val="0"/>
    <w:pPr>
      <w:ind w:left="2940"/>
    </w:pPr>
  </w:style>
  <w:style w:type="paragraph" w:styleId="8">
    <w:name w:val="toa heading"/>
    <w:basedOn w:val="1"/>
    <w:next w:val="1"/>
    <w:qFormat/>
    <w:uiPriority w:val="0"/>
    <w:pPr>
      <w:spacing w:before="120" w:line="360" w:lineRule="auto"/>
      <w:ind w:firstLine="480" w:firstLineChars="200"/>
    </w:pPr>
    <w:rPr>
      <w:rFonts w:ascii="Arial" w:hAnsi="Arial" w:eastAsia="宋体" w:cs="Times New Roman"/>
      <w:sz w:val="24"/>
      <w:szCs w:val="24"/>
    </w:rPr>
  </w:style>
  <w:style w:type="paragraph" w:styleId="9">
    <w:name w:val="annotation text"/>
    <w:basedOn w:val="1"/>
    <w:link w:val="62"/>
    <w:autoRedefine/>
    <w:qFormat/>
    <w:uiPriority w:val="0"/>
    <w:pPr>
      <w:jc w:val="left"/>
    </w:pPr>
  </w:style>
  <w:style w:type="paragraph" w:styleId="10">
    <w:name w:val="Body Text"/>
    <w:basedOn w:val="1"/>
    <w:autoRedefine/>
    <w:qFormat/>
    <w:uiPriority w:val="0"/>
    <w:pPr>
      <w:spacing w:after="120"/>
    </w:pPr>
  </w:style>
  <w:style w:type="paragraph" w:styleId="11">
    <w:name w:val="Body Text Indent"/>
    <w:basedOn w:val="1"/>
    <w:next w:val="12"/>
    <w:autoRedefine/>
    <w:qFormat/>
    <w:uiPriority w:val="0"/>
    <w:pPr>
      <w:spacing w:line="200" w:lineRule="exact"/>
      <w:ind w:firstLine="301"/>
    </w:pPr>
    <w:rPr>
      <w:rFonts w:ascii="宋体"/>
      <w:spacing w:val="-4"/>
      <w:sz w:val="18"/>
      <w:szCs w:val="20"/>
    </w:rPr>
  </w:style>
  <w:style w:type="paragraph" w:styleId="12">
    <w:name w:val="Body Text Indent 2"/>
    <w:basedOn w:val="1"/>
    <w:autoRedefine/>
    <w:qFormat/>
    <w:uiPriority w:val="0"/>
    <w:pPr>
      <w:spacing w:after="120" w:line="480" w:lineRule="auto"/>
      <w:ind w:left="200" w:leftChars="200"/>
    </w:pPr>
    <w:rPr>
      <w:kern w:val="0"/>
      <w:sz w:val="20"/>
    </w:rPr>
  </w:style>
  <w:style w:type="paragraph" w:styleId="13">
    <w:name w:val="toc 3"/>
    <w:basedOn w:val="1"/>
    <w:next w:val="1"/>
    <w:autoRedefine/>
    <w:qFormat/>
    <w:uiPriority w:val="0"/>
    <w:pPr>
      <w:jc w:val="left"/>
    </w:pPr>
    <w:rPr>
      <w:rFonts w:ascii="Calibri" w:hAnsi="Calibri"/>
      <w:smallCaps/>
      <w:sz w:val="22"/>
      <w:szCs w:val="22"/>
    </w:rPr>
  </w:style>
  <w:style w:type="paragraph" w:styleId="14">
    <w:name w:val="Plain Text"/>
    <w:basedOn w:val="1"/>
    <w:autoRedefine/>
    <w:qFormat/>
    <w:uiPriority w:val="0"/>
    <w:rPr>
      <w:rFonts w:ascii="宋体"/>
      <w:szCs w:val="20"/>
    </w:rPr>
  </w:style>
  <w:style w:type="paragraph" w:styleId="15">
    <w:name w:val="Date"/>
    <w:basedOn w:val="1"/>
    <w:next w:val="1"/>
    <w:autoRedefine/>
    <w:qFormat/>
    <w:uiPriority w:val="0"/>
    <w:pPr>
      <w:ind w:left="2500" w:leftChars="2500"/>
    </w:pPr>
    <w:rPr>
      <w:rFonts w:ascii="宋体"/>
      <w:kern w:val="0"/>
    </w:rPr>
  </w:style>
  <w:style w:type="paragraph" w:styleId="16">
    <w:name w:val="Balloon Text"/>
    <w:basedOn w:val="1"/>
    <w:link w:val="60"/>
    <w:autoRedefine/>
    <w:qFormat/>
    <w:uiPriority w:val="0"/>
    <w:rPr>
      <w:sz w:val="18"/>
      <w:szCs w:val="18"/>
    </w:rPr>
  </w:style>
  <w:style w:type="paragraph" w:styleId="17">
    <w:name w:val="footer"/>
    <w:basedOn w:val="1"/>
    <w:next w:val="1"/>
    <w:autoRedefine/>
    <w:qFormat/>
    <w:uiPriority w:val="0"/>
    <w:pPr>
      <w:tabs>
        <w:tab w:val="center" w:pos="4153"/>
        <w:tab w:val="right" w:pos="8306"/>
      </w:tabs>
      <w:snapToGrid w:val="0"/>
      <w:jc w:val="left"/>
    </w:pPr>
    <w:rPr>
      <w:sz w:val="18"/>
      <w:szCs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0"/>
    <w:pPr>
      <w:spacing w:before="360" w:after="360"/>
      <w:jc w:val="left"/>
    </w:pPr>
    <w:rPr>
      <w:rFonts w:ascii="Calibri" w:hAnsi="Calibri"/>
      <w:b/>
      <w:bCs/>
      <w:caps/>
      <w:sz w:val="22"/>
      <w:szCs w:val="22"/>
      <w:u w:val="single"/>
    </w:rPr>
  </w:style>
  <w:style w:type="paragraph" w:styleId="20">
    <w:name w:val="List"/>
    <w:basedOn w:val="1"/>
    <w:autoRedefine/>
    <w:qFormat/>
    <w:uiPriority w:val="0"/>
    <w:pPr>
      <w:ind w:left="200" w:hanging="200" w:hangingChars="200"/>
    </w:pPr>
    <w:rPr>
      <w:sz w:val="28"/>
    </w:rPr>
  </w:style>
  <w:style w:type="paragraph" w:styleId="21">
    <w:name w:val="toc 2"/>
    <w:basedOn w:val="1"/>
    <w:next w:val="1"/>
    <w:autoRedefine/>
    <w:qFormat/>
    <w:uiPriority w:val="0"/>
    <w:pPr>
      <w:jc w:val="left"/>
    </w:pPr>
    <w:rPr>
      <w:rFonts w:ascii="Calibri" w:hAnsi="Calibri"/>
      <w:b/>
      <w:bCs/>
      <w:smallCaps/>
      <w:sz w:val="22"/>
      <w:szCs w:val="22"/>
    </w:rPr>
  </w:style>
  <w:style w:type="paragraph" w:styleId="22">
    <w:name w:val="Normal (Web)"/>
    <w:basedOn w:val="1"/>
    <w:autoRedefine/>
    <w:qFormat/>
    <w:uiPriority w:val="0"/>
    <w:pPr>
      <w:widowControl/>
      <w:spacing w:before="100" w:beforeAutospacing="1" w:after="100" w:afterAutospacing="1"/>
      <w:jc w:val="left"/>
    </w:pPr>
    <w:rPr>
      <w:rFonts w:ascii="宋体" w:cs="宋体"/>
      <w:kern w:val="0"/>
      <w:sz w:val="24"/>
    </w:rPr>
  </w:style>
  <w:style w:type="paragraph" w:styleId="23">
    <w:name w:val="Title"/>
    <w:basedOn w:val="1"/>
    <w:next w:val="1"/>
    <w:qFormat/>
    <w:uiPriority w:val="10"/>
    <w:pPr>
      <w:spacing w:before="240" w:after="60"/>
      <w:jc w:val="center"/>
      <w:outlineLvl w:val="0"/>
    </w:pPr>
    <w:rPr>
      <w:rFonts w:ascii="Cambria" w:hAnsi="Cambria"/>
      <w:b/>
      <w:bCs/>
      <w:sz w:val="32"/>
      <w:szCs w:val="32"/>
    </w:rPr>
  </w:style>
  <w:style w:type="paragraph" w:styleId="24">
    <w:name w:val="annotation subject"/>
    <w:basedOn w:val="9"/>
    <w:next w:val="1"/>
    <w:autoRedefine/>
    <w:qFormat/>
    <w:uiPriority w:val="0"/>
    <w:rPr>
      <w:b/>
      <w:bCs/>
    </w:rPr>
  </w:style>
  <w:style w:type="paragraph" w:styleId="25">
    <w:name w:val="Body Text First Indent"/>
    <w:basedOn w:val="10"/>
    <w:unhideWhenUsed/>
    <w:qFormat/>
    <w:uiPriority w:val="99"/>
    <w:pPr>
      <w:spacing w:after="120" w:line="240" w:lineRule="auto"/>
      <w:ind w:firstLine="420" w:firstLineChars="100"/>
    </w:pPr>
    <w:rPr>
      <w:kern w:val="2"/>
      <w:sz w:val="21"/>
    </w:rPr>
  </w:style>
  <w:style w:type="paragraph" w:styleId="26">
    <w:name w:val="Body Text First Indent 2"/>
    <w:basedOn w:val="11"/>
    <w:next w:val="1"/>
    <w:autoRedefine/>
    <w:qFormat/>
    <w:uiPriority w:val="0"/>
    <w:pPr>
      <w:spacing w:after="120"/>
      <w:ind w:left="200" w:leftChars="200" w:firstLine="200" w:firstLineChars="200"/>
    </w:pPr>
    <w:rPr>
      <w:rFonts w:ascii="Times New Roman"/>
      <w:sz w:val="21"/>
      <w:szCs w:val="2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rPr>
  </w:style>
  <w:style w:type="character" w:styleId="31">
    <w:name w:val="page number"/>
    <w:autoRedefine/>
    <w:qFormat/>
    <w:uiPriority w:val="0"/>
  </w:style>
  <w:style w:type="character" w:styleId="32">
    <w:name w:val="FollowedHyperlink"/>
    <w:autoRedefine/>
    <w:qFormat/>
    <w:uiPriority w:val="0"/>
    <w:rPr>
      <w:rFonts w:ascii="微软雅黑" w:eastAsia="微软雅黑" w:cs="微软雅黑"/>
      <w:color w:val="02396F"/>
      <w:u w:val="single"/>
    </w:rPr>
  </w:style>
  <w:style w:type="character" w:styleId="33">
    <w:name w:val="Hyperlink"/>
    <w:autoRedefine/>
    <w:qFormat/>
    <w:uiPriority w:val="0"/>
    <w:rPr>
      <w:rFonts w:ascii="微软雅黑" w:eastAsia="微软雅黑" w:cs="微软雅黑"/>
      <w:color w:val="02396F"/>
      <w:u w:val="single"/>
    </w:rPr>
  </w:style>
  <w:style w:type="character" w:styleId="34">
    <w:name w:val="annotation reference"/>
    <w:autoRedefine/>
    <w:qFormat/>
    <w:uiPriority w:val="0"/>
    <w:rPr>
      <w:sz w:val="21"/>
      <w:szCs w:val="21"/>
    </w:rPr>
  </w:style>
  <w:style w:type="paragraph" w:customStyle="1" w:styleId="35">
    <w:name w:val="Default"/>
    <w:basedOn w:val="23"/>
    <w:next w:val="1"/>
    <w:autoRedefine/>
    <w:qFormat/>
    <w:uiPriority w:val="0"/>
    <w:pPr>
      <w:autoSpaceDE w:val="0"/>
      <w:autoSpaceDN w:val="0"/>
      <w:adjustRightInd w:val="0"/>
    </w:pPr>
    <w:rPr>
      <w:rFonts w:ascii="宋体" w:hAnsi="Times New Roman" w:cs="宋体"/>
      <w:color w:val="000000"/>
      <w:sz w:val="24"/>
      <w:szCs w:val="24"/>
    </w:rPr>
  </w:style>
  <w:style w:type="paragraph" w:customStyle="1" w:styleId="36">
    <w:name w:val="表格文字"/>
    <w:basedOn w:val="1"/>
    <w:next w:val="10"/>
    <w:autoRedefine/>
    <w:qFormat/>
    <w:uiPriority w:val="0"/>
    <w:pPr>
      <w:adjustRightInd w:val="0"/>
      <w:spacing w:line="420" w:lineRule="atLeast"/>
      <w:jc w:val="left"/>
      <w:textAlignment w:val="baseline"/>
    </w:pPr>
    <w:rPr>
      <w:kern w:val="0"/>
    </w:rPr>
  </w:style>
  <w:style w:type="character" w:customStyle="1" w:styleId="37">
    <w:name w:val="font61"/>
    <w:autoRedefine/>
    <w:qFormat/>
    <w:uiPriority w:val="0"/>
    <w:rPr>
      <w:rFonts w:ascii="宋体" w:eastAsia="宋体" w:cs="宋体"/>
      <w:color w:val="0C0C0C"/>
      <w:sz w:val="18"/>
      <w:szCs w:val="18"/>
      <w:u w:val="none"/>
    </w:rPr>
  </w:style>
  <w:style w:type="character" w:customStyle="1" w:styleId="38">
    <w:name w:val="next"/>
    <w:autoRedefine/>
    <w:qFormat/>
    <w:uiPriority w:val="0"/>
    <w:rPr>
      <w:rFonts w:ascii="微软雅黑" w:eastAsia="微软雅黑" w:cs="微软雅黑"/>
      <w:sz w:val="21"/>
      <w:szCs w:val="21"/>
    </w:rPr>
  </w:style>
  <w:style w:type="character" w:customStyle="1" w:styleId="39">
    <w:name w:val="gjfg"/>
    <w:autoRedefine/>
    <w:qFormat/>
    <w:uiPriority w:val="0"/>
  </w:style>
  <w:style w:type="character" w:customStyle="1" w:styleId="40">
    <w:name w:val="cfdate"/>
    <w:autoRedefine/>
    <w:qFormat/>
    <w:uiPriority w:val="0"/>
    <w:rPr>
      <w:color w:val="333333"/>
      <w:sz w:val="18"/>
      <w:szCs w:val="18"/>
    </w:rPr>
  </w:style>
  <w:style w:type="character" w:customStyle="1" w:styleId="41">
    <w:name w:val="qxdate"/>
    <w:autoRedefine/>
    <w:qFormat/>
    <w:uiPriority w:val="0"/>
    <w:rPr>
      <w:color w:val="333333"/>
      <w:sz w:val="18"/>
      <w:szCs w:val="18"/>
    </w:rPr>
  </w:style>
  <w:style w:type="character" w:customStyle="1" w:styleId="42">
    <w:name w:val="redfilefwwh"/>
    <w:autoRedefine/>
    <w:qFormat/>
    <w:uiPriority w:val="0"/>
    <w:rPr>
      <w:color w:val="BA2636"/>
      <w:sz w:val="18"/>
      <w:szCs w:val="18"/>
    </w:rPr>
  </w:style>
  <w:style w:type="character" w:customStyle="1" w:styleId="43">
    <w:name w:val="prev1"/>
    <w:autoRedefine/>
    <w:qFormat/>
    <w:uiPriority w:val="0"/>
    <w:rPr>
      <w:color w:val="888888"/>
    </w:rPr>
  </w:style>
  <w:style w:type="character" w:customStyle="1" w:styleId="44">
    <w:name w:val="prev"/>
    <w:autoRedefine/>
    <w:qFormat/>
    <w:uiPriority w:val="0"/>
    <w:rPr>
      <w:rFonts w:ascii="微软雅黑" w:eastAsia="微软雅黑" w:cs="微软雅黑"/>
      <w:sz w:val="21"/>
      <w:szCs w:val="21"/>
    </w:rPr>
  </w:style>
  <w:style w:type="character" w:customStyle="1" w:styleId="45">
    <w:name w:val="displayarti"/>
    <w:autoRedefine/>
    <w:qFormat/>
    <w:uiPriority w:val="0"/>
    <w:rPr>
      <w:color w:val="FFFFFF"/>
      <w:shd w:val="clear" w:color="auto" w:fill="A00000"/>
    </w:rPr>
  </w:style>
  <w:style w:type="character" w:customStyle="1" w:styleId="46">
    <w:name w:val="redfilenumber"/>
    <w:autoRedefine/>
    <w:qFormat/>
    <w:uiPriority w:val="0"/>
    <w:rPr>
      <w:color w:val="BA2636"/>
      <w:sz w:val="18"/>
      <w:szCs w:val="18"/>
    </w:rPr>
  </w:style>
  <w:style w:type="character" w:customStyle="1" w:styleId="47">
    <w:name w:val="正文文本 (26) + 间距 0 pt"/>
    <w:autoRedefine/>
    <w:qFormat/>
    <w:uiPriority w:val="0"/>
    <w:rPr>
      <w:rFonts w:ascii="宋体" w:eastAsia="宋体" w:cs="宋体"/>
      <w:color w:val="000000"/>
      <w:spacing w:val="0"/>
      <w:w w:val="100"/>
      <w:position w:val="0"/>
      <w:sz w:val="22"/>
      <w:szCs w:val="22"/>
      <w:u w:val="none"/>
      <w:lang w:val="zh-CN" w:eastAsia="zh-CN" w:bidi="zh-CN"/>
    </w:rPr>
  </w:style>
  <w:style w:type="character" w:customStyle="1" w:styleId="48">
    <w:name w:val="next1"/>
    <w:autoRedefine/>
    <w:qFormat/>
    <w:uiPriority w:val="0"/>
    <w:rPr>
      <w:color w:val="888888"/>
    </w:rPr>
  </w:style>
  <w:style w:type="paragraph" w:customStyle="1" w:styleId="49">
    <w:name w:val="样式 标题 2 + 宋体"/>
    <w:basedOn w:val="3"/>
    <w:autoRedefine/>
    <w:qFormat/>
    <w:uiPriority w:val="0"/>
    <w:rPr>
      <w:rFonts w:ascii="宋体" w:hAnsi="宋体"/>
      <w:sz w:val="30"/>
    </w:rPr>
  </w:style>
  <w:style w:type="paragraph" w:customStyle="1" w:styleId="50">
    <w:name w:val="样式5"/>
    <w:basedOn w:val="1"/>
    <w:autoRedefine/>
    <w:qFormat/>
    <w:uiPriority w:val="0"/>
    <w:pPr>
      <w:adjustRightInd w:val="0"/>
      <w:spacing w:line="440" w:lineRule="exact"/>
      <w:ind w:left="2" w:firstLine="200" w:firstLineChars="200"/>
    </w:pPr>
    <w:rPr>
      <w:rFonts w:ascii="仿宋_GB2312" w:eastAsia="仿宋_GB2312"/>
      <w:sz w:val="24"/>
    </w:rPr>
  </w:style>
  <w:style w:type="paragraph" w:customStyle="1" w:styleId="51">
    <w:name w:val="正文缩进1"/>
    <w:basedOn w:val="1"/>
    <w:next w:val="11"/>
    <w:autoRedefine/>
    <w:qFormat/>
    <w:uiPriority w:val="0"/>
    <w:pPr>
      <w:autoSpaceDE w:val="0"/>
      <w:autoSpaceDN w:val="0"/>
      <w:adjustRightInd w:val="0"/>
      <w:snapToGrid w:val="0"/>
      <w:spacing w:after="120" w:line="360" w:lineRule="auto"/>
      <w:ind w:left="200" w:leftChars="200" w:firstLine="200" w:firstLineChars="200"/>
    </w:pPr>
    <w:rPr>
      <w:sz w:val="24"/>
      <w:szCs w:val="21"/>
    </w:rPr>
  </w:style>
  <w:style w:type="paragraph" w:styleId="52">
    <w:name w:val="Intense Quote"/>
    <w:basedOn w:val="1"/>
    <w:next w:val="1"/>
    <w:autoRedefine/>
    <w:qFormat/>
    <w:uiPriority w:val="0"/>
    <w:pPr>
      <w:wordWrap w:val="0"/>
      <w:spacing w:before="360" w:after="360"/>
      <w:ind w:left="950" w:right="950"/>
      <w:jc w:val="center"/>
    </w:pPr>
    <w:rPr>
      <w:i/>
    </w:rPr>
  </w:style>
  <w:style w:type="paragraph" w:customStyle="1" w:styleId="53">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54">
    <w:name w:val="列表段落1"/>
    <w:basedOn w:val="1"/>
    <w:autoRedefine/>
    <w:qFormat/>
    <w:uiPriority w:val="0"/>
    <w:pPr>
      <w:ind w:firstLine="200" w:firstLineChars="200"/>
    </w:pPr>
  </w:style>
  <w:style w:type="paragraph" w:customStyle="1" w:styleId="55">
    <w:name w:val="正文2"/>
    <w:basedOn w:val="1"/>
    <w:autoRedefine/>
    <w:qFormat/>
    <w:uiPriority w:val="0"/>
    <w:pPr>
      <w:adjustRightInd w:val="0"/>
      <w:spacing w:before="156" w:line="360" w:lineRule="auto"/>
      <w:ind w:firstLine="200" w:firstLineChars="200"/>
    </w:pPr>
    <w:rPr>
      <w:sz w:val="24"/>
      <w:szCs w:val="20"/>
    </w:rPr>
  </w:style>
  <w:style w:type="paragraph" w:customStyle="1" w:styleId="56">
    <w:name w:val="彩色列表1"/>
    <w:basedOn w:val="1"/>
    <w:autoRedefine/>
    <w:qFormat/>
    <w:uiPriority w:val="0"/>
    <w:pPr>
      <w:ind w:firstLine="200" w:firstLineChars="200"/>
    </w:pPr>
    <w:rPr>
      <w:szCs w:val="20"/>
    </w:rPr>
  </w:style>
  <w:style w:type="paragraph" w:styleId="57">
    <w:name w:val="List Paragraph"/>
    <w:basedOn w:val="1"/>
    <w:autoRedefine/>
    <w:unhideWhenUsed/>
    <w:qFormat/>
    <w:uiPriority w:val="99"/>
    <w:pPr>
      <w:ind w:firstLine="420" w:firstLineChars="200"/>
    </w:pPr>
  </w:style>
  <w:style w:type="paragraph" w:customStyle="1" w:styleId="58">
    <w:name w:val="Table Text"/>
    <w:basedOn w:val="1"/>
    <w:autoRedefine/>
    <w:semiHidden/>
    <w:qFormat/>
    <w:uiPriority w:val="0"/>
    <w:rPr>
      <w:rFonts w:ascii="楷体" w:hAnsi="楷体" w:eastAsia="楷体" w:cs="楷体"/>
      <w:sz w:val="20"/>
      <w:szCs w:val="20"/>
      <w:lang w:eastAsia="en-US"/>
    </w:rPr>
  </w:style>
  <w:style w:type="table" w:customStyle="1" w:styleId="59">
    <w:name w:val="Table Normal"/>
    <w:autoRedefine/>
    <w:semiHidden/>
    <w:unhideWhenUsed/>
    <w:qFormat/>
    <w:uiPriority w:val="0"/>
    <w:tblPr>
      <w:tblCellMar>
        <w:top w:w="0" w:type="dxa"/>
        <w:left w:w="0" w:type="dxa"/>
        <w:bottom w:w="0" w:type="dxa"/>
        <w:right w:w="0" w:type="dxa"/>
      </w:tblCellMar>
    </w:tblPr>
  </w:style>
  <w:style w:type="character" w:customStyle="1" w:styleId="60">
    <w:name w:val="批注框文本 字符"/>
    <w:basedOn w:val="29"/>
    <w:link w:val="16"/>
    <w:autoRedefine/>
    <w:qFormat/>
    <w:uiPriority w:val="0"/>
    <w:rPr>
      <w:kern w:val="2"/>
      <w:sz w:val="18"/>
      <w:szCs w:val="18"/>
    </w:rPr>
  </w:style>
  <w:style w:type="paragraph" w:customStyle="1" w:styleId="61">
    <w:name w:val="修订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62">
    <w:name w:val="批注文字 字符"/>
    <w:basedOn w:val="29"/>
    <w:link w:val="9"/>
    <w:autoRedefine/>
    <w:qFormat/>
    <w:uiPriority w:val="0"/>
    <w:rPr>
      <w:kern w:val="2"/>
      <w:sz w:val="21"/>
      <w:szCs w:val="24"/>
    </w:rPr>
  </w:style>
  <w:style w:type="paragraph" w:customStyle="1" w:styleId="63">
    <w:name w:val="正文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4">
    <w:name w:val="cf01"/>
    <w:basedOn w:val="29"/>
    <w:autoRedefine/>
    <w:qFormat/>
    <w:uiPriority w:val="0"/>
    <w:rPr>
      <w:rFonts w:hint="eastAsia" w:ascii="Microsoft YaHei UI" w:hAnsi="Microsoft YaHei UI" w:eastAsia="Microsoft YaHei UI"/>
      <w:sz w:val="18"/>
      <w:szCs w:val="18"/>
    </w:rPr>
  </w:style>
  <w:style w:type="paragraph" w:customStyle="1" w:styleId="65">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66">
    <w:name w:val="修订4"/>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67">
    <w:name w:val="Unresolved Mention"/>
    <w:basedOn w:val="29"/>
    <w:semiHidden/>
    <w:unhideWhenUsed/>
    <w:qFormat/>
    <w:uiPriority w:val="99"/>
    <w:rPr>
      <w:color w:val="605E5C"/>
      <w:shd w:val="clear" w:color="auto" w:fill="E1DFDD"/>
    </w:rPr>
  </w:style>
  <w:style w:type="paragraph" w:customStyle="1" w:styleId="68">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69">
    <w:name w:val="p15"/>
    <w:basedOn w:val="1"/>
    <w:qFormat/>
    <w:uiPriority w:val="99"/>
    <w:pPr>
      <w:widowControl/>
    </w:pPr>
    <w:rPr>
      <w:rFonts w:ascii="宋体" w:hAnsi="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68D362-2A02-4567-A038-F09368E2B6E9}">
  <ds:schemaRefs/>
</ds:datastoreItem>
</file>

<file path=docProps/app.xml><?xml version="1.0" encoding="utf-8"?>
<Properties xmlns="http://schemas.openxmlformats.org/officeDocument/2006/extended-properties" xmlns:vt="http://schemas.openxmlformats.org/officeDocument/2006/docPropsVTypes">
  <Pages>105</Pages>
  <Words>2582</Words>
  <Characters>3106</Characters>
  <Lines>478</Lines>
  <Paragraphs>134</Paragraphs>
  <TotalTime>11</TotalTime>
  <ScaleCrop>false</ScaleCrop>
  <LinksUpToDate>false</LinksUpToDate>
  <CharactersWithSpaces>3155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2025-07-23T10:52:00Z</dcterms:created>
  <dc:creator>txt</dc:creator>
  <cp:lastModifiedBy>韦俊珉</cp:lastModifiedBy>
  <cp:lastPrinted>2025-06-18T11:55:00Z</cp:lastPrinted>
  <dcterms:modified xsi:type="dcterms:W3CDTF">2026-04-03T07:51:59Z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E844A6900A5540758E01FF3DB3855461_13</vt:lpwstr>
  </property>
  <property fmtid="{D5CDD505-2E9C-101B-9397-08002B2CF9AE}" pid="4" name="KSOTemplateDocerSaveRecord">
    <vt:lpwstr>eyJoZGlkIjoiNDFkNzE2ZWZhMjE4MWQzNjk5YjQzYWFiZWYwZGYzZTQiLCJ1c2VySWQiOiIxNTkxNTY5NTE4In0=</vt:lpwstr>
  </property>
</Properties>
</file>