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2F39CA">
      <w:pPr>
        <w:spacing w:before="165" w:beforeLines="50" w:line="360" w:lineRule="auto"/>
        <w:jc w:val="center"/>
        <w:rPr>
          <w:rFonts w:ascii="宋体" w:hAnsi="宋体"/>
          <w:color w:val="auto"/>
          <w:sz w:val="52"/>
          <w:szCs w:val="52"/>
          <w:highlight w:val="none"/>
        </w:rPr>
      </w:pPr>
      <w:r>
        <w:rPr>
          <w:rFonts w:hint="eastAsia" w:ascii="宋体" w:hAnsi="宋体"/>
          <w:color w:val="auto"/>
          <w:sz w:val="52"/>
          <w:szCs w:val="52"/>
          <w:highlight w:val="none"/>
        </w:rPr>
        <w:t>南宁市政府采购</w:t>
      </w:r>
    </w:p>
    <w:p w14:paraId="2D161980">
      <w:pPr>
        <w:spacing w:before="165" w:beforeLines="50" w:line="360" w:lineRule="auto"/>
        <w:jc w:val="center"/>
        <w:rPr>
          <w:rFonts w:hint="eastAsia" w:ascii="宋体" w:hAnsi="宋体"/>
          <w:color w:val="auto"/>
          <w:sz w:val="52"/>
          <w:szCs w:val="52"/>
          <w:highlight w:val="none"/>
        </w:rPr>
      </w:pPr>
      <w:r>
        <w:rPr>
          <w:rFonts w:hint="eastAsia" w:ascii="宋体" w:hAnsi="宋体"/>
          <w:color w:val="auto"/>
          <w:sz w:val="52"/>
          <w:szCs w:val="52"/>
          <w:highlight w:val="none"/>
        </w:rPr>
        <w:t>竞争性磋商文件（服务类）</w:t>
      </w:r>
    </w:p>
    <w:p w14:paraId="1DC32FB3">
      <w:pPr>
        <w:spacing w:before="165" w:beforeLines="50" w:line="360" w:lineRule="auto"/>
        <w:jc w:val="center"/>
        <w:rPr>
          <w:rFonts w:hint="eastAsia" w:ascii="宋体" w:hAnsi="宋体"/>
          <w:color w:val="auto"/>
          <w:sz w:val="36"/>
          <w:szCs w:val="36"/>
          <w:highlight w:val="none"/>
        </w:rPr>
      </w:pPr>
    </w:p>
    <w:p w14:paraId="17CCAEE7">
      <w:pPr>
        <w:snapToGrid w:val="0"/>
        <w:spacing w:before="165" w:beforeLines="50" w:line="360" w:lineRule="auto"/>
        <w:jc w:val="center"/>
        <w:rPr>
          <w:rFonts w:hint="eastAsia" w:ascii="方正小标宋简体" w:hAnsi="方正小标宋简体" w:eastAsia="方正小标宋简体" w:cs="方正小标宋简体"/>
          <w:color w:val="auto"/>
          <w:sz w:val="44"/>
          <w:szCs w:val="44"/>
          <w:highlight w:val="none"/>
        </w:rPr>
      </w:pPr>
      <w:r>
        <w:rPr>
          <w:rFonts w:hint="eastAsia" w:ascii="华文新魏" w:hAnsi="宋体" w:eastAsia="华文新魏"/>
          <w:color w:val="auto"/>
          <w:sz w:val="72"/>
          <w:szCs w:val="72"/>
          <w:highlight w:val="none"/>
        </w:rPr>
        <w:t>竞争性磋商文件</w:t>
      </w:r>
    </w:p>
    <w:p w14:paraId="272507AF">
      <w:pPr>
        <w:spacing w:before="331" w:beforeLines="100" w:after="165" w:afterLines="50" w:line="360" w:lineRule="auto"/>
        <w:jc w:val="center"/>
        <w:rPr>
          <w:rFonts w:hint="eastAsia" w:ascii="宋体" w:hAnsi="宋体"/>
          <w:color w:val="auto"/>
          <w:szCs w:val="21"/>
          <w:highlight w:val="none"/>
        </w:rPr>
      </w:pPr>
      <w:r>
        <w:rPr>
          <w:rFonts w:hint="eastAsia" w:ascii="宋体" w:hAnsi="宋体"/>
          <w:color w:val="auto"/>
          <w:szCs w:val="21"/>
          <w:highlight w:val="none"/>
        </w:rPr>
        <w:t>（全流程电子化评标）</w:t>
      </w:r>
    </w:p>
    <w:p w14:paraId="108B0C51">
      <w:pPr>
        <w:spacing w:line="360" w:lineRule="auto"/>
        <w:rPr>
          <w:rFonts w:hint="eastAsia" w:ascii="宋体" w:hAnsi="宋体"/>
          <w:b/>
          <w:color w:val="auto"/>
          <w:sz w:val="32"/>
          <w:szCs w:val="32"/>
          <w:highlight w:val="none"/>
        </w:rPr>
      </w:pPr>
    </w:p>
    <w:p w14:paraId="3411FC26">
      <w:pPr>
        <w:spacing w:line="360" w:lineRule="auto"/>
        <w:jc w:val="center"/>
        <w:rPr>
          <w:rFonts w:hint="eastAsia" w:ascii="宋体" w:hAnsi="宋体"/>
          <w:b/>
          <w:color w:val="auto"/>
          <w:sz w:val="32"/>
          <w:szCs w:val="32"/>
          <w:highlight w:val="none"/>
        </w:rPr>
      </w:pPr>
    </w:p>
    <w:p w14:paraId="35F8AF04">
      <w:pPr>
        <w:pStyle w:val="15"/>
        <w:snapToGrid w:val="0"/>
        <w:spacing w:before="50" w:after="120" w:line="360" w:lineRule="auto"/>
        <w:ind w:left="0" w:leftChars="0" w:firstLine="1885" w:firstLineChars="626"/>
        <w:rPr>
          <w:rFonts w:hint="eastAsia" w:hAnsi="宋体"/>
          <w:b/>
          <w:bCs/>
          <w:color w:val="auto"/>
          <w:sz w:val="30"/>
          <w:szCs w:val="30"/>
          <w:highlight w:val="none"/>
          <w:lang w:eastAsia="zh-CN"/>
        </w:rPr>
      </w:pPr>
      <w:r>
        <w:rPr>
          <w:rFonts w:hint="eastAsia" w:hAnsi="宋体"/>
          <w:b/>
          <w:bCs/>
          <w:color w:val="auto"/>
          <w:sz w:val="30"/>
          <w:szCs w:val="30"/>
          <w:highlight w:val="none"/>
        </w:rPr>
        <w:t>项目</w:t>
      </w:r>
      <w:r>
        <w:rPr>
          <w:rFonts w:hint="eastAsia" w:hAnsi="宋体" w:cs="Courier New"/>
          <w:b/>
          <w:bCs/>
          <w:color w:val="auto"/>
          <w:w w:val="95"/>
          <w:sz w:val="30"/>
          <w:szCs w:val="30"/>
          <w:highlight w:val="none"/>
        </w:rPr>
        <w:t>名称</w:t>
      </w:r>
      <w:r>
        <w:rPr>
          <w:rFonts w:hint="eastAsia" w:hAnsi="宋体"/>
          <w:b/>
          <w:bCs/>
          <w:color w:val="auto"/>
          <w:sz w:val="30"/>
          <w:szCs w:val="30"/>
          <w:highlight w:val="none"/>
        </w:rPr>
        <w:t>：</w:t>
      </w:r>
      <w:r>
        <w:rPr>
          <w:rFonts w:hint="eastAsia" w:hAnsi="宋体"/>
          <w:b/>
          <w:bCs/>
          <w:color w:val="auto"/>
          <w:sz w:val="30"/>
          <w:szCs w:val="30"/>
          <w:highlight w:val="none"/>
          <w:lang w:eastAsia="zh-CN"/>
        </w:rPr>
        <w:t>邕宁区蒲庙电灌站灌区续建配套与节水改造工程</w:t>
      </w:r>
    </w:p>
    <w:p w14:paraId="47B309B5">
      <w:pPr>
        <w:pStyle w:val="15"/>
        <w:snapToGrid w:val="0"/>
        <w:spacing w:before="50" w:after="120" w:line="360" w:lineRule="auto"/>
        <w:ind w:left="0" w:leftChars="0" w:firstLine="3391" w:firstLineChars="1126"/>
        <w:rPr>
          <w:rFonts w:hint="eastAsia" w:hAnsi="宋体" w:eastAsia="宋体"/>
          <w:b/>
          <w:bCs/>
          <w:color w:val="auto"/>
          <w:sz w:val="30"/>
          <w:szCs w:val="30"/>
          <w:highlight w:val="none"/>
          <w:lang w:eastAsia="zh-CN"/>
        </w:rPr>
      </w:pPr>
      <w:r>
        <w:rPr>
          <w:rFonts w:hint="eastAsia" w:hAnsi="宋体"/>
          <w:b/>
          <w:bCs/>
          <w:color w:val="auto"/>
          <w:sz w:val="30"/>
          <w:szCs w:val="30"/>
          <w:highlight w:val="none"/>
          <w:lang w:eastAsia="zh-CN"/>
        </w:rPr>
        <w:t>项目立项建议报告编制技术服务</w:t>
      </w:r>
      <w:r>
        <w:rPr>
          <w:rFonts w:hint="eastAsia" w:hAnsi="宋体"/>
          <w:b/>
          <w:bCs/>
          <w:color w:val="auto"/>
          <w:sz w:val="30"/>
          <w:szCs w:val="30"/>
          <w:highlight w:val="none"/>
          <w:lang w:val="en-US" w:eastAsia="zh-CN"/>
        </w:rPr>
        <w:t>项目</w:t>
      </w:r>
    </w:p>
    <w:p w14:paraId="28844545">
      <w:pPr>
        <w:snapToGrid w:val="0"/>
        <w:spacing w:before="165" w:beforeLines="50" w:line="360" w:lineRule="auto"/>
        <w:ind w:left="0" w:leftChars="0" w:firstLine="1791" w:firstLineChars="626"/>
        <w:rPr>
          <w:rFonts w:hint="eastAsia" w:ascii="宋体" w:hAnsi="宋体" w:eastAsia="宋体"/>
          <w:b/>
          <w:color w:val="auto"/>
          <w:sz w:val="30"/>
          <w:szCs w:val="48"/>
          <w:highlight w:val="none"/>
          <w:lang w:eastAsia="zh-CN"/>
        </w:rPr>
      </w:pPr>
      <w:r>
        <w:rPr>
          <w:rFonts w:hint="eastAsia" w:ascii="宋体" w:hAnsi="宋体" w:cs="Courier New"/>
          <w:b/>
          <w:bCs/>
          <w:color w:val="auto"/>
          <w:w w:val="95"/>
          <w:sz w:val="30"/>
          <w:szCs w:val="30"/>
          <w:highlight w:val="none"/>
        </w:rPr>
        <w:t>项目</w:t>
      </w:r>
      <w:r>
        <w:rPr>
          <w:rFonts w:hint="eastAsia" w:ascii="宋体" w:hAnsi="宋体"/>
          <w:b/>
          <w:bCs/>
          <w:color w:val="auto"/>
          <w:sz w:val="30"/>
          <w:szCs w:val="30"/>
          <w:highlight w:val="none"/>
        </w:rPr>
        <w:t>编号</w:t>
      </w:r>
      <w:r>
        <w:rPr>
          <w:rFonts w:hint="eastAsia" w:ascii="宋体" w:hAnsi="宋体" w:cs="Courier New"/>
          <w:b/>
          <w:bCs/>
          <w:color w:val="auto"/>
          <w:w w:val="95"/>
          <w:sz w:val="30"/>
          <w:szCs w:val="30"/>
          <w:highlight w:val="none"/>
        </w:rPr>
        <w:t>：</w:t>
      </w:r>
      <w:r>
        <w:rPr>
          <w:rFonts w:hint="eastAsia" w:ascii="宋体" w:hAnsi="宋体"/>
          <w:b/>
          <w:color w:val="auto"/>
          <w:sz w:val="30"/>
          <w:szCs w:val="48"/>
          <w:highlight w:val="none"/>
          <w:lang w:eastAsia="zh-CN"/>
        </w:rPr>
        <w:t>NNZC2026-C3-090018-KWZB</w:t>
      </w:r>
    </w:p>
    <w:p w14:paraId="0C90F3F7">
      <w:pPr>
        <w:snapToGrid w:val="0"/>
        <w:spacing w:before="165" w:beforeLines="50" w:line="360" w:lineRule="auto"/>
        <w:ind w:left="0" w:leftChars="0" w:firstLine="1885" w:firstLineChars="626"/>
        <w:rPr>
          <w:rFonts w:hint="eastAsia" w:ascii="宋体" w:hAnsi="宋体"/>
          <w:b/>
          <w:color w:val="auto"/>
          <w:sz w:val="30"/>
          <w:szCs w:val="48"/>
          <w:highlight w:val="none"/>
        </w:rPr>
      </w:pPr>
      <w:r>
        <w:rPr>
          <w:rFonts w:hint="eastAsia" w:ascii="宋体" w:hAnsi="宋体"/>
          <w:b/>
          <w:color w:val="auto"/>
          <w:sz w:val="30"/>
          <w:szCs w:val="48"/>
          <w:highlight w:val="none"/>
        </w:rPr>
        <w:t>项目所属区划：</w:t>
      </w:r>
      <w:r>
        <w:rPr>
          <w:rFonts w:hint="eastAsia" w:ascii="宋体" w:hAnsi="宋体"/>
          <w:b/>
          <w:color w:val="auto"/>
          <w:sz w:val="30"/>
          <w:szCs w:val="48"/>
          <w:highlight w:val="none"/>
          <w:u w:val="single"/>
        </w:rPr>
        <w:t xml:space="preserve"> 南宁市邕宁区  </w:t>
      </w:r>
    </w:p>
    <w:p w14:paraId="0E96BB41">
      <w:pPr>
        <w:pStyle w:val="15"/>
        <w:snapToGrid w:val="0"/>
        <w:spacing w:before="50" w:after="120" w:line="360" w:lineRule="auto"/>
        <w:ind w:left="0" w:leftChars="0" w:firstLine="1791" w:firstLineChars="626"/>
        <w:rPr>
          <w:rFonts w:hint="eastAsia" w:hAnsi="宋体" w:eastAsia="宋体"/>
          <w:b/>
          <w:bCs/>
          <w:color w:val="auto"/>
          <w:w w:val="95"/>
          <w:sz w:val="30"/>
          <w:szCs w:val="30"/>
          <w:highlight w:val="none"/>
          <w:lang w:eastAsia="zh-CN"/>
        </w:rPr>
      </w:pPr>
      <w:r>
        <w:rPr>
          <w:rFonts w:hint="eastAsia" w:hAnsi="宋体"/>
          <w:b/>
          <w:bCs/>
          <w:color w:val="auto"/>
          <w:w w:val="95"/>
          <w:sz w:val="30"/>
          <w:szCs w:val="30"/>
          <w:highlight w:val="none"/>
        </w:rPr>
        <w:t>采 购 人：</w:t>
      </w:r>
      <w:r>
        <w:rPr>
          <w:rFonts w:hint="eastAsia" w:hAnsi="宋体"/>
          <w:b/>
          <w:bCs/>
          <w:color w:val="auto"/>
          <w:w w:val="95"/>
          <w:sz w:val="30"/>
          <w:szCs w:val="30"/>
          <w:highlight w:val="none"/>
          <w:lang w:eastAsia="zh-CN"/>
        </w:rPr>
        <w:t>南宁市邕宁区农业农村局</w:t>
      </w:r>
    </w:p>
    <w:p w14:paraId="6B930B9F">
      <w:pPr>
        <w:pStyle w:val="15"/>
        <w:snapToGrid w:val="0"/>
        <w:spacing w:before="50" w:after="120" w:line="360" w:lineRule="auto"/>
        <w:ind w:left="0" w:leftChars="0" w:firstLine="1791" w:firstLineChars="626"/>
        <w:rPr>
          <w:rFonts w:hint="eastAsia" w:hAnsi="宋体"/>
          <w:b/>
          <w:bCs/>
          <w:color w:val="auto"/>
          <w:w w:val="95"/>
          <w:sz w:val="30"/>
          <w:szCs w:val="30"/>
          <w:highlight w:val="none"/>
        </w:rPr>
      </w:pPr>
      <w:r>
        <w:rPr>
          <w:rFonts w:hint="eastAsia" w:hAnsi="宋体"/>
          <w:b/>
          <w:bCs/>
          <w:color w:val="auto"/>
          <w:w w:val="95"/>
          <w:sz w:val="30"/>
          <w:szCs w:val="30"/>
          <w:highlight w:val="none"/>
        </w:rPr>
        <w:t>采购代理机构：</w:t>
      </w:r>
      <w:bookmarkStart w:id="0" w:name="PO_3000001866_PM031"/>
      <w:r>
        <w:rPr>
          <w:rFonts w:hint="eastAsia" w:hAnsi="宋体"/>
          <w:b/>
          <w:bCs/>
          <w:color w:val="auto"/>
          <w:w w:val="95"/>
          <w:sz w:val="30"/>
          <w:szCs w:val="30"/>
          <w:highlight w:val="none"/>
        </w:rPr>
        <w:t>广西科文招标有限公司</w:t>
      </w:r>
      <w:bookmarkEnd w:id="0"/>
    </w:p>
    <w:p w14:paraId="67A9381A">
      <w:pPr>
        <w:pStyle w:val="15"/>
        <w:snapToGrid w:val="0"/>
        <w:spacing w:before="50" w:after="120" w:line="360" w:lineRule="auto"/>
        <w:ind w:firstLine="841" w:firstLineChars="294"/>
        <w:rPr>
          <w:rFonts w:hint="eastAsia" w:hAnsi="宋体"/>
          <w:b/>
          <w:bCs/>
          <w:color w:val="auto"/>
          <w:w w:val="95"/>
          <w:sz w:val="30"/>
          <w:szCs w:val="30"/>
          <w:highlight w:val="none"/>
          <w:lang w:eastAsia="zh-CN"/>
        </w:rPr>
      </w:pPr>
      <w:r>
        <w:rPr>
          <w:rFonts w:hint="eastAsia" w:hAnsi="宋体"/>
          <w:b/>
          <w:bCs/>
          <w:color w:val="auto"/>
          <w:w w:val="95"/>
          <w:sz w:val="30"/>
          <w:szCs w:val="30"/>
          <w:highlight w:val="none"/>
        </w:rPr>
        <w:t xml:space="preserve">             </w:t>
      </w:r>
      <w:r>
        <w:rPr>
          <w:rFonts w:hint="eastAsia" w:hAnsi="宋体"/>
          <w:b/>
          <w:bCs/>
          <w:color w:val="auto"/>
          <w:w w:val="95"/>
          <w:sz w:val="30"/>
          <w:szCs w:val="30"/>
          <w:highlight w:val="none"/>
          <w:lang w:eastAsia="zh-CN"/>
        </w:rPr>
        <w:t>202</w:t>
      </w:r>
      <w:r>
        <w:rPr>
          <w:rFonts w:hint="eastAsia" w:hAnsi="宋体"/>
          <w:b/>
          <w:bCs/>
          <w:color w:val="auto"/>
          <w:w w:val="95"/>
          <w:sz w:val="30"/>
          <w:szCs w:val="30"/>
          <w:highlight w:val="none"/>
          <w:lang w:val="en-US" w:eastAsia="zh-CN"/>
        </w:rPr>
        <w:t>6</w:t>
      </w:r>
      <w:r>
        <w:rPr>
          <w:rFonts w:hint="eastAsia" w:hAnsi="宋体"/>
          <w:b/>
          <w:bCs/>
          <w:color w:val="auto"/>
          <w:w w:val="95"/>
          <w:sz w:val="30"/>
          <w:szCs w:val="30"/>
          <w:highlight w:val="none"/>
          <w:lang w:eastAsia="zh-CN"/>
        </w:rPr>
        <w:t>年</w:t>
      </w:r>
      <w:r>
        <w:rPr>
          <w:rFonts w:hint="eastAsia" w:hAnsi="宋体"/>
          <w:b/>
          <w:bCs/>
          <w:color w:val="auto"/>
          <w:w w:val="95"/>
          <w:sz w:val="30"/>
          <w:szCs w:val="30"/>
          <w:highlight w:val="none"/>
          <w:lang w:val="en-US" w:eastAsia="zh-CN"/>
        </w:rPr>
        <w:t>4</w:t>
      </w:r>
      <w:r>
        <w:rPr>
          <w:rFonts w:hint="eastAsia" w:hAnsi="宋体"/>
          <w:b/>
          <w:bCs/>
          <w:color w:val="auto"/>
          <w:w w:val="95"/>
          <w:sz w:val="30"/>
          <w:szCs w:val="30"/>
          <w:highlight w:val="none"/>
          <w:lang w:eastAsia="zh-CN"/>
        </w:rPr>
        <w:t>月</w:t>
      </w:r>
      <w:r>
        <w:rPr>
          <w:rFonts w:hint="eastAsia" w:hAnsi="宋体"/>
          <w:b/>
          <w:bCs/>
          <w:color w:val="auto"/>
          <w:w w:val="95"/>
          <w:sz w:val="30"/>
          <w:szCs w:val="30"/>
          <w:highlight w:val="none"/>
          <w:lang w:val="en-US" w:eastAsia="zh-CN"/>
        </w:rPr>
        <w:t>9</w:t>
      </w:r>
      <w:r>
        <w:rPr>
          <w:rFonts w:hint="eastAsia" w:hAnsi="宋体"/>
          <w:b/>
          <w:bCs/>
          <w:color w:val="auto"/>
          <w:w w:val="95"/>
          <w:sz w:val="30"/>
          <w:szCs w:val="30"/>
          <w:highlight w:val="none"/>
          <w:lang w:eastAsia="zh-CN"/>
        </w:rPr>
        <w:t>日</w:t>
      </w:r>
    </w:p>
    <w:p w14:paraId="7393937B">
      <w:pPr>
        <w:widowControl/>
        <w:spacing w:line="360" w:lineRule="auto"/>
        <w:jc w:val="left"/>
        <w:rPr>
          <w:rFonts w:ascii="仿宋_GB2312" w:hAnsi="宋体" w:eastAsia="仿宋_GB2312"/>
          <w:b/>
          <w:bCs/>
          <w:color w:val="auto"/>
          <w:w w:val="95"/>
          <w:kern w:val="0"/>
          <w:sz w:val="30"/>
          <w:szCs w:val="30"/>
          <w:highlight w:val="none"/>
        </w:rPr>
        <w:sectPr>
          <w:headerReference r:id="rId3" w:type="default"/>
          <w:pgSz w:w="11906" w:h="16838"/>
          <w:pgMar w:top="1134" w:right="1134" w:bottom="1134" w:left="1134" w:header="720" w:footer="720" w:gutter="0"/>
          <w:pgNumType w:start="1"/>
          <w:cols w:space="720" w:num="1"/>
          <w:docGrid w:type="lines" w:linePitch="331" w:charSpace="0"/>
        </w:sectPr>
      </w:pPr>
    </w:p>
    <w:p w14:paraId="7CC078D8">
      <w:pPr>
        <w:spacing w:line="360" w:lineRule="auto"/>
        <w:jc w:val="center"/>
        <w:rPr>
          <w:rFonts w:hint="eastAsia" w:ascii="宋体" w:hAnsi="宋体"/>
          <w:b/>
          <w:color w:val="auto"/>
          <w:sz w:val="44"/>
          <w:szCs w:val="44"/>
          <w:highlight w:val="none"/>
        </w:rPr>
      </w:pPr>
      <w:r>
        <w:rPr>
          <w:rFonts w:hint="eastAsia" w:ascii="宋体" w:hAnsi="宋体"/>
          <w:b/>
          <w:color w:val="auto"/>
          <w:sz w:val="44"/>
          <w:szCs w:val="44"/>
          <w:highlight w:val="none"/>
        </w:rPr>
        <w:t>目   录</w:t>
      </w:r>
    </w:p>
    <w:p w14:paraId="78D9829F">
      <w:pPr>
        <w:spacing w:line="400" w:lineRule="exact"/>
        <w:jc w:val="center"/>
        <w:rPr>
          <w:rFonts w:hint="eastAsia" w:ascii="宋体" w:hAnsi="宋体"/>
          <w:b/>
          <w:color w:val="auto"/>
          <w:sz w:val="44"/>
          <w:szCs w:val="44"/>
          <w:highlight w:val="none"/>
        </w:rPr>
      </w:pPr>
    </w:p>
    <w:p w14:paraId="1770F43B">
      <w:pPr>
        <w:pStyle w:val="20"/>
        <w:keepNext w:val="0"/>
        <w:keepLines w:val="0"/>
        <w:pageBreakBefore w:val="0"/>
        <w:widowControl w:val="0"/>
        <w:tabs>
          <w:tab w:val="right" w:leader="dot" w:pos="8879"/>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fldChar w:fldCharType="begin"/>
      </w:r>
      <w:r>
        <w:rPr>
          <w:rFonts w:hint="eastAsia" w:ascii="宋体" w:hAnsi="宋体" w:eastAsia="宋体" w:cs="宋体"/>
          <w:b/>
          <w:color w:val="auto"/>
          <w:sz w:val="24"/>
          <w:szCs w:val="24"/>
          <w:highlight w:val="none"/>
        </w:rPr>
        <w:instrText xml:space="preserve"> TOC \o "1-3" \h \z \u </w:instrText>
      </w:r>
      <w:r>
        <w:rPr>
          <w:rFonts w:hint="eastAsia" w:ascii="宋体" w:hAnsi="宋体" w:eastAsia="宋体" w:cs="宋体"/>
          <w:b/>
          <w:color w:val="auto"/>
          <w:sz w:val="24"/>
          <w:szCs w:val="24"/>
          <w:highlight w:val="none"/>
        </w:rPr>
        <w:fldChar w:fldCharType="separate"/>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_Toc8095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第一章 竞争性磋商公告</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_Toc8095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51B4707D">
      <w:pPr>
        <w:pStyle w:val="20"/>
        <w:keepNext w:val="0"/>
        <w:keepLines w:val="0"/>
        <w:pageBreakBefore w:val="0"/>
        <w:widowControl w:val="0"/>
        <w:tabs>
          <w:tab w:val="right" w:leader="dot" w:pos="8879"/>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_Toc16006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第二章 采购需求</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_Toc16006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27E93E60">
      <w:pPr>
        <w:pStyle w:val="20"/>
        <w:keepNext w:val="0"/>
        <w:keepLines w:val="0"/>
        <w:pageBreakBefore w:val="0"/>
        <w:widowControl w:val="0"/>
        <w:tabs>
          <w:tab w:val="right" w:leader="dot" w:pos="8879"/>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_Toc11561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第三章 供应商须知</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_Toc11561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8</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106C1E8C">
      <w:pPr>
        <w:pStyle w:val="22"/>
        <w:keepNext w:val="0"/>
        <w:keepLines w:val="0"/>
        <w:pageBreakBefore w:val="0"/>
        <w:widowControl w:val="0"/>
        <w:tabs>
          <w:tab w:val="right" w:leader="dot" w:pos="8879"/>
          <w:tab w:val="clear" w:pos="8296"/>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_Toc25061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第一节 供应商须知前附表</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_Toc25061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8</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00795590">
      <w:pPr>
        <w:pStyle w:val="22"/>
        <w:keepNext w:val="0"/>
        <w:keepLines w:val="0"/>
        <w:pageBreakBefore w:val="0"/>
        <w:widowControl w:val="0"/>
        <w:tabs>
          <w:tab w:val="right" w:leader="dot" w:pos="8879"/>
          <w:tab w:val="clear" w:pos="8296"/>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_Toc22962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第二节 供应商须知正文</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_Toc22962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13</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2447930C">
      <w:pPr>
        <w:pStyle w:val="14"/>
        <w:keepNext w:val="0"/>
        <w:keepLines w:val="0"/>
        <w:pageBreakBefore w:val="0"/>
        <w:widowControl w:val="0"/>
        <w:tabs>
          <w:tab w:val="right" w:leader="dot" w:pos="8879"/>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_Toc10364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一、总则</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_Toc10364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13</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77D2DE1E">
      <w:pPr>
        <w:pStyle w:val="14"/>
        <w:keepNext w:val="0"/>
        <w:keepLines w:val="0"/>
        <w:pageBreakBefore w:val="0"/>
        <w:widowControl w:val="0"/>
        <w:tabs>
          <w:tab w:val="right" w:leader="dot" w:pos="8879"/>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_Toc28927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二、磋商文件</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_Toc28927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15</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5031D0F2">
      <w:pPr>
        <w:pStyle w:val="14"/>
        <w:keepNext w:val="0"/>
        <w:keepLines w:val="0"/>
        <w:pageBreakBefore w:val="0"/>
        <w:widowControl w:val="0"/>
        <w:tabs>
          <w:tab w:val="right" w:leader="dot" w:pos="8879"/>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_Toc12927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三、响应文件的编制</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_Toc12927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16</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1C200D05">
      <w:pPr>
        <w:pStyle w:val="14"/>
        <w:keepNext w:val="0"/>
        <w:keepLines w:val="0"/>
        <w:pageBreakBefore w:val="0"/>
        <w:widowControl w:val="0"/>
        <w:tabs>
          <w:tab w:val="right" w:leader="dot" w:pos="8879"/>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_Toc12248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四、评审及磋商</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_Toc12248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18</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1A3FE4FC">
      <w:pPr>
        <w:pStyle w:val="14"/>
        <w:keepNext w:val="0"/>
        <w:keepLines w:val="0"/>
        <w:pageBreakBefore w:val="0"/>
        <w:widowControl w:val="0"/>
        <w:tabs>
          <w:tab w:val="right" w:leader="dot" w:pos="8879"/>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_Toc31092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五、成交及合同</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_Toc31092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19</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62E947B1">
      <w:pPr>
        <w:pStyle w:val="14"/>
        <w:keepNext w:val="0"/>
        <w:keepLines w:val="0"/>
        <w:pageBreakBefore w:val="0"/>
        <w:widowControl w:val="0"/>
        <w:tabs>
          <w:tab w:val="right" w:leader="dot" w:pos="8879"/>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_Toc536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六、验收</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_Toc536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14AAC4B2">
      <w:pPr>
        <w:pStyle w:val="14"/>
        <w:keepNext w:val="0"/>
        <w:keepLines w:val="0"/>
        <w:pageBreakBefore w:val="0"/>
        <w:widowControl w:val="0"/>
        <w:tabs>
          <w:tab w:val="right" w:leader="dot" w:pos="8879"/>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_Toc30836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七、其他事项</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_Toc30836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4C9F16B4">
      <w:pPr>
        <w:pStyle w:val="20"/>
        <w:keepNext w:val="0"/>
        <w:keepLines w:val="0"/>
        <w:pageBreakBefore w:val="0"/>
        <w:widowControl w:val="0"/>
        <w:tabs>
          <w:tab w:val="right" w:leader="dot" w:pos="8879"/>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_Toc25211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第四章  评审程序、评审方法和评审标准</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_Toc25211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24</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5823FB79">
      <w:pPr>
        <w:pStyle w:val="22"/>
        <w:keepNext w:val="0"/>
        <w:keepLines w:val="0"/>
        <w:pageBreakBefore w:val="0"/>
        <w:widowControl w:val="0"/>
        <w:tabs>
          <w:tab w:val="right" w:leader="dot" w:pos="8879"/>
          <w:tab w:val="clear" w:pos="8296"/>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_Toc833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第一节 评审程序和评审方法</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_Toc833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24</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68364B97">
      <w:pPr>
        <w:pStyle w:val="22"/>
        <w:keepNext w:val="0"/>
        <w:keepLines w:val="0"/>
        <w:pageBreakBefore w:val="0"/>
        <w:widowControl w:val="0"/>
        <w:tabs>
          <w:tab w:val="right" w:leader="dot" w:pos="8879"/>
          <w:tab w:val="clear" w:pos="8296"/>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_Toc29129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第二节 评标报告</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_Toc29129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31</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79B1F249">
      <w:pPr>
        <w:pStyle w:val="22"/>
        <w:keepNext w:val="0"/>
        <w:keepLines w:val="0"/>
        <w:pageBreakBefore w:val="0"/>
        <w:widowControl w:val="0"/>
        <w:tabs>
          <w:tab w:val="right" w:leader="dot" w:pos="8879"/>
          <w:tab w:val="clear" w:pos="8296"/>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_Toc11092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第三节 评审过程的保密与录像</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_Toc11092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31</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47E61D08">
      <w:pPr>
        <w:pStyle w:val="20"/>
        <w:keepNext w:val="0"/>
        <w:keepLines w:val="0"/>
        <w:pageBreakBefore w:val="0"/>
        <w:widowControl w:val="0"/>
        <w:tabs>
          <w:tab w:val="right" w:leader="dot" w:pos="8879"/>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_Toc18495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第五章 响应文件格式</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_Toc18495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33</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51652E64">
      <w:pPr>
        <w:pStyle w:val="22"/>
        <w:keepNext w:val="0"/>
        <w:keepLines w:val="0"/>
        <w:pageBreakBefore w:val="0"/>
        <w:widowControl w:val="0"/>
        <w:tabs>
          <w:tab w:val="right" w:leader="dot" w:pos="8879"/>
          <w:tab w:val="clear" w:pos="8296"/>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_Toc18956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第一节 封面格式</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_Toc18956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34</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62BB480E">
      <w:pPr>
        <w:pStyle w:val="22"/>
        <w:keepNext w:val="0"/>
        <w:keepLines w:val="0"/>
        <w:pageBreakBefore w:val="0"/>
        <w:widowControl w:val="0"/>
        <w:tabs>
          <w:tab w:val="right" w:leader="dot" w:pos="8879"/>
          <w:tab w:val="clear" w:pos="8296"/>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_Toc23404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第二节 资格证明文件格式</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_Toc23404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35</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2CEB523D">
      <w:pPr>
        <w:pStyle w:val="22"/>
        <w:keepNext w:val="0"/>
        <w:keepLines w:val="0"/>
        <w:pageBreakBefore w:val="0"/>
        <w:widowControl w:val="0"/>
        <w:tabs>
          <w:tab w:val="right" w:leader="dot" w:pos="8879"/>
          <w:tab w:val="clear" w:pos="8296"/>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_Toc16804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第三节 商务技术文件格式</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_Toc16804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45</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0454C7EF">
      <w:pPr>
        <w:pStyle w:val="22"/>
        <w:keepNext w:val="0"/>
        <w:keepLines w:val="0"/>
        <w:pageBreakBefore w:val="0"/>
        <w:widowControl w:val="0"/>
        <w:tabs>
          <w:tab w:val="right" w:leader="dot" w:pos="8879"/>
          <w:tab w:val="clear" w:pos="8296"/>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_Toc25570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第四节 报价文件格式</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_Toc25570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60</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71AFEF9A">
      <w:pPr>
        <w:pStyle w:val="22"/>
        <w:keepNext w:val="0"/>
        <w:keepLines w:val="0"/>
        <w:pageBreakBefore w:val="0"/>
        <w:widowControl w:val="0"/>
        <w:tabs>
          <w:tab w:val="right" w:leader="dot" w:pos="8879"/>
          <w:tab w:val="clear" w:pos="8296"/>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_Toc21156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第五节 其他文书、文件格式</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_Toc21156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66</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01306F0B">
      <w:pPr>
        <w:pStyle w:val="20"/>
        <w:keepNext w:val="0"/>
        <w:keepLines w:val="0"/>
        <w:pageBreakBefore w:val="0"/>
        <w:widowControl w:val="0"/>
        <w:tabs>
          <w:tab w:val="right" w:leader="dot" w:pos="8879"/>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_Toc18784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第六章  合同文本</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_Toc18784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67</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6D42E615">
      <w:pPr>
        <w:pStyle w:val="22"/>
        <w:keepNext w:val="0"/>
        <w:keepLines w:val="0"/>
        <w:pageBreakBefore w:val="0"/>
        <w:widowControl w:val="0"/>
        <w:tabs>
          <w:tab w:val="right" w:leader="dot" w:pos="8879"/>
          <w:tab w:val="clear" w:pos="8296"/>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_Toc4565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第一部分 合同书</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_Toc4565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70</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46CC6BC6">
      <w:pPr>
        <w:pStyle w:val="22"/>
        <w:keepNext w:val="0"/>
        <w:keepLines w:val="0"/>
        <w:pageBreakBefore w:val="0"/>
        <w:widowControl w:val="0"/>
        <w:tabs>
          <w:tab w:val="right" w:leader="dot" w:pos="8879"/>
          <w:tab w:val="clear" w:pos="8296"/>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_Toc4455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第二部分 合同一般条款</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_Toc4455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74</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2635CB96">
      <w:pPr>
        <w:pStyle w:val="22"/>
        <w:keepNext w:val="0"/>
        <w:keepLines w:val="0"/>
        <w:pageBreakBefore w:val="0"/>
        <w:widowControl w:val="0"/>
        <w:tabs>
          <w:tab w:val="right" w:leader="dot" w:pos="8879"/>
          <w:tab w:val="clear" w:pos="8296"/>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_Toc11028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第三部分  合同专用条款</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_Toc11028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79</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7AFBA3B5">
      <w:pPr>
        <w:pStyle w:val="20"/>
        <w:keepNext w:val="0"/>
        <w:keepLines w:val="0"/>
        <w:pageBreakBefore w:val="0"/>
        <w:widowControl w:val="0"/>
        <w:tabs>
          <w:tab w:val="right" w:leader="dot" w:pos="8879"/>
        </w:tabs>
        <w:kinsoku/>
        <w:wordWrap/>
        <w:overflowPunct/>
        <w:topLinePunct w:val="0"/>
        <w:autoSpaceDE/>
        <w:autoSpaceDN/>
        <w:bidi w:val="0"/>
        <w:adjustRightInd/>
        <w:snapToGrid/>
        <w:spacing w:line="360" w:lineRule="auto"/>
        <w:textAlignment w:val="auto"/>
        <w:rPr>
          <w:rFonts w:hint="eastAsia" w:ascii="宋体" w:hAnsi="宋体"/>
          <w:b/>
          <w:color w:val="auto"/>
          <w:sz w:val="32"/>
          <w:szCs w:val="32"/>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_Toc27474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第七章 质疑、投诉材料格式</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_Toc27474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82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30E236A5">
      <w:pPr>
        <w:widowControl/>
        <w:jc w:val="left"/>
        <w:rPr>
          <w:rFonts w:ascii="宋体" w:hAnsi="宋体"/>
          <w:b/>
          <w:color w:val="auto"/>
          <w:sz w:val="32"/>
          <w:szCs w:val="32"/>
          <w:highlight w:val="none"/>
        </w:rPr>
        <w:sectPr>
          <w:pgSz w:w="11906" w:h="16838"/>
          <w:pgMar w:top="1440" w:right="1440" w:bottom="1440" w:left="1587" w:header="851" w:footer="992" w:gutter="0"/>
          <w:pgNumType w:start="0"/>
          <w:cols w:space="720" w:num="1"/>
          <w:docGrid w:type="lines" w:linePitch="312" w:charSpace="0"/>
        </w:sectPr>
      </w:pPr>
    </w:p>
    <w:p w14:paraId="2ACFB289">
      <w:pPr>
        <w:pStyle w:val="2"/>
        <w:spacing w:before="0" w:line="240" w:lineRule="auto"/>
        <w:jc w:val="center"/>
        <w:rPr>
          <w:rFonts w:hint="eastAsia"/>
          <w:color w:val="auto"/>
          <w:highlight w:val="none"/>
        </w:rPr>
      </w:pPr>
      <w:bookmarkStart w:id="1" w:name="_Toc8095"/>
      <w:r>
        <w:rPr>
          <w:rFonts w:hint="eastAsia"/>
          <w:color w:val="auto"/>
          <w:highlight w:val="none"/>
        </w:rPr>
        <w:t>第一章</w:t>
      </w:r>
      <w:r>
        <w:rPr>
          <w:color w:val="auto"/>
          <w:highlight w:val="none"/>
        </w:rPr>
        <w:t xml:space="preserve"> </w:t>
      </w:r>
      <w:bookmarkStart w:id="2" w:name="OLE_LINK1"/>
      <w:r>
        <w:rPr>
          <w:rFonts w:hint="eastAsia"/>
          <w:color w:val="auto"/>
          <w:highlight w:val="none"/>
        </w:rPr>
        <w:t>竞争性磋商公告</w:t>
      </w:r>
      <w:bookmarkEnd w:id="1"/>
      <w:bookmarkStart w:id="3" w:name="_Toc44229878"/>
      <w:bookmarkStart w:id="4" w:name="_Toc35393798"/>
      <w:bookmarkStart w:id="5" w:name="_Toc28359089"/>
      <w:bookmarkStart w:id="6" w:name="_Toc28359012"/>
      <w:bookmarkStart w:id="7" w:name="_Toc35393629"/>
      <w:bookmarkStart w:id="8" w:name="_Toc35393792"/>
      <w:bookmarkStart w:id="9" w:name="_Toc35393623"/>
      <w:bookmarkStart w:id="10" w:name="_Toc28359004"/>
      <w:bookmarkStart w:id="11" w:name="_Toc28359081"/>
    </w:p>
    <w:p w14:paraId="01A9EF57">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color w:val="auto"/>
          <w:highlight w:val="none"/>
        </w:rPr>
      </w:pPr>
      <w:r>
        <w:rPr>
          <w:rFonts w:hint="eastAsia"/>
          <w:color w:val="auto"/>
          <w:highlight w:val="none"/>
        </w:rPr>
        <mc:AlternateContent>
          <mc:Choice Requires="wps">
            <w:drawing>
              <wp:anchor distT="0" distB="0" distL="114300" distR="114300" simplePos="0" relativeHeight="251659264" behindDoc="1" locked="0" layoutInCell="1" allowOverlap="1">
                <wp:simplePos x="0" y="0"/>
                <wp:positionH relativeFrom="column">
                  <wp:posOffset>66040</wp:posOffset>
                </wp:positionH>
                <wp:positionV relativeFrom="paragraph">
                  <wp:posOffset>210185</wp:posOffset>
                </wp:positionV>
                <wp:extent cx="5841365" cy="1439545"/>
                <wp:effectExtent l="0" t="0" r="6985" b="8255"/>
                <wp:wrapTight wrapText="bothSides">
                  <wp:wrapPolygon>
                    <wp:start x="21592" y="-2"/>
                    <wp:lineTo x="0" y="0"/>
                    <wp:lineTo x="0" y="21600"/>
                    <wp:lineTo x="21592" y="21602"/>
                    <wp:lineTo x="8" y="21602"/>
                    <wp:lineTo x="21600" y="21600"/>
                    <wp:lineTo x="21600" y="0"/>
                    <wp:lineTo x="8" y="-2"/>
                    <wp:lineTo x="21592" y="-2"/>
                  </wp:wrapPolygon>
                </wp:wrapTight>
                <wp:docPr id="1" name="文本框 101"/>
                <wp:cNvGraphicFramePr/>
                <a:graphic xmlns:a="http://schemas.openxmlformats.org/drawingml/2006/main">
                  <a:graphicData uri="http://schemas.microsoft.com/office/word/2010/wordprocessingShape">
                    <wps:wsp>
                      <wps:cNvSpPr txBox="1"/>
                      <wps:spPr>
                        <a:xfrm>
                          <a:off x="0" y="0"/>
                          <a:ext cx="5841365" cy="1439545"/>
                        </a:xfrm>
                        <a:prstGeom prst="rect">
                          <a:avLst/>
                        </a:prstGeom>
                        <a:solidFill>
                          <a:srgbClr val="FFFFFF"/>
                        </a:solidFill>
                        <a:ln>
                          <a:noFill/>
                        </a:ln>
                      </wps:spPr>
                      <wps:txbx>
                        <w:txbxContent>
                          <w:p w14:paraId="2D719CD5">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color w:val="000000"/>
                                <w:szCs w:val="21"/>
                              </w:rPr>
                            </w:pPr>
                            <w:r>
                              <w:rPr>
                                <w:rFonts w:hint="eastAsia" w:ascii="宋体" w:hAnsi="宋体"/>
                                <w:color w:val="000000"/>
                                <w:szCs w:val="21"/>
                              </w:rPr>
                              <w:t>项目概况</w:t>
                            </w:r>
                          </w:p>
                          <w:p w14:paraId="3BB2518B">
                            <w:pPr>
                              <w:pBdr>
                                <w:top w:val="single" w:color="auto" w:sz="4" w:space="1"/>
                                <w:left w:val="single" w:color="auto" w:sz="4" w:space="4"/>
                                <w:bottom w:val="single" w:color="auto" w:sz="4" w:space="1"/>
                                <w:right w:val="single" w:color="auto" w:sz="4" w:space="4"/>
                              </w:pBdr>
                              <w:spacing w:line="360" w:lineRule="auto"/>
                              <w:ind w:firstLine="420" w:firstLineChars="200"/>
                              <w:rPr>
                                <w:rFonts w:hint="eastAsia" w:ascii="宋体" w:hAnsi="宋体"/>
                                <w:color w:val="000000"/>
                                <w:szCs w:val="21"/>
                              </w:rPr>
                            </w:pPr>
                            <w:r>
                              <w:rPr>
                                <w:rFonts w:hint="eastAsia" w:ascii="宋体" w:hAnsi="宋体"/>
                                <w:color w:val="000000"/>
                                <w:szCs w:val="21"/>
                                <w:u w:val="single"/>
                                <w:lang w:eastAsia="zh-CN"/>
                              </w:rPr>
                              <w:t>邕宁区蒲庙电灌站灌区续建配套与节水改造工程项目立项建议报告编制技术服务项目</w:t>
                            </w:r>
                            <w:r>
                              <w:rPr>
                                <w:rFonts w:hint="eastAsia" w:ascii="宋体" w:hAnsi="宋体"/>
                                <w:color w:val="000000"/>
                                <w:szCs w:val="21"/>
                              </w:rPr>
                              <w:t>的潜在供应商应在</w:t>
                            </w:r>
                            <w:r>
                              <w:rPr>
                                <w:rFonts w:hint="eastAsia" w:ascii="宋体" w:hAnsi="宋体"/>
                                <w:szCs w:val="21"/>
                              </w:rPr>
                              <w:t>“广西政府采购云”平台（</w:t>
                            </w:r>
                            <w:r>
                              <w:rPr>
                                <w:rFonts w:hint="eastAsia" w:ascii="宋体" w:hAnsi="宋体"/>
                                <w:snapToGrid w:val="0"/>
                                <w:szCs w:val="21"/>
                              </w:rPr>
                              <w:t>https://www.gcy.zfcg.gxzf.gov.cn/）获取（下载）</w:t>
                            </w:r>
                            <w:r>
                              <w:rPr>
                                <w:rFonts w:hint="eastAsia" w:ascii="宋体" w:hAnsi="宋体"/>
                                <w:color w:val="000000"/>
                                <w:szCs w:val="21"/>
                              </w:rPr>
                              <w:t>获取竞争性磋商文件，并于</w:t>
                            </w:r>
                            <w:bookmarkStart w:id="271" w:name="PO_3000001868_PM015_2"/>
                            <w:r>
                              <w:rPr>
                                <w:rFonts w:hint="eastAsia" w:ascii="宋体" w:hAnsi="宋体"/>
                                <w:color w:val="000000"/>
                                <w:szCs w:val="21"/>
                                <w:u w:val="single"/>
                              </w:rPr>
                              <w:t>202</w:t>
                            </w:r>
                            <w:r>
                              <w:rPr>
                                <w:rFonts w:hint="eastAsia" w:ascii="宋体" w:hAnsi="宋体"/>
                                <w:color w:val="000000"/>
                                <w:szCs w:val="21"/>
                                <w:u w:val="single"/>
                                <w:lang w:val="en-US" w:eastAsia="zh-CN"/>
                              </w:rPr>
                              <w:t>6</w:t>
                            </w:r>
                            <w:r>
                              <w:rPr>
                                <w:rFonts w:ascii="宋体" w:hAnsi="宋体"/>
                                <w:color w:val="000000"/>
                                <w:szCs w:val="21"/>
                                <w:u w:val="single"/>
                              </w:rPr>
                              <w:t>-</w:t>
                            </w:r>
                            <w:r>
                              <w:rPr>
                                <w:rFonts w:hint="eastAsia" w:ascii="宋体" w:hAnsi="宋体"/>
                                <w:color w:val="000000"/>
                                <w:szCs w:val="21"/>
                                <w:u w:val="single"/>
                                <w:lang w:val="en-US" w:eastAsia="zh-CN"/>
                              </w:rPr>
                              <w:t>4</w:t>
                            </w:r>
                            <w:r>
                              <w:rPr>
                                <w:rFonts w:ascii="宋体" w:hAnsi="宋体"/>
                                <w:color w:val="000000"/>
                                <w:szCs w:val="21"/>
                                <w:u w:val="single"/>
                              </w:rPr>
                              <w:t>-</w:t>
                            </w:r>
                            <w:r>
                              <w:rPr>
                                <w:rFonts w:hint="eastAsia" w:ascii="宋体" w:hAnsi="宋体"/>
                                <w:color w:val="000000"/>
                                <w:szCs w:val="21"/>
                                <w:u w:val="single"/>
                                <w:lang w:val="en-US" w:eastAsia="zh-CN"/>
                              </w:rPr>
                              <w:t>24</w:t>
                            </w:r>
                            <w:r>
                              <w:rPr>
                                <w:rFonts w:hint="eastAsia" w:ascii="宋体" w:hAnsi="宋体"/>
                                <w:color w:val="000000"/>
                                <w:szCs w:val="21"/>
                                <w:u w:val="single"/>
                              </w:rPr>
                              <w:t xml:space="preserve"> </w:t>
                            </w:r>
                            <w:r>
                              <w:rPr>
                                <w:rFonts w:ascii="宋体" w:hAnsi="宋体"/>
                                <w:color w:val="000000"/>
                                <w:szCs w:val="21"/>
                                <w:u w:val="single"/>
                              </w:rPr>
                              <w:t xml:space="preserve"> 09:30:00</w:t>
                            </w:r>
                            <w:bookmarkEnd w:id="271"/>
                            <w:r>
                              <w:rPr>
                                <w:rFonts w:hint="eastAsia" w:ascii="宋体" w:hAnsi="宋体"/>
                                <w:bCs/>
                                <w:color w:val="000000"/>
                                <w:szCs w:val="21"/>
                              </w:rPr>
                              <w:t>（北京时间）前提交响应文件</w:t>
                            </w:r>
                            <w:r>
                              <w:rPr>
                                <w:rFonts w:hint="eastAsia" w:ascii="宋体" w:hAnsi="宋体"/>
                                <w:color w:val="000000"/>
                                <w:szCs w:val="21"/>
                              </w:rPr>
                              <w:t>。</w:t>
                            </w:r>
                          </w:p>
                          <w:p w14:paraId="2992E01C">
                            <w:pPr>
                              <w:rPr>
                                <w:rFonts w:hint="eastAsia"/>
                              </w:rPr>
                            </w:pPr>
                          </w:p>
                        </w:txbxContent>
                      </wps:txbx>
                      <wps:bodyPr vert="horz" wrap="square" anchor="t" anchorCtr="0" upright="1"/>
                    </wps:wsp>
                  </a:graphicData>
                </a:graphic>
              </wp:anchor>
            </w:drawing>
          </mc:Choice>
          <mc:Fallback>
            <w:pict>
              <v:shape id="文本框 101" o:spid="_x0000_s1026" o:spt="202" type="#_x0000_t202" style="position:absolute;left:0pt;margin-left:5.2pt;margin-top:16.55pt;height:113.35pt;width:459.95pt;mso-wrap-distance-left:9pt;mso-wrap-distance-right:9pt;z-index:-251657216;mso-width-relative:page;mso-height-relative:page;" fillcolor="#FFFFFF" filled="t" stroked="f" coordsize="21600,21600" wrapcoords="21592 -2 0 0 0 21600 21592 21602 8 21602 21600 21600 21600 0 8 -2 21592 -2" o:gfxdata="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G4ofldcAAAAJAQAA&#10;DwAAAAAAAAABACAAAAAiAAAAZHJzL2Rvd25yZXYueG1sUEsBAhQAFAAAAAgAh07iQMYGWODhAQAA&#10;rQMAAA4AAAAAAAAAAQAgAAAAJgEAAGRycy9lMm9Eb2MueG1sUEsFBgAAAAAGAAYAWQEAAHkFAAAA&#10;AA==&#10;">
                <v:fill on="t" focussize="0,0"/>
                <v:stroke on="f"/>
                <v:imagedata o:title=""/>
                <o:lock v:ext="edit" aspectratio="f"/>
                <v:textbox>
                  <w:txbxContent>
                    <w:p w14:paraId="2D719CD5">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color w:val="000000"/>
                          <w:szCs w:val="21"/>
                        </w:rPr>
                      </w:pPr>
                      <w:r>
                        <w:rPr>
                          <w:rFonts w:hint="eastAsia" w:ascii="宋体" w:hAnsi="宋体"/>
                          <w:color w:val="000000"/>
                          <w:szCs w:val="21"/>
                        </w:rPr>
                        <w:t>项目概况</w:t>
                      </w:r>
                    </w:p>
                    <w:p w14:paraId="3BB2518B">
                      <w:pPr>
                        <w:pBdr>
                          <w:top w:val="single" w:color="auto" w:sz="4" w:space="1"/>
                          <w:left w:val="single" w:color="auto" w:sz="4" w:space="4"/>
                          <w:bottom w:val="single" w:color="auto" w:sz="4" w:space="1"/>
                          <w:right w:val="single" w:color="auto" w:sz="4" w:space="4"/>
                        </w:pBdr>
                        <w:spacing w:line="360" w:lineRule="auto"/>
                        <w:ind w:firstLine="420" w:firstLineChars="200"/>
                        <w:rPr>
                          <w:rFonts w:hint="eastAsia" w:ascii="宋体" w:hAnsi="宋体"/>
                          <w:color w:val="000000"/>
                          <w:szCs w:val="21"/>
                        </w:rPr>
                      </w:pPr>
                      <w:r>
                        <w:rPr>
                          <w:rFonts w:hint="eastAsia" w:ascii="宋体" w:hAnsi="宋体"/>
                          <w:color w:val="000000"/>
                          <w:szCs w:val="21"/>
                          <w:u w:val="single"/>
                          <w:lang w:eastAsia="zh-CN"/>
                        </w:rPr>
                        <w:t>邕宁区蒲庙电灌站灌区续建配套与节水改造工程项目立项建议报告编制技术服务项目</w:t>
                      </w:r>
                      <w:r>
                        <w:rPr>
                          <w:rFonts w:hint="eastAsia" w:ascii="宋体" w:hAnsi="宋体"/>
                          <w:color w:val="000000"/>
                          <w:szCs w:val="21"/>
                        </w:rPr>
                        <w:t>的潜在供应商应在</w:t>
                      </w:r>
                      <w:r>
                        <w:rPr>
                          <w:rFonts w:hint="eastAsia" w:ascii="宋体" w:hAnsi="宋体"/>
                          <w:szCs w:val="21"/>
                        </w:rPr>
                        <w:t>“广西政府采购云”平台（</w:t>
                      </w:r>
                      <w:r>
                        <w:rPr>
                          <w:rFonts w:hint="eastAsia" w:ascii="宋体" w:hAnsi="宋体"/>
                          <w:snapToGrid w:val="0"/>
                          <w:szCs w:val="21"/>
                        </w:rPr>
                        <w:t>https://www.gcy.zfcg.gxzf.gov.cn/）获取（下载）</w:t>
                      </w:r>
                      <w:r>
                        <w:rPr>
                          <w:rFonts w:hint="eastAsia" w:ascii="宋体" w:hAnsi="宋体"/>
                          <w:color w:val="000000"/>
                          <w:szCs w:val="21"/>
                        </w:rPr>
                        <w:t>获取竞争性磋商文件，并于</w:t>
                      </w:r>
                      <w:bookmarkStart w:id="271" w:name="PO_3000001868_PM015_2"/>
                      <w:r>
                        <w:rPr>
                          <w:rFonts w:hint="eastAsia" w:ascii="宋体" w:hAnsi="宋体"/>
                          <w:color w:val="000000"/>
                          <w:szCs w:val="21"/>
                          <w:u w:val="single"/>
                        </w:rPr>
                        <w:t>202</w:t>
                      </w:r>
                      <w:r>
                        <w:rPr>
                          <w:rFonts w:hint="eastAsia" w:ascii="宋体" w:hAnsi="宋体"/>
                          <w:color w:val="000000"/>
                          <w:szCs w:val="21"/>
                          <w:u w:val="single"/>
                          <w:lang w:val="en-US" w:eastAsia="zh-CN"/>
                        </w:rPr>
                        <w:t>6</w:t>
                      </w:r>
                      <w:r>
                        <w:rPr>
                          <w:rFonts w:ascii="宋体" w:hAnsi="宋体"/>
                          <w:color w:val="000000"/>
                          <w:szCs w:val="21"/>
                          <w:u w:val="single"/>
                        </w:rPr>
                        <w:t>-</w:t>
                      </w:r>
                      <w:r>
                        <w:rPr>
                          <w:rFonts w:hint="eastAsia" w:ascii="宋体" w:hAnsi="宋体"/>
                          <w:color w:val="000000"/>
                          <w:szCs w:val="21"/>
                          <w:u w:val="single"/>
                          <w:lang w:val="en-US" w:eastAsia="zh-CN"/>
                        </w:rPr>
                        <w:t>4</w:t>
                      </w:r>
                      <w:r>
                        <w:rPr>
                          <w:rFonts w:ascii="宋体" w:hAnsi="宋体"/>
                          <w:color w:val="000000"/>
                          <w:szCs w:val="21"/>
                          <w:u w:val="single"/>
                        </w:rPr>
                        <w:t>-</w:t>
                      </w:r>
                      <w:r>
                        <w:rPr>
                          <w:rFonts w:hint="eastAsia" w:ascii="宋体" w:hAnsi="宋体"/>
                          <w:color w:val="000000"/>
                          <w:szCs w:val="21"/>
                          <w:u w:val="single"/>
                          <w:lang w:val="en-US" w:eastAsia="zh-CN"/>
                        </w:rPr>
                        <w:t>24</w:t>
                      </w:r>
                      <w:r>
                        <w:rPr>
                          <w:rFonts w:hint="eastAsia" w:ascii="宋体" w:hAnsi="宋体"/>
                          <w:color w:val="000000"/>
                          <w:szCs w:val="21"/>
                          <w:u w:val="single"/>
                        </w:rPr>
                        <w:t xml:space="preserve"> </w:t>
                      </w:r>
                      <w:r>
                        <w:rPr>
                          <w:rFonts w:ascii="宋体" w:hAnsi="宋体"/>
                          <w:color w:val="000000"/>
                          <w:szCs w:val="21"/>
                          <w:u w:val="single"/>
                        </w:rPr>
                        <w:t xml:space="preserve"> 09:30:00</w:t>
                      </w:r>
                      <w:bookmarkEnd w:id="271"/>
                      <w:r>
                        <w:rPr>
                          <w:rFonts w:hint="eastAsia" w:ascii="宋体" w:hAnsi="宋体"/>
                          <w:bCs/>
                          <w:color w:val="000000"/>
                          <w:szCs w:val="21"/>
                        </w:rPr>
                        <w:t>（北京时间）前提交响应文件</w:t>
                      </w:r>
                      <w:r>
                        <w:rPr>
                          <w:rFonts w:hint="eastAsia" w:ascii="宋体" w:hAnsi="宋体"/>
                          <w:color w:val="000000"/>
                          <w:szCs w:val="21"/>
                        </w:rPr>
                        <w:t>。</w:t>
                      </w:r>
                    </w:p>
                    <w:p w14:paraId="2992E01C">
                      <w:pPr>
                        <w:rPr>
                          <w:rFonts w:hint="eastAsia"/>
                        </w:rPr>
                      </w:pPr>
                    </w:p>
                  </w:txbxContent>
                </v:textbox>
                <w10:wrap type="tight"/>
              </v:shape>
            </w:pict>
          </mc:Fallback>
        </mc:AlternateContent>
      </w:r>
      <w:r>
        <w:rPr>
          <w:rFonts w:hint="eastAsia" w:ascii="宋体" w:hAnsi="宋体" w:eastAsia="宋体" w:cs="宋体"/>
          <w:bCs/>
          <w:color w:val="auto"/>
          <w:sz w:val="24"/>
          <w:highlight w:val="none"/>
        </w:rPr>
        <w:t>一、项目基本情况</w:t>
      </w:r>
      <w:bookmarkEnd w:id="3"/>
      <w:bookmarkEnd w:id="4"/>
      <w:bookmarkEnd w:id="5"/>
      <w:bookmarkEnd w:id="6"/>
      <w:bookmarkEnd w:id="7"/>
    </w:p>
    <w:p w14:paraId="1845E228">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1.项目编号：</w:t>
      </w:r>
      <w:r>
        <w:rPr>
          <w:rFonts w:hint="eastAsia" w:ascii="宋体" w:hAnsi="宋体" w:cs="宋体"/>
          <w:color w:val="auto"/>
          <w:szCs w:val="21"/>
          <w:highlight w:val="none"/>
          <w:lang w:eastAsia="zh-CN"/>
        </w:rPr>
        <w:t>NNZC2026-C3-090018-KWZB</w:t>
      </w:r>
    </w:p>
    <w:p w14:paraId="5F92E446">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color w:val="auto"/>
          <w:szCs w:val="21"/>
          <w:highlight w:val="none"/>
          <w:u w:val="single"/>
          <w:lang w:eastAsia="zh-CN"/>
        </w:rPr>
      </w:pPr>
      <w:r>
        <w:rPr>
          <w:rFonts w:hint="eastAsia" w:ascii="宋体" w:hAnsi="宋体" w:eastAsia="宋体" w:cs="宋体"/>
          <w:color w:val="auto"/>
          <w:szCs w:val="21"/>
          <w:highlight w:val="none"/>
        </w:rPr>
        <w:t>2.项目名称：</w:t>
      </w:r>
      <w:r>
        <w:rPr>
          <w:rFonts w:hint="eastAsia" w:ascii="宋体" w:hAnsi="宋体" w:cs="宋体"/>
          <w:color w:val="auto"/>
          <w:szCs w:val="21"/>
          <w:highlight w:val="none"/>
          <w:lang w:eastAsia="zh-CN"/>
        </w:rPr>
        <w:t>邕宁区蒲庙电灌站灌区续建配套与节水改造工程项目立项建议报告编制技术服务项目</w:t>
      </w:r>
    </w:p>
    <w:p w14:paraId="5B981B03">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3.采购方式：竞争性磋商</w:t>
      </w:r>
    </w:p>
    <w:p w14:paraId="49C11393">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4.预算金额：</w:t>
      </w:r>
      <w:r>
        <w:rPr>
          <w:rFonts w:hint="eastAsia" w:ascii="宋体" w:hAnsi="宋体" w:eastAsia="宋体" w:cs="宋体"/>
          <w:color w:val="auto"/>
          <w:szCs w:val="21"/>
          <w:highlight w:val="none"/>
          <w:lang w:val="en-US" w:eastAsia="zh-CN"/>
        </w:rPr>
        <w:t>100万</w:t>
      </w:r>
      <w:r>
        <w:rPr>
          <w:rFonts w:hint="eastAsia" w:ascii="宋体" w:hAnsi="宋体" w:eastAsia="宋体" w:cs="宋体"/>
          <w:color w:val="auto"/>
          <w:szCs w:val="21"/>
          <w:highlight w:val="none"/>
        </w:rPr>
        <w:t>元。</w:t>
      </w:r>
    </w:p>
    <w:p w14:paraId="4DBE7998">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5.最高限价</w:t>
      </w:r>
      <w:bookmarkStart w:id="12" w:name="_Hlk66782034"/>
      <w:r>
        <w:rPr>
          <w:rFonts w:hint="eastAsia" w:ascii="宋体" w:hAnsi="宋体" w:eastAsia="宋体" w:cs="宋体"/>
          <w:color w:val="auto"/>
          <w:szCs w:val="21"/>
          <w:highlight w:val="none"/>
        </w:rPr>
        <w:t>（如有）</w:t>
      </w:r>
      <w:bookmarkEnd w:id="12"/>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100万</w:t>
      </w:r>
      <w:r>
        <w:rPr>
          <w:rFonts w:hint="eastAsia" w:ascii="宋体" w:hAnsi="宋体" w:eastAsia="宋体" w:cs="宋体"/>
          <w:color w:val="auto"/>
          <w:szCs w:val="21"/>
          <w:highlight w:val="none"/>
        </w:rPr>
        <w:t>元。</w:t>
      </w:r>
    </w:p>
    <w:p w14:paraId="41A0D70F">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6.采购需求：</w:t>
      </w:r>
      <w:bookmarkStart w:id="13" w:name="PO_3000001868_PM004"/>
    </w:p>
    <w:tbl>
      <w:tblPr>
        <w:tblStyle w:val="25"/>
        <w:tblW w:w="0" w:type="auto"/>
        <w:tblInd w:w="3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64"/>
        <w:gridCol w:w="2029"/>
        <w:gridCol w:w="709"/>
        <w:gridCol w:w="4819"/>
        <w:gridCol w:w="636"/>
      </w:tblGrid>
      <w:tr w14:paraId="154F06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4" w:type="dxa"/>
            <w:noWrap w:val="0"/>
            <w:vAlign w:val="center"/>
          </w:tcPr>
          <w:p w14:paraId="0897C80D">
            <w:pPr>
              <w:keepNext w:val="0"/>
              <w:keepLines w:val="0"/>
              <w:pageBreakBefore w:val="0"/>
              <w:kinsoku/>
              <w:wordWrap/>
              <w:overflowPunct/>
              <w:topLinePunct w:val="0"/>
              <w:autoSpaceDE/>
              <w:autoSpaceDN/>
              <w:bidi w:val="0"/>
              <w:adjustRightInd/>
              <w:spacing w:line="36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分标名称</w:t>
            </w:r>
          </w:p>
        </w:tc>
        <w:tc>
          <w:tcPr>
            <w:tcW w:w="2029" w:type="dxa"/>
            <w:noWrap w:val="0"/>
            <w:vAlign w:val="center"/>
          </w:tcPr>
          <w:p w14:paraId="7088C690">
            <w:pPr>
              <w:keepNext w:val="0"/>
              <w:keepLines w:val="0"/>
              <w:pageBreakBefore w:val="0"/>
              <w:kinsoku/>
              <w:wordWrap/>
              <w:overflowPunct/>
              <w:topLinePunct w:val="0"/>
              <w:autoSpaceDE/>
              <w:autoSpaceDN/>
              <w:bidi w:val="0"/>
              <w:adjustRightInd/>
              <w:spacing w:line="36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标的名称</w:t>
            </w:r>
          </w:p>
        </w:tc>
        <w:tc>
          <w:tcPr>
            <w:tcW w:w="709" w:type="dxa"/>
            <w:noWrap w:val="0"/>
            <w:vAlign w:val="center"/>
          </w:tcPr>
          <w:p w14:paraId="7A953248">
            <w:pPr>
              <w:keepNext w:val="0"/>
              <w:keepLines w:val="0"/>
              <w:pageBreakBefore w:val="0"/>
              <w:kinsoku/>
              <w:wordWrap/>
              <w:overflowPunct/>
              <w:topLinePunct w:val="0"/>
              <w:autoSpaceDE/>
              <w:autoSpaceDN/>
              <w:bidi w:val="0"/>
              <w:adjustRightInd/>
              <w:spacing w:line="36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数量</w:t>
            </w:r>
          </w:p>
        </w:tc>
        <w:tc>
          <w:tcPr>
            <w:tcW w:w="4819" w:type="dxa"/>
            <w:noWrap w:val="0"/>
            <w:vAlign w:val="center"/>
          </w:tcPr>
          <w:p w14:paraId="7A1AFD96">
            <w:pPr>
              <w:keepNext w:val="0"/>
              <w:keepLines w:val="0"/>
              <w:pageBreakBefore w:val="0"/>
              <w:kinsoku/>
              <w:wordWrap/>
              <w:overflowPunct/>
              <w:topLinePunct w:val="0"/>
              <w:autoSpaceDE/>
              <w:autoSpaceDN/>
              <w:bidi w:val="0"/>
              <w:adjustRightInd/>
              <w:spacing w:line="36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简要规格描述或分标基本概况介绍</w:t>
            </w:r>
          </w:p>
        </w:tc>
        <w:tc>
          <w:tcPr>
            <w:tcW w:w="0" w:type="auto"/>
            <w:noWrap w:val="0"/>
            <w:vAlign w:val="center"/>
          </w:tcPr>
          <w:p w14:paraId="2236A291">
            <w:pPr>
              <w:keepNext w:val="0"/>
              <w:keepLines w:val="0"/>
              <w:pageBreakBefore w:val="0"/>
              <w:kinsoku/>
              <w:wordWrap/>
              <w:overflowPunct/>
              <w:topLinePunct w:val="0"/>
              <w:autoSpaceDE/>
              <w:autoSpaceDN/>
              <w:bidi w:val="0"/>
              <w:adjustRightInd/>
              <w:spacing w:line="36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备注</w:t>
            </w:r>
          </w:p>
        </w:tc>
      </w:tr>
      <w:tr w14:paraId="23D964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4" w:type="dxa"/>
            <w:noWrap w:val="0"/>
            <w:vAlign w:val="center"/>
          </w:tcPr>
          <w:p w14:paraId="742FC6DB">
            <w:pPr>
              <w:keepNext w:val="0"/>
              <w:keepLines w:val="0"/>
              <w:pageBreakBefore w:val="0"/>
              <w:kinsoku/>
              <w:wordWrap/>
              <w:overflowPunct/>
              <w:topLinePunct w:val="0"/>
              <w:autoSpaceDE/>
              <w:autoSpaceDN/>
              <w:bidi w:val="0"/>
              <w:adjustRightInd/>
              <w:spacing w:line="36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2029" w:type="dxa"/>
            <w:noWrap w:val="0"/>
            <w:vAlign w:val="center"/>
          </w:tcPr>
          <w:p w14:paraId="3709083A">
            <w:pPr>
              <w:pStyle w:val="15"/>
              <w:keepNext w:val="0"/>
              <w:keepLines w:val="0"/>
              <w:pageBreakBefore w:val="0"/>
              <w:widowControl/>
              <w:kinsoku/>
              <w:wordWrap/>
              <w:overflowPunct/>
              <w:topLinePunct w:val="0"/>
              <w:autoSpaceDE/>
              <w:autoSpaceDN/>
              <w:bidi w:val="0"/>
              <w:adjustRightInd/>
              <w:spacing w:line="360" w:lineRule="exact"/>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邕宁区蒲庙电灌站灌区续建配套与节水改造工程项目立项建议报告编制技术服务</w:t>
            </w:r>
          </w:p>
        </w:tc>
        <w:tc>
          <w:tcPr>
            <w:tcW w:w="709" w:type="dxa"/>
            <w:noWrap w:val="0"/>
            <w:vAlign w:val="center"/>
          </w:tcPr>
          <w:p w14:paraId="4B5F3622">
            <w:pPr>
              <w:keepNext w:val="0"/>
              <w:keepLines w:val="0"/>
              <w:pageBreakBefore w:val="0"/>
              <w:kinsoku/>
              <w:wordWrap/>
              <w:overflowPunct/>
              <w:topLinePunct w:val="0"/>
              <w:autoSpaceDE/>
              <w:autoSpaceDN/>
              <w:bidi w:val="0"/>
              <w:adjustRightInd/>
              <w:spacing w:line="36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1项</w:t>
            </w:r>
          </w:p>
        </w:tc>
        <w:tc>
          <w:tcPr>
            <w:tcW w:w="4819" w:type="dxa"/>
            <w:noWrap w:val="0"/>
            <w:vAlign w:val="center"/>
          </w:tcPr>
          <w:p w14:paraId="5EC7ABA8">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宋体" w:hAnsi="宋体" w:eastAsia="宋体" w:cs="宋体"/>
                <w:color w:val="auto"/>
                <w:highlight w:val="none"/>
                <w:lang w:val="en-US" w:eastAsia="zh-CN"/>
              </w:rPr>
            </w:pPr>
            <w:r>
              <w:rPr>
                <w:rFonts w:hint="eastAsia" w:ascii="宋体" w:hAnsi="宋体" w:eastAsia="宋体" w:cs="宋体"/>
                <w:color w:val="auto"/>
                <w:spacing w:val="-2"/>
                <w:highlight w:val="none"/>
                <w:lang w:val="en-US" w:eastAsia="zh-CN"/>
              </w:rPr>
              <w:t>服务内容</w:t>
            </w:r>
            <w:r>
              <w:rPr>
                <w:rFonts w:hint="eastAsia" w:ascii="宋体" w:hAnsi="宋体" w:cs="宋体"/>
                <w:color w:val="auto"/>
                <w:spacing w:val="-2"/>
                <w:highlight w:val="none"/>
                <w:lang w:val="en-US" w:eastAsia="zh-CN"/>
              </w:rPr>
              <w:t>：</w:t>
            </w:r>
            <w:r>
              <w:rPr>
                <w:rFonts w:hint="eastAsia" w:ascii="宋体" w:hAnsi="宋体" w:eastAsia="宋体" w:cs="宋体"/>
                <w:color w:val="auto"/>
                <w:spacing w:val="-2"/>
                <w:highlight w:val="none"/>
                <w:lang w:val="en-US" w:eastAsia="zh-CN"/>
              </w:rPr>
              <w:t>根据国家现行有关规范提供：《邕宁区蒲庙电灌站灌区续建配套与节水改造工程项目立项建议报告》，</w:t>
            </w:r>
            <w:r>
              <w:rPr>
                <w:rFonts w:hint="eastAsia" w:ascii="宋体" w:hAnsi="宋体" w:cs="宋体"/>
                <w:color w:val="auto"/>
                <w:spacing w:val="-2"/>
                <w:highlight w:val="none"/>
                <w:lang w:val="en-US" w:eastAsia="zh-CN"/>
              </w:rPr>
              <w:t>工作内容包含报告编制及评估、前期工作工程勘察，</w:t>
            </w:r>
            <w:r>
              <w:rPr>
                <w:rFonts w:hint="eastAsia" w:ascii="宋体" w:hAnsi="宋体" w:eastAsia="宋体" w:cs="宋体"/>
                <w:color w:val="auto"/>
                <w:spacing w:val="-2"/>
                <w:highlight w:val="none"/>
                <w:lang w:val="en-US" w:eastAsia="zh-CN"/>
              </w:rPr>
              <w:t>项目立项建议报告应当达到可行性研究报告深度</w:t>
            </w:r>
            <w:r>
              <w:rPr>
                <w:rFonts w:hint="eastAsia" w:hAnsi="宋体" w:cs="宋体"/>
                <w:color w:val="auto"/>
                <w:spacing w:val="-2"/>
                <w:highlight w:val="none"/>
                <w:lang w:val="en-US" w:eastAsia="zh-CN"/>
              </w:rPr>
              <w:t>。……</w:t>
            </w:r>
          </w:p>
        </w:tc>
        <w:tc>
          <w:tcPr>
            <w:tcW w:w="0" w:type="auto"/>
            <w:noWrap w:val="0"/>
            <w:vAlign w:val="center"/>
          </w:tcPr>
          <w:p w14:paraId="075A273C">
            <w:pPr>
              <w:keepNext w:val="0"/>
              <w:keepLines w:val="0"/>
              <w:pageBreakBefore w:val="0"/>
              <w:kinsoku/>
              <w:wordWrap/>
              <w:overflowPunct/>
              <w:topLinePunct w:val="0"/>
              <w:autoSpaceDE/>
              <w:autoSpaceDN/>
              <w:bidi w:val="0"/>
              <w:adjustRightInd/>
              <w:spacing w:line="360" w:lineRule="exact"/>
              <w:jc w:val="center"/>
              <w:textAlignment w:val="auto"/>
              <w:rPr>
                <w:rFonts w:hint="eastAsia" w:ascii="宋体" w:hAnsi="宋体" w:eastAsia="宋体" w:cs="宋体"/>
                <w:color w:val="auto"/>
                <w:szCs w:val="21"/>
                <w:highlight w:val="none"/>
              </w:rPr>
            </w:pPr>
          </w:p>
        </w:tc>
      </w:tr>
      <w:bookmarkEnd w:id="13"/>
    </w:tbl>
    <w:p w14:paraId="0A088505">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color w:val="auto"/>
          <w:szCs w:val="21"/>
          <w:highlight w:val="none"/>
          <w:u w:val="single"/>
          <w:lang w:eastAsia="zh-CN"/>
        </w:rPr>
      </w:pPr>
      <w:r>
        <w:rPr>
          <w:rFonts w:hint="eastAsia" w:ascii="宋体" w:hAnsi="宋体" w:eastAsia="宋体" w:cs="宋体"/>
          <w:color w:val="auto"/>
          <w:szCs w:val="21"/>
          <w:highlight w:val="none"/>
        </w:rPr>
        <w:t>7.合同履行期限：</w:t>
      </w:r>
      <w:r>
        <w:rPr>
          <w:rFonts w:hint="eastAsia" w:ascii="宋体" w:hAnsi="宋体" w:cs="宋体"/>
          <w:bCs w:val="0"/>
          <w:color w:val="auto"/>
          <w:kern w:val="2"/>
          <w:szCs w:val="24"/>
          <w:highlight w:val="none"/>
          <w:lang w:val="en-US" w:eastAsia="zh-CN"/>
        </w:rPr>
        <w:t>合同签订之日起60日历天内提交项目立项建议报告（送审稿）</w:t>
      </w:r>
      <w:r>
        <w:rPr>
          <w:rFonts w:hint="eastAsia" w:ascii="宋体" w:hAnsi="宋体" w:eastAsia="宋体" w:cs="宋体"/>
          <w:color w:val="auto"/>
          <w:szCs w:val="21"/>
          <w:highlight w:val="none"/>
        </w:rPr>
        <w:t>，具体详见磋商采购文件</w:t>
      </w:r>
      <w:r>
        <w:rPr>
          <w:rFonts w:hint="eastAsia" w:ascii="宋体" w:hAnsi="宋体" w:eastAsia="宋体" w:cs="宋体"/>
          <w:color w:val="auto"/>
          <w:szCs w:val="21"/>
          <w:highlight w:val="none"/>
          <w:lang w:eastAsia="zh-CN"/>
        </w:rPr>
        <w:t>。</w:t>
      </w:r>
    </w:p>
    <w:p w14:paraId="3E14724F">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8.本项目是否接受联合体：□是，☑否</w:t>
      </w:r>
    </w:p>
    <w:p w14:paraId="4EA8D240">
      <w:pPr>
        <w:keepNext w:val="0"/>
        <w:keepLines w:val="0"/>
        <w:pageBreakBefore w:val="0"/>
        <w:kinsoku/>
        <w:wordWrap/>
        <w:overflowPunct/>
        <w:topLinePunct w:val="0"/>
        <w:autoSpaceDE/>
        <w:autoSpaceDN/>
        <w:bidi w:val="0"/>
        <w:adjustRightInd/>
        <w:spacing w:line="360" w:lineRule="exact"/>
        <w:ind w:firstLine="482" w:firstLineChars="200"/>
        <w:textAlignment w:val="auto"/>
        <w:rPr>
          <w:rFonts w:hint="eastAsia" w:ascii="宋体" w:hAnsi="宋体" w:eastAsia="宋体" w:cs="宋体"/>
          <w:bCs/>
          <w:color w:val="auto"/>
          <w:sz w:val="24"/>
          <w:highlight w:val="none"/>
        </w:rPr>
      </w:pPr>
      <w:bookmarkStart w:id="14" w:name="_Toc35393630"/>
      <w:bookmarkStart w:id="15" w:name="_Toc28359013"/>
      <w:bookmarkStart w:id="16" w:name="_Toc35393799"/>
      <w:bookmarkStart w:id="17" w:name="_Toc44229879"/>
      <w:bookmarkStart w:id="18" w:name="_Toc28359090"/>
      <w:r>
        <w:rPr>
          <w:rFonts w:hint="eastAsia" w:ascii="宋体" w:hAnsi="宋体" w:eastAsia="宋体" w:cs="宋体"/>
          <w:b/>
          <w:color w:val="auto"/>
          <w:kern w:val="44"/>
          <w:sz w:val="24"/>
          <w:highlight w:val="none"/>
        </w:rPr>
        <w:t>二、供应商的资格条件</w:t>
      </w:r>
      <w:bookmarkEnd w:id="14"/>
      <w:bookmarkEnd w:id="15"/>
      <w:bookmarkEnd w:id="16"/>
      <w:bookmarkEnd w:id="17"/>
      <w:bookmarkEnd w:id="18"/>
    </w:p>
    <w:p w14:paraId="41D71CCC">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1.满足《中华人民共和国政府采购法》第二十二条规定；</w:t>
      </w:r>
    </w:p>
    <w:p w14:paraId="4A0C1963">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2.落实政府采购政策需满足的资格要求：</w:t>
      </w:r>
    </w:p>
    <w:p w14:paraId="218613D0">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☑专门面向中小企业采购的项目（供应商应为中、小、微型企业，监狱企业、残疾人福利性单位视为小微企业)</w:t>
      </w:r>
    </w:p>
    <w:p w14:paraId="7BED38EC">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□非专门面向中小企业采购的项目</w:t>
      </w:r>
    </w:p>
    <w:p w14:paraId="3CC5DF63">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3.本项目的特定资格要求：</w:t>
      </w:r>
      <w:r>
        <w:rPr>
          <w:rFonts w:hint="eastAsia" w:ascii="宋体" w:hAnsi="宋体" w:eastAsia="宋体" w:cs="宋体"/>
          <w:color w:val="auto"/>
          <w:szCs w:val="21"/>
          <w:highlight w:val="none"/>
          <w:lang w:val="en-US" w:eastAsia="zh-CN"/>
        </w:rPr>
        <w:t>无；</w:t>
      </w:r>
    </w:p>
    <w:p w14:paraId="51517DC5">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4.本项目的特定条件：无</w:t>
      </w:r>
      <w:r>
        <w:rPr>
          <w:rFonts w:hint="eastAsia" w:ascii="宋体" w:hAnsi="宋体" w:eastAsia="宋体" w:cs="宋体"/>
          <w:color w:val="auto"/>
          <w:szCs w:val="21"/>
          <w:highlight w:val="none"/>
          <w:lang w:eastAsia="zh-CN"/>
        </w:rPr>
        <w:t>；</w:t>
      </w:r>
    </w:p>
    <w:p w14:paraId="6AE1B3D9">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5.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r>
        <w:rPr>
          <w:rFonts w:hint="eastAsia" w:ascii="宋体" w:hAnsi="宋体" w:eastAsia="宋体" w:cs="宋体"/>
          <w:color w:val="auto"/>
          <w:szCs w:val="21"/>
          <w:highlight w:val="none"/>
          <w:lang w:eastAsia="zh-CN"/>
        </w:rPr>
        <w:t>；</w:t>
      </w:r>
    </w:p>
    <w:p w14:paraId="6184D206">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6.对在“信用中国”网站(www.creditchina.gov.cn)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p w14:paraId="75ABF222">
      <w:pPr>
        <w:keepNext w:val="0"/>
        <w:keepLines w:val="0"/>
        <w:pageBreakBefore w:val="0"/>
        <w:kinsoku/>
        <w:wordWrap/>
        <w:overflowPunct/>
        <w:topLinePunct w:val="0"/>
        <w:autoSpaceDE/>
        <w:autoSpaceDN/>
        <w:bidi w:val="0"/>
        <w:adjustRightInd/>
        <w:spacing w:line="360" w:lineRule="exact"/>
        <w:ind w:firstLine="482" w:firstLineChars="200"/>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三、获取竞争性磋商文件</w:t>
      </w:r>
      <w:bookmarkEnd w:id="8"/>
      <w:bookmarkEnd w:id="9"/>
      <w:bookmarkEnd w:id="10"/>
      <w:bookmarkEnd w:id="11"/>
    </w:p>
    <w:p w14:paraId="195A692E">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color w:val="auto"/>
          <w:szCs w:val="21"/>
          <w:highlight w:val="none"/>
        </w:rPr>
      </w:pPr>
      <w:bookmarkStart w:id="19" w:name="_Toc35393793"/>
      <w:bookmarkStart w:id="20" w:name="_Toc28359005"/>
      <w:bookmarkStart w:id="21" w:name="_Toc35393624"/>
      <w:bookmarkStart w:id="22" w:name="_Toc28359082"/>
      <w:r>
        <w:rPr>
          <w:rFonts w:hint="eastAsia" w:ascii="宋体" w:hAnsi="宋体" w:eastAsia="宋体" w:cs="宋体"/>
          <w:color w:val="auto"/>
          <w:szCs w:val="21"/>
          <w:highlight w:val="none"/>
        </w:rPr>
        <w:t>时间：自公告发布之日起。</w:t>
      </w:r>
    </w:p>
    <w:p w14:paraId="08F17848">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b/>
          <w:bCs/>
          <w:color w:val="auto"/>
          <w:sz w:val="24"/>
          <w:highlight w:val="none"/>
        </w:rPr>
      </w:pPr>
      <w:r>
        <w:rPr>
          <w:rFonts w:hint="eastAsia" w:ascii="宋体" w:hAnsi="宋体" w:eastAsia="宋体" w:cs="宋体"/>
          <w:color w:val="auto"/>
          <w:szCs w:val="21"/>
          <w:highlight w:val="none"/>
        </w:rPr>
        <w:t>获取方式</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网上下载。本项目不发放纸质采购文件，供应商可自行在</w:t>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广西政府采购云平台”平台（http：//www.zcygov.cn）下载采购文件（操作路径：登录“广西政府采购云平台”平台-项目采购-获取采购文件-找到本项目-点击“申请获取采购文件”），电子响应文件制作需要基于“广西政府采购云平台”平台（http：//www.zcygov.cn）获取的采购文件编制。</w:t>
      </w:r>
    </w:p>
    <w:p w14:paraId="75CDD6BE">
      <w:pPr>
        <w:keepNext w:val="0"/>
        <w:keepLines w:val="0"/>
        <w:pageBreakBefore w:val="0"/>
        <w:kinsoku/>
        <w:wordWrap/>
        <w:overflowPunct/>
        <w:topLinePunct w:val="0"/>
        <w:autoSpaceDE/>
        <w:autoSpaceDN/>
        <w:bidi w:val="0"/>
        <w:adjustRightInd/>
        <w:snapToGrid w:val="0"/>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售价：0元。</w:t>
      </w:r>
    </w:p>
    <w:p w14:paraId="68F3B72E">
      <w:pPr>
        <w:keepNext w:val="0"/>
        <w:keepLines w:val="0"/>
        <w:pageBreakBefore w:val="0"/>
        <w:kinsoku/>
        <w:wordWrap/>
        <w:overflowPunct/>
        <w:topLinePunct w:val="0"/>
        <w:autoSpaceDE/>
        <w:autoSpaceDN/>
        <w:bidi w:val="0"/>
        <w:adjustRightInd/>
        <w:spacing w:line="360" w:lineRule="exact"/>
        <w:ind w:firstLine="482" w:firstLineChars="200"/>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四、</w:t>
      </w:r>
      <w:bookmarkEnd w:id="19"/>
      <w:bookmarkEnd w:id="20"/>
      <w:bookmarkEnd w:id="21"/>
      <w:bookmarkEnd w:id="22"/>
      <w:r>
        <w:rPr>
          <w:rFonts w:hint="eastAsia" w:ascii="宋体" w:hAnsi="宋体" w:eastAsia="宋体" w:cs="宋体"/>
          <w:b/>
          <w:bCs/>
          <w:color w:val="auto"/>
          <w:sz w:val="24"/>
          <w:highlight w:val="none"/>
        </w:rPr>
        <w:t>响应文件提交</w:t>
      </w:r>
    </w:p>
    <w:p w14:paraId="71C7C943">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1、首次响应文件提交截止时间</w:t>
      </w:r>
      <w:r>
        <w:rPr>
          <w:rFonts w:hint="eastAsia" w:ascii="宋体" w:hAnsi="宋体" w:eastAsia="宋体" w:cs="宋体"/>
          <w:bCs/>
          <w:color w:val="auto"/>
          <w:szCs w:val="21"/>
          <w:highlight w:val="none"/>
        </w:rPr>
        <w:t>（北京时间）：</w:t>
      </w:r>
      <w:bookmarkStart w:id="23" w:name="PO_3000001868_PM015"/>
      <w:r>
        <w:rPr>
          <w:rFonts w:hint="eastAsia" w:ascii="宋体" w:hAnsi="宋体" w:eastAsia="宋体" w:cs="宋体"/>
          <w:bCs/>
          <w:color w:val="auto"/>
          <w:szCs w:val="21"/>
          <w:highlight w:val="none"/>
          <w:u w:val="single"/>
        </w:rPr>
        <w:t>202</w:t>
      </w:r>
      <w:r>
        <w:rPr>
          <w:rFonts w:hint="eastAsia" w:ascii="宋体" w:hAnsi="宋体" w:eastAsia="宋体" w:cs="宋体"/>
          <w:bCs/>
          <w:color w:val="auto"/>
          <w:szCs w:val="21"/>
          <w:highlight w:val="none"/>
          <w:u w:val="single"/>
          <w:lang w:val="en-US" w:eastAsia="zh-CN"/>
        </w:rPr>
        <w:t>6</w:t>
      </w:r>
      <w:r>
        <w:rPr>
          <w:rFonts w:hint="eastAsia" w:ascii="宋体" w:hAnsi="宋体" w:eastAsia="宋体" w:cs="宋体"/>
          <w:bCs/>
          <w:color w:val="auto"/>
          <w:szCs w:val="21"/>
          <w:highlight w:val="none"/>
          <w:u w:val="single"/>
        </w:rPr>
        <w:t>-</w:t>
      </w:r>
      <w:r>
        <w:rPr>
          <w:rFonts w:hint="eastAsia" w:ascii="宋体" w:hAnsi="宋体" w:cs="宋体"/>
          <w:bCs/>
          <w:color w:val="auto"/>
          <w:szCs w:val="21"/>
          <w:highlight w:val="none"/>
          <w:u w:val="single"/>
          <w:lang w:val="en-US" w:eastAsia="zh-CN"/>
        </w:rPr>
        <w:t>4</w:t>
      </w:r>
      <w:r>
        <w:rPr>
          <w:rFonts w:hint="eastAsia" w:ascii="宋体" w:hAnsi="宋体" w:eastAsia="宋体" w:cs="宋体"/>
          <w:bCs/>
          <w:color w:val="auto"/>
          <w:szCs w:val="21"/>
          <w:highlight w:val="none"/>
          <w:u w:val="single"/>
        </w:rPr>
        <w:t>-</w:t>
      </w:r>
      <w:r>
        <w:rPr>
          <w:rFonts w:hint="eastAsia" w:ascii="宋体" w:hAnsi="宋体" w:cs="宋体"/>
          <w:bCs/>
          <w:color w:val="auto"/>
          <w:szCs w:val="21"/>
          <w:highlight w:val="none"/>
          <w:u w:val="single"/>
          <w:lang w:val="en-US" w:eastAsia="zh-CN"/>
        </w:rPr>
        <w:t>24</w:t>
      </w:r>
      <w:r>
        <w:rPr>
          <w:rFonts w:hint="eastAsia" w:ascii="宋体" w:hAnsi="宋体" w:eastAsia="宋体" w:cs="宋体"/>
          <w:bCs/>
          <w:color w:val="auto"/>
          <w:szCs w:val="21"/>
          <w:highlight w:val="none"/>
          <w:u w:val="single"/>
        </w:rPr>
        <w:t xml:space="preserve">  09:30:00</w:t>
      </w:r>
      <w:bookmarkEnd w:id="23"/>
    </w:p>
    <w:p w14:paraId="2FFDF99A">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2、首次响应文件提交地点：</w:t>
      </w:r>
    </w:p>
    <w:p w14:paraId="3BB6C026">
      <w:pPr>
        <w:keepNext w:val="0"/>
        <w:keepLines w:val="0"/>
        <w:pageBreakBefore w:val="0"/>
        <w:widowControl/>
        <w:kinsoku/>
        <w:wordWrap/>
        <w:overflowPunct/>
        <w:topLinePunct w:val="0"/>
        <w:autoSpaceDE/>
        <w:autoSpaceDN/>
        <w:bidi w:val="0"/>
        <w:adjustRightInd/>
        <w:spacing w:line="360" w:lineRule="exact"/>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文件提交方式：本项目为南宁市全流程电子化项目，通过“广西政府采购云平台”平台（http：//www.zcygov.cn）实行在线电子响应，供应商应先安装“广西政府采购云平台电子交易客户端”（请自行前往“广西政府采购云平台”平台进行下载），并按照本项目采购文件和“广西政府采购云平台”平台的要求编制、加密后在投标截止时间前通过网络上传至南宁市“广西政府采购云平台”平台，</w:t>
      </w:r>
      <w:r>
        <w:rPr>
          <w:rFonts w:hint="eastAsia" w:ascii="宋体" w:hAnsi="宋体" w:eastAsia="宋体" w:cs="宋体"/>
          <w:b/>
          <w:color w:val="auto"/>
          <w:szCs w:val="21"/>
          <w:highlight w:val="none"/>
        </w:rPr>
        <w:t>供应商在“广西政府采购云平台”平台提交电子版响应文件时，请填写参加远程采购活动经办人联系方式，</w:t>
      </w:r>
      <w:r>
        <w:rPr>
          <w:rFonts w:hint="eastAsia" w:ascii="宋体" w:hAnsi="宋体" w:eastAsia="宋体" w:cs="宋体"/>
          <w:color w:val="auto"/>
          <w:szCs w:val="21"/>
          <w:highlight w:val="none"/>
        </w:rPr>
        <w:t>电子响应文件具体操作流程详见本公告附件。</w:t>
      </w:r>
    </w:p>
    <w:p w14:paraId="3E6EE78F">
      <w:pPr>
        <w:keepNext w:val="0"/>
        <w:keepLines w:val="0"/>
        <w:pageBreakBefore w:val="0"/>
        <w:widowControl/>
        <w:kinsoku/>
        <w:wordWrap/>
        <w:overflowPunct/>
        <w:topLinePunct w:val="0"/>
        <w:autoSpaceDE/>
        <w:autoSpaceDN/>
        <w:bidi w:val="0"/>
        <w:adjustRightInd/>
        <w:spacing w:line="360" w:lineRule="exact"/>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未进行网上注册并办理数字证书（CA认证）的供应商将无法参与本项目政府采购活动，潜在供应商应当在投标截止时间前，完成电子交易平台上的CA数字证书办理（申领流程见本公告附件2）及响应文件的提交。完成CA数字证书办理预计7日左右，供应商只需办理其中一家CA数字证书及签章。</w:t>
      </w:r>
    </w:p>
    <w:p w14:paraId="54D1123A">
      <w:pPr>
        <w:keepNext w:val="0"/>
        <w:keepLines w:val="0"/>
        <w:pageBreakBefore w:val="0"/>
        <w:widowControl/>
        <w:kinsoku/>
        <w:wordWrap/>
        <w:overflowPunct/>
        <w:topLinePunct w:val="0"/>
        <w:autoSpaceDE/>
        <w:autoSpaceDN/>
        <w:bidi w:val="0"/>
        <w:adjustRightInd/>
        <w:spacing w:line="360" w:lineRule="exact"/>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（3）为确保网上操作合法、有效和安全，请供应商确保在电子响应过程中能够对相关数据电文进行加密和使用电子签章，妥善保管CA数字证书并使用有效的CA数字证书参与整个采购活动。</w:t>
      </w:r>
    </w:p>
    <w:p w14:paraId="0C896496">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bCs/>
          <w:color w:val="auto"/>
          <w:szCs w:val="21"/>
          <w:highlight w:val="none"/>
          <w:u w:val="single"/>
        </w:rPr>
      </w:pPr>
      <w:r>
        <w:rPr>
          <w:rFonts w:hint="eastAsia" w:ascii="宋体" w:hAnsi="宋体" w:eastAsia="宋体" w:cs="宋体"/>
          <w:bCs/>
          <w:color w:val="auto"/>
          <w:szCs w:val="21"/>
          <w:highlight w:val="none"/>
          <w:u w:val="single"/>
        </w:rPr>
        <w:t>注：供应商应当在首次响应文件提交截止时间前完成电子响应文件的上传、递交，响应文件提交截止时间前可以补充、修改或者撤回响应文件。补充或者修改响应文件的，应当先行撤回原文件，补充、修改后重新上传、递交。响应截止时间前未完成上传、递交的，视为撤回响应文件。响应文件提交截止时间以后上传递交的响应文件的，“广西政府采购云平台”平台将予以拒收。</w:t>
      </w:r>
    </w:p>
    <w:p w14:paraId="6B50DF5C">
      <w:pPr>
        <w:keepNext w:val="0"/>
        <w:keepLines w:val="0"/>
        <w:pageBreakBefore w:val="0"/>
        <w:kinsoku/>
        <w:wordWrap/>
        <w:overflowPunct/>
        <w:topLinePunct w:val="0"/>
        <w:autoSpaceDE/>
        <w:autoSpaceDN/>
        <w:bidi w:val="0"/>
        <w:adjustRightInd/>
        <w:snapToGrid w:val="0"/>
        <w:spacing w:line="36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CA证书在线解密：首次响应文件开启时，须要供应商携带制作响应文件时用来加密的有效数字证书（CA认证）登录“广西政府采购云平台”平台电子开标大厅现场按规定时间对加密的响应文件进行解密，否则后果自负。</w:t>
      </w:r>
    </w:p>
    <w:p w14:paraId="1487C921">
      <w:pPr>
        <w:keepNext w:val="0"/>
        <w:keepLines w:val="0"/>
        <w:pageBreakBefore w:val="0"/>
        <w:kinsoku/>
        <w:wordWrap/>
        <w:overflowPunct/>
        <w:topLinePunct w:val="0"/>
        <w:autoSpaceDE/>
        <w:autoSpaceDN/>
        <w:bidi w:val="0"/>
        <w:adjustRightInd/>
        <w:snapToGrid w:val="0"/>
        <w:spacing w:line="36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4、供应商需要在具备有摄像头及语音功能且互联网网络状况良好的电脑登录“广西政府采购云平台”平台远程开标大厅参与本次磋商，否则后果自负。</w:t>
      </w:r>
    </w:p>
    <w:p w14:paraId="7C2AB541">
      <w:pPr>
        <w:keepNext w:val="0"/>
        <w:keepLines w:val="0"/>
        <w:pageBreakBefore w:val="0"/>
        <w:kinsoku/>
        <w:wordWrap/>
        <w:overflowPunct/>
        <w:topLinePunct w:val="0"/>
        <w:autoSpaceDE/>
        <w:autoSpaceDN/>
        <w:bidi w:val="0"/>
        <w:adjustRightInd/>
        <w:spacing w:line="360" w:lineRule="exact"/>
        <w:ind w:firstLine="482" w:firstLineChars="200"/>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五、开启（首次响应文件开启时间）</w:t>
      </w:r>
    </w:p>
    <w:p w14:paraId="7CA5C436">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bCs/>
          <w:color w:val="auto"/>
          <w:szCs w:val="21"/>
          <w:highlight w:val="none"/>
          <w:u w:val="single"/>
        </w:rPr>
      </w:pPr>
      <w:r>
        <w:rPr>
          <w:rFonts w:hint="eastAsia" w:ascii="宋体" w:hAnsi="宋体" w:eastAsia="宋体" w:cs="宋体"/>
          <w:color w:val="auto"/>
          <w:szCs w:val="21"/>
          <w:highlight w:val="none"/>
        </w:rPr>
        <w:t>1.时间</w:t>
      </w:r>
      <w:r>
        <w:rPr>
          <w:rFonts w:hint="eastAsia" w:ascii="宋体" w:hAnsi="宋体" w:eastAsia="宋体" w:cs="宋体"/>
          <w:bCs/>
          <w:color w:val="auto"/>
          <w:szCs w:val="21"/>
          <w:highlight w:val="none"/>
        </w:rPr>
        <w:t>（北京时间）</w:t>
      </w:r>
      <w:r>
        <w:rPr>
          <w:rFonts w:hint="eastAsia" w:ascii="宋体" w:hAnsi="宋体" w:eastAsia="宋体" w:cs="宋体"/>
          <w:color w:val="auto"/>
          <w:szCs w:val="21"/>
          <w:highlight w:val="none"/>
        </w:rPr>
        <w:t>：</w:t>
      </w:r>
      <w:bookmarkStart w:id="24" w:name="PO_3000001868_PM015_1"/>
      <w:r>
        <w:rPr>
          <w:rFonts w:hint="eastAsia" w:ascii="宋体" w:hAnsi="宋体" w:eastAsia="宋体" w:cs="宋体"/>
          <w:color w:val="auto"/>
          <w:szCs w:val="21"/>
          <w:highlight w:val="none"/>
          <w:u w:val="single"/>
        </w:rPr>
        <w:t>202</w:t>
      </w:r>
      <w:r>
        <w:rPr>
          <w:rFonts w:hint="eastAsia" w:ascii="宋体" w:hAnsi="宋体" w:eastAsia="宋体" w:cs="宋体"/>
          <w:color w:val="auto"/>
          <w:szCs w:val="21"/>
          <w:highlight w:val="none"/>
          <w:u w:val="single"/>
          <w:lang w:val="en-US" w:eastAsia="zh-CN"/>
        </w:rPr>
        <w:t>6</w:t>
      </w:r>
      <w:r>
        <w:rPr>
          <w:rFonts w:hint="eastAsia" w:ascii="宋体" w:hAnsi="宋体" w:eastAsia="宋体" w:cs="宋体"/>
          <w:color w:val="auto"/>
          <w:szCs w:val="21"/>
          <w:highlight w:val="none"/>
          <w:u w:val="single"/>
        </w:rPr>
        <w:t>-</w:t>
      </w:r>
      <w:r>
        <w:rPr>
          <w:rFonts w:hint="eastAsia" w:ascii="宋体" w:hAnsi="宋体" w:cs="宋体"/>
          <w:color w:val="auto"/>
          <w:szCs w:val="21"/>
          <w:highlight w:val="none"/>
          <w:u w:val="single"/>
          <w:lang w:val="en-US" w:eastAsia="zh-CN"/>
        </w:rPr>
        <w:t>4</w:t>
      </w:r>
      <w:r>
        <w:rPr>
          <w:rFonts w:hint="eastAsia" w:ascii="宋体" w:hAnsi="宋体" w:eastAsia="宋体" w:cs="宋体"/>
          <w:color w:val="auto"/>
          <w:szCs w:val="21"/>
          <w:highlight w:val="none"/>
          <w:u w:val="single"/>
        </w:rPr>
        <w:t>-</w:t>
      </w:r>
      <w:r>
        <w:rPr>
          <w:rFonts w:hint="eastAsia" w:ascii="宋体" w:hAnsi="宋体" w:cs="宋体"/>
          <w:color w:val="auto"/>
          <w:szCs w:val="21"/>
          <w:highlight w:val="none"/>
          <w:u w:val="single"/>
          <w:lang w:val="en-US" w:eastAsia="zh-CN"/>
        </w:rPr>
        <w:t>24</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 xml:space="preserve">  09:30:00</w:t>
      </w:r>
      <w:bookmarkEnd w:id="24"/>
      <w:r>
        <w:rPr>
          <w:rFonts w:hint="eastAsia" w:ascii="宋体" w:hAnsi="宋体" w:eastAsia="宋体" w:cs="宋体"/>
          <w:color w:val="auto"/>
          <w:szCs w:val="21"/>
          <w:highlight w:val="none"/>
        </w:rPr>
        <w:t>后</w:t>
      </w:r>
    </w:p>
    <w:p w14:paraId="4DAEFBBA">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bCs/>
          <w:color w:val="auto"/>
          <w:szCs w:val="21"/>
          <w:highlight w:val="none"/>
          <w:u w:val="single"/>
        </w:rPr>
      </w:pPr>
      <w:r>
        <w:rPr>
          <w:rFonts w:hint="eastAsia" w:ascii="宋体" w:hAnsi="宋体" w:eastAsia="宋体" w:cs="宋体"/>
          <w:color w:val="auto"/>
          <w:szCs w:val="21"/>
          <w:highlight w:val="none"/>
        </w:rPr>
        <w:t>2.地点：广西</w:t>
      </w:r>
      <w:r>
        <w:rPr>
          <w:rFonts w:hint="eastAsia" w:ascii="宋体" w:hAnsi="宋体" w:eastAsia="宋体" w:cs="宋体"/>
          <w:color w:val="auto"/>
          <w:szCs w:val="21"/>
          <w:highlight w:val="none"/>
          <w:u w:val="single"/>
        </w:rPr>
        <w:t xml:space="preserve">政府采购云平台远程开标大厅 </w:t>
      </w:r>
    </w:p>
    <w:p w14:paraId="4DE21F57">
      <w:pPr>
        <w:keepNext w:val="0"/>
        <w:keepLines w:val="0"/>
        <w:pageBreakBefore w:val="0"/>
        <w:kinsoku/>
        <w:wordWrap/>
        <w:overflowPunct/>
        <w:topLinePunct w:val="0"/>
        <w:autoSpaceDE/>
        <w:autoSpaceDN/>
        <w:bidi w:val="0"/>
        <w:adjustRightInd/>
        <w:spacing w:line="360" w:lineRule="exact"/>
        <w:ind w:firstLine="482" w:firstLineChars="200"/>
        <w:textAlignment w:val="auto"/>
        <w:rPr>
          <w:rFonts w:hint="eastAsia" w:ascii="宋体" w:hAnsi="宋体" w:eastAsia="宋体" w:cs="宋体"/>
          <w:b/>
          <w:bCs/>
          <w:color w:val="auto"/>
          <w:sz w:val="24"/>
          <w:highlight w:val="none"/>
        </w:rPr>
      </w:pPr>
      <w:bookmarkStart w:id="25" w:name="_Toc35393625"/>
      <w:bookmarkStart w:id="26" w:name="_Toc28359007"/>
      <w:bookmarkStart w:id="27" w:name="_Toc35393794"/>
      <w:bookmarkStart w:id="28" w:name="_Toc28359084"/>
      <w:r>
        <w:rPr>
          <w:rFonts w:hint="eastAsia" w:ascii="宋体" w:hAnsi="宋体" w:eastAsia="宋体" w:cs="宋体"/>
          <w:b/>
          <w:bCs/>
          <w:color w:val="auto"/>
          <w:sz w:val="24"/>
          <w:highlight w:val="none"/>
        </w:rPr>
        <w:t>六、公告期限</w:t>
      </w:r>
      <w:bookmarkEnd w:id="25"/>
      <w:bookmarkEnd w:id="26"/>
      <w:bookmarkEnd w:id="27"/>
      <w:bookmarkEnd w:id="28"/>
    </w:p>
    <w:p w14:paraId="07990B9F">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自本公告发布之日起3个工作日。</w:t>
      </w:r>
    </w:p>
    <w:p w14:paraId="7BEBB070">
      <w:pPr>
        <w:keepNext w:val="0"/>
        <w:keepLines w:val="0"/>
        <w:pageBreakBefore w:val="0"/>
        <w:kinsoku/>
        <w:wordWrap/>
        <w:overflowPunct/>
        <w:topLinePunct w:val="0"/>
        <w:autoSpaceDE/>
        <w:autoSpaceDN/>
        <w:bidi w:val="0"/>
        <w:adjustRightInd/>
        <w:spacing w:line="360" w:lineRule="exact"/>
        <w:ind w:firstLine="482" w:firstLineChars="200"/>
        <w:textAlignment w:val="auto"/>
        <w:rPr>
          <w:rFonts w:hint="eastAsia" w:ascii="宋体" w:hAnsi="宋体" w:eastAsia="宋体" w:cs="宋体"/>
          <w:b/>
          <w:bCs/>
          <w:color w:val="auto"/>
          <w:sz w:val="24"/>
          <w:highlight w:val="none"/>
        </w:rPr>
      </w:pPr>
      <w:bookmarkStart w:id="29" w:name="_Toc35393795"/>
      <w:bookmarkStart w:id="30" w:name="_Toc35393626"/>
      <w:r>
        <w:rPr>
          <w:rFonts w:hint="eastAsia" w:ascii="宋体" w:hAnsi="宋体" w:eastAsia="宋体" w:cs="宋体"/>
          <w:b/>
          <w:bCs/>
          <w:color w:val="auto"/>
          <w:sz w:val="24"/>
          <w:highlight w:val="none"/>
        </w:rPr>
        <w:t>七、其他补充事宜</w:t>
      </w:r>
      <w:bookmarkEnd w:id="29"/>
      <w:bookmarkEnd w:id="30"/>
    </w:p>
    <w:p w14:paraId="06354F68">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1.磋商保证金：本项目不收取磋商保证金</w:t>
      </w:r>
    </w:p>
    <w:p w14:paraId="32D224B9">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2.采购意向公开链接：</w:t>
      </w:r>
      <w:bookmarkStart w:id="31" w:name="PO_3000001868_PM100"/>
    </w:p>
    <w:p w14:paraId="0C99B1CD">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color w:val="auto"/>
          <w:kern w:val="0"/>
          <w:szCs w:val="21"/>
          <w:highlight w:val="none"/>
          <w:u w:val="single"/>
        </w:rPr>
      </w:pPr>
      <w:r>
        <w:rPr>
          <w:rFonts w:hint="eastAsia" w:ascii="宋体" w:hAnsi="宋体" w:eastAsia="宋体" w:cs="宋体"/>
          <w:color w:val="auto"/>
          <w:kern w:val="0"/>
          <w:szCs w:val="21"/>
          <w:highlight w:val="none"/>
          <w:u w:val="single"/>
        </w:rPr>
        <w:t>https://zfcg.gxzf.gov.cn/site/detail?parentId=66485&amp;articleId=E10cGFaKbEuiCotGdm547A==</w:t>
      </w:r>
    </w:p>
    <w:bookmarkEnd w:id="31"/>
    <w:p w14:paraId="42C01C73">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color w:val="auto"/>
          <w:kern w:val="0"/>
          <w:szCs w:val="21"/>
          <w:highlight w:val="none"/>
        </w:rPr>
      </w:pPr>
      <w:bookmarkStart w:id="32" w:name="_Hlk37429585"/>
      <w:r>
        <w:rPr>
          <w:rFonts w:hint="eastAsia" w:ascii="宋体" w:hAnsi="宋体" w:eastAsia="宋体" w:cs="宋体"/>
          <w:color w:val="auto"/>
          <w:kern w:val="0"/>
          <w:szCs w:val="21"/>
          <w:highlight w:val="none"/>
        </w:rPr>
        <w:t>3.</w:t>
      </w:r>
      <w:bookmarkStart w:id="33" w:name="_Hlk37429595"/>
      <w:r>
        <w:rPr>
          <w:rFonts w:hint="eastAsia" w:ascii="宋体" w:hAnsi="宋体" w:eastAsia="宋体" w:cs="宋体"/>
          <w:color w:val="auto"/>
          <w:kern w:val="0"/>
          <w:szCs w:val="21"/>
          <w:highlight w:val="none"/>
        </w:rPr>
        <w:t>网上查询地址</w:t>
      </w:r>
    </w:p>
    <w:bookmarkEnd w:id="32"/>
    <w:bookmarkEnd w:id="33"/>
    <w:p w14:paraId="1BBB4A85">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color w:val="auto"/>
          <w:kern w:val="0"/>
          <w:szCs w:val="21"/>
          <w:highlight w:val="none"/>
        </w:rPr>
      </w:pPr>
      <w:bookmarkStart w:id="34" w:name="_Hlk37429674"/>
      <w:r>
        <w:rPr>
          <w:rFonts w:hint="eastAsia" w:ascii="宋体" w:hAnsi="宋体" w:eastAsia="宋体" w:cs="宋体"/>
          <w:color w:val="auto"/>
          <w:kern w:val="0"/>
          <w:szCs w:val="21"/>
          <w:highlight w:val="none"/>
        </w:rPr>
        <w:t>http://www.ccgp.gov.cn (中国政府采购网)，http://zfcg.gxzf.gov.cn (广西政府采购网) ，</w:t>
      </w:r>
      <w:r>
        <w:rPr>
          <w:rFonts w:hint="eastAsia" w:ascii="宋体" w:hAnsi="宋体" w:eastAsia="宋体" w:cs="宋体"/>
          <w:color w:val="auto"/>
          <w:szCs w:val="21"/>
          <w:highlight w:val="none"/>
        </w:rPr>
        <w:t>http://ggzy.jgswj.gxzf.gov.cn/nnggzy（全国公共资源交易平台（广西.南宁））。</w:t>
      </w:r>
    </w:p>
    <w:p w14:paraId="25EF1EE4">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w:t>
      </w:r>
      <w:r>
        <w:rPr>
          <w:rFonts w:hint="eastAsia" w:ascii="宋体" w:hAnsi="宋体" w:eastAsia="宋体" w:cs="宋体"/>
          <w:color w:val="auto"/>
          <w:szCs w:val="21"/>
          <w:highlight w:val="none"/>
        </w:rPr>
        <w:t xml:space="preserve">. </w:t>
      </w:r>
      <w:r>
        <w:rPr>
          <w:rFonts w:hint="eastAsia" w:ascii="宋体" w:hAnsi="宋体" w:eastAsia="宋体" w:cs="宋体"/>
          <w:color w:val="auto"/>
          <w:kern w:val="0"/>
          <w:szCs w:val="21"/>
          <w:highlight w:val="none"/>
        </w:rPr>
        <w:t>本项目需要落实的政府采购政策</w:t>
      </w:r>
    </w:p>
    <w:bookmarkEnd w:id="34"/>
    <w:p w14:paraId="35C499EF">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color w:val="auto"/>
          <w:kern w:val="0"/>
          <w:highlight w:val="none"/>
        </w:rPr>
      </w:pPr>
      <w:r>
        <w:rPr>
          <w:rFonts w:hint="eastAsia" w:ascii="宋体" w:hAnsi="宋体" w:eastAsia="宋体" w:cs="宋体"/>
          <w:color w:val="auto"/>
          <w:kern w:val="0"/>
          <w:highlight w:val="none"/>
        </w:rPr>
        <w:t>（1）政府采购促进中小企业发展；</w:t>
      </w:r>
    </w:p>
    <w:p w14:paraId="7A28858D">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color w:val="auto"/>
          <w:kern w:val="0"/>
          <w:highlight w:val="none"/>
        </w:rPr>
      </w:pPr>
      <w:r>
        <w:rPr>
          <w:rFonts w:hint="eastAsia" w:ascii="宋体" w:hAnsi="宋体" w:eastAsia="宋体" w:cs="宋体"/>
          <w:color w:val="auto"/>
          <w:kern w:val="0"/>
          <w:highlight w:val="none"/>
        </w:rPr>
        <w:t>（2）政府采购促进残疾人就业政策；</w:t>
      </w:r>
    </w:p>
    <w:p w14:paraId="39F6E261">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color w:val="auto"/>
          <w:kern w:val="0"/>
          <w:highlight w:val="none"/>
        </w:rPr>
      </w:pPr>
      <w:r>
        <w:rPr>
          <w:rFonts w:hint="eastAsia" w:ascii="宋体" w:hAnsi="宋体" w:eastAsia="宋体" w:cs="宋体"/>
          <w:color w:val="auto"/>
          <w:kern w:val="0"/>
          <w:highlight w:val="none"/>
        </w:rPr>
        <w:t>（3）政府采购支持监狱企业发展。</w:t>
      </w:r>
    </w:p>
    <w:p w14:paraId="10997748">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供应商认为采购文件使自己的权益受到损害的，可以自获取采购文件之日或者采购文件公告期限届满之日（公告期限届满后获取采购文件的，以公告期限届满之日为准）起7个工作日内以书面形式一次性向采购人和采购代理机构提出同一环节的质疑。否则，逾期的质疑采购人及招标代理机构可不予接受。质疑供应商对采购人、采购代理机构的答复不满意或者采购人、采购代理机构未在规定的时间内作出答复的，可以在答复期满后十五个工作日内向同级政府采购监督管理部门投诉。</w:t>
      </w:r>
    </w:p>
    <w:p w14:paraId="7C65690B">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xml:space="preserve">6.若对项目采购电子交易系统操作有疑问，可登录“广西政府采购云平台”平台（https://www.zcygov.cn/），点击右侧咨询小采，获取采小蜜智能服务管家帮助，或拨打广西政府采购云平台服务热线400-881-7190获取热线服务帮助。 </w:t>
      </w:r>
    </w:p>
    <w:p w14:paraId="73209A34">
      <w:pPr>
        <w:keepNext w:val="0"/>
        <w:keepLines w:val="0"/>
        <w:pageBreakBefore w:val="0"/>
        <w:kinsoku/>
        <w:wordWrap/>
        <w:overflowPunct/>
        <w:topLinePunct w:val="0"/>
        <w:autoSpaceDE/>
        <w:autoSpaceDN/>
        <w:bidi w:val="0"/>
        <w:adjustRightInd/>
        <w:spacing w:line="360" w:lineRule="exact"/>
        <w:ind w:firstLine="482" w:firstLineChars="200"/>
        <w:textAlignment w:val="auto"/>
        <w:rPr>
          <w:rFonts w:hint="eastAsia" w:ascii="宋体" w:hAnsi="宋体" w:eastAsia="宋体" w:cs="宋体"/>
          <w:bCs/>
          <w:color w:val="auto"/>
          <w:sz w:val="24"/>
          <w:highlight w:val="none"/>
        </w:rPr>
      </w:pPr>
      <w:r>
        <w:rPr>
          <w:rFonts w:hint="eastAsia" w:ascii="宋体" w:hAnsi="宋体" w:eastAsia="宋体" w:cs="宋体"/>
          <w:b/>
          <w:color w:val="auto"/>
          <w:kern w:val="44"/>
          <w:sz w:val="24"/>
          <w:highlight w:val="none"/>
        </w:rPr>
        <w:t>八、凡对本次采购提出询问，请按以下方式联系</w:t>
      </w:r>
    </w:p>
    <w:p w14:paraId="0B41CB5A">
      <w:pPr>
        <w:keepNext w:val="0"/>
        <w:keepLines w:val="0"/>
        <w:pageBreakBefore w:val="0"/>
        <w:kinsoku/>
        <w:wordWrap/>
        <w:overflowPunct/>
        <w:topLinePunct w:val="0"/>
        <w:autoSpaceDE/>
        <w:autoSpaceDN/>
        <w:bidi w:val="0"/>
        <w:adjustRightInd/>
        <w:spacing w:line="360" w:lineRule="exact"/>
        <w:ind w:firstLine="735" w:firstLineChars="35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1.采购人信息</w:t>
      </w:r>
    </w:p>
    <w:p w14:paraId="1DA0C968">
      <w:pPr>
        <w:keepNext w:val="0"/>
        <w:keepLines w:val="0"/>
        <w:pageBreakBefore w:val="0"/>
        <w:kinsoku/>
        <w:wordWrap/>
        <w:overflowPunct/>
        <w:topLinePunct w:val="0"/>
        <w:autoSpaceDE/>
        <w:autoSpaceDN/>
        <w:bidi w:val="0"/>
        <w:adjustRightInd/>
        <w:spacing w:line="360" w:lineRule="exact"/>
        <w:ind w:left="1041" w:leftChars="371" w:hanging="262" w:hangingChars="125"/>
        <w:jc w:val="left"/>
        <w:textAlignment w:val="auto"/>
        <w:rPr>
          <w:rFonts w:hint="eastAsia" w:ascii="宋体" w:hAnsi="宋体" w:eastAsia="宋体" w:cs="宋体"/>
          <w:color w:val="auto"/>
          <w:szCs w:val="21"/>
          <w:highlight w:val="none"/>
          <w:u w:val="single"/>
          <w:lang w:eastAsia="zh-CN"/>
        </w:rPr>
      </w:pPr>
      <w:r>
        <w:rPr>
          <w:rFonts w:hint="eastAsia" w:ascii="宋体" w:hAnsi="宋体" w:eastAsia="宋体" w:cs="宋体"/>
          <w:color w:val="auto"/>
          <w:szCs w:val="21"/>
          <w:highlight w:val="none"/>
        </w:rPr>
        <w:t>名 称：</w:t>
      </w:r>
      <w:r>
        <w:rPr>
          <w:rFonts w:hint="eastAsia" w:ascii="宋体" w:hAnsi="宋体" w:eastAsia="宋体" w:cs="宋体"/>
          <w:color w:val="auto"/>
          <w:szCs w:val="21"/>
          <w:highlight w:val="none"/>
          <w:u w:val="single"/>
          <w:lang w:eastAsia="zh-CN"/>
        </w:rPr>
        <w:t>南宁市邕宁区农业农村局</w:t>
      </w:r>
    </w:p>
    <w:p w14:paraId="7A27049B">
      <w:pPr>
        <w:keepNext w:val="0"/>
        <w:keepLines w:val="0"/>
        <w:pageBreakBefore w:val="0"/>
        <w:kinsoku/>
        <w:wordWrap/>
        <w:overflowPunct/>
        <w:topLinePunct w:val="0"/>
        <w:autoSpaceDE/>
        <w:autoSpaceDN/>
        <w:bidi w:val="0"/>
        <w:adjustRightInd/>
        <w:spacing w:line="360" w:lineRule="exact"/>
        <w:ind w:left="1041" w:leftChars="371" w:hanging="262" w:hangingChars="125"/>
        <w:jc w:val="left"/>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地址：</w:t>
      </w:r>
      <w:r>
        <w:rPr>
          <w:rFonts w:hint="eastAsia" w:ascii="宋体" w:hAnsi="宋体" w:eastAsia="宋体" w:cs="宋体"/>
          <w:color w:val="auto"/>
          <w:szCs w:val="21"/>
          <w:highlight w:val="none"/>
          <w:u w:val="single"/>
          <w:lang w:eastAsia="zh-CN"/>
        </w:rPr>
        <w:t>南宁市仙葫开发区彩虹路41号</w:t>
      </w:r>
    </w:p>
    <w:p w14:paraId="77D36672">
      <w:pPr>
        <w:keepNext w:val="0"/>
        <w:keepLines w:val="0"/>
        <w:pageBreakBefore w:val="0"/>
        <w:kinsoku/>
        <w:wordWrap/>
        <w:overflowPunct/>
        <w:topLinePunct w:val="0"/>
        <w:autoSpaceDE/>
        <w:autoSpaceDN/>
        <w:bidi w:val="0"/>
        <w:adjustRightInd/>
        <w:spacing w:line="360" w:lineRule="exact"/>
        <w:ind w:left="1041" w:leftChars="371" w:hanging="262" w:hangingChars="125"/>
        <w:jc w:val="left"/>
        <w:textAlignment w:val="auto"/>
        <w:rPr>
          <w:rFonts w:hint="eastAsia" w:ascii="宋体" w:hAnsi="宋体" w:eastAsia="宋体" w:cs="宋体"/>
          <w:color w:val="auto"/>
          <w:highlight w:val="none"/>
        </w:rPr>
      </w:pPr>
      <w:r>
        <w:rPr>
          <w:rFonts w:hint="eastAsia" w:ascii="宋体" w:hAnsi="宋体" w:eastAsia="宋体" w:cs="宋体"/>
          <w:color w:val="auto"/>
          <w:szCs w:val="21"/>
          <w:highlight w:val="none"/>
        </w:rPr>
        <w:t>项目</w:t>
      </w:r>
      <w:r>
        <w:rPr>
          <w:rFonts w:hint="eastAsia" w:ascii="宋体" w:hAnsi="宋体" w:eastAsia="宋体" w:cs="宋体"/>
          <w:color w:val="auto"/>
          <w:highlight w:val="none"/>
        </w:rPr>
        <w:t>联系人：</w:t>
      </w:r>
      <w:r>
        <w:rPr>
          <w:rFonts w:hint="eastAsia" w:hAnsi="宋体" w:eastAsia="宋体" w:cs="宋体"/>
          <w:color w:val="auto"/>
          <w:highlight w:val="none"/>
          <w:u w:val="single"/>
          <w:lang w:val="en-US" w:eastAsia="zh-CN"/>
        </w:rPr>
        <w:t>杨</w:t>
      </w:r>
      <w:r>
        <w:rPr>
          <w:rFonts w:hint="eastAsia" w:ascii="宋体" w:hAnsi="宋体" w:eastAsia="宋体" w:cs="宋体"/>
          <w:color w:val="auto"/>
          <w:highlight w:val="none"/>
          <w:u w:val="single"/>
          <w:lang w:eastAsia="zh-CN"/>
        </w:rPr>
        <w:t>工</w:t>
      </w:r>
    </w:p>
    <w:p w14:paraId="7121A628">
      <w:pPr>
        <w:keepNext w:val="0"/>
        <w:keepLines w:val="0"/>
        <w:pageBreakBefore w:val="0"/>
        <w:kinsoku/>
        <w:wordWrap/>
        <w:overflowPunct/>
        <w:topLinePunct w:val="0"/>
        <w:autoSpaceDE/>
        <w:autoSpaceDN/>
        <w:bidi w:val="0"/>
        <w:adjustRightInd/>
        <w:spacing w:line="360" w:lineRule="exact"/>
        <w:ind w:left="1041" w:leftChars="371" w:hanging="262" w:hangingChars="125"/>
        <w:jc w:val="left"/>
        <w:textAlignment w:val="auto"/>
        <w:rPr>
          <w:rFonts w:hint="eastAsia" w:ascii="宋体" w:hAnsi="宋体" w:eastAsia="宋体" w:cs="宋体"/>
          <w:color w:val="auto"/>
          <w:szCs w:val="21"/>
          <w:highlight w:val="none"/>
          <w:u w:val="single"/>
          <w:lang w:eastAsia="zh-CN"/>
        </w:rPr>
      </w:pPr>
      <w:r>
        <w:rPr>
          <w:rFonts w:hint="eastAsia" w:ascii="宋体" w:hAnsi="宋体" w:eastAsia="宋体" w:cs="宋体"/>
          <w:color w:val="auto"/>
          <w:szCs w:val="21"/>
          <w:highlight w:val="none"/>
        </w:rPr>
        <w:t>联系电话：</w:t>
      </w:r>
      <w:r>
        <w:rPr>
          <w:rFonts w:hint="eastAsia" w:ascii="宋体" w:hAnsi="宋体" w:eastAsia="宋体" w:cs="宋体"/>
          <w:color w:val="auto"/>
          <w:szCs w:val="21"/>
          <w:highlight w:val="none"/>
          <w:u w:val="single"/>
          <w:lang w:eastAsia="zh-CN"/>
        </w:rPr>
        <w:t>0771-</w:t>
      </w:r>
      <w:r>
        <w:rPr>
          <w:rFonts w:hint="eastAsia" w:ascii="宋体" w:hAnsi="宋体" w:cs="宋体"/>
          <w:color w:val="auto"/>
          <w:szCs w:val="21"/>
          <w:highlight w:val="none"/>
          <w:u w:val="single"/>
          <w:lang w:eastAsia="zh-CN"/>
        </w:rPr>
        <w:t>4791452</w:t>
      </w:r>
    </w:p>
    <w:p w14:paraId="7C69A586">
      <w:pPr>
        <w:keepNext w:val="0"/>
        <w:keepLines w:val="0"/>
        <w:pageBreakBefore w:val="0"/>
        <w:kinsoku/>
        <w:wordWrap/>
        <w:overflowPunct/>
        <w:topLinePunct w:val="0"/>
        <w:autoSpaceDE/>
        <w:autoSpaceDN/>
        <w:bidi w:val="0"/>
        <w:adjustRightInd/>
        <w:spacing w:line="360" w:lineRule="exact"/>
        <w:ind w:left="1041" w:leftChars="371" w:hanging="262" w:hangingChars="125"/>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2.采购代理机构信息</w:t>
      </w:r>
    </w:p>
    <w:p w14:paraId="5C67D959">
      <w:pPr>
        <w:keepNext w:val="0"/>
        <w:keepLines w:val="0"/>
        <w:pageBreakBefore w:val="0"/>
        <w:kinsoku/>
        <w:wordWrap/>
        <w:overflowPunct/>
        <w:topLinePunct w:val="0"/>
        <w:autoSpaceDE/>
        <w:autoSpaceDN/>
        <w:bidi w:val="0"/>
        <w:adjustRightInd/>
        <w:spacing w:line="360" w:lineRule="exact"/>
        <w:ind w:firstLine="735" w:firstLineChars="350"/>
        <w:textAlignment w:val="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名 称：</w:t>
      </w:r>
      <w:bookmarkStart w:id="35" w:name="PO_3000001868_PM031_1"/>
      <w:r>
        <w:rPr>
          <w:rFonts w:hint="eastAsia" w:ascii="宋体" w:hAnsi="宋体" w:eastAsia="宋体" w:cs="宋体"/>
          <w:color w:val="auto"/>
          <w:szCs w:val="21"/>
          <w:highlight w:val="none"/>
          <w:u w:val="single"/>
        </w:rPr>
        <w:t>广西科文招标有限公司</w:t>
      </w:r>
      <w:bookmarkEnd w:id="35"/>
    </w:p>
    <w:p w14:paraId="6787AFBC">
      <w:pPr>
        <w:keepNext w:val="0"/>
        <w:keepLines w:val="0"/>
        <w:pageBreakBefore w:val="0"/>
        <w:kinsoku/>
        <w:wordWrap/>
        <w:overflowPunct/>
        <w:topLinePunct w:val="0"/>
        <w:autoSpaceDE/>
        <w:autoSpaceDN/>
        <w:bidi w:val="0"/>
        <w:adjustRightInd/>
        <w:spacing w:line="360" w:lineRule="exact"/>
        <w:ind w:firstLine="735" w:firstLineChars="35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地　址：</w:t>
      </w:r>
      <w:bookmarkStart w:id="36" w:name="PO_3000001868_PM035"/>
      <w:r>
        <w:rPr>
          <w:rFonts w:hint="eastAsia" w:ascii="宋体" w:hAnsi="宋体" w:eastAsia="宋体" w:cs="宋体"/>
          <w:color w:val="auto"/>
          <w:szCs w:val="21"/>
          <w:highlight w:val="none"/>
          <w:u w:val="single"/>
        </w:rPr>
        <w:t>广西南宁市民族大道141号中鼎万象东方D区5楼</w:t>
      </w:r>
      <w:bookmarkEnd w:id="36"/>
    </w:p>
    <w:p w14:paraId="4E9A1E67">
      <w:pPr>
        <w:keepNext w:val="0"/>
        <w:keepLines w:val="0"/>
        <w:pageBreakBefore w:val="0"/>
        <w:kinsoku/>
        <w:wordWrap/>
        <w:overflowPunct/>
        <w:topLinePunct w:val="0"/>
        <w:autoSpaceDE/>
        <w:autoSpaceDN/>
        <w:bidi w:val="0"/>
        <w:adjustRightInd/>
        <w:spacing w:line="360" w:lineRule="exact"/>
        <w:ind w:firstLine="735" w:firstLineChars="35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联系电话：</w:t>
      </w:r>
      <w:bookmarkStart w:id="37" w:name="PO_3000001868_PM033"/>
      <w:r>
        <w:rPr>
          <w:rFonts w:hint="eastAsia" w:ascii="宋体" w:hAnsi="宋体" w:eastAsia="宋体" w:cs="宋体"/>
          <w:color w:val="auto"/>
          <w:szCs w:val="21"/>
          <w:highlight w:val="none"/>
          <w:u w:val="single"/>
        </w:rPr>
        <w:t>0771-2023873</w:t>
      </w:r>
      <w:bookmarkEnd w:id="37"/>
    </w:p>
    <w:p w14:paraId="710C232B">
      <w:pPr>
        <w:keepNext w:val="0"/>
        <w:keepLines w:val="0"/>
        <w:pageBreakBefore w:val="0"/>
        <w:kinsoku/>
        <w:wordWrap/>
        <w:overflowPunct/>
        <w:topLinePunct w:val="0"/>
        <w:autoSpaceDE/>
        <w:autoSpaceDN/>
        <w:bidi w:val="0"/>
        <w:adjustRightInd/>
        <w:spacing w:line="360" w:lineRule="exact"/>
        <w:ind w:firstLine="735" w:firstLineChars="35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3.项目联系方式</w:t>
      </w:r>
    </w:p>
    <w:p w14:paraId="551F3E13">
      <w:pPr>
        <w:keepNext w:val="0"/>
        <w:keepLines w:val="0"/>
        <w:pageBreakBefore w:val="0"/>
        <w:kinsoku/>
        <w:wordWrap/>
        <w:overflowPunct/>
        <w:topLinePunct w:val="0"/>
        <w:autoSpaceDE/>
        <w:autoSpaceDN/>
        <w:bidi w:val="0"/>
        <w:adjustRightInd/>
        <w:spacing w:line="360" w:lineRule="exact"/>
        <w:ind w:firstLine="735" w:firstLineChars="350"/>
        <w:textAlignment w:val="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项目联系人：</w:t>
      </w:r>
      <w:r>
        <w:rPr>
          <w:rFonts w:hint="eastAsia" w:ascii="宋体" w:hAnsi="宋体" w:eastAsia="宋体" w:cs="宋体"/>
          <w:color w:val="auto"/>
          <w:szCs w:val="21"/>
          <w:highlight w:val="none"/>
          <w:u w:val="single"/>
        </w:rPr>
        <w:t xml:space="preserve">李婷、银睿 </w:t>
      </w:r>
    </w:p>
    <w:p w14:paraId="38976877">
      <w:pPr>
        <w:keepNext w:val="0"/>
        <w:keepLines w:val="0"/>
        <w:pageBreakBefore w:val="0"/>
        <w:kinsoku/>
        <w:wordWrap/>
        <w:overflowPunct/>
        <w:topLinePunct w:val="0"/>
        <w:autoSpaceDE/>
        <w:autoSpaceDN/>
        <w:bidi w:val="0"/>
        <w:adjustRightInd/>
        <w:spacing w:line="360" w:lineRule="exact"/>
        <w:ind w:firstLine="735" w:firstLineChars="35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电    话：</w:t>
      </w:r>
      <w:r>
        <w:rPr>
          <w:rFonts w:hint="eastAsia" w:ascii="宋体" w:hAnsi="宋体" w:eastAsia="宋体" w:cs="宋体"/>
          <w:color w:val="auto"/>
          <w:szCs w:val="21"/>
          <w:highlight w:val="none"/>
          <w:u w:val="single"/>
        </w:rPr>
        <w:t xml:space="preserve">0771-2023873 </w:t>
      </w:r>
    </w:p>
    <w:p w14:paraId="2174A73E">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color w:val="auto"/>
          <w:szCs w:val="21"/>
          <w:highlight w:val="none"/>
        </w:rPr>
      </w:pPr>
    </w:p>
    <w:p w14:paraId="654B7AE2">
      <w:pPr>
        <w:pStyle w:val="9"/>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szCs w:val="21"/>
          <w:highlight w:val="none"/>
        </w:rPr>
        <w:t>附件： 1.CA证书申请方式及操作指南下载地址（现场申请方式见网址：</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"http://www.ccgp-guangxi.gov.cn/OfficeService/DownloadArea/8354055.html?utm=a0003.39a112b4.cmp001.d0002.f0464b20ff2a11eb873141bf9e381949" </w:instrText>
      </w:r>
      <w:r>
        <w:rPr>
          <w:rFonts w:hint="eastAsia" w:ascii="宋体" w:hAnsi="宋体" w:eastAsia="宋体" w:cs="宋体"/>
          <w:color w:val="auto"/>
          <w:highlight w:val="none"/>
        </w:rPr>
        <w:fldChar w:fldCharType="separate"/>
      </w:r>
      <w:r>
        <w:rPr>
          <w:rStyle w:val="31"/>
          <w:rFonts w:hint="eastAsia" w:ascii="宋体" w:hAnsi="宋体" w:eastAsia="宋体" w:cs="宋体"/>
          <w:color w:val="auto"/>
          <w:highlight w:val="none"/>
        </w:rPr>
        <w:t>http://www.ccgp-guangxi.gov.cn/OfficeService/DownloadArea/8354055.html?utm=a0003.39a112b4.cmp001.d0002.f0464b20ff2a11eb873141bf9e381949</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t xml:space="preserve">（广西政府采购网）/网上申请方式见网址： </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"http://nncz.nanning.gov.cn/" </w:instrText>
      </w:r>
      <w:r>
        <w:rPr>
          <w:rFonts w:hint="eastAsia" w:ascii="宋体" w:hAnsi="宋体" w:eastAsia="宋体" w:cs="宋体"/>
          <w:color w:val="auto"/>
          <w:highlight w:val="none"/>
        </w:rPr>
        <w:fldChar w:fldCharType="separate"/>
      </w:r>
      <w:r>
        <w:rPr>
          <w:rStyle w:val="31"/>
          <w:rFonts w:hint="eastAsia" w:ascii="宋体" w:hAnsi="宋体" w:eastAsia="宋体" w:cs="宋体"/>
          <w:color w:val="auto"/>
          <w:highlight w:val="none"/>
        </w:rPr>
        <w:t>http://nncz.nanning.gov.cn/</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t>（南宁市财政局官网）-下载专区-“广西政采云西部CA办理方式”或“南宁市政采云CA证书办理操作指南”</w:t>
      </w:r>
      <w:r>
        <w:rPr>
          <w:rFonts w:hint="eastAsia" w:ascii="宋体" w:hAnsi="宋体" w:eastAsia="宋体" w:cs="宋体"/>
          <w:color w:val="auto"/>
          <w:szCs w:val="21"/>
          <w:highlight w:val="none"/>
        </w:rPr>
        <w:t>）</w:t>
      </w:r>
    </w:p>
    <w:p w14:paraId="2A35818A">
      <w:pPr>
        <w:pStyle w:val="9"/>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2.电子投标文件制作与投送教程（在此网址下载：</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"http://nncz.nanning.gov.cn/" </w:instrText>
      </w:r>
      <w:r>
        <w:rPr>
          <w:rFonts w:hint="eastAsia" w:ascii="宋体" w:hAnsi="宋体" w:eastAsia="宋体" w:cs="宋体"/>
          <w:color w:val="auto"/>
          <w:highlight w:val="none"/>
        </w:rPr>
        <w:fldChar w:fldCharType="separate"/>
      </w:r>
      <w:r>
        <w:rPr>
          <w:rStyle w:val="31"/>
          <w:rFonts w:hint="eastAsia" w:ascii="宋体" w:hAnsi="宋体" w:eastAsia="宋体" w:cs="宋体"/>
          <w:color w:val="auto"/>
          <w:highlight w:val="none"/>
        </w:rPr>
        <w:t>http://nncz.nanning.gov.cn/</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t>（南宁市财政局官网）-下载专区</w:t>
      </w:r>
      <w:r>
        <w:rPr>
          <w:rFonts w:hint="eastAsia" w:ascii="宋体" w:hAnsi="宋体" w:eastAsia="宋体" w:cs="宋体"/>
          <w:color w:val="auto"/>
          <w:szCs w:val="21"/>
          <w:highlight w:val="none"/>
        </w:rPr>
        <w:t>）</w:t>
      </w:r>
    </w:p>
    <w:p w14:paraId="40C31200">
      <w:pPr>
        <w:pStyle w:val="9"/>
        <w:keepNext w:val="0"/>
        <w:keepLines w:val="0"/>
        <w:pageBreakBefore w:val="0"/>
        <w:kinsoku/>
        <w:wordWrap/>
        <w:overflowPunct/>
        <w:topLinePunct w:val="0"/>
        <w:autoSpaceDE/>
        <w:autoSpaceDN/>
        <w:bidi w:val="0"/>
        <w:adjustRightInd/>
        <w:spacing w:line="360" w:lineRule="exact"/>
        <w:ind w:firstLine="420" w:firstLineChars="200"/>
        <w:jc w:val="right"/>
        <w:textAlignment w:val="auto"/>
        <w:rPr>
          <w:rFonts w:hint="eastAsia" w:ascii="宋体" w:hAnsi="宋体" w:eastAsia="宋体" w:cs="宋体"/>
          <w:color w:val="auto"/>
          <w:szCs w:val="21"/>
          <w:highlight w:val="none"/>
        </w:rPr>
      </w:pPr>
      <w:bookmarkStart w:id="38" w:name="PO_3000001868_PM031_2"/>
      <w:r>
        <w:rPr>
          <w:rFonts w:hint="eastAsia" w:ascii="宋体" w:hAnsi="宋体" w:eastAsia="宋体" w:cs="宋体"/>
          <w:color w:val="auto"/>
          <w:szCs w:val="21"/>
          <w:highlight w:val="none"/>
          <w:u w:val="single"/>
        </w:rPr>
        <w:t>广西科文招标有限公司</w:t>
      </w:r>
      <w:bookmarkEnd w:id="38"/>
    </w:p>
    <w:p w14:paraId="4919FF02">
      <w:pPr>
        <w:keepNext w:val="0"/>
        <w:keepLines w:val="0"/>
        <w:pageBreakBefore w:val="0"/>
        <w:kinsoku/>
        <w:wordWrap/>
        <w:overflowPunct/>
        <w:topLinePunct w:val="0"/>
        <w:autoSpaceDE/>
        <w:autoSpaceDN/>
        <w:bidi w:val="0"/>
        <w:adjustRightInd/>
        <w:spacing w:line="360" w:lineRule="exact"/>
        <w:ind w:firstLine="420" w:firstLineChars="200"/>
        <w:jc w:val="right"/>
        <w:textAlignment w:val="auto"/>
        <w:rPr>
          <w:rFonts w:hint="eastAsia" w:ascii="宋体" w:hAnsi="宋体"/>
          <w:color w:val="auto"/>
          <w:sz w:val="32"/>
          <w:szCs w:val="32"/>
          <w:highlight w:val="none"/>
        </w:rPr>
      </w:pPr>
      <w:r>
        <w:rPr>
          <w:rFonts w:hint="eastAsia" w:ascii="宋体" w:hAnsi="宋体" w:eastAsia="宋体" w:cs="宋体"/>
          <w:color w:val="auto"/>
          <w:szCs w:val="21"/>
          <w:highlight w:val="none"/>
          <w:u w:val="none"/>
        </w:rPr>
        <w:t>202</w:t>
      </w:r>
      <w:r>
        <w:rPr>
          <w:rFonts w:hint="eastAsia" w:ascii="宋体" w:hAnsi="宋体" w:eastAsia="宋体" w:cs="宋体"/>
          <w:color w:val="auto"/>
          <w:szCs w:val="21"/>
          <w:highlight w:val="none"/>
          <w:u w:val="none"/>
          <w:lang w:val="en-US" w:eastAsia="zh-CN"/>
        </w:rPr>
        <w:t>6</w:t>
      </w:r>
      <w:r>
        <w:rPr>
          <w:rFonts w:hint="eastAsia" w:ascii="宋体" w:hAnsi="宋体" w:eastAsia="宋体" w:cs="宋体"/>
          <w:color w:val="auto"/>
          <w:szCs w:val="21"/>
          <w:highlight w:val="none"/>
          <w:u w:val="none"/>
        </w:rPr>
        <w:t>年</w:t>
      </w:r>
      <w:r>
        <w:rPr>
          <w:rFonts w:hint="eastAsia" w:ascii="宋体" w:hAnsi="宋体" w:cs="宋体"/>
          <w:color w:val="auto"/>
          <w:szCs w:val="21"/>
          <w:highlight w:val="none"/>
          <w:u w:val="none"/>
          <w:lang w:val="en-US" w:eastAsia="zh-CN"/>
        </w:rPr>
        <w:t>4</w:t>
      </w:r>
      <w:r>
        <w:rPr>
          <w:rFonts w:hint="eastAsia" w:ascii="宋体" w:hAnsi="宋体" w:eastAsia="宋体" w:cs="宋体"/>
          <w:color w:val="auto"/>
          <w:szCs w:val="21"/>
          <w:highlight w:val="none"/>
          <w:u w:val="none"/>
        </w:rPr>
        <w:t>月</w:t>
      </w:r>
      <w:r>
        <w:rPr>
          <w:rFonts w:hint="eastAsia" w:ascii="宋体" w:hAnsi="宋体" w:cs="宋体"/>
          <w:color w:val="auto"/>
          <w:szCs w:val="21"/>
          <w:highlight w:val="none"/>
          <w:u w:val="none"/>
          <w:lang w:val="en-US" w:eastAsia="zh-CN"/>
        </w:rPr>
        <w:t>9</w:t>
      </w:r>
      <w:r>
        <w:rPr>
          <w:rFonts w:hint="eastAsia" w:ascii="宋体" w:hAnsi="宋体" w:eastAsia="宋体" w:cs="宋体"/>
          <w:color w:val="auto"/>
          <w:szCs w:val="21"/>
          <w:highlight w:val="none"/>
          <w:u w:val="none"/>
        </w:rPr>
        <w:t>日</w:t>
      </w:r>
      <w:r>
        <w:rPr>
          <w:rFonts w:hint="eastAsia" w:ascii="宋体" w:hAnsi="宋体" w:eastAsia="宋体" w:cs="宋体"/>
          <w:color w:val="auto"/>
          <w:sz w:val="32"/>
          <w:szCs w:val="32"/>
          <w:highlight w:val="none"/>
        </w:rPr>
        <w:br w:type="page"/>
      </w:r>
      <w:bookmarkEnd w:id="2"/>
    </w:p>
    <w:p w14:paraId="5D97A089">
      <w:pPr>
        <w:pStyle w:val="2"/>
        <w:jc w:val="center"/>
        <w:rPr>
          <w:rFonts w:hint="eastAsia"/>
          <w:color w:val="auto"/>
          <w:highlight w:val="none"/>
        </w:rPr>
      </w:pPr>
      <w:bookmarkStart w:id="39" w:name="_Toc16006"/>
      <w:r>
        <w:rPr>
          <w:rFonts w:hint="eastAsia" w:ascii="Cambria" w:hAnsi="Cambria"/>
          <w:bCs w:val="0"/>
          <w:color w:val="auto"/>
          <w:sz w:val="32"/>
          <w:szCs w:val="32"/>
          <w:highlight w:val="none"/>
        </w:rPr>
        <w:t>第二章</w:t>
      </w:r>
      <w:r>
        <w:rPr>
          <w:rFonts w:ascii="Cambria" w:hAnsi="Cambria"/>
          <w:bCs w:val="0"/>
          <w:color w:val="auto"/>
          <w:sz w:val="32"/>
          <w:szCs w:val="32"/>
          <w:highlight w:val="none"/>
        </w:rPr>
        <w:t xml:space="preserve"> </w:t>
      </w:r>
      <w:r>
        <w:rPr>
          <w:rFonts w:hint="eastAsia" w:ascii="Cambria" w:hAnsi="Cambria"/>
          <w:bCs w:val="0"/>
          <w:color w:val="auto"/>
          <w:sz w:val="32"/>
          <w:szCs w:val="32"/>
          <w:highlight w:val="none"/>
        </w:rPr>
        <w:t>采购需求</w:t>
      </w:r>
      <w:bookmarkEnd w:id="39"/>
    </w:p>
    <w:p w14:paraId="67167F74">
      <w:pPr>
        <w:spacing w:line="420" w:lineRule="exact"/>
        <w:jc w:val="left"/>
        <w:rPr>
          <w:rFonts w:ascii="宋体" w:hAnsi="宋体" w:cs="宋体"/>
          <w:color w:val="auto"/>
          <w:szCs w:val="21"/>
          <w:highlight w:val="none"/>
        </w:rPr>
      </w:pPr>
      <w:r>
        <w:rPr>
          <w:rFonts w:hint="eastAsia" w:ascii="宋体" w:hAnsi="宋体" w:cs="宋体"/>
          <w:color w:val="auto"/>
          <w:szCs w:val="21"/>
          <w:highlight w:val="none"/>
        </w:rPr>
        <w:t>说明：</w:t>
      </w:r>
    </w:p>
    <w:p w14:paraId="2F1FCA85">
      <w:pPr>
        <w:spacing w:line="420" w:lineRule="exact"/>
        <w:ind w:firstLine="420" w:firstLineChars="200"/>
        <w:jc w:val="left"/>
        <w:rPr>
          <w:rFonts w:hint="eastAsia" w:ascii="宋体" w:hAnsi="宋体" w:cs="宋体"/>
          <w:color w:val="auto"/>
          <w:szCs w:val="21"/>
          <w:highlight w:val="none"/>
        </w:rPr>
      </w:pPr>
      <w:r>
        <w:rPr>
          <w:rFonts w:hint="eastAsia" w:ascii="宋体" w:hAnsi="宋体"/>
          <w:color w:val="auto"/>
          <w:highlight w:val="none"/>
        </w:rPr>
        <w:t>1</w:t>
      </w:r>
      <w:r>
        <w:rPr>
          <w:color w:val="auto"/>
          <w:highlight w:val="none"/>
        </w:rPr>
        <w:t xml:space="preserve">. </w:t>
      </w:r>
      <w:r>
        <w:rPr>
          <w:rFonts w:hint="eastAsia"/>
          <w:color w:val="auto"/>
          <w:highlight w:val="none"/>
        </w:rPr>
        <w:t>为落实政府采购政策需满足的要求</w:t>
      </w:r>
    </w:p>
    <w:p w14:paraId="0D011E2D">
      <w:pPr>
        <w:spacing w:line="42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（1）本竞争性磋商采购文件所称中小企业必须符合《政府采购促进中小企业发展管理办法》（财库〔2020〕46号）的规定。</w:t>
      </w:r>
    </w:p>
    <w:p w14:paraId="3846D7EA">
      <w:pPr>
        <w:numPr>
          <w:ilvl w:val="0"/>
          <w:numId w:val="1"/>
        </w:numPr>
        <w:spacing w:line="420" w:lineRule="exact"/>
        <w:ind w:firstLine="413" w:firstLineChars="196"/>
        <w:rPr>
          <w:rFonts w:hint="eastAsia" w:ascii="宋体" w:hAnsi="宋体" w:cs="宋体"/>
          <w:b/>
          <w:bCs/>
          <w:color w:val="auto"/>
          <w:szCs w:val="21"/>
          <w:highlight w:val="none"/>
        </w:rPr>
      </w:pPr>
      <w:r>
        <w:rPr>
          <w:rFonts w:hint="eastAsia" w:ascii="宋体" w:hAnsi="宋体" w:cs="宋体"/>
          <w:b/>
          <w:bCs/>
          <w:color w:val="auto"/>
          <w:szCs w:val="21"/>
          <w:highlight w:val="none"/>
        </w:rPr>
        <w:t>“实质性要求”是指采购需求中带“▲”的条款或者不能负偏离的条款或者已经指明不满足按响应文件作无效处理的条款。</w:t>
      </w:r>
    </w:p>
    <w:p w14:paraId="48BC7BC1">
      <w:pPr>
        <w:numPr>
          <w:ilvl w:val="0"/>
          <w:numId w:val="1"/>
        </w:numPr>
        <w:spacing w:line="420" w:lineRule="exact"/>
        <w:ind w:firstLine="413" w:firstLineChars="196"/>
        <w:rPr>
          <w:rFonts w:hint="eastAsia"/>
          <w:color w:val="auto"/>
          <w:highlight w:val="none"/>
        </w:rPr>
      </w:pPr>
      <w:r>
        <w:rPr>
          <w:rFonts w:hint="eastAsia" w:ascii="宋体" w:hAnsi="宋体" w:cs="宋体"/>
          <w:b/>
          <w:bCs/>
          <w:color w:val="auto"/>
          <w:szCs w:val="21"/>
          <w:highlight w:val="none"/>
        </w:rPr>
        <w:t>不需要供应商对采购需求响应为具体数值的，此采购需求的数值后将以◆号标注。</w:t>
      </w:r>
    </w:p>
    <w:p w14:paraId="178C63E2">
      <w:pPr>
        <w:numPr>
          <w:ilvl w:val="0"/>
          <w:numId w:val="1"/>
        </w:numPr>
        <w:spacing w:line="420" w:lineRule="exact"/>
        <w:ind w:firstLine="411" w:firstLineChars="196"/>
        <w:rPr>
          <w:rFonts w:hint="eastAsia"/>
          <w:color w:val="auto"/>
          <w:highlight w:val="none"/>
        </w:rPr>
      </w:pPr>
      <w:r>
        <w:rPr>
          <w:rFonts w:hint="eastAsia"/>
          <w:color w:val="auto"/>
          <w:highlight w:val="none"/>
        </w:rPr>
        <w:t>如投标人投标产品存在侵犯他人的知识产权或者专利成果行为的，应承担相应法律责任。</w:t>
      </w:r>
    </w:p>
    <w:p w14:paraId="290E28F5">
      <w:pPr>
        <w:tabs>
          <w:tab w:val="left" w:pos="180"/>
          <w:tab w:val="left" w:pos="1620"/>
        </w:tabs>
        <w:spacing w:line="360" w:lineRule="auto"/>
        <w:ind w:firstLine="482" w:firstLineChars="200"/>
        <w:rPr>
          <w:rFonts w:ascii="宋体" w:hAnsi="宋体" w:cs="宋体"/>
          <w:b/>
          <w:bCs/>
          <w:color w:val="auto"/>
          <w:sz w:val="24"/>
          <w:highlight w:val="none"/>
        </w:rPr>
      </w:pPr>
      <w:bookmarkStart w:id="40" w:name="PO_TDCUS_ITEM_PB_REQ_FILE_1_1_1"/>
    </w:p>
    <w:tbl>
      <w:tblPr>
        <w:tblStyle w:val="25"/>
        <w:tblW w:w="9883" w:type="dxa"/>
        <w:jc w:val="center"/>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546"/>
        <w:gridCol w:w="714"/>
        <w:gridCol w:w="855"/>
        <w:gridCol w:w="709"/>
        <w:gridCol w:w="5005"/>
        <w:gridCol w:w="1276"/>
        <w:gridCol w:w="778"/>
      </w:tblGrid>
      <w:tr w14:paraId="040F3141">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54" w:hRule="atLeast"/>
          <w:jc w:val="center"/>
        </w:trPr>
        <w:tc>
          <w:tcPr>
            <w:tcW w:w="9883" w:type="dxa"/>
            <w:gridSpan w:val="7"/>
            <w:tcBorders>
              <w:top w:val="single" w:color="auto" w:sz="4" w:space="0"/>
              <w:left w:val="single" w:color="auto" w:sz="4" w:space="0"/>
              <w:bottom w:val="nil"/>
              <w:right w:val="single" w:color="auto" w:sz="4" w:space="0"/>
            </w:tcBorders>
            <w:noWrap w:val="0"/>
            <w:vAlign w:val="center"/>
          </w:tcPr>
          <w:p w14:paraId="054E0EEE">
            <w:pPr>
              <w:spacing w:line="360" w:lineRule="exact"/>
              <w:jc w:val="center"/>
              <w:rPr>
                <w:rFonts w:hint="eastAsia" w:ascii="仿宋_GB2312" w:hAnsi="宋体" w:eastAsia="仿宋_GB2312" w:cs="Arial"/>
                <w:b/>
                <w:color w:val="auto"/>
                <w:sz w:val="32"/>
                <w:szCs w:val="32"/>
                <w:highlight w:val="none"/>
              </w:rPr>
            </w:pPr>
            <w:r>
              <w:rPr>
                <w:rFonts w:hint="eastAsia" w:ascii="仿宋_GB2312" w:hAnsi="宋体" w:eastAsia="仿宋_GB2312" w:cs="Arial"/>
                <w:b/>
                <w:color w:val="auto"/>
                <w:sz w:val="32"/>
                <w:szCs w:val="32"/>
                <w:highlight w:val="none"/>
              </w:rPr>
              <w:t>服务需求一览表</w:t>
            </w:r>
          </w:p>
        </w:tc>
      </w:tr>
      <w:tr w14:paraId="30AD700E">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54" w:hRule="atLeast"/>
          <w:jc w:val="center"/>
        </w:trPr>
        <w:tc>
          <w:tcPr>
            <w:tcW w:w="546" w:type="dxa"/>
            <w:vMerge w:val="restart"/>
            <w:tcBorders>
              <w:top w:val="single" w:color="auto" w:sz="4" w:space="0"/>
              <w:left w:val="single" w:color="auto" w:sz="4" w:space="0"/>
              <w:bottom w:val="nil"/>
              <w:right w:val="single" w:color="auto" w:sz="4" w:space="0"/>
            </w:tcBorders>
            <w:noWrap w:val="0"/>
            <w:vAlign w:val="center"/>
          </w:tcPr>
          <w:p w14:paraId="35DE0049">
            <w:pPr>
              <w:spacing w:line="360" w:lineRule="exact"/>
              <w:jc w:val="center"/>
              <w:rPr>
                <w:rFonts w:ascii="宋体" w:hAnsi="宋体"/>
                <w:color w:val="auto"/>
                <w:sz w:val="24"/>
                <w:highlight w:val="none"/>
              </w:rPr>
            </w:pPr>
            <w:r>
              <w:rPr>
                <w:rFonts w:hint="eastAsia" w:ascii="宋体" w:hAnsi="宋体"/>
                <w:color w:val="auto"/>
                <w:szCs w:val="21"/>
                <w:highlight w:val="none"/>
              </w:rPr>
              <w:t>采购清单及技术参数</w:t>
            </w:r>
          </w:p>
        </w:tc>
        <w:tc>
          <w:tcPr>
            <w:tcW w:w="714" w:type="dxa"/>
            <w:tcBorders>
              <w:top w:val="single" w:color="auto" w:sz="4" w:space="0"/>
              <w:left w:val="nil"/>
              <w:bottom w:val="single" w:color="auto" w:sz="4" w:space="0"/>
              <w:right w:val="single" w:color="auto" w:sz="4" w:space="0"/>
            </w:tcBorders>
            <w:noWrap w:val="0"/>
            <w:tcMar>
              <w:top w:w="0" w:type="dxa"/>
              <w:left w:w="0" w:type="dxa"/>
              <w:bottom w:w="0" w:type="dxa"/>
              <w:right w:w="0" w:type="dxa"/>
            </w:tcMar>
            <w:vAlign w:val="center"/>
          </w:tcPr>
          <w:p w14:paraId="3D34F0C7">
            <w:pPr>
              <w:spacing w:line="360" w:lineRule="exact"/>
              <w:jc w:val="center"/>
              <w:rPr>
                <w:rFonts w:ascii="宋体" w:hAnsi="宋体"/>
                <w:color w:val="auto"/>
                <w:szCs w:val="21"/>
                <w:highlight w:val="none"/>
              </w:rPr>
            </w:pPr>
            <w:r>
              <w:rPr>
                <w:rFonts w:hint="eastAsia" w:ascii="宋体" w:hAnsi="宋体"/>
                <w:color w:val="auto"/>
                <w:szCs w:val="21"/>
                <w:highlight w:val="none"/>
              </w:rPr>
              <w:t>序号</w:t>
            </w:r>
          </w:p>
        </w:tc>
        <w:tc>
          <w:tcPr>
            <w:tcW w:w="855" w:type="dxa"/>
            <w:tcBorders>
              <w:top w:val="single" w:color="auto" w:sz="4" w:space="0"/>
              <w:left w:val="nil"/>
              <w:bottom w:val="single" w:color="auto" w:sz="4" w:space="0"/>
              <w:right w:val="single" w:color="auto" w:sz="4" w:space="0"/>
            </w:tcBorders>
            <w:noWrap w:val="0"/>
            <w:vAlign w:val="center"/>
          </w:tcPr>
          <w:p w14:paraId="62594A78">
            <w:pPr>
              <w:spacing w:line="360" w:lineRule="exact"/>
              <w:jc w:val="center"/>
              <w:rPr>
                <w:rFonts w:ascii="宋体" w:hAnsi="宋体"/>
                <w:color w:val="auto"/>
                <w:szCs w:val="21"/>
                <w:highlight w:val="none"/>
              </w:rPr>
            </w:pPr>
            <w:r>
              <w:rPr>
                <w:rFonts w:hint="eastAsia" w:ascii="宋体" w:hAnsi="宋体"/>
                <w:color w:val="auto"/>
                <w:szCs w:val="21"/>
                <w:highlight w:val="none"/>
              </w:rPr>
              <w:t>标的名称</w:t>
            </w:r>
          </w:p>
        </w:tc>
        <w:tc>
          <w:tcPr>
            <w:tcW w:w="709" w:type="dxa"/>
            <w:tcBorders>
              <w:top w:val="single" w:color="auto" w:sz="4" w:space="0"/>
              <w:left w:val="nil"/>
              <w:bottom w:val="single" w:color="auto" w:sz="4" w:space="0"/>
              <w:right w:val="single" w:color="auto" w:sz="4" w:space="0"/>
            </w:tcBorders>
            <w:noWrap w:val="0"/>
            <w:vAlign w:val="center"/>
          </w:tcPr>
          <w:p w14:paraId="0C8D4114">
            <w:pPr>
              <w:spacing w:line="360" w:lineRule="exact"/>
              <w:jc w:val="center"/>
              <w:rPr>
                <w:rFonts w:ascii="宋体" w:hAnsi="宋体"/>
                <w:color w:val="auto"/>
                <w:szCs w:val="21"/>
                <w:highlight w:val="none"/>
              </w:rPr>
            </w:pPr>
            <w:r>
              <w:rPr>
                <w:rFonts w:hint="eastAsia" w:ascii="宋体" w:hAnsi="宋体"/>
                <w:color w:val="auto"/>
                <w:szCs w:val="21"/>
                <w:highlight w:val="none"/>
              </w:rPr>
              <w:t>单位数量</w:t>
            </w:r>
          </w:p>
        </w:tc>
        <w:tc>
          <w:tcPr>
            <w:tcW w:w="5005" w:type="dxa"/>
            <w:tcBorders>
              <w:top w:val="single" w:color="auto" w:sz="4" w:space="0"/>
              <w:left w:val="nil"/>
              <w:bottom w:val="single" w:color="auto" w:sz="4" w:space="0"/>
              <w:right w:val="single" w:color="auto" w:sz="4" w:space="0"/>
            </w:tcBorders>
            <w:noWrap w:val="0"/>
            <w:vAlign w:val="center"/>
          </w:tcPr>
          <w:p w14:paraId="0C05BE18">
            <w:pPr>
              <w:spacing w:line="360" w:lineRule="exact"/>
              <w:jc w:val="center"/>
              <w:rPr>
                <w:rFonts w:ascii="宋体" w:hAnsi="宋体"/>
                <w:color w:val="auto"/>
                <w:szCs w:val="21"/>
                <w:highlight w:val="none"/>
              </w:rPr>
            </w:pPr>
            <w:r>
              <w:rPr>
                <w:rFonts w:hint="eastAsia" w:ascii="宋体" w:hAnsi="宋体"/>
                <w:color w:val="auto"/>
                <w:szCs w:val="21"/>
                <w:highlight w:val="none"/>
              </w:rPr>
              <w:t>服务参数</w:t>
            </w:r>
          </w:p>
        </w:tc>
        <w:tc>
          <w:tcPr>
            <w:tcW w:w="1276" w:type="dxa"/>
            <w:tcBorders>
              <w:top w:val="single" w:color="auto" w:sz="4" w:space="0"/>
              <w:left w:val="nil"/>
              <w:bottom w:val="single" w:color="auto" w:sz="4" w:space="0"/>
              <w:right w:val="single" w:color="auto" w:sz="4" w:space="0"/>
            </w:tcBorders>
            <w:noWrap w:val="0"/>
            <w:vAlign w:val="center"/>
          </w:tcPr>
          <w:p w14:paraId="1824D1CE">
            <w:pPr>
              <w:spacing w:line="360" w:lineRule="exact"/>
              <w:jc w:val="center"/>
              <w:rPr>
                <w:rFonts w:ascii="宋体" w:hAnsi="宋体"/>
                <w:color w:val="auto"/>
                <w:szCs w:val="21"/>
                <w:highlight w:val="none"/>
              </w:rPr>
            </w:pPr>
            <w:r>
              <w:rPr>
                <w:rFonts w:hint="eastAsia" w:ascii="宋体" w:hAnsi="宋体"/>
                <w:color w:val="auto"/>
                <w:szCs w:val="21"/>
                <w:highlight w:val="none"/>
              </w:rPr>
              <w:t>预算合计（元）</w:t>
            </w:r>
          </w:p>
        </w:tc>
        <w:tc>
          <w:tcPr>
            <w:tcW w:w="778" w:type="dxa"/>
            <w:tcBorders>
              <w:top w:val="single" w:color="auto" w:sz="4" w:space="0"/>
              <w:left w:val="nil"/>
              <w:bottom w:val="single" w:color="auto" w:sz="4" w:space="0"/>
              <w:right w:val="single" w:color="auto" w:sz="4" w:space="0"/>
            </w:tcBorders>
            <w:noWrap w:val="0"/>
            <w:vAlign w:val="center"/>
          </w:tcPr>
          <w:p w14:paraId="53EB6D5B">
            <w:pPr>
              <w:spacing w:line="360" w:lineRule="exact"/>
              <w:jc w:val="center"/>
              <w:rPr>
                <w:rFonts w:ascii="宋体" w:hAnsi="宋体"/>
                <w:color w:val="auto"/>
                <w:sz w:val="24"/>
                <w:highlight w:val="none"/>
              </w:rPr>
            </w:pPr>
            <w:r>
              <w:rPr>
                <w:rFonts w:hint="eastAsia" w:ascii="宋体" w:hAnsi="宋体"/>
                <w:color w:val="auto"/>
                <w:szCs w:val="21"/>
                <w:highlight w:val="none"/>
              </w:rPr>
              <w:t>中小企业划分标准所属行业名称</w:t>
            </w:r>
          </w:p>
        </w:tc>
      </w:tr>
      <w:tr w14:paraId="4BE6BDC9">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54" w:hRule="atLeast"/>
          <w:jc w:val="center"/>
        </w:trPr>
        <w:tc>
          <w:tcPr>
            <w:tcW w:w="546" w:type="dxa"/>
            <w:vMerge w:val="continue"/>
            <w:tcBorders>
              <w:top w:val="single" w:color="auto" w:sz="4" w:space="0"/>
              <w:left w:val="single" w:color="auto" w:sz="4" w:space="0"/>
              <w:bottom w:val="nil"/>
              <w:right w:val="single" w:color="auto" w:sz="4" w:space="0"/>
            </w:tcBorders>
            <w:noWrap w:val="0"/>
            <w:vAlign w:val="center"/>
          </w:tcPr>
          <w:p w14:paraId="7E06ED71">
            <w:pPr>
              <w:widowControl/>
              <w:jc w:val="left"/>
              <w:rPr>
                <w:rFonts w:ascii="宋体" w:hAnsi="宋体"/>
                <w:color w:val="auto"/>
                <w:sz w:val="24"/>
                <w:highlight w:val="none"/>
              </w:rPr>
            </w:pPr>
          </w:p>
        </w:tc>
        <w:tc>
          <w:tcPr>
            <w:tcW w:w="714" w:type="dxa"/>
            <w:tcBorders>
              <w:top w:val="single" w:color="auto" w:sz="4" w:space="0"/>
              <w:left w:val="nil"/>
              <w:bottom w:val="single" w:color="auto" w:sz="4" w:space="0"/>
              <w:right w:val="single" w:color="auto" w:sz="4" w:space="0"/>
            </w:tcBorders>
            <w:noWrap w:val="0"/>
            <w:vAlign w:val="center"/>
          </w:tcPr>
          <w:p w14:paraId="7FD03461">
            <w:pPr>
              <w:spacing w:line="360" w:lineRule="exact"/>
              <w:jc w:val="center"/>
              <w:rPr>
                <w:rFonts w:ascii="宋体" w:hAnsi="宋体"/>
                <w:color w:val="auto"/>
                <w:szCs w:val="21"/>
                <w:highlight w:val="none"/>
              </w:rPr>
            </w:pPr>
            <w:r>
              <w:rPr>
                <w:rFonts w:hint="eastAsia" w:ascii="宋体" w:hAnsi="宋体"/>
                <w:color w:val="auto"/>
                <w:szCs w:val="21"/>
                <w:highlight w:val="none"/>
              </w:rPr>
              <w:t>1</w:t>
            </w:r>
          </w:p>
        </w:tc>
        <w:tc>
          <w:tcPr>
            <w:tcW w:w="855" w:type="dxa"/>
            <w:tcBorders>
              <w:top w:val="single" w:color="auto" w:sz="4" w:space="0"/>
              <w:left w:val="nil"/>
              <w:bottom w:val="single" w:color="auto" w:sz="4" w:space="0"/>
              <w:right w:val="single" w:color="auto" w:sz="4" w:space="0"/>
            </w:tcBorders>
            <w:noWrap w:val="0"/>
            <w:vAlign w:val="center"/>
          </w:tcPr>
          <w:p w14:paraId="084227AC">
            <w:pPr>
              <w:spacing w:line="360" w:lineRule="exact"/>
              <w:jc w:val="center"/>
              <w:rPr>
                <w:rFonts w:hint="eastAsia" w:ascii="宋体" w:hAnsi="宋体"/>
                <w:color w:val="auto"/>
                <w:szCs w:val="21"/>
                <w:highlight w:val="none"/>
              </w:rPr>
            </w:pPr>
            <w:r>
              <w:rPr>
                <w:rFonts w:hint="eastAsia" w:ascii="宋体" w:hAnsi="宋体"/>
                <w:color w:val="auto"/>
                <w:szCs w:val="21"/>
                <w:highlight w:val="none"/>
              </w:rPr>
              <w:t>邕宁区蒲庙电灌站灌区续建配套与节水改造工程项目立项建议报告编制技术服务</w:t>
            </w:r>
          </w:p>
        </w:tc>
        <w:tc>
          <w:tcPr>
            <w:tcW w:w="709" w:type="dxa"/>
            <w:tcBorders>
              <w:top w:val="single" w:color="auto" w:sz="4" w:space="0"/>
              <w:left w:val="nil"/>
              <w:bottom w:val="single" w:color="auto" w:sz="4" w:space="0"/>
              <w:right w:val="single" w:color="auto" w:sz="4" w:space="0"/>
            </w:tcBorders>
            <w:noWrap w:val="0"/>
            <w:vAlign w:val="center"/>
          </w:tcPr>
          <w:p w14:paraId="09AA6885">
            <w:pPr>
              <w:spacing w:line="360" w:lineRule="exact"/>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1项</w:t>
            </w:r>
          </w:p>
        </w:tc>
        <w:tc>
          <w:tcPr>
            <w:tcW w:w="5005" w:type="dxa"/>
            <w:tcBorders>
              <w:top w:val="single" w:color="auto" w:sz="4" w:space="0"/>
              <w:left w:val="nil"/>
              <w:bottom w:val="single" w:color="auto" w:sz="4" w:space="0"/>
              <w:right w:val="single" w:color="auto" w:sz="4" w:space="0"/>
            </w:tcBorders>
            <w:noWrap w:val="0"/>
            <w:vAlign w:val="center"/>
          </w:tcPr>
          <w:p w14:paraId="221B625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pacing w:val="-2"/>
                <w:highlight w:val="none"/>
                <w:lang w:val="en-US" w:eastAsia="zh-CN"/>
              </w:rPr>
            </w:pPr>
            <w:r>
              <w:rPr>
                <w:rFonts w:hint="eastAsia" w:ascii="宋体" w:hAnsi="宋体" w:eastAsia="宋体" w:cs="宋体"/>
                <w:color w:val="auto"/>
                <w:spacing w:val="-2"/>
                <w:highlight w:val="none"/>
                <w:lang w:val="en-US" w:eastAsia="zh-CN"/>
              </w:rPr>
              <w:t>（一）项目背景</w:t>
            </w:r>
          </w:p>
          <w:p w14:paraId="0BCE7CB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pacing w:val="-2"/>
                <w:highlight w:val="none"/>
                <w:lang w:val="en-US" w:eastAsia="zh-CN"/>
              </w:rPr>
            </w:pPr>
            <w:r>
              <w:rPr>
                <w:rFonts w:hint="eastAsia" w:ascii="宋体" w:hAnsi="宋体" w:eastAsia="宋体" w:cs="宋体"/>
                <w:color w:val="auto"/>
                <w:spacing w:val="-2"/>
                <w:highlight w:val="none"/>
                <w:lang w:val="en-US" w:eastAsia="zh-CN"/>
              </w:rPr>
              <w:t>1、工程建设地点：本项目位于广西南宁市邕宁区蒲庙镇。</w:t>
            </w:r>
          </w:p>
          <w:p w14:paraId="5F3CF92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pacing w:val="-2"/>
                <w:highlight w:val="none"/>
                <w:lang w:val="en-US" w:eastAsia="zh-CN"/>
              </w:rPr>
            </w:pPr>
            <w:r>
              <w:rPr>
                <w:rFonts w:hint="eastAsia" w:ascii="宋体" w:hAnsi="宋体" w:eastAsia="宋体" w:cs="宋体"/>
                <w:color w:val="auto"/>
                <w:spacing w:val="-2"/>
                <w:highlight w:val="none"/>
                <w:lang w:val="en-US" w:eastAsia="zh-CN"/>
              </w:rPr>
              <w:t>2、工程规模：</w:t>
            </w:r>
          </w:p>
          <w:p w14:paraId="4141118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pacing w:val="-2"/>
                <w:highlight w:val="none"/>
                <w:lang w:val="en-US" w:eastAsia="zh-CN"/>
              </w:rPr>
            </w:pPr>
            <w:r>
              <w:rPr>
                <w:rFonts w:hint="eastAsia" w:ascii="宋体" w:hAnsi="宋体" w:eastAsia="宋体" w:cs="宋体"/>
                <w:color w:val="auto"/>
                <w:spacing w:val="-2"/>
                <w:highlight w:val="none"/>
                <w:lang w:val="en-US" w:eastAsia="zh-CN"/>
              </w:rPr>
              <w:t>（1）清水泉灌片灌溉范围为蒲庙镇的孟连、新新、新生、光和共4个行政村，设计灌溉面积为23835亩（其中水田10080亩，旱地13755亩），工程采用低压管灌技术，灌溉水流程为八尺江水源→取水泵站→高位水池→输配水管网→智能终端→移动软管→农田。灌溉管网全年不间断供水，用水户通过手机APP预付款取水。清水泉灌片建设内容为新建或改造3座泵站，装机容量合计1420kW；新建高位水池3座，总容量5500m</w:t>
            </w:r>
            <w:r>
              <w:rPr>
                <w:rFonts w:hint="eastAsia" w:ascii="宋体" w:hAnsi="宋体" w:eastAsia="宋体" w:cs="宋体"/>
                <w:color w:val="auto"/>
                <w:spacing w:val="-2"/>
                <w:highlight w:val="none"/>
                <w:vertAlign w:val="superscript"/>
                <w:lang w:val="en-US" w:eastAsia="zh-CN"/>
              </w:rPr>
              <w:t>3</w:t>
            </w:r>
            <w:r>
              <w:rPr>
                <w:rFonts w:hint="eastAsia" w:ascii="宋体" w:hAnsi="宋体" w:eastAsia="宋体" w:cs="宋体"/>
                <w:color w:val="auto"/>
                <w:spacing w:val="-2"/>
                <w:highlight w:val="none"/>
                <w:lang w:val="en-US" w:eastAsia="zh-CN"/>
              </w:rPr>
              <w:t>；新建输配水管网总长118.569km，新建智能节水终端647个，新建智能控制阀井48个；新建“智慧水利”自动化系统1套。（2）八尺江灌片的灌溉范围为原蒲庙电灌站的二、三级泵站灌区，设计灌溉面积约2万亩（扣减八鲤工业园占用灌区），水源为取于周同江或大王滩灌区东干渠，灌溉形式为明渠漫灌。八尺江灌片建设内容为新建取水泵站，新建输水管路，改造或加固原有灌溉渠道，增设水价改革设施设备。</w:t>
            </w:r>
            <w:r>
              <w:rPr>
                <w:rFonts w:hint="eastAsia" w:ascii="宋体" w:hAnsi="宋体" w:cs="宋体"/>
                <w:color w:val="auto"/>
                <w:spacing w:val="-2"/>
                <w:highlight w:val="none"/>
                <w:lang w:val="en-US" w:eastAsia="zh-CN"/>
              </w:rPr>
              <w:t>（最终以实际设计为准）</w:t>
            </w:r>
          </w:p>
          <w:p w14:paraId="7F1E285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pacing w:val="-2"/>
                <w:highlight w:val="none"/>
                <w:lang w:val="en-US" w:eastAsia="zh-CN"/>
              </w:rPr>
            </w:pPr>
            <w:r>
              <w:rPr>
                <w:rFonts w:hint="eastAsia" w:ascii="宋体" w:hAnsi="宋体" w:eastAsia="宋体" w:cs="宋体"/>
                <w:color w:val="auto"/>
                <w:szCs w:val="24"/>
                <w:highlight w:val="none"/>
                <w:lang w:eastAsia="zh-CN"/>
              </w:rPr>
              <w:t>▲</w:t>
            </w:r>
            <w:r>
              <w:rPr>
                <w:rFonts w:hint="eastAsia" w:ascii="宋体" w:hAnsi="宋体" w:eastAsia="宋体" w:cs="宋体"/>
                <w:color w:val="auto"/>
                <w:spacing w:val="-2"/>
                <w:highlight w:val="none"/>
                <w:lang w:val="en-US" w:eastAsia="zh-CN"/>
              </w:rPr>
              <w:t>（二）服务内容</w:t>
            </w:r>
          </w:p>
          <w:p w14:paraId="6E378C0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pacing w:val="-2"/>
                <w:highlight w:val="none"/>
                <w:lang w:val="en-US" w:eastAsia="zh-CN"/>
              </w:rPr>
            </w:pPr>
            <w:r>
              <w:rPr>
                <w:rFonts w:hint="eastAsia" w:ascii="宋体" w:hAnsi="宋体" w:eastAsia="宋体" w:cs="宋体"/>
                <w:color w:val="auto"/>
                <w:spacing w:val="-2"/>
                <w:highlight w:val="none"/>
                <w:lang w:val="en-US" w:eastAsia="zh-CN"/>
              </w:rPr>
              <w:t>根据国家现行有关规范提供：《邕宁区蒲庙电灌站灌区续建配套与节水改造工程项目立项建议报告》，</w:t>
            </w:r>
            <w:r>
              <w:rPr>
                <w:rFonts w:hint="eastAsia" w:ascii="宋体" w:hAnsi="宋体" w:cs="宋体"/>
                <w:color w:val="auto"/>
                <w:spacing w:val="-2"/>
                <w:highlight w:val="none"/>
                <w:lang w:val="en-US" w:eastAsia="zh-CN"/>
              </w:rPr>
              <w:t>工作内容包含报告编制及评估、前期工作工程勘察，</w:t>
            </w:r>
            <w:r>
              <w:rPr>
                <w:rFonts w:hint="eastAsia" w:ascii="宋体" w:hAnsi="宋体" w:eastAsia="宋体" w:cs="宋体"/>
                <w:color w:val="auto"/>
                <w:spacing w:val="-2"/>
                <w:highlight w:val="none"/>
                <w:lang w:val="en-US" w:eastAsia="zh-CN"/>
              </w:rPr>
              <w:t>项目立项建议报告应当达到可行性研究报告深度。</w:t>
            </w:r>
          </w:p>
          <w:p w14:paraId="0EE876C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pacing w:val="-2"/>
                <w:highlight w:val="none"/>
                <w:lang w:val="en-US" w:eastAsia="zh-CN"/>
              </w:rPr>
            </w:pPr>
            <w:r>
              <w:rPr>
                <w:rFonts w:hint="eastAsia" w:ascii="宋体" w:hAnsi="宋体" w:eastAsia="宋体" w:cs="宋体"/>
                <w:color w:val="auto"/>
                <w:szCs w:val="24"/>
                <w:highlight w:val="none"/>
                <w:lang w:eastAsia="zh-CN"/>
              </w:rPr>
              <w:t>▲</w:t>
            </w:r>
            <w:r>
              <w:rPr>
                <w:rFonts w:hint="eastAsia" w:ascii="宋体" w:hAnsi="宋体" w:eastAsia="宋体" w:cs="宋体"/>
                <w:color w:val="auto"/>
                <w:spacing w:val="-2"/>
                <w:highlight w:val="none"/>
                <w:lang w:val="en-US" w:eastAsia="zh-CN"/>
              </w:rPr>
              <w:t>（三）服务要求</w:t>
            </w:r>
          </w:p>
          <w:p w14:paraId="12D7A11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pacing w:val="-2"/>
                <w:highlight w:val="none"/>
                <w:lang w:val="en-US" w:eastAsia="zh-CN"/>
              </w:rPr>
            </w:pPr>
            <w:r>
              <w:rPr>
                <w:rFonts w:hint="eastAsia" w:ascii="宋体" w:hAnsi="宋体" w:eastAsia="宋体" w:cs="宋体"/>
                <w:color w:val="auto"/>
                <w:spacing w:val="-2"/>
                <w:highlight w:val="none"/>
                <w:lang w:val="en-US" w:eastAsia="zh-CN"/>
              </w:rPr>
              <w:t>依据《自治区水利厅关于做好2023一2025年中型灌区续建配套与节水改造项目储备工作的通知》桂水农水〔2022〕4号文件要求，</w:t>
            </w:r>
            <w:r>
              <w:rPr>
                <w:rFonts w:hint="eastAsia" w:ascii="宋体" w:hAnsi="宋体" w:cs="宋体"/>
                <w:color w:val="auto"/>
                <w:spacing w:val="-2"/>
                <w:highlight w:val="none"/>
                <w:lang w:val="en-US" w:eastAsia="zh-CN"/>
              </w:rPr>
              <w:t>按设计规范要求、</w:t>
            </w:r>
            <w:r>
              <w:rPr>
                <w:rFonts w:hint="eastAsia" w:ascii="宋体" w:hAnsi="宋体" w:eastAsia="宋体" w:cs="宋体"/>
                <w:color w:val="auto"/>
                <w:spacing w:val="-2"/>
                <w:highlight w:val="none"/>
                <w:lang w:val="en-US" w:eastAsia="zh-CN"/>
              </w:rPr>
              <w:t>按时完成立项建议报告的编制，并配合业主完成报告的审批工作。</w:t>
            </w:r>
          </w:p>
          <w:p w14:paraId="5892A2F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bCs/>
                <w:color w:val="auto"/>
                <w:spacing w:val="-2"/>
                <w:highlight w:val="none"/>
                <w:lang w:val="en-US" w:eastAsia="zh-CN"/>
              </w:rPr>
            </w:pPr>
            <w:r>
              <w:rPr>
                <w:rFonts w:hint="eastAsia" w:ascii="宋体" w:hAnsi="宋体" w:eastAsia="宋体" w:cs="宋体"/>
                <w:b/>
                <w:bCs/>
                <w:color w:val="auto"/>
                <w:spacing w:val="-2"/>
                <w:highlight w:val="none"/>
                <w:lang w:val="en-US" w:eastAsia="zh-CN"/>
              </w:rPr>
              <w:t>（四）适用规范标准</w:t>
            </w:r>
          </w:p>
          <w:p w14:paraId="3610F1C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pacing w:val="-2"/>
                <w:highlight w:val="none"/>
                <w:lang w:val="en-US" w:eastAsia="zh-CN"/>
              </w:rPr>
            </w:pPr>
            <w:r>
              <w:rPr>
                <w:rFonts w:hint="eastAsia" w:ascii="宋体" w:hAnsi="宋体" w:eastAsia="宋体" w:cs="宋体"/>
                <w:color w:val="auto"/>
                <w:spacing w:val="-2"/>
                <w:highlight w:val="none"/>
                <w:lang w:val="en-US" w:eastAsia="zh-CN"/>
              </w:rPr>
              <w:t>1、符合国家规定的工程技术质量标准和现行技术规范、规程和强制性条文要求。</w:t>
            </w:r>
          </w:p>
          <w:p w14:paraId="0F392BB4">
            <w:pPr>
              <w:pStyle w:val="11"/>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spacing w:val="-2"/>
                <w:highlight w:val="none"/>
                <w:lang w:val="en-US" w:eastAsia="zh-CN"/>
              </w:rPr>
              <w:t>2、《自治区水利厅关于做好2023一2025年中型灌区续建配套与节水改造项目储备工作的通知》桂水农水〔2022〕4号。</w:t>
            </w:r>
          </w:p>
          <w:p w14:paraId="08D7641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bCs/>
                <w:color w:val="auto"/>
                <w:spacing w:val="-2"/>
                <w:highlight w:val="none"/>
                <w:lang w:val="en-US" w:eastAsia="zh-CN"/>
              </w:rPr>
            </w:pPr>
            <w:r>
              <w:rPr>
                <w:rFonts w:hint="eastAsia" w:ascii="宋体" w:hAnsi="宋体" w:eastAsia="宋体" w:cs="宋体"/>
                <w:color w:val="auto"/>
                <w:szCs w:val="24"/>
                <w:highlight w:val="none"/>
                <w:lang w:eastAsia="zh-CN"/>
              </w:rPr>
              <w:t>▲</w:t>
            </w:r>
            <w:r>
              <w:rPr>
                <w:rFonts w:hint="eastAsia" w:ascii="宋体" w:hAnsi="宋体" w:eastAsia="宋体" w:cs="宋体"/>
                <w:b/>
                <w:bCs/>
                <w:color w:val="auto"/>
                <w:spacing w:val="-2"/>
                <w:highlight w:val="none"/>
                <w:lang w:val="en-US" w:eastAsia="zh-CN"/>
              </w:rPr>
              <w:t>（五）成果文件要求</w:t>
            </w:r>
          </w:p>
          <w:p w14:paraId="6B1DE20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pacing w:val="-2"/>
                <w:highlight w:val="none"/>
                <w:lang w:val="en-US" w:eastAsia="zh-CN"/>
              </w:rPr>
            </w:pPr>
            <w:r>
              <w:rPr>
                <w:rFonts w:hint="eastAsia" w:ascii="宋体" w:hAnsi="宋体" w:eastAsia="宋体" w:cs="宋体"/>
                <w:color w:val="auto"/>
                <w:spacing w:val="-2"/>
                <w:highlight w:val="none"/>
                <w:lang w:val="en-US" w:eastAsia="zh-CN"/>
              </w:rPr>
              <w:t>1、成果文件的组成：</w:t>
            </w:r>
          </w:p>
          <w:p w14:paraId="57CCC0A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pacing w:val="-2"/>
                <w:highlight w:val="none"/>
                <w:lang w:val="en-US" w:eastAsia="zh-CN"/>
              </w:rPr>
            </w:pPr>
            <w:r>
              <w:rPr>
                <w:rFonts w:hint="eastAsia" w:ascii="宋体" w:hAnsi="宋体" w:eastAsia="宋体" w:cs="宋体"/>
                <w:color w:val="auto"/>
                <w:spacing w:val="-2"/>
                <w:highlight w:val="none"/>
                <w:lang w:val="en-US" w:eastAsia="zh-CN"/>
              </w:rPr>
              <w:t>《邕宁区蒲庙电灌站灌区续建配套与节水改造工程项目立项建议报告》。</w:t>
            </w:r>
          </w:p>
          <w:p w14:paraId="0BC6A37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pacing w:val="-2"/>
                <w:highlight w:val="none"/>
                <w:lang w:val="en-US" w:eastAsia="zh-CN"/>
              </w:rPr>
            </w:pPr>
            <w:r>
              <w:rPr>
                <w:rFonts w:hint="eastAsia" w:ascii="宋体" w:hAnsi="宋体" w:eastAsia="宋体" w:cs="宋体"/>
                <w:color w:val="auto"/>
                <w:spacing w:val="-2"/>
                <w:highlight w:val="none"/>
                <w:lang w:val="en-US" w:eastAsia="zh-CN"/>
              </w:rPr>
              <w:t>2、质量标准：确保报告符合现行国家、水利部（或自治区水利厅）颁布现行的有关规程规范以及合同的要求，并通过上级相关部门组织的审查。</w:t>
            </w:r>
          </w:p>
          <w:p w14:paraId="7AA673E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pacing w:val="-2"/>
                <w:highlight w:val="none"/>
                <w:lang w:val="en-US" w:eastAsia="zh-CN"/>
              </w:rPr>
            </w:pPr>
            <w:r>
              <w:rPr>
                <w:rFonts w:hint="eastAsia" w:ascii="宋体" w:hAnsi="宋体" w:eastAsia="宋体" w:cs="宋体"/>
                <w:color w:val="auto"/>
                <w:spacing w:val="-2"/>
                <w:highlight w:val="none"/>
                <w:lang w:val="en-US" w:eastAsia="zh-CN"/>
              </w:rPr>
              <w:t>3、成果文件的格式要求：全部成果均应提供电子文件和书面文本，按时交付采购人。电子文件图形文件及文本文件均采用PDF及WORD、CAD 格式文件交付；书面文本采用A4 纸提供；图纸采用A3纸提供。</w:t>
            </w:r>
          </w:p>
          <w:p w14:paraId="50AA1A0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pacing w:val="-2"/>
                <w:highlight w:val="none"/>
                <w:lang w:val="en-US" w:eastAsia="zh-CN"/>
              </w:rPr>
            </w:pPr>
            <w:r>
              <w:rPr>
                <w:rFonts w:hint="eastAsia" w:ascii="宋体" w:hAnsi="宋体" w:eastAsia="宋体" w:cs="宋体"/>
                <w:color w:val="auto"/>
                <w:spacing w:val="-2"/>
                <w:highlight w:val="none"/>
                <w:lang w:val="en-US" w:eastAsia="zh-CN"/>
              </w:rPr>
              <w:t>4、成果资料份数及时间：纸质文件一式八份，电子文件（光盘二份），</w:t>
            </w:r>
            <w:r>
              <w:rPr>
                <w:rFonts w:hint="eastAsia"/>
                <w:color w:val="auto"/>
                <w:highlight w:val="none"/>
                <w:lang w:eastAsia="zh-CN"/>
              </w:rPr>
              <w:t>立项建议</w:t>
            </w:r>
            <w:r>
              <w:rPr>
                <w:rFonts w:hint="eastAsia" w:ascii="宋体" w:hAnsi="宋体" w:eastAsia="宋体" w:cs="宋体"/>
                <w:color w:val="auto"/>
                <w:spacing w:val="-2"/>
                <w:highlight w:val="none"/>
                <w:lang w:val="en-US" w:eastAsia="zh-CN"/>
              </w:rPr>
              <w:t>报告通过上级部门审查后10个日历日内提交。</w:t>
            </w:r>
          </w:p>
          <w:p w14:paraId="0CA5AC4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bCs/>
                <w:color w:val="auto"/>
                <w:spacing w:val="-2"/>
                <w:highlight w:val="none"/>
                <w:lang w:val="en-US" w:eastAsia="zh-CN"/>
              </w:rPr>
            </w:pPr>
            <w:r>
              <w:rPr>
                <w:rFonts w:hint="eastAsia" w:ascii="宋体" w:hAnsi="宋体" w:eastAsia="宋体" w:cs="宋体"/>
                <w:b/>
                <w:bCs/>
                <w:color w:val="auto"/>
                <w:spacing w:val="-2"/>
                <w:highlight w:val="none"/>
                <w:lang w:val="en-US" w:eastAsia="zh-CN"/>
              </w:rPr>
              <w:t>（六）其他要求</w:t>
            </w:r>
          </w:p>
          <w:p w14:paraId="0FECBD1E">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4"/>
                <w:highlight w:val="none"/>
              </w:rPr>
              <w:t>服务方拟投入</w:t>
            </w:r>
            <w:r>
              <w:rPr>
                <w:rFonts w:hint="eastAsia" w:ascii="宋体" w:hAnsi="宋体" w:eastAsia="宋体" w:cs="宋体"/>
                <w:color w:val="auto"/>
                <w:spacing w:val="-1"/>
                <w:sz w:val="21"/>
                <w:szCs w:val="21"/>
                <w:highlight w:val="none"/>
              </w:rPr>
              <w:t>项目负责人具有高级（含高级）以上技术职称，且专业是水</w:t>
            </w:r>
            <w:r>
              <w:rPr>
                <w:rFonts w:hint="eastAsia" w:ascii="宋体" w:hAnsi="宋体" w:eastAsia="宋体" w:cs="宋体"/>
                <w:color w:val="auto"/>
                <w:spacing w:val="-2"/>
                <w:sz w:val="21"/>
                <w:szCs w:val="21"/>
                <w:highlight w:val="none"/>
              </w:rPr>
              <w:t>利水电工程类专业（专业以技</w:t>
            </w:r>
            <w:r>
              <w:rPr>
                <w:rFonts w:hint="eastAsia" w:ascii="宋体" w:hAnsi="宋体" w:eastAsia="宋体" w:cs="宋体"/>
                <w:color w:val="auto"/>
                <w:spacing w:val="-1"/>
                <w:sz w:val="21"/>
                <w:szCs w:val="21"/>
                <w:highlight w:val="none"/>
              </w:rPr>
              <w:t>术职称证书所填写专业为准，如技术职称证书不填写专业的，则以毕业证书所填专业</w:t>
            </w:r>
            <w:r>
              <w:rPr>
                <w:rFonts w:hint="eastAsia" w:ascii="宋体" w:hAnsi="宋体" w:eastAsia="宋体" w:cs="宋体"/>
                <w:color w:val="auto"/>
                <w:spacing w:val="-2"/>
                <w:sz w:val="21"/>
                <w:szCs w:val="21"/>
                <w:highlight w:val="none"/>
              </w:rPr>
              <w:t>为准）。</w:t>
            </w:r>
          </w:p>
        </w:tc>
        <w:tc>
          <w:tcPr>
            <w:tcW w:w="1276" w:type="dxa"/>
            <w:tcBorders>
              <w:top w:val="single" w:color="auto" w:sz="4" w:space="0"/>
              <w:left w:val="nil"/>
              <w:bottom w:val="single" w:color="auto" w:sz="4" w:space="0"/>
              <w:right w:val="single" w:color="auto" w:sz="4" w:space="0"/>
            </w:tcBorders>
            <w:noWrap w:val="0"/>
            <w:vAlign w:val="center"/>
          </w:tcPr>
          <w:p w14:paraId="0EB421D4">
            <w:pPr>
              <w:spacing w:line="360" w:lineRule="exac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1000000.00</w:t>
            </w:r>
          </w:p>
        </w:tc>
        <w:tc>
          <w:tcPr>
            <w:tcW w:w="778" w:type="dxa"/>
            <w:tcBorders>
              <w:top w:val="single" w:color="auto" w:sz="4" w:space="0"/>
              <w:left w:val="nil"/>
              <w:bottom w:val="single" w:color="auto" w:sz="4" w:space="0"/>
              <w:right w:val="single" w:color="auto" w:sz="4" w:space="0"/>
            </w:tcBorders>
            <w:noWrap w:val="0"/>
            <w:vAlign w:val="center"/>
          </w:tcPr>
          <w:p w14:paraId="178C98CA">
            <w:pPr>
              <w:spacing w:line="360" w:lineRule="exact"/>
              <w:jc w:val="center"/>
              <w:rPr>
                <w:rFonts w:ascii="宋体" w:hAnsi="宋体"/>
                <w:color w:val="auto"/>
                <w:szCs w:val="21"/>
                <w:highlight w:val="none"/>
              </w:rPr>
            </w:pPr>
            <w:r>
              <w:rPr>
                <w:rFonts w:hint="eastAsia" w:ascii="宋体" w:hAnsi="宋体"/>
                <w:color w:val="auto"/>
                <w:szCs w:val="21"/>
                <w:highlight w:val="none"/>
              </w:rPr>
              <w:t>其他未列明行业（行业名称及划分见本章附件）</w:t>
            </w:r>
          </w:p>
        </w:tc>
      </w:tr>
      <w:tr w14:paraId="29AE48C0">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54" w:hRule="atLeast"/>
          <w:jc w:val="center"/>
        </w:trPr>
        <w:tc>
          <w:tcPr>
            <w:tcW w:w="9883" w:type="dxa"/>
            <w:gridSpan w:val="7"/>
            <w:tcBorders>
              <w:top w:val="single" w:color="auto" w:sz="4" w:space="0"/>
              <w:left w:val="single" w:color="auto" w:sz="4" w:space="0"/>
              <w:bottom w:val="single" w:color="auto" w:sz="4" w:space="0"/>
              <w:right w:val="single" w:color="auto" w:sz="4" w:space="0"/>
            </w:tcBorders>
            <w:noWrap w:val="0"/>
            <w:vAlign w:val="center"/>
          </w:tcPr>
          <w:p w14:paraId="12A16B03">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bCs/>
                <w:color w:val="auto"/>
                <w:szCs w:val="21"/>
                <w:highlight w:val="none"/>
              </w:rPr>
            </w:pPr>
            <w:r>
              <w:rPr>
                <w:rFonts w:hint="eastAsia" w:ascii="宋体" w:hAnsi="宋体"/>
                <w:color w:val="auto"/>
                <w:szCs w:val="21"/>
                <w:highlight w:val="none"/>
              </w:rPr>
              <w:t>商务条款</w:t>
            </w:r>
          </w:p>
        </w:tc>
      </w:tr>
      <w:tr w14:paraId="3B79F373">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54" w:hRule="atLeast"/>
          <w:jc w:val="center"/>
        </w:trPr>
        <w:tc>
          <w:tcPr>
            <w:tcW w:w="1260" w:type="dxa"/>
            <w:gridSpan w:val="2"/>
            <w:tcBorders>
              <w:top w:val="single" w:color="auto" w:sz="4" w:space="0"/>
              <w:left w:val="single" w:color="auto" w:sz="4" w:space="0"/>
              <w:bottom w:val="single" w:color="auto" w:sz="4" w:space="0"/>
              <w:right w:val="single" w:color="auto" w:sz="4" w:space="0"/>
            </w:tcBorders>
            <w:noWrap w:val="0"/>
            <w:vAlign w:val="center"/>
          </w:tcPr>
          <w:p w14:paraId="348CFC51">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宋体" w:hAnsi="宋体"/>
                <w:bCs/>
                <w:color w:val="auto"/>
                <w:szCs w:val="21"/>
                <w:highlight w:val="none"/>
              </w:rPr>
            </w:pPr>
            <w:r>
              <w:rPr>
                <w:rFonts w:hint="eastAsia" w:ascii="宋体" w:hAnsi="宋体" w:eastAsia="宋体" w:cs="宋体"/>
                <w:color w:val="auto"/>
                <w:szCs w:val="24"/>
                <w:highlight w:val="none"/>
                <w:lang w:eastAsia="zh-CN"/>
              </w:rPr>
              <w:t>▲</w:t>
            </w:r>
            <w:r>
              <w:rPr>
                <w:rFonts w:hint="eastAsia" w:ascii="宋体" w:hAnsi="宋体" w:cs="宋体"/>
                <w:bCs w:val="0"/>
                <w:color w:val="auto"/>
                <w:kern w:val="2"/>
                <w:szCs w:val="24"/>
                <w:highlight w:val="none"/>
                <w:lang w:val="en-US" w:eastAsia="zh-CN"/>
              </w:rPr>
              <w:t>提交服务成果时间</w:t>
            </w:r>
            <w:r>
              <w:rPr>
                <w:rFonts w:hint="eastAsia" w:ascii="宋体" w:hAnsi="宋体" w:eastAsia="宋体" w:cs="宋体"/>
                <w:bCs w:val="0"/>
                <w:color w:val="auto"/>
                <w:highlight w:val="none"/>
                <w:lang w:val="en-US" w:eastAsia="zh-CN"/>
              </w:rPr>
              <w:t>及服务地点</w:t>
            </w:r>
          </w:p>
        </w:tc>
        <w:tc>
          <w:tcPr>
            <w:tcW w:w="8623" w:type="dxa"/>
            <w:gridSpan w:val="5"/>
            <w:tcBorders>
              <w:top w:val="single" w:color="auto" w:sz="4" w:space="0"/>
              <w:left w:val="single" w:color="auto" w:sz="4" w:space="0"/>
              <w:bottom w:val="single" w:color="auto" w:sz="4" w:space="0"/>
              <w:right w:val="single" w:color="auto" w:sz="4" w:space="0"/>
            </w:tcBorders>
            <w:noWrap w:val="0"/>
            <w:vAlign w:val="center"/>
          </w:tcPr>
          <w:p w14:paraId="15EE74E1">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宋体" w:hAnsi="宋体" w:eastAsia="宋体" w:cs="宋体"/>
                <w:bCs w:val="0"/>
                <w:color w:val="auto"/>
                <w:kern w:val="2"/>
                <w:szCs w:val="24"/>
                <w:highlight w:val="none"/>
              </w:rPr>
            </w:pPr>
            <w:r>
              <w:rPr>
                <w:rFonts w:hint="eastAsia" w:ascii="宋体" w:hAnsi="宋体" w:cs="宋体"/>
                <w:bCs w:val="0"/>
                <w:color w:val="auto"/>
                <w:kern w:val="2"/>
                <w:szCs w:val="24"/>
                <w:highlight w:val="none"/>
                <w:lang w:val="en-US" w:eastAsia="zh-CN"/>
              </w:rPr>
              <w:t>提交服务成果时间：合同签订之日起60日历天内提交项目立项建议报告（送审稿）。</w:t>
            </w:r>
          </w:p>
          <w:p w14:paraId="1F3902A7">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宋体" w:hAnsi="宋体"/>
                <w:bCs/>
                <w:color w:val="auto"/>
                <w:szCs w:val="21"/>
                <w:highlight w:val="none"/>
              </w:rPr>
            </w:pPr>
            <w:r>
              <w:rPr>
                <w:rFonts w:hint="eastAsia" w:ascii="宋体" w:hAnsi="宋体" w:eastAsia="宋体" w:cs="宋体"/>
                <w:bCs w:val="0"/>
                <w:color w:val="auto"/>
                <w:kern w:val="2"/>
                <w:szCs w:val="24"/>
                <w:highlight w:val="none"/>
              </w:rPr>
              <w:t>服务地点：</w:t>
            </w:r>
            <w:r>
              <w:rPr>
                <w:rFonts w:hint="eastAsia" w:ascii="宋体" w:hAnsi="宋体" w:eastAsia="宋体" w:cs="宋体"/>
                <w:bCs w:val="0"/>
                <w:color w:val="auto"/>
                <w:kern w:val="2"/>
                <w:szCs w:val="24"/>
                <w:highlight w:val="none"/>
                <w:lang w:val="en-US" w:eastAsia="zh-CN"/>
              </w:rPr>
              <w:t>广西区内</w:t>
            </w:r>
            <w:r>
              <w:rPr>
                <w:rFonts w:hint="eastAsia" w:ascii="宋体" w:hAnsi="宋体" w:eastAsia="宋体" w:cs="宋体"/>
                <w:bCs w:val="0"/>
                <w:color w:val="auto"/>
                <w:kern w:val="2"/>
                <w:szCs w:val="24"/>
                <w:highlight w:val="none"/>
              </w:rPr>
              <w:t>采购人指定地点。</w:t>
            </w:r>
          </w:p>
        </w:tc>
      </w:tr>
      <w:tr w14:paraId="732F19FC">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54" w:hRule="atLeast"/>
          <w:jc w:val="center"/>
        </w:trPr>
        <w:tc>
          <w:tcPr>
            <w:tcW w:w="1260" w:type="dxa"/>
            <w:gridSpan w:val="2"/>
            <w:tcBorders>
              <w:top w:val="single" w:color="auto" w:sz="4" w:space="0"/>
              <w:left w:val="single" w:color="auto" w:sz="4" w:space="0"/>
              <w:bottom w:val="single" w:color="auto" w:sz="4" w:space="0"/>
              <w:right w:val="single" w:color="auto" w:sz="4" w:space="0"/>
            </w:tcBorders>
            <w:noWrap w:val="0"/>
            <w:vAlign w:val="center"/>
          </w:tcPr>
          <w:p w14:paraId="3D4B8CA3">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宋体" w:hAnsi="宋体"/>
                <w:bCs/>
                <w:color w:val="auto"/>
                <w:szCs w:val="21"/>
                <w:highlight w:val="none"/>
              </w:rPr>
            </w:pPr>
            <w:r>
              <w:rPr>
                <w:rFonts w:hint="eastAsia" w:ascii="宋体" w:hAnsi="宋体" w:eastAsia="宋体" w:cs="宋体"/>
                <w:color w:val="auto"/>
                <w:spacing w:val="0"/>
                <w:sz w:val="21"/>
                <w:szCs w:val="24"/>
                <w:highlight w:val="none"/>
              </w:rPr>
              <w:t>▲质量要求</w:t>
            </w:r>
          </w:p>
        </w:tc>
        <w:tc>
          <w:tcPr>
            <w:tcW w:w="8623" w:type="dxa"/>
            <w:gridSpan w:val="5"/>
            <w:tcBorders>
              <w:top w:val="single" w:color="auto" w:sz="4" w:space="0"/>
              <w:left w:val="single" w:color="auto" w:sz="4" w:space="0"/>
              <w:bottom w:val="single" w:color="auto" w:sz="4" w:space="0"/>
              <w:right w:val="single" w:color="auto" w:sz="4" w:space="0"/>
            </w:tcBorders>
            <w:noWrap w:val="0"/>
            <w:vAlign w:val="center"/>
          </w:tcPr>
          <w:p w14:paraId="3E8106F7">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宋体" w:hAnsi="宋体"/>
                <w:bCs/>
                <w:color w:val="auto"/>
                <w:szCs w:val="21"/>
                <w:highlight w:val="none"/>
              </w:rPr>
            </w:pPr>
            <w:r>
              <w:rPr>
                <w:rFonts w:hint="default"/>
                <w:color w:val="auto"/>
                <w:spacing w:val="-2"/>
                <w:highlight w:val="none"/>
                <w:lang w:val="en-US" w:eastAsia="zh-CN"/>
              </w:rPr>
              <w:t>确保报告符合现行国家、水利部（或</w:t>
            </w:r>
            <w:r>
              <w:rPr>
                <w:rFonts w:hint="eastAsia"/>
                <w:color w:val="auto"/>
                <w:spacing w:val="-2"/>
                <w:highlight w:val="none"/>
                <w:lang w:val="en-US" w:eastAsia="zh-CN"/>
              </w:rPr>
              <w:t>自治区</w:t>
            </w:r>
            <w:r>
              <w:rPr>
                <w:rFonts w:hint="default"/>
                <w:color w:val="auto"/>
                <w:spacing w:val="-2"/>
                <w:highlight w:val="none"/>
                <w:lang w:val="en-US" w:eastAsia="zh-CN"/>
              </w:rPr>
              <w:t>水利厅）颁布现行的有关规程规范以及合同的要求，并通过上级相关部门组织的审查。</w:t>
            </w:r>
          </w:p>
        </w:tc>
      </w:tr>
      <w:tr w14:paraId="6D0F69A0">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54" w:hRule="atLeast"/>
          <w:jc w:val="center"/>
        </w:trPr>
        <w:tc>
          <w:tcPr>
            <w:tcW w:w="1260" w:type="dxa"/>
            <w:gridSpan w:val="2"/>
            <w:tcBorders>
              <w:top w:val="single" w:color="auto" w:sz="4" w:space="0"/>
              <w:left w:val="single" w:color="auto" w:sz="4" w:space="0"/>
              <w:bottom w:val="single" w:color="auto" w:sz="4" w:space="0"/>
              <w:right w:val="single" w:color="auto" w:sz="4" w:space="0"/>
            </w:tcBorders>
            <w:noWrap w:val="0"/>
            <w:vAlign w:val="center"/>
          </w:tcPr>
          <w:p w14:paraId="03657D35">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bCs/>
                <w:color w:val="auto"/>
                <w:szCs w:val="21"/>
                <w:highlight w:val="none"/>
              </w:rPr>
            </w:pPr>
            <w:r>
              <w:rPr>
                <w:rFonts w:hint="eastAsia" w:ascii="宋体" w:hAnsi="宋体"/>
                <w:color w:val="auto"/>
                <w:szCs w:val="21"/>
                <w:highlight w:val="none"/>
                <w:lang w:eastAsia="zh-CN"/>
              </w:rPr>
              <w:t>▲</w:t>
            </w:r>
            <w:r>
              <w:rPr>
                <w:rFonts w:hint="eastAsia" w:ascii="宋体" w:hAnsi="宋体" w:cs="宋体"/>
                <w:color w:val="auto"/>
                <w:szCs w:val="21"/>
                <w:highlight w:val="none"/>
              </w:rPr>
              <w:t>付款条件</w:t>
            </w:r>
          </w:p>
        </w:tc>
        <w:tc>
          <w:tcPr>
            <w:tcW w:w="8623" w:type="dxa"/>
            <w:gridSpan w:val="5"/>
            <w:tcBorders>
              <w:top w:val="single" w:color="auto" w:sz="4" w:space="0"/>
              <w:left w:val="single" w:color="auto" w:sz="4" w:space="0"/>
              <w:bottom w:val="single" w:color="auto" w:sz="4" w:space="0"/>
              <w:right w:val="single" w:color="auto" w:sz="4" w:space="0"/>
            </w:tcBorders>
            <w:noWrap w:val="0"/>
            <w:vAlign w:val="center"/>
          </w:tcPr>
          <w:p w14:paraId="14554101">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r>
              <w:rPr>
                <w:rFonts w:hint="eastAsia" w:ascii="宋体" w:hAnsi="宋体" w:cs="宋体"/>
                <w:color w:val="auto"/>
                <w:kern w:val="0"/>
                <w:sz w:val="21"/>
                <w:szCs w:val="21"/>
                <w:highlight w:val="none"/>
                <w:lang w:val="en-US" w:eastAsia="zh-CN" w:bidi="ar"/>
              </w:rPr>
              <w:t>.预付款支付：</w:t>
            </w:r>
            <w:r>
              <w:rPr>
                <w:rFonts w:hint="eastAsia" w:ascii="宋体" w:hAnsi="宋体" w:eastAsia="宋体" w:cs="宋体"/>
                <w:color w:val="auto"/>
                <w:kern w:val="0"/>
                <w:sz w:val="21"/>
                <w:szCs w:val="21"/>
                <w:highlight w:val="none"/>
                <w:lang w:val="en-US" w:eastAsia="zh-CN" w:bidi="ar"/>
              </w:rPr>
              <w:t>采购人与成交供应商签订合同后，</w:t>
            </w:r>
            <w:r>
              <w:rPr>
                <w:rFonts w:hint="eastAsia" w:ascii="宋体" w:hAnsi="宋体" w:cs="宋体"/>
                <w:color w:val="auto"/>
                <w:kern w:val="0"/>
                <w:sz w:val="21"/>
                <w:szCs w:val="21"/>
                <w:highlight w:val="none"/>
                <w:lang w:val="en-US" w:eastAsia="zh-CN" w:bidi="ar"/>
              </w:rPr>
              <w:t>成交供应商需提供等额</w:t>
            </w:r>
            <w:r>
              <w:rPr>
                <w:rFonts w:hint="eastAsia"/>
                <w:color w:val="auto"/>
                <w:spacing w:val="-2"/>
                <w:highlight w:val="none"/>
                <w:lang w:val="en-US" w:eastAsia="zh-CN"/>
              </w:rPr>
              <w:t>预付款保函及服务进场证明（含启动会相关资料、项目工作计划表、核心团队人员名单），经采购人确认后</w:t>
            </w:r>
            <w:r>
              <w:rPr>
                <w:rFonts w:hint="eastAsia" w:ascii="宋体" w:hAnsi="宋体" w:eastAsia="宋体" w:cs="宋体"/>
                <w:color w:val="auto"/>
                <w:kern w:val="0"/>
                <w:sz w:val="21"/>
                <w:szCs w:val="21"/>
                <w:highlight w:val="none"/>
                <w:lang w:val="en-US" w:eastAsia="zh-CN" w:bidi="ar"/>
              </w:rPr>
              <w:t>向成交供应商支付合同价的</w:t>
            </w:r>
            <w:r>
              <w:rPr>
                <w:rFonts w:hint="eastAsia" w:ascii="宋体" w:hAnsi="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0%；</w:t>
            </w:r>
          </w:p>
          <w:p w14:paraId="0CD7EA10">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w:t>
            </w:r>
            <w:r>
              <w:rPr>
                <w:rFonts w:hint="eastAsia" w:ascii="宋体" w:hAnsi="宋体" w:cs="宋体"/>
                <w:color w:val="auto"/>
                <w:kern w:val="0"/>
                <w:sz w:val="21"/>
                <w:szCs w:val="21"/>
                <w:highlight w:val="none"/>
                <w:lang w:val="en-US" w:eastAsia="zh-CN" w:bidi="ar"/>
              </w:rPr>
              <w:t>.进度款支付：成交供应商交付</w:t>
            </w:r>
            <w:r>
              <w:rPr>
                <w:rFonts w:hint="eastAsia" w:ascii="宋体" w:hAnsi="宋体"/>
                <w:color w:val="auto"/>
                <w:szCs w:val="21"/>
                <w:highlight w:val="none"/>
              </w:rPr>
              <w:t>项目立项建议报告</w:t>
            </w:r>
            <w:r>
              <w:rPr>
                <w:rFonts w:hint="eastAsia" w:ascii="宋体" w:hAnsi="宋体" w:cs="宋体"/>
                <w:color w:val="auto"/>
                <w:kern w:val="0"/>
                <w:sz w:val="21"/>
                <w:szCs w:val="21"/>
                <w:highlight w:val="none"/>
                <w:lang w:val="en-US" w:eastAsia="zh-CN" w:bidi="ar"/>
              </w:rPr>
              <w:t>送审稿，经采购人审核书面确认合格后，采购人</w:t>
            </w:r>
            <w:r>
              <w:rPr>
                <w:rFonts w:hint="eastAsia" w:ascii="宋体" w:hAnsi="宋体" w:eastAsia="宋体" w:cs="宋体"/>
                <w:color w:val="auto"/>
                <w:kern w:val="0"/>
                <w:sz w:val="21"/>
                <w:szCs w:val="21"/>
                <w:highlight w:val="none"/>
                <w:lang w:val="en-US" w:eastAsia="zh-CN" w:bidi="ar"/>
              </w:rPr>
              <w:t>向成交供应商支付合同价的</w:t>
            </w:r>
            <w:r>
              <w:rPr>
                <w:rFonts w:hint="eastAsia" w:ascii="宋体" w:hAnsi="宋体" w:cs="宋体"/>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val="en-US" w:eastAsia="zh-CN" w:bidi="ar"/>
              </w:rPr>
              <w:t>0%</w:t>
            </w:r>
            <w:r>
              <w:rPr>
                <w:rFonts w:hint="eastAsia" w:ascii="宋体" w:hAnsi="宋体" w:cs="宋体"/>
                <w:color w:val="auto"/>
                <w:kern w:val="0"/>
                <w:sz w:val="21"/>
                <w:szCs w:val="21"/>
                <w:highlight w:val="none"/>
                <w:lang w:val="en-US" w:eastAsia="zh-CN" w:bidi="ar"/>
              </w:rPr>
              <w:t>，本次支付金额中自动扣回预付款的50%（即合同总价的15%）；</w:t>
            </w:r>
          </w:p>
          <w:p w14:paraId="6DBA0D4A">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w:t>
            </w:r>
            <w:r>
              <w:rPr>
                <w:rFonts w:hint="eastAsia" w:ascii="宋体" w:hAnsi="宋体" w:cs="宋体"/>
                <w:color w:val="auto"/>
                <w:kern w:val="0"/>
                <w:sz w:val="21"/>
                <w:szCs w:val="21"/>
                <w:highlight w:val="none"/>
                <w:lang w:val="en-US" w:eastAsia="zh-CN" w:bidi="ar"/>
              </w:rPr>
              <w:t>.结算款支付：</w:t>
            </w:r>
            <w:r>
              <w:rPr>
                <w:rFonts w:hint="eastAsia" w:ascii="宋体" w:hAnsi="宋体"/>
                <w:color w:val="auto"/>
                <w:szCs w:val="21"/>
                <w:highlight w:val="none"/>
              </w:rPr>
              <w:t>项目立项建议报告</w:t>
            </w:r>
            <w:r>
              <w:rPr>
                <w:rFonts w:hint="eastAsia" w:ascii="宋体" w:hAnsi="宋体" w:eastAsia="宋体" w:cs="宋体"/>
                <w:color w:val="auto"/>
                <w:kern w:val="0"/>
                <w:sz w:val="21"/>
                <w:szCs w:val="21"/>
                <w:highlight w:val="none"/>
                <w:lang w:val="en-US" w:eastAsia="zh-CN" w:bidi="ar"/>
              </w:rPr>
              <w:t>通过上级部门审查</w:t>
            </w:r>
            <w:r>
              <w:rPr>
                <w:rFonts w:hint="eastAsia"/>
                <w:color w:val="auto"/>
                <w:spacing w:val="-2"/>
                <w:highlight w:val="none"/>
                <w:lang w:val="en-US" w:eastAsia="zh-CN"/>
              </w:rPr>
              <w:t>并获得批复文件</w:t>
            </w:r>
            <w:r>
              <w:rPr>
                <w:rFonts w:hint="eastAsia" w:ascii="宋体" w:hAnsi="宋体" w:eastAsia="宋体" w:cs="宋体"/>
                <w:color w:val="auto"/>
                <w:kern w:val="0"/>
                <w:sz w:val="21"/>
                <w:szCs w:val="21"/>
                <w:highlight w:val="none"/>
                <w:lang w:val="en-US" w:eastAsia="zh-CN" w:bidi="ar"/>
              </w:rPr>
              <w:t>，</w:t>
            </w:r>
            <w:r>
              <w:rPr>
                <w:rFonts w:hint="eastAsia" w:ascii="宋体" w:hAnsi="宋体" w:cs="宋体"/>
                <w:color w:val="auto"/>
                <w:kern w:val="0"/>
                <w:sz w:val="21"/>
                <w:szCs w:val="21"/>
                <w:highlight w:val="none"/>
                <w:lang w:val="en-US" w:eastAsia="zh-CN" w:bidi="ar"/>
              </w:rPr>
              <w:t>成交供应商提交最终成果文件，完成履约验收，且经城区财政投资评审中心审定结算金额后，采购人</w:t>
            </w:r>
            <w:r>
              <w:rPr>
                <w:rFonts w:hint="eastAsia" w:ascii="宋体" w:hAnsi="宋体" w:eastAsia="宋体" w:cs="宋体"/>
                <w:color w:val="auto"/>
                <w:kern w:val="0"/>
                <w:sz w:val="21"/>
                <w:szCs w:val="21"/>
                <w:highlight w:val="none"/>
                <w:lang w:val="en-US" w:eastAsia="zh-CN" w:bidi="ar"/>
              </w:rPr>
              <w:t>向成交供应商</w:t>
            </w:r>
            <w:r>
              <w:rPr>
                <w:rFonts w:hint="eastAsia" w:ascii="宋体" w:hAnsi="宋体" w:cs="宋体"/>
                <w:color w:val="auto"/>
                <w:kern w:val="0"/>
                <w:sz w:val="21"/>
                <w:szCs w:val="21"/>
                <w:highlight w:val="none"/>
                <w:lang w:val="en-US" w:eastAsia="zh-CN" w:bidi="ar"/>
              </w:rPr>
              <w:t>支付剩余结算款尾款，本次支付金额中自动扣回剩余全部预付款（即合同总价的15%）</w:t>
            </w:r>
            <w:r>
              <w:rPr>
                <w:rFonts w:hint="eastAsia" w:ascii="宋体" w:hAnsi="宋体" w:eastAsia="宋体" w:cs="宋体"/>
                <w:color w:val="auto"/>
                <w:kern w:val="0"/>
                <w:sz w:val="21"/>
                <w:szCs w:val="21"/>
                <w:highlight w:val="none"/>
                <w:lang w:val="en-US" w:eastAsia="zh-CN" w:bidi="ar"/>
              </w:rPr>
              <w:t>。</w:t>
            </w:r>
            <w:r>
              <w:rPr>
                <w:rFonts w:hint="eastAsia" w:ascii="宋体" w:hAnsi="宋体" w:cs="宋体"/>
                <w:color w:val="auto"/>
                <w:kern w:val="0"/>
                <w:sz w:val="21"/>
                <w:szCs w:val="21"/>
                <w:highlight w:val="none"/>
                <w:lang w:val="en-US" w:eastAsia="zh-CN" w:bidi="ar"/>
              </w:rPr>
              <w:t>如财政评审审定金额低于合同价，按审定金额结算，供应商已获支付的超额部分需在10日内退还。</w:t>
            </w:r>
          </w:p>
          <w:p w14:paraId="7ED7C118">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default"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4.提前终止：若因成交供应商原因导致合同提前终止，成交供应商应在10个工作日内，将尚未被扣回的预付款余额退还至采购人指定账户，逾期采购人可启动保函索赔。</w:t>
            </w:r>
          </w:p>
          <w:p w14:paraId="05F1D51B">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eastAsia" w:ascii="宋体" w:hAnsi="宋体"/>
                <w:bCs/>
                <w:color w:val="auto"/>
                <w:szCs w:val="21"/>
                <w:highlight w:val="none"/>
              </w:rPr>
            </w:pPr>
            <w:r>
              <w:rPr>
                <w:rFonts w:hint="eastAsia" w:ascii="宋体" w:hAnsi="宋体" w:cs="宋体"/>
                <w:color w:val="auto"/>
                <w:kern w:val="0"/>
                <w:sz w:val="21"/>
                <w:szCs w:val="21"/>
                <w:highlight w:val="none"/>
                <w:lang w:val="en-US" w:eastAsia="zh-CN" w:bidi="ar"/>
              </w:rPr>
              <w:t>5.发票：</w:t>
            </w:r>
            <w:r>
              <w:rPr>
                <w:rFonts w:hint="eastAsia" w:ascii="宋体" w:hAnsi="宋体" w:eastAsia="宋体" w:cs="宋体"/>
                <w:color w:val="auto"/>
                <w:kern w:val="0"/>
                <w:sz w:val="21"/>
                <w:szCs w:val="21"/>
                <w:highlight w:val="none"/>
                <w:lang w:val="en-US" w:eastAsia="zh-CN" w:bidi="ar"/>
              </w:rPr>
              <w:t>成交供应商请款前需提供等额有效增值税普通发票，如不及时提供，采购人有权</w:t>
            </w:r>
            <w:r>
              <w:rPr>
                <w:rFonts w:hint="eastAsia" w:ascii="宋体" w:hAnsi="宋体" w:cs="宋体"/>
                <w:color w:val="auto"/>
                <w:kern w:val="0"/>
                <w:sz w:val="21"/>
                <w:szCs w:val="21"/>
                <w:highlight w:val="none"/>
                <w:lang w:val="en-US" w:eastAsia="zh-CN" w:bidi="ar"/>
              </w:rPr>
              <w:t>付款</w:t>
            </w:r>
            <w:r>
              <w:rPr>
                <w:rFonts w:hint="eastAsia" w:ascii="宋体" w:hAnsi="宋体" w:eastAsia="宋体" w:cs="宋体"/>
                <w:color w:val="auto"/>
                <w:kern w:val="0"/>
                <w:sz w:val="21"/>
                <w:szCs w:val="21"/>
                <w:highlight w:val="none"/>
                <w:lang w:val="en-US" w:eastAsia="zh-CN" w:bidi="ar"/>
              </w:rPr>
              <w:t>期限顺延。</w:t>
            </w:r>
          </w:p>
        </w:tc>
      </w:tr>
      <w:tr w14:paraId="455BBAD6">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54" w:hRule="atLeast"/>
          <w:jc w:val="center"/>
        </w:trPr>
        <w:tc>
          <w:tcPr>
            <w:tcW w:w="1260" w:type="dxa"/>
            <w:gridSpan w:val="2"/>
            <w:tcBorders>
              <w:top w:val="single" w:color="auto" w:sz="4" w:space="0"/>
              <w:left w:val="single" w:color="auto" w:sz="4" w:space="0"/>
              <w:bottom w:val="single" w:color="auto" w:sz="4" w:space="0"/>
              <w:right w:val="single" w:color="auto" w:sz="4" w:space="0"/>
            </w:tcBorders>
            <w:noWrap w:val="0"/>
            <w:vAlign w:val="center"/>
          </w:tcPr>
          <w:p w14:paraId="2BFEF92A">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bCs/>
                <w:color w:val="auto"/>
                <w:szCs w:val="21"/>
                <w:highlight w:val="none"/>
              </w:rPr>
            </w:pPr>
            <w:r>
              <w:rPr>
                <w:rFonts w:hint="eastAsia" w:ascii="宋体" w:hAnsi="宋体" w:cs="宋体"/>
                <w:color w:val="auto"/>
                <w:szCs w:val="21"/>
                <w:highlight w:val="none"/>
              </w:rPr>
              <w:t>其他要求</w:t>
            </w:r>
          </w:p>
        </w:tc>
        <w:tc>
          <w:tcPr>
            <w:tcW w:w="8623" w:type="dxa"/>
            <w:gridSpan w:val="5"/>
            <w:tcBorders>
              <w:top w:val="single" w:color="auto" w:sz="4" w:space="0"/>
              <w:left w:val="single" w:color="auto" w:sz="4" w:space="0"/>
              <w:bottom w:val="single" w:color="auto" w:sz="4" w:space="0"/>
              <w:right w:val="single" w:color="auto" w:sz="4" w:space="0"/>
            </w:tcBorders>
            <w:noWrap w:val="0"/>
            <w:vAlign w:val="center"/>
          </w:tcPr>
          <w:p w14:paraId="1F62FC4C">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auto"/>
                <w:szCs w:val="21"/>
                <w:highlight w:val="none"/>
                <w:lang w:eastAsia="zh-CN"/>
              </w:rPr>
            </w:pP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1.</w:t>
            </w:r>
            <w:r>
              <w:rPr>
                <w:rFonts w:hint="eastAsia" w:ascii="宋体" w:hAnsi="宋体" w:cs="宋体"/>
                <w:color w:val="auto"/>
                <w:szCs w:val="21"/>
                <w:highlight w:val="none"/>
                <w:lang w:eastAsia="zh-CN"/>
              </w:rPr>
              <w:t>报价其他要求</w:t>
            </w:r>
          </w:p>
          <w:p w14:paraId="1F076C45">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本项目报价包含但不限于以下部分：</w:t>
            </w:r>
          </w:p>
          <w:p w14:paraId="7263E086">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本项目技术服务费用。包括但不限于供应商配备资源完成项目工作所需的人工费、设备使用费、成果编制出版、劳动保护费、社会保险、安全保护等安全生产保险费用、人员食宿费、交通费、管理费和可预计的风险费、评审费及评审会务费、评审专家咨询费、现场踏勘费、咨料收集费、职业安全健康与环境保护等安全生产所需的相应费用等（不限于上述所列）。合同价款已充分考虑期间各种风险因素，除双方一致同意变更外不允许调增。</w:t>
            </w:r>
          </w:p>
          <w:p w14:paraId="5279009D">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2）供应商自身工作人员、聘请专家等为完成本项目的所有工作或义务而支出的劳动报酬和相关费用，供应商及其聘用、雇佣人员为供应商工作或为本项目工作而发生意外人身伤亡伤害、财物或其它 损失等一切风险而产生的赔偿款等。</w:t>
            </w:r>
          </w:p>
          <w:p w14:paraId="2DEE29DB">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3）其他应当计入或由供应商支付的款项或费用等。</w:t>
            </w:r>
          </w:p>
          <w:p w14:paraId="2032CB90">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bCs/>
                <w:color w:val="auto"/>
                <w:szCs w:val="21"/>
                <w:highlight w:val="none"/>
              </w:rPr>
            </w:pPr>
            <w:r>
              <w:rPr>
                <w:rFonts w:hint="eastAsia" w:ascii="宋体" w:hAnsi="宋体"/>
                <w:color w:val="auto"/>
                <w:szCs w:val="21"/>
                <w:highlight w:val="none"/>
                <w:lang w:eastAsia="zh-CN"/>
              </w:rPr>
              <w:t>▲</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eastAsia="zh-CN"/>
              </w:rPr>
              <w:t>供应商</w:t>
            </w:r>
            <w:r>
              <w:rPr>
                <w:rFonts w:hint="eastAsia" w:ascii="宋体" w:hAnsi="宋体" w:cs="宋体"/>
                <w:color w:val="auto"/>
                <w:szCs w:val="21"/>
                <w:highlight w:val="none"/>
              </w:rPr>
              <w:t>应结合自身因素进行</w:t>
            </w:r>
            <w:r>
              <w:rPr>
                <w:rFonts w:hint="eastAsia" w:ascii="宋体" w:hAnsi="宋体" w:cs="宋体"/>
                <w:color w:val="auto"/>
                <w:szCs w:val="21"/>
                <w:highlight w:val="none"/>
                <w:lang w:val="en-US" w:eastAsia="zh-CN"/>
              </w:rPr>
              <w:t>唯一完整</w:t>
            </w:r>
            <w:r>
              <w:rPr>
                <w:rFonts w:hint="eastAsia" w:ascii="宋体" w:hAnsi="宋体" w:cs="宋体"/>
                <w:color w:val="auto"/>
                <w:szCs w:val="21"/>
                <w:highlight w:val="none"/>
              </w:rPr>
              <w:t>报价，但不得超出</w:t>
            </w:r>
            <w:r>
              <w:rPr>
                <w:rFonts w:hint="eastAsia" w:ascii="宋体" w:hAnsi="宋体" w:cs="宋体"/>
                <w:color w:val="auto"/>
                <w:szCs w:val="21"/>
                <w:highlight w:val="none"/>
                <w:lang w:eastAsia="zh-CN"/>
              </w:rPr>
              <w:t>最高限价</w:t>
            </w:r>
            <w:r>
              <w:rPr>
                <w:rFonts w:hint="eastAsia" w:ascii="宋体" w:hAnsi="宋体" w:cs="宋体"/>
                <w:color w:val="auto"/>
                <w:szCs w:val="21"/>
                <w:highlight w:val="none"/>
              </w:rPr>
              <w:t>范围，否则报价无效，做否决投标处理。</w:t>
            </w:r>
          </w:p>
        </w:tc>
      </w:tr>
    </w:tbl>
    <w:p w14:paraId="763947C3">
      <w:pPr>
        <w:pStyle w:val="15"/>
        <w:widowControl/>
        <w:jc w:val="left"/>
        <w:rPr>
          <w:rFonts w:hint="eastAsia"/>
          <w:color w:val="auto"/>
          <w:highlight w:val="none"/>
          <w:lang w:eastAsia="zh-CN"/>
        </w:rPr>
      </w:pPr>
    </w:p>
    <w:p w14:paraId="71333F5C">
      <w:pPr>
        <w:pStyle w:val="15"/>
        <w:widowControl/>
        <w:jc w:val="left"/>
        <w:rPr>
          <w:rFonts w:hint="eastAsia"/>
          <w:color w:val="auto"/>
          <w:highlight w:val="none"/>
          <w:lang w:val="en-US" w:eastAsia="zh-CN"/>
        </w:rPr>
      </w:pPr>
    </w:p>
    <w:p w14:paraId="64765A43">
      <w:pPr>
        <w:pStyle w:val="15"/>
        <w:widowControl/>
        <w:jc w:val="left"/>
        <w:rPr>
          <w:rFonts w:hint="eastAsia"/>
          <w:color w:val="auto"/>
          <w:highlight w:val="none"/>
          <w:lang w:val="en-US" w:eastAsia="zh-CN"/>
        </w:rPr>
      </w:pPr>
    </w:p>
    <w:p w14:paraId="0C686781">
      <w:pPr>
        <w:pStyle w:val="15"/>
        <w:widowControl/>
        <w:jc w:val="left"/>
        <w:rPr>
          <w:rFonts w:hint="eastAsia"/>
          <w:color w:val="auto"/>
          <w:highlight w:val="none"/>
          <w:lang w:eastAsia="zh-CN"/>
        </w:rPr>
      </w:pPr>
    </w:p>
    <w:p w14:paraId="776FEFAE">
      <w:pPr>
        <w:pStyle w:val="15"/>
        <w:widowControl/>
        <w:jc w:val="left"/>
        <w:rPr>
          <w:rFonts w:hint="eastAsia"/>
          <w:color w:val="auto"/>
          <w:highlight w:val="none"/>
          <w:lang w:eastAsia="zh-CN"/>
        </w:rPr>
      </w:pPr>
    </w:p>
    <w:p w14:paraId="788A059F">
      <w:pPr>
        <w:pStyle w:val="15"/>
        <w:widowControl/>
        <w:jc w:val="left"/>
        <w:rPr>
          <w:rFonts w:hint="eastAsia" w:ascii="Arial Unicode MS" w:hAnsi="Arial Unicode MS" w:eastAsia="Arial Unicode MS" w:cs="Arial Unicode MS"/>
          <w:color w:val="auto"/>
          <w:sz w:val="32"/>
          <w:szCs w:val="32"/>
          <w:highlight w:val="none"/>
        </w:rPr>
      </w:pPr>
      <w:r>
        <w:rPr>
          <w:color w:val="auto"/>
          <w:highlight w:val="none"/>
        </w:rPr>
        <w:br w:type="page"/>
      </w:r>
      <w:bookmarkEnd w:id="40"/>
      <w:r>
        <w:rPr>
          <w:rFonts w:hint="eastAsia" w:ascii="微软雅黑" w:hAnsi="微软雅黑" w:eastAsia="微软雅黑" w:cs="微软雅黑"/>
          <w:color w:val="auto"/>
          <w:sz w:val="32"/>
          <w:szCs w:val="32"/>
          <w:highlight w:val="none"/>
        </w:rPr>
        <w:t>附件：</w:t>
      </w:r>
    </w:p>
    <w:p w14:paraId="72A67587">
      <w:pPr>
        <w:spacing w:line="528" w:lineRule="exact"/>
        <w:ind w:left="1871"/>
        <w:rPr>
          <w:rFonts w:ascii="Arial Unicode MS" w:hAnsi="Arial Unicode MS" w:eastAsia="Arial Unicode MS" w:cs="Arial Unicode MS"/>
          <w:color w:val="auto"/>
          <w:sz w:val="40"/>
          <w:szCs w:val="40"/>
          <w:highlight w:val="none"/>
        </w:rPr>
      </w:pPr>
      <w:r>
        <w:rPr>
          <w:rFonts w:hint="eastAsia" w:ascii="微软雅黑" w:hAnsi="微软雅黑" w:eastAsia="微软雅黑" w:cs="微软雅黑"/>
          <w:color w:val="auto"/>
          <w:sz w:val="40"/>
          <w:szCs w:val="40"/>
          <w:highlight w:val="none"/>
        </w:rPr>
        <w:t>中小微企业划型标准</w:t>
      </w:r>
    </w:p>
    <w:tbl>
      <w:tblPr>
        <w:tblStyle w:val="25"/>
        <w:tblW w:w="9500" w:type="dxa"/>
        <w:tblInd w:w="250" w:type="dxa"/>
        <w:tblLayout w:type="fixed"/>
        <w:tblCellMar>
          <w:top w:w="0" w:type="dxa"/>
          <w:left w:w="108" w:type="dxa"/>
          <w:bottom w:w="0" w:type="dxa"/>
          <w:right w:w="108" w:type="dxa"/>
        </w:tblCellMar>
      </w:tblPr>
      <w:tblGrid>
        <w:gridCol w:w="1985"/>
        <w:gridCol w:w="1985"/>
        <w:gridCol w:w="851"/>
        <w:gridCol w:w="1843"/>
        <w:gridCol w:w="1702"/>
        <w:gridCol w:w="1134"/>
      </w:tblGrid>
      <w:tr w14:paraId="25F818FC">
        <w:tblPrEx>
          <w:tblCellMar>
            <w:top w:w="0" w:type="dxa"/>
            <w:left w:w="108" w:type="dxa"/>
            <w:bottom w:w="0" w:type="dxa"/>
            <w:right w:w="108" w:type="dxa"/>
          </w:tblCellMar>
        </w:tblPrEx>
        <w:trPr>
          <w:trHeight w:val="285" w:hRule="atLeast"/>
        </w:trPr>
        <w:tc>
          <w:tcPr>
            <w:tcW w:w="1985" w:type="dxa"/>
            <w:tcBorders>
              <w:top w:val="single" w:color="auto" w:sz="4" w:space="0"/>
              <w:left w:val="single" w:color="auto" w:sz="4" w:space="0"/>
              <w:bottom w:val="single" w:color="auto" w:sz="4" w:space="0"/>
              <w:right w:val="single" w:color="auto" w:sz="4" w:space="0"/>
            </w:tcBorders>
            <w:noWrap w:val="0"/>
            <w:vAlign w:val="center"/>
          </w:tcPr>
          <w:p w14:paraId="1D21B21D">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行业名称</w:t>
            </w:r>
          </w:p>
        </w:tc>
        <w:tc>
          <w:tcPr>
            <w:tcW w:w="1984" w:type="dxa"/>
            <w:tcBorders>
              <w:top w:val="single" w:color="auto" w:sz="4" w:space="0"/>
              <w:left w:val="nil"/>
              <w:bottom w:val="single" w:color="auto" w:sz="4" w:space="0"/>
              <w:right w:val="single" w:color="auto" w:sz="4" w:space="0"/>
            </w:tcBorders>
            <w:noWrap w:val="0"/>
            <w:vAlign w:val="center"/>
          </w:tcPr>
          <w:p w14:paraId="0674DD03">
            <w:pPr>
              <w:widowControl/>
              <w:jc w:val="left"/>
              <w:rPr>
                <w:rFonts w:hint="eastAsia"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指标名称</w:t>
            </w:r>
          </w:p>
        </w:tc>
        <w:tc>
          <w:tcPr>
            <w:tcW w:w="851" w:type="dxa"/>
            <w:tcBorders>
              <w:top w:val="single" w:color="auto" w:sz="4" w:space="0"/>
              <w:left w:val="nil"/>
              <w:bottom w:val="single" w:color="auto" w:sz="4" w:space="0"/>
              <w:right w:val="single" w:color="auto" w:sz="4" w:space="0"/>
            </w:tcBorders>
            <w:noWrap w:val="0"/>
            <w:vAlign w:val="center"/>
          </w:tcPr>
          <w:p w14:paraId="7EDD55FA">
            <w:pPr>
              <w:widowControl/>
              <w:jc w:val="left"/>
              <w:rPr>
                <w:rFonts w:hint="eastAsia"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计量单位</w:t>
            </w:r>
          </w:p>
        </w:tc>
        <w:tc>
          <w:tcPr>
            <w:tcW w:w="1842" w:type="dxa"/>
            <w:tcBorders>
              <w:top w:val="single" w:color="auto" w:sz="4" w:space="0"/>
              <w:left w:val="nil"/>
              <w:bottom w:val="single" w:color="auto" w:sz="4" w:space="0"/>
              <w:right w:val="single" w:color="auto" w:sz="4" w:space="0"/>
            </w:tcBorders>
            <w:noWrap w:val="0"/>
            <w:vAlign w:val="center"/>
          </w:tcPr>
          <w:p w14:paraId="720F37CA">
            <w:pPr>
              <w:widowControl/>
              <w:jc w:val="left"/>
              <w:rPr>
                <w:rFonts w:hint="eastAsia"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中型</w:t>
            </w:r>
          </w:p>
        </w:tc>
        <w:tc>
          <w:tcPr>
            <w:tcW w:w="1701" w:type="dxa"/>
            <w:tcBorders>
              <w:top w:val="single" w:color="auto" w:sz="4" w:space="0"/>
              <w:left w:val="nil"/>
              <w:bottom w:val="single" w:color="auto" w:sz="4" w:space="0"/>
              <w:right w:val="single" w:color="auto" w:sz="4" w:space="0"/>
            </w:tcBorders>
            <w:noWrap w:val="0"/>
            <w:vAlign w:val="center"/>
          </w:tcPr>
          <w:p w14:paraId="78AE55AC">
            <w:pPr>
              <w:widowControl/>
              <w:jc w:val="left"/>
              <w:rPr>
                <w:rFonts w:hint="eastAsia"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小型</w:t>
            </w:r>
          </w:p>
        </w:tc>
        <w:tc>
          <w:tcPr>
            <w:tcW w:w="1134" w:type="dxa"/>
            <w:tcBorders>
              <w:top w:val="single" w:color="auto" w:sz="4" w:space="0"/>
              <w:left w:val="nil"/>
              <w:bottom w:val="single" w:color="auto" w:sz="4" w:space="0"/>
              <w:right w:val="single" w:color="auto" w:sz="4" w:space="0"/>
            </w:tcBorders>
            <w:noWrap w:val="0"/>
            <w:vAlign w:val="center"/>
          </w:tcPr>
          <w:p w14:paraId="0A7F839E">
            <w:pPr>
              <w:widowControl/>
              <w:jc w:val="left"/>
              <w:rPr>
                <w:rFonts w:hint="eastAsia"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微型</w:t>
            </w:r>
          </w:p>
        </w:tc>
      </w:tr>
      <w:tr w14:paraId="4CD4BF92">
        <w:tblPrEx>
          <w:tblCellMar>
            <w:top w:w="0" w:type="dxa"/>
            <w:left w:w="108" w:type="dxa"/>
            <w:bottom w:w="0" w:type="dxa"/>
            <w:right w:w="108" w:type="dxa"/>
          </w:tblCellMar>
        </w:tblPrEx>
        <w:trPr>
          <w:trHeight w:val="225" w:hRule="atLeast"/>
        </w:trPr>
        <w:tc>
          <w:tcPr>
            <w:tcW w:w="1985" w:type="dxa"/>
            <w:tcBorders>
              <w:top w:val="nil"/>
              <w:left w:val="single" w:color="auto" w:sz="4" w:space="0"/>
              <w:bottom w:val="single" w:color="auto" w:sz="4" w:space="0"/>
              <w:right w:val="single" w:color="auto" w:sz="4" w:space="0"/>
            </w:tcBorders>
            <w:noWrap w:val="0"/>
            <w:vAlign w:val="bottom"/>
          </w:tcPr>
          <w:p w14:paraId="389172E8">
            <w:pPr>
              <w:widowControl/>
              <w:jc w:val="center"/>
              <w:rPr>
                <w:rFonts w:hint="eastAsia"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农、林、牧、渔</w:t>
            </w:r>
          </w:p>
        </w:tc>
        <w:tc>
          <w:tcPr>
            <w:tcW w:w="1984" w:type="dxa"/>
            <w:tcBorders>
              <w:top w:val="nil"/>
              <w:left w:val="nil"/>
              <w:bottom w:val="single" w:color="auto" w:sz="4" w:space="0"/>
              <w:right w:val="single" w:color="auto" w:sz="4" w:space="0"/>
            </w:tcBorders>
            <w:noWrap w:val="0"/>
            <w:vAlign w:val="center"/>
          </w:tcPr>
          <w:p w14:paraId="60B38400">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0711673A">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14:paraId="383EDF8F">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500≤Y＜20000</w:t>
            </w:r>
          </w:p>
        </w:tc>
        <w:tc>
          <w:tcPr>
            <w:tcW w:w="1701" w:type="dxa"/>
            <w:tcBorders>
              <w:top w:val="nil"/>
              <w:left w:val="nil"/>
              <w:bottom w:val="single" w:color="auto" w:sz="4" w:space="0"/>
              <w:right w:val="single" w:color="auto" w:sz="4" w:space="0"/>
            </w:tcBorders>
            <w:noWrap w:val="0"/>
            <w:vAlign w:val="center"/>
          </w:tcPr>
          <w:p w14:paraId="255A869F">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50≤Y＜500</w:t>
            </w:r>
          </w:p>
        </w:tc>
        <w:tc>
          <w:tcPr>
            <w:tcW w:w="1134" w:type="dxa"/>
            <w:tcBorders>
              <w:top w:val="nil"/>
              <w:left w:val="nil"/>
              <w:bottom w:val="single" w:color="auto" w:sz="4" w:space="0"/>
              <w:right w:val="single" w:color="auto" w:sz="4" w:space="0"/>
            </w:tcBorders>
            <w:noWrap w:val="0"/>
            <w:vAlign w:val="center"/>
          </w:tcPr>
          <w:p w14:paraId="0048E41A">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Y＜50</w:t>
            </w:r>
          </w:p>
        </w:tc>
      </w:tr>
      <w:tr w14:paraId="4A960B66">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582AE4E7">
            <w:pPr>
              <w:widowControl/>
              <w:jc w:val="center"/>
              <w:rPr>
                <w:rFonts w:hint="eastAsia"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工业</w:t>
            </w:r>
          </w:p>
        </w:tc>
        <w:tc>
          <w:tcPr>
            <w:tcW w:w="1984" w:type="dxa"/>
            <w:tcBorders>
              <w:top w:val="nil"/>
              <w:left w:val="nil"/>
              <w:bottom w:val="single" w:color="auto" w:sz="4" w:space="0"/>
              <w:right w:val="single" w:color="auto" w:sz="4" w:space="0"/>
            </w:tcBorders>
            <w:noWrap w:val="0"/>
            <w:vAlign w:val="center"/>
          </w:tcPr>
          <w:p w14:paraId="0FA5A385">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4212C13B">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0"/>
            <w:vAlign w:val="center"/>
          </w:tcPr>
          <w:p w14:paraId="0A18CBDA">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1701" w:type="dxa"/>
            <w:tcBorders>
              <w:top w:val="nil"/>
              <w:left w:val="nil"/>
              <w:bottom w:val="single" w:color="auto" w:sz="4" w:space="0"/>
              <w:right w:val="single" w:color="auto" w:sz="4" w:space="0"/>
            </w:tcBorders>
            <w:noWrap w:val="0"/>
            <w:vAlign w:val="center"/>
          </w:tcPr>
          <w:p w14:paraId="12A9CEAE">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20≤X＜300</w:t>
            </w:r>
          </w:p>
        </w:tc>
        <w:tc>
          <w:tcPr>
            <w:tcW w:w="1134" w:type="dxa"/>
            <w:tcBorders>
              <w:top w:val="nil"/>
              <w:left w:val="nil"/>
              <w:bottom w:val="single" w:color="auto" w:sz="4" w:space="0"/>
              <w:right w:val="single" w:color="auto" w:sz="4" w:space="0"/>
            </w:tcBorders>
            <w:noWrap w:val="0"/>
            <w:vAlign w:val="center"/>
          </w:tcPr>
          <w:p w14:paraId="1F8CFBC2">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307E39A1">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347152C5">
            <w:pPr>
              <w:widowControl/>
              <w:jc w:val="left"/>
              <w:rPr>
                <w:rFonts w:ascii="仿宋_GB2312" w:hAnsi="仿宋" w:eastAsia="仿宋_GB2312"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0"/>
            <w:vAlign w:val="center"/>
          </w:tcPr>
          <w:p w14:paraId="77E7EAA0">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599286DD">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14:paraId="1AD9DC5E">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2000≤Y＜40000</w:t>
            </w:r>
          </w:p>
        </w:tc>
        <w:tc>
          <w:tcPr>
            <w:tcW w:w="1701" w:type="dxa"/>
            <w:tcBorders>
              <w:top w:val="nil"/>
              <w:left w:val="nil"/>
              <w:bottom w:val="single" w:color="auto" w:sz="4" w:space="0"/>
              <w:right w:val="single" w:color="auto" w:sz="4" w:space="0"/>
            </w:tcBorders>
            <w:noWrap w:val="0"/>
            <w:vAlign w:val="center"/>
          </w:tcPr>
          <w:p w14:paraId="3C91A706">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300≤Y＜2000</w:t>
            </w:r>
          </w:p>
        </w:tc>
        <w:tc>
          <w:tcPr>
            <w:tcW w:w="1134" w:type="dxa"/>
            <w:tcBorders>
              <w:top w:val="nil"/>
              <w:left w:val="nil"/>
              <w:bottom w:val="single" w:color="auto" w:sz="4" w:space="0"/>
              <w:right w:val="single" w:color="auto" w:sz="4" w:space="0"/>
            </w:tcBorders>
            <w:noWrap w:val="0"/>
            <w:vAlign w:val="center"/>
          </w:tcPr>
          <w:p w14:paraId="247948E7">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Y＜300</w:t>
            </w:r>
          </w:p>
        </w:tc>
      </w:tr>
      <w:tr w14:paraId="7CF0F6E2">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34F23C8C">
            <w:pPr>
              <w:widowControl/>
              <w:jc w:val="center"/>
              <w:rPr>
                <w:rFonts w:hint="eastAsia"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建筑业</w:t>
            </w:r>
          </w:p>
        </w:tc>
        <w:tc>
          <w:tcPr>
            <w:tcW w:w="1984" w:type="dxa"/>
            <w:tcBorders>
              <w:top w:val="nil"/>
              <w:left w:val="nil"/>
              <w:bottom w:val="single" w:color="auto" w:sz="4" w:space="0"/>
              <w:right w:val="single" w:color="auto" w:sz="4" w:space="0"/>
            </w:tcBorders>
            <w:noWrap w:val="0"/>
            <w:vAlign w:val="center"/>
          </w:tcPr>
          <w:p w14:paraId="7FDEFAF4">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4DF7E245">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14:paraId="3C00E6D1">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6000≤Y＜80000</w:t>
            </w:r>
          </w:p>
        </w:tc>
        <w:tc>
          <w:tcPr>
            <w:tcW w:w="1701" w:type="dxa"/>
            <w:tcBorders>
              <w:top w:val="nil"/>
              <w:left w:val="nil"/>
              <w:bottom w:val="single" w:color="auto" w:sz="4" w:space="0"/>
              <w:right w:val="single" w:color="auto" w:sz="4" w:space="0"/>
            </w:tcBorders>
            <w:noWrap w:val="0"/>
            <w:vAlign w:val="center"/>
          </w:tcPr>
          <w:p w14:paraId="366502D8">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300≤Y＜6000</w:t>
            </w:r>
          </w:p>
        </w:tc>
        <w:tc>
          <w:tcPr>
            <w:tcW w:w="1134" w:type="dxa"/>
            <w:tcBorders>
              <w:top w:val="nil"/>
              <w:left w:val="nil"/>
              <w:bottom w:val="single" w:color="auto" w:sz="4" w:space="0"/>
              <w:right w:val="single" w:color="auto" w:sz="4" w:space="0"/>
            </w:tcBorders>
            <w:noWrap w:val="0"/>
            <w:vAlign w:val="center"/>
          </w:tcPr>
          <w:p w14:paraId="563AFA6B">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Y＜300</w:t>
            </w:r>
          </w:p>
        </w:tc>
      </w:tr>
      <w:tr w14:paraId="6C597FD0">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17A6C08A">
            <w:pPr>
              <w:widowControl/>
              <w:jc w:val="left"/>
              <w:rPr>
                <w:rFonts w:ascii="仿宋_GB2312" w:hAnsi="仿宋" w:eastAsia="仿宋_GB2312"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0"/>
            <w:vAlign w:val="center"/>
          </w:tcPr>
          <w:p w14:paraId="5F888F7F">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资产总额（Z）</w:t>
            </w:r>
          </w:p>
        </w:tc>
        <w:tc>
          <w:tcPr>
            <w:tcW w:w="851" w:type="dxa"/>
            <w:tcBorders>
              <w:top w:val="nil"/>
              <w:left w:val="nil"/>
              <w:bottom w:val="single" w:color="auto" w:sz="4" w:space="0"/>
              <w:right w:val="single" w:color="auto" w:sz="4" w:space="0"/>
            </w:tcBorders>
            <w:noWrap w:val="0"/>
            <w:vAlign w:val="center"/>
          </w:tcPr>
          <w:p w14:paraId="63C5681E">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14:paraId="35ADB83C">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5000≤Z＜80000</w:t>
            </w:r>
          </w:p>
        </w:tc>
        <w:tc>
          <w:tcPr>
            <w:tcW w:w="1701" w:type="dxa"/>
            <w:tcBorders>
              <w:top w:val="nil"/>
              <w:left w:val="nil"/>
              <w:bottom w:val="single" w:color="auto" w:sz="4" w:space="0"/>
              <w:right w:val="single" w:color="auto" w:sz="4" w:space="0"/>
            </w:tcBorders>
            <w:noWrap w:val="0"/>
            <w:vAlign w:val="center"/>
          </w:tcPr>
          <w:p w14:paraId="1178161B">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300≤Z＜5000</w:t>
            </w:r>
          </w:p>
        </w:tc>
        <w:tc>
          <w:tcPr>
            <w:tcW w:w="1134" w:type="dxa"/>
            <w:tcBorders>
              <w:top w:val="nil"/>
              <w:left w:val="nil"/>
              <w:bottom w:val="single" w:color="auto" w:sz="4" w:space="0"/>
              <w:right w:val="single" w:color="auto" w:sz="4" w:space="0"/>
            </w:tcBorders>
            <w:noWrap w:val="0"/>
            <w:vAlign w:val="center"/>
          </w:tcPr>
          <w:p w14:paraId="1DD0E66A">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Z＜300</w:t>
            </w:r>
          </w:p>
        </w:tc>
      </w:tr>
      <w:tr w14:paraId="6932F09A">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04B1EDF7">
            <w:pPr>
              <w:widowControl/>
              <w:jc w:val="center"/>
              <w:rPr>
                <w:rFonts w:hint="eastAsia"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批发业</w:t>
            </w:r>
          </w:p>
        </w:tc>
        <w:tc>
          <w:tcPr>
            <w:tcW w:w="1984" w:type="dxa"/>
            <w:tcBorders>
              <w:top w:val="nil"/>
              <w:left w:val="nil"/>
              <w:bottom w:val="single" w:color="auto" w:sz="4" w:space="0"/>
              <w:right w:val="single" w:color="auto" w:sz="4" w:space="0"/>
            </w:tcBorders>
            <w:noWrap w:val="0"/>
            <w:vAlign w:val="center"/>
          </w:tcPr>
          <w:p w14:paraId="65C7F9D4">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4306E985">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0"/>
            <w:vAlign w:val="center"/>
          </w:tcPr>
          <w:p w14:paraId="29C1A920">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20≤X＜200</w:t>
            </w:r>
          </w:p>
        </w:tc>
        <w:tc>
          <w:tcPr>
            <w:tcW w:w="1701" w:type="dxa"/>
            <w:tcBorders>
              <w:top w:val="nil"/>
              <w:left w:val="nil"/>
              <w:bottom w:val="single" w:color="auto" w:sz="4" w:space="0"/>
              <w:right w:val="single" w:color="auto" w:sz="4" w:space="0"/>
            </w:tcBorders>
            <w:noWrap w:val="0"/>
            <w:vAlign w:val="center"/>
          </w:tcPr>
          <w:p w14:paraId="0D7F3661">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5≤X＜20</w:t>
            </w:r>
          </w:p>
        </w:tc>
        <w:tc>
          <w:tcPr>
            <w:tcW w:w="1134" w:type="dxa"/>
            <w:tcBorders>
              <w:top w:val="nil"/>
              <w:left w:val="nil"/>
              <w:bottom w:val="single" w:color="auto" w:sz="4" w:space="0"/>
              <w:right w:val="single" w:color="auto" w:sz="4" w:space="0"/>
            </w:tcBorders>
            <w:noWrap w:val="0"/>
            <w:vAlign w:val="center"/>
          </w:tcPr>
          <w:p w14:paraId="740B59E3">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X＜5</w:t>
            </w:r>
          </w:p>
        </w:tc>
      </w:tr>
      <w:tr w14:paraId="77A3AB8E">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3BE1A496">
            <w:pPr>
              <w:widowControl/>
              <w:jc w:val="left"/>
              <w:rPr>
                <w:rFonts w:ascii="仿宋_GB2312" w:hAnsi="仿宋" w:eastAsia="仿宋_GB2312"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0"/>
            <w:vAlign w:val="center"/>
          </w:tcPr>
          <w:p w14:paraId="4DE476E3">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5ECE8A31">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14:paraId="196F16D4">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5000≤Y＜40000</w:t>
            </w:r>
          </w:p>
        </w:tc>
        <w:tc>
          <w:tcPr>
            <w:tcW w:w="1701" w:type="dxa"/>
            <w:tcBorders>
              <w:top w:val="nil"/>
              <w:left w:val="nil"/>
              <w:bottom w:val="single" w:color="auto" w:sz="4" w:space="0"/>
              <w:right w:val="single" w:color="auto" w:sz="4" w:space="0"/>
            </w:tcBorders>
            <w:noWrap w:val="0"/>
            <w:vAlign w:val="center"/>
          </w:tcPr>
          <w:p w14:paraId="347651B1">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1000≤Y＜5000</w:t>
            </w:r>
          </w:p>
        </w:tc>
        <w:tc>
          <w:tcPr>
            <w:tcW w:w="1134" w:type="dxa"/>
            <w:tcBorders>
              <w:top w:val="nil"/>
              <w:left w:val="nil"/>
              <w:bottom w:val="single" w:color="auto" w:sz="4" w:space="0"/>
              <w:right w:val="single" w:color="auto" w:sz="4" w:space="0"/>
            </w:tcBorders>
            <w:noWrap w:val="0"/>
            <w:vAlign w:val="center"/>
          </w:tcPr>
          <w:p w14:paraId="06AE02D7">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Y＜1000</w:t>
            </w:r>
          </w:p>
        </w:tc>
      </w:tr>
      <w:tr w14:paraId="7FA99A3F">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4869A793">
            <w:pPr>
              <w:widowControl/>
              <w:jc w:val="center"/>
              <w:rPr>
                <w:rFonts w:hint="eastAsia"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零售业</w:t>
            </w:r>
          </w:p>
        </w:tc>
        <w:tc>
          <w:tcPr>
            <w:tcW w:w="1984" w:type="dxa"/>
            <w:tcBorders>
              <w:top w:val="nil"/>
              <w:left w:val="nil"/>
              <w:bottom w:val="single" w:color="auto" w:sz="4" w:space="0"/>
              <w:right w:val="single" w:color="auto" w:sz="4" w:space="0"/>
            </w:tcBorders>
            <w:noWrap w:val="0"/>
            <w:vAlign w:val="center"/>
          </w:tcPr>
          <w:p w14:paraId="3C8C3FCF">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7626665B">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0"/>
            <w:vAlign w:val="center"/>
          </w:tcPr>
          <w:p w14:paraId="77A56681">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50≤X＜300</w:t>
            </w:r>
          </w:p>
        </w:tc>
        <w:tc>
          <w:tcPr>
            <w:tcW w:w="1701" w:type="dxa"/>
            <w:tcBorders>
              <w:top w:val="nil"/>
              <w:left w:val="nil"/>
              <w:bottom w:val="single" w:color="auto" w:sz="4" w:space="0"/>
              <w:right w:val="single" w:color="auto" w:sz="4" w:space="0"/>
            </w:tcBorders>
            <w:noWrap w:val="0"/>
            <w:vAlign w:val="center"/>
          </w:tcPr>
          <w:p w14:paraId="045E6922">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10≤X＜50</w:t>
            </w:r>
          </w:p>
        </w:tc>
        <w:tc>
          <w:tcPr>
            <w:tcW w:w="1134" w:type="dxa"/>
            <w:tcBorders>
              <w:top w:val="nil"/>
              <w:left w:val="nil"/>
              <w:bottom w:val="single" w:color="auto" w:sz="4" w:space="0"/>
              <w:right w:val="single" w:color="auto" w:sz="4" w:space="0"/>
            </w:tcBorders>
            <w:noWrap w:val="0"/>
            <w:vAlign w:val="center"/>
          </w:tcPr>
          <w:p w14:paraId="26218FD9">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6E58724C">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74BE5189">
            <w:pPr>
              <w:widowControl/>
              <w:jc w:val="left"/>
              <w:rPr>
                <w:rFonts w:ascii="仿宋_GB2312" w:hAnsi="仿宋" w:eastAsia="仿宋_GB2312"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0"/>
            <w:vAlign w:val="center"/>
          </w:tcPr>
          <w:p w14:paraId="60EDFA23">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3859096E">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14:paraId="444700DE">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500≤Y＜20000</w:t>
            </w:r>
          </w:p>
        </w:tc>
        <w:tc>
          <w:tcPr>
            <w:tcW w:w="1701" w:type="dxa"/>
            <w:tcBorders>
              <w:top w:val="nil"/>
              <w:left w:val="nil"/>
              <w:bottom w:val="single" w:color="auto" w:sz="4" w:space="0"/>
              <w:right w:val="single" w:color="auto" w:sz="4" w:space="0"/>
            </w:tcBorders>
            <w:noWrap w:val="0"/>
            <w:vAlign w:val="center"/>
          </w:tcPr>
          <w:p w14:paraId="13767138">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100≤Y＜500</w:t>
            </w:r>
          </w:p>
        </w:tc>
        <w:tc>
          <w:tcPr>
            <w:tcW w:w="1134" w:type="dxa"/>
            <w:tcBorders>
              <w:top w:val="nil"/>
              <w:left w:val="nil"/>
              <w:bottom w:val="single" w:color="auto" w:sz="4" w:space="0"/>
              <w:right w:val="single" w:color="auto" w:sz="4" w:space="0"/>
            </w:tcBorders>
            <w:noWrap w:val="0"/>
            <w:vAlign w:val="center"/>
          </w:tcPr>
          <w:p w14:paraId="467E0FD1">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02A12E9B">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62302D3F">
            <w:pPr>
              <w:widowControl/>
              <w:jc w:val="center"/>
              <w:rPr>
                <w:rFonts w:hint="eastAsia"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交通运输业</w:t>
            </w:r>
          </w:p>
        </w:tc>
        <w:tc>
          <w:tcPr>
            <w:tcW w:w="1984" w:type="dxa"/>
            <w:tcBorders>
              <w:top w:val="nil"/>
              <w:left w:val="nil"/>
              <w:bottom w:val="single" w:color="auto" w:sz="4" w:space="0"/>
              <w:right w:val="single" w:color="auto" w:sz="4" w:space="0"/>
            </w:tcBorders>
            <w:noWrap w:val="0"/>
            <w:vAlign w:val="center"/>
          </w:tcPr>
          <w:p w14:paraId="328A8F4E">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07EFA4DE">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0"/>
            <w:vAlign w:val="center"/>
          </w:tcPr>
          <w:p w14:paraId="73DA8908">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1701" w:type="dxa"/>
            <w:tcBorders>
              <w:top w:val="nil"/>
              <w:left w:val="nil"/>
              <w:bottom w:val="single" w:color="auto" w:sz="4" w:space="0"/>
              <w:right w:val="single" w:color="auto" w:sz="4" w:space="0"/>
            </w:tcBorders>
            <w:noWrap w:val="0"/>
            <w:vAlign w:val="center"/>
          </w:tcPr>
          <w:p w14:paraId="4C1F5180">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20≤X＜300</w:t>
            </w:r>
          </w:p>
        </w:tc>
        <w:tc>
          <w:tcPr>
            <w:tcW w:w="1134" w:type="dxa"/>
            <w:tcBorders>
              <w:top w:val="nil"/>
              <w:left w:val="nil"/>
              <w:bottom w:val="single" w:color="auto" w:sz="4" w:space="0"/>
              <w:right w:val="single" w:color="auto" w:sz="4" w:space="0"/>
            </w:tcBorders>
            <w:noWrap w:val="0"/>
            <w:vAlign w:val="center"/>
          </w:tcPr>
          <w:p w14:paraId="5EAC8AB7">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2E0A97B6">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258F0B22">
            <w:pPr>
              <w:widowControl/>
              <w:jc w:val="left"/>
              <w:rPr>
                <w:rFonts w:ascii="仿宋_GB2312" w:hAnsi="仿宋" w:eastAsia="仿宋_GB2312"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0"/>
            <w:vAlign w:val="center"/>
          </w:tcPr>
          <w:p w14:paraId="3B553FFB">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4B71B520">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14:paraId="37DD4B96">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3000≤Y＜30000</w:t>
            </w:r>
          </w:p>
        </w:tc>
        <w:tc>
          <w:tcPr>
            <w:tcW w:w="1701" w:type="dxa"/>
            <w:tcBorders>
              <w:top w:val="nil"/>
              <w:left w:val="nil"/>
              <w:bottom w:val="single" w:color="auto" w:sz="4" w:space="0"/>
              <w:right w:val="single" w:color="auto" w:sz="4" w:space="0"/>
            </w:tcBorders>
            <w:noWrap w:val="0"/>
            <w:vAlign w:val="center"/>
          </w:tcPr>
          <w:p w14:paraId="3920A00C">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200≤Y＜3000</w:t>
            </w:r>
          </w:p>
        </w:tc>
        <w:tc>
          <w:tcPr>
            <w:tcW w:w="1134" w:type="dxa"/>
            <w:tcBorders>
              <w:top w:val="nil"/>
              <w:left w:val="nil"/>
              <w:bottom w:val="single" w:color="auto" w:sz="4" w:space="0"/>
              <w:right w:val="single" w:color="auto" w:sz="4" w:space="0"/>
            </w:tcBorders>
            <w:noWrap w:val="0"/>
            <w:vAlign w:val="center"/>
          </w:tcPr>
          <w:p w14:paraId="244A2710">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Y＜200</w:t>
            </w:r>
          </w:p>
        </w:tc>
      </w:tr>
      <w:tr w14:paraId="5B88858C">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33A1A54B">
            <w:pPr>
              <w:widowControl/>
              <w:jc w:val="center"/>
              <w:rPr>
                <w:rFonts w:hint="eastAsia"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仓储业</w:t>
            </w:r>
          </w:p>
        </w:tc>
        <w:tc>
          <w:tcPr>
            <w:tcW w:w="1984" w:type="dxa"/>
            <w:tcBorders>
              <w:top w:val="nil"/>
              <w:left w:val="nil"/>
              <w:bottom w:val="single" w:color="auto" w:sz="4" w:space="0"/>
              <w:right w:val="single" w:color="auto" w:sz="4" w:space="0"/>
            </w:tcBorders>
            <w:noWrap w:val="0"/>
            <w:vAlign w:val="center"/>
          </w:tcPr>
          <w:p w14:paraId="3921E044">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5A47333F">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0"/>
            <w:vAlign w:val="center"/>
          </w:tcPr>
          <w:p w14:paraId="357DD992">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100≤X＜200</w:t>
            </w:r>
          </w:p>
        </w:tc>
        <w:tc>
          <w:tcPr>
            <w:tcW w:w="1701" w:type="dxa"/>
            <w:tcBorders>
              <w:top w:val="nil"/>
              <w:left w:val="nil"/>
              <w:bottom w:val="single" w:color="auto" w:sz="4" w:space="0"/>
              <w:right w:val="single" w:color="auto" w:sz="4" w:space="0"/>
            </w:tcBorders>
            <w:noWrap w:val="0"/>
            <w:vAlign w:val="center"/>
          </w:tcPr>
          <w:p w14:paraId="3EBBE9E9">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20≤X＜100</w:t>
            </w:r>
          </w:p>
        </w:tc>
        <w:tc>
          <w:tcPr>
            <w:tcW w:w="1134" w:type="dxa"/>
            <w:tcBorders>
              <w:top w:val="nil"/>
              <w:left w:val="nil"/>
              <w:bottom w:val="single" w:color="auto" w:sz="4" w:space="0"/>
              <w:right w:val="single" w:color="auto" w:sz="4" w:space="0"/>
            </w:tcBorders>
            <w:noWrap w:val="0"/>
            <w:vAlign w:val="center"/>
          </w:tcPr>
          <w:p w14:paraId="428F0A9B">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666DD5EA">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7C62CA6D">
            <w:pPr>
              <w:widowControl/>
              <w:jc w:val="left"/>
              <w:rPr>
                <w:rFonts w:ascii="仿宋_GB2312" w:hAnsi="仿宋" w:eastAsia="仿宋_GB2312"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0"/>
            <w:vAlign w:val="center"/>
          </w:tcPr>
          <w:p w14:paraId="4EC44A5D">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7A71E0AA">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14:paraId="63872FF7">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1000≤Y＜30000</w:t>
            </w:r>
          </w:p>
        </w:tc>
        <w:tc>
          <w:tcPr>
            <w:tcW w:w="1701" w:type="dxa"/>
            <w:tcBorders>
              <w:top w:val="nil"/>
              <w:left w:val="nil"/>
              <w:bottom w:val="single" w:color="auto" w:sz="4" w:space="0"/>
              <w:right w:val="single" w:color="auto" w:sz="4" w:space="0"/>
            </w:tcBorders>
            <w:noWrap w:val="0"/>
            <w:vAlign w:val="center"/>
          </w:tcPr>
          <w:p w14:paraId="4CA9099D">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100≤Y＜1000</w:t>
            </w:r>
          </w:p>
        </w:tc>
        <w:tc>
          <w:tcPr>
            <w:tcW w:w="1134" w:type="dxa"/>
            <w:tcBorders>
              <w:top w:val="nil"/>
              <w:left w:val="nil"/>
              <w:bottom w:val="single" w:color="auto" w:sz="4" w:space="0"/>
              <w:right w:val="single" w:color="auto" w:sz="4" w:space="0"/>
            </w:tcBorders>
            <w:noWrap w:val="0"/>
            <w:vAlign w:val="center"/>
          </w:tcPr>
          <w:p w14:paraId="3D9470B0">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11DD797F">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395C6EB8">
            <w:pPr>
              <w:widowControl/>
              <w:jc w:val="center"/>
              <w:rPr>
                <w:rFonts w:hint="eastAsia"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邮政业</w:t>
            </w:r>
          </w:p>
        </w:tc>
        <w:tc>
          <w:tcPr>
            <w:tcW w:w="1984" w:type="dxa"/>
            <w:tcBorders>
              <w:top w:val="nil"/>
              <w:left w:val="nil"/>
              <w:bottom w:val="single" w:color="auto" w:sz="4" w:space="0"/>
              <w:right w:val="single" w:color="auto" w:sz="4" w:space="0"/>
            </w:tcBorders>
            <w:noWrap w:val="0"/>
            <w:vAlign w:val="center"/>
          </w:tcPr>
          <w:p w14:paraId="2809949C">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2837A69F">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0"/>
            <w:vAlign w:val="center"/>
          </w:tcPr>
          <w:p w14:paraId="27CC86E1">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1701" w:type="dxa"/>
            <w:tcBorders>
              <w:top w:val="nil"/>
              <w:left w:val="nil"/>
              <w:bottom w:val="single" w:color="auto" w:sz="4" w:space="0"/>
              <w:right w:val="single" w:color="auto" w:sz="4" w:space="0"/>
            </w:tcBorders>
            <w:noWrap w:val="0"/>
            <w:vAlign w:val="center"/>
          </w:tcPr>
          <w:p w14:paraId="6A99BA8D">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20≤X＜300</w:t>
            </w:r>
          </w:p>
        </w:tc>
        <w:tc>
          <w:tcPr>
            <w:tcW w:w="1134" w:type="dxa"/>
            <w:tcBorders>
              <w:top w:val="nil"/>
              <w:left w:val="nil"/>
              <w:bottom w:val="single" w:color="auto" w:sz="4" w:space="0"/>
              <w:right w:val="single" w:color="auto" w:sz="4" w:space="0"/>
            </w:tcBorders>
            <w:noWrap w:val="0"/>
            <w:vAlign w:val="center"/>
          </w:tcPr>
          <w:p w14:paraId="32B25F8D">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17C85DED">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68325B58">
            <w:pPr>
              <w:widowControl/>
              <w:jc w:val="left"/>
              <w:rPr>
                <w:rFonts w:ascii="仿宋_GB2312" w:hAnsi="仿宋" w:eastAsia="仿宋_GB2312"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0"/>
            <w:vAlign w:val="center"/>
          </w:tcPr>
          <w:p w14:paraId="494D5851">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27EEACA4">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14:paraId="304A7EF5">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2000≤Y＜30000</w:t>
            </w:r>
          </w:p>
        </w:tc>
        <w:tc>
          <w:tcPr>
            <w:tcW w:w="1701" w:type="dxa"/>
            <w:tcBorders>
              <w:top w:val="nil"/>
              <w:left w:val="nil"/>
              <w:bottom w:val="single" w:color="auto" w:sz="4" w:space="0"/>
              <w:right w:val="single" w:color="auto" w:sz="4" w:space="0"/>
            </w:tcBorders>
            <w:noWrap w:val="0"/>
            <w:vAlign w:val="center"/>
          </w:tcPr>
          <w:p w14:paraId="1EB60104">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100≤Y＜2000</w:t>
            </w:r>
          </w:p>
        </w:tc>
        <w:tc>
          <w:tcPr>
            <w:tcW w:w="1134" w:type="dxa"/>
            <w:tcBorders>
              <w:top w:val="nil"/>
              <w:left w:val="nil"/>
              <w:bottom w:val="single" w:color="auto" w:sz="4" w:space="0"/>
              <w:right w:val="single" w:color="auto" w:sz="4" w:space="0"/>
            </w:tcBorders>
            <w:noWrap w:val="0"/>
            <w:vAlign w:val="center"/>
          </w:tcPr>
          <w:p w14:paraId="2CA0E716">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66A485A3">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2DACFED7">
            <w:pPr>
              <w:widowControl/>
              <w:jc w:val="center"/>
              <w:rPr>
                <w:rFonts w:hint="eastAsia"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住宿业</w:t>
            </w:r>
          </w:p>
        </w:tc>
        <w:tc>
          <w:tcPr>
            <w:tcW w:w="1984" w:type="dxa"/>
            <w:tcBorders>
              <w:top w:val="nil"/>
              <w:left w:val="nil"/>
              <w:bottom w:val="single" w:color="auto" w:sz="4" w:space="0"/>
              <w:right w:val="single" w:color="auto" w:sz="4" w:space="0"/>
            </w:tcBorders>
            <w:noWrap w:val="0"/>
            <w:vAlign w:val="center"/>
          </w:tcPr>
          <w:p w14:paraId="46457D9F">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436A55EB">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0"/>
            <w:vAlign w:val="center"/>
          </w:tcPr>
          <w:p w14:paraId="41DBDBAD">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701" w:type="dxa"/>
            <w:tcBorders>
              <w:top w:val="nil"/>
              <w:left w:val="nil"/>
              <w:bottom w:val="single" w:color="auto" w:sz="4" w:space="0"/>
              <w:right w:val="single" w:color="auto" w:sz="4" w:space="0"/>
            </w:tcBorders>
            <w:noWrap w:val="0"/>
            <w:vAlign w:val="center"/>
          </w:tcPr>
          <w:p w14:paraId="0E4341ED">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1134" w:type="dxa"/>
            <w:tcBorders>
              <w:top w:val="nil"/>
              <w:left w:val="nil"/>
              <w:bottom w:val="single" w:color="auto" w:sz="4" w:space="0"/>
              <w:right w:val="single" w:color="auto" w:sz="4" w:space="0"/>
            </w:tcBorders>
            <w:noWrap w:val="0"/>
            <w:vAlign w:val="center"/>
          </w:tcPr>
          <w:p w14:paraId="2167EFB0">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0F5D83AF">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6D5DA3D8">
            <w:pPr>
              <w:widowControl/>
              <w:jc w:val="left"/>
              <w:rPr>
                <w:rFonts w:ascii="仿宋_GB2312" w:hAnsi="仿宋" w:eastAsia="仿宋_GB2312"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0"/>
            <w:vAlign w:val="center"/>
          </w:tcPr>
          <w:p w14:paraId="167885C4">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6FB55846">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14:paraId="7A9B899E">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2000≤Y＜10000</w:t>
            </w:r>
          </w:p>
        </w:tc>
        <w:tc>
          <w:tcPr>
            <w:tcW w:w="1701" w:type="dxa"/>
            <w:tcBorders>
              <w:top w:val="nil"/>
              <w:left w:val="nil"/>
              <w:bottom w:val="single" w:color="auto" w:sz="4" w:space="0"/>
              <w:right w:val="single" w:color="auto" w:sz="4" w:space="0"/>
            </w:tcBorders>
            <w:noWrap w:val="0"/>
            <w:vAlign w:val="center"/>
          </w:tcPr>
          <w:p w14:paraId="73AC31F9">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100≤Y＜2000</w:t>
            </w:r>
          </w:p>
        </w:tc>
        <w:tc>
          <w:tcPr>
            <w:tcW w:w="1134" w:type="dxa"/>
            <w:tcBorders>
              <w:top w:val="nil"/>
              <w:left w:val="nil"/>
              <w:bottom w:val="single" w:color="auto" w:sz="4" w:space="0"/>
              <w:right w:val="single" w:color="auto" w:sz="4" w:space="0"/>
            </w:tcBorders>
            <w:noWrap w:val="0"/>
            <w:vAlign w:val="center"/>
          </w:tcPr>
          <w:p w14:paraId="27B0BE53">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3135D728">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603A3FB8">
            <w:pPr>
              <w:widowControl/>
              <w:jc w:val="center"/>
              <w:rPr>
                <w:rFonts w:hint="eastAsia"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餐饮业</w:t>
            </w:r>
          </w:p>
        </w:tc>
        <w:tc>
          <w:tcPr>
            <w:tcW w:w="1984" w:type="dxa"/>
            <w:tcBorders>
              <w:top w:val="nil"/>
              <w:left w:val="nil"/>
              <w:bottom w:val="single" w:color="auto" w:sz="4" w:space="0"/>
              <w:right w:val="single" w:color="auto" w:sz="4" w:space="0"/>
            </w:tcBorders>
            <w:noWrap w:val="0"/>
            <w:vAlign w:val="center"/>
          </w:tcPr>
          <w:p w14:paraId="6BDDA9E7">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1EFC4AC2">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0"/>
            <w:vAlign w:val="center"/>
          </w:tcPr>
          <w:p w14:paraId="1F7D5A12">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701" w:type="dxa"/>
            <w:tcBorders>
              <w:top w:val="nil"/>
              <w:left w:val="nil"/>
              <w:bottom w:val="single" w:color="auto" w:sz="4" w:space="0"/>
              <w:right w:val="single" w:color="auto" w:sz="4" w:space="0"/>
            </w:tcBorders>
            <w:noWrap w:val="0"/>
            <w:vAlign w:val="center"/>
          </w:tcPr>
          <w:p w14:paraId="00C5FA6E">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1134" w:type="dxa"/>
            <w:tcBorders>
              <w:top w:val="nil"/>
              <w:left w:val="nil"/>
              <w:bottom w:val="single" w:color="auto" w:sz="4" w:space="0"/>
              <w:right w:val="single" w:color="auto" w:sz="4" w:space="0"/>
            </w:tcBorders>
            <w:noWrap w:val="0"/>
            <w:vAlign w:val="center"/>
          </w:tcPr>
          <w:p w14:paraId="3EF5FB97">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61175C1E">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05AB58BA">
            <w:pPr>
              <w:widowControl/>
              <w:jc w:val="left"/>
              <w:rPr>
                <w:rFonts w:ascii="仿宋_GB2312" w:hAnsi="仿宋" w:eastAsia="仿宋_GB2312"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0"/>
            <w:vAlign w:val="center"/>
          </w:tcPr>
          <w:p w14:paraId="1E06B715">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6E7A489D">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14:paraId="2F3A8996">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2000≤Y＜10000</w:t>
            </w:r>
          </w:p>
        </w:tc>
        <w:tc>
          <w:tcPr>
            <w:tcW w:w="1701" w:type="dxa"/>
            <w:tcBorders>
              <w:top w:val="nil"/>
              <w:left w:val="nil"/>
              <w:bottom w:val="single" w:color="auto" w:sz="4" w:space="0"/>
              <w:right w:val="single" w:color="auto" w:sz="4" w:space="0"/>
            </w:tcBorders>
            <w:noWrap w:val="0"/>
            <w:vAlign w:val="center"/>
          </w:tcPr>
          <w:p w14:paraId="1451D47E">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100≤Y＜2000</w:t>
            </w:r>
          </w:p>
        </w:tc>
        <w:tc>
          <w:tcPr>
            <w:tcW w:w="1134" w:type="dxa"/>
            <w:tcBorders>
              <w:top w:val="nil"/>
              <w:left w:val="nil"/>
              <w:bottom w:val="single" w:color="auto" w:sz="4" w:space="0"/>
              <w:right w:val="single" w:color="auto" w:sz="4" w:space="0"/>
            </w:tcBorders>
            <w:noWrap w:val="0"/>
            <w:vAlign w:val="center"/>
          </w:tcPr>
          <w:p w14:paraId="62E805FC">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1AE4E1FC">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57AE501B">
            <w:pPr>
              <w:widowControl/>
              <w:jc w:val="center"/>
              <w:rPr>
                <w:rFonts w:hint="eastAsia"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信息传输业</w:t>
            </w:r>
          </w:p>
        </w:tc>
        <w:tc>
          <w:tcPr>
            <w:tcW w:w="1984" w:type="dxa"/>
            <w:tcBorders>
              <w:top w:val="nil"/>
              <w:left w:val="nil"/>
              <w:bottom w:val="single" w:color="auto" w:sz="4" w:space="0"/>
              <w:right w:val="single" w:color="auto" w:sz="4" w:space="0"/>
            </w:tcBorders>
            <w:noWrap w:val="0"/>
            <w:vAlign w:val="center"/>
          </w:tcPr>
          <w:p w14:paraId="04C6ABCB">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2FAADFE9">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0"/>
            <w:vAlign w:val="center"/>
          </w:tcPr>
          <w:p w14:paraId="1D0F8BD7">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100≤X＜2000</w:t>
            </w:r>
          </w:p>
        </w:tc>
        <w:tc>
          <w:tcPr>
            <w:tcW w:w="1701" w:type="dxa"/>
            <w:tcBorders>
              <w:top w:val="nil"/>
              <w:left w:val="nil"/>
              <w:bottom w:val="single" w:color="auto" w:sz="4" w:space="0"/>
              <w:right w:val="single" w:color="auto" w:sz="4" w:space="0"/>
            </w:tcBorders>
            <w:noWrap w:val="0"/>
            <w:vAlign w:val="center"/>
          </w:tcPr>
          <w:p w14:paraId="29873DDC">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1134" w:type="dxa"/>
            <w:tcBorders>
              <w:top w:val="nil"/>
              <w:left w:val="nil"/>
              <w:bottom w:val="single" w:color="auto" w:sz="4" w:space="0"/>
              <w:right w:val="single" w:color="auto" w:sz="4" w:space="0"/>
            </w:tcBorders>
            <w:noWrap w:val="0"/>
            <w:vAlign w:val="center"/>
          </w:tcPr>
          <w:p w14:paraId="1947EF61">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3628142B">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2A717301">
            <w:pPr>
              <w:widowControl/>
              <w:jc w:val="left"/>
              <w:rPr>
                <w:rFonts w:ascii="仿宋_GB2312" w:hAnsi="仿宋" w:eastAsia="仿宋_GB2312"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0"/>
            <w:vAlign w:val="center"/>
          </w:tcPr>
          <w:p w14:paraId="16C03A4D">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66AD6E99">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14:paraId="15DCAB37">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1000≤Y＜100000</w:t>
            </w:r>
          </w:p>
        </w:tc>
        <w:tc>
          <w:tcPr>
            <w:tcW w:w="1701" w:type="dxa"/>
            <w:tcBorders>
              <w:top w:val="nil"/>
              <w:left w:val="nil"/>
              <w:bottom w:val="single" w:color="auto" w:sz="4" w:space="0"/>
              <w:right w:val="single" w:color="auto" w:sz="4" w:space="0"/>
            </w:tcBorders>
            <w:noWrap w:val="0"/>
            <w:vAlign w:val="center"/>
          </w:tcPr>
          <w:p w14:paraId="02A68103">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100≤Y＜1000</w:t>
            </w:r>
          </w:p>
        </w:tc>
        <w:tc>
          <w:tcPr>
            <w:tcW w:w="1134" w:type="dxa"/>
            <w:tcBorders>
              <w:top w:val="nil"/>
              <w:left w:val="nil"/>
              <w:bottom w:val="single" w:color="auto" w:sz="4" w:space="0"/>
              <w:right w:val="single" w:color="auto" w:sz="4" w:space="0"/>
            </w:tcBorders>
            <w:noWrap w:val="0"/>
            <w:vAlign w:val="center"/>
          </w:tcPr>
          <w:p w14:paraId="0C7EB861">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161F9B1D">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778749F3">
            <w:pPr>
              <w:widowControl/>
              <w:jc w:val="center"/>
              <w:rPr>
                <w:rFonts w:hint="eastAsia"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软件和信息技术服务业</w:t>
            </w:r>
          </w:p>
        </w:tc>
        <w:tc>
          <w:tcPr>
            <w:tcW w:w="1984" w:type="dxa"/>
            <w:tcBorders>
              <w:top w:val="nil"/>
              <w:left w:val="nil"/>
              <w:bottom w:val="single" w:color="auto" w:sz="4" w:space="0"/>
              <w:right w:val="single" w:color="auto" w:sz="4" w:space="0"/>
            </w:tcBorders>
            <w:noWrap w:val="0"/>
            <w:vAlign w:val="center"/>
          </w:tcPr>
          <w:p w14:paraId="5A476302">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7DE238AA">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0"/>
            <w:vAlign w:val="center"/>
          </w:tcPr>
          <w:p w14:paraId="42D49992">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701" w:type="dxa"/>
            <w:tcBorders>
              <w:top w:val="nil"/>
              <w:left w:val="nil"/>
              <w:bottom w:val="single" w:color="auto" w:sz="4" w:space="0"/>
              <w:right w:val="single" w:color="auto" w:sz="4" w:space="0"/>
            </w:tcBorders>
            <w:noWrap w:val="0"/>
            <w:vAlign w:val="center"/>
          </w:tcPr>
          <w:p w14:paraId="674163E0">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1134" w:type="dxa"/>
            <w:tcBorders>
              <w:top w:val="nil"/>
              <w:left w:val="nil"/>
              <w:bottom w:val="single" w:color="auto" w:sz="4" w:space="0"/>
              <w:right w:val="single" w:color="auto" w:sz="4" w:space="0"/>
            </w:tcBorders>
            <w:noWrap w:val="0"/>
            <w:vAlign w:val="center"/>
          </w:tcPr>
          <w:p w14:paraId="35BEEE25">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3266FBE6">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1B8065F6">
            <w:pPr>
              <w:widowControl/>
              <w:jc w:val="left"/>
              <w:rPr>
                <w:rFonts w:ascii="仿宋_GB2312" w:hAnsi="仿宋" w:eastAsia="仿宋_GB2312"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0"/>
            <w:vAlign w:val="center"/>
          </w:tcPr>
          <w:p w14:paraId="02C235BF">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43498CF2">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14:paraId="41A81312">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1000≤Y＜10000</w:t>
            </w:r>
          </w:p>
        </w:tc>
        <w:tc>
          <w:tcPr>
            <w:tcW w:w="1701" w:type="dxa"/>
            <w:tcBorders>
              <w:top w:val="nil"/>
              <w:left w:val="nil"/>
              <w:bottom w:val="single" w:color="auto" w:sz="4" w:space="0"/>
              <w:right w:val="single" w:color="auto" w:sz="4" w:space="0"/>
            </w:tcBorders>
            <w:noWrap w:val="0"/>
            <w:vAlign w:val="center"/>
          </w:tcPr>
          <w:p w14:paraId="6557800E">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50≤Y＜1000</w:t>
            </w:r>
          </w:p>
        </w:tc>
        <w:tc>
          <w:tcPr>
            <w:tcW w:w="1134" w:type="dxa"/>
            <w:tcBorders>
              <w:top w:val="nil"/>
              <w:left w:val="nil"/>
              <w:bottom w:val="single" w:color="auto" w:sz="4" w:space="0"/>
              <w:right w:val="single" w:color="auto" w:sz="4" w:space="0"/>
            </w:tcBorders>
            <w:noWrap w:val="0"/>
            <w:vAlign w:val="center"/>
          </w:tcPr>
          <w:p w14:paraId="04D072F4">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Y＜50</w:t>
            </w:r>
          </w:p>
        </w:tc>
      </w:tr>
      <w:tr w14:paraId="53A93CD5">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17C4D313">
            <w:pPr>
              <w:widowControl/>
              <w:jc w:val="center"/>
              <w:rPr>
                <w:rFonts w:hint="eastAsia"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房地产开发经营</w:t>
            </w:r>
          </w:p>
        </w:tc>
        <w:tc>
          <w:tcPr>
            <w:tcW w:w="1984" w:type="dxa"/>
            <w:tcBorders>
              <w:top w:val="nil"/>
              <w:left w:val="nil"/>
              <w:bottom w:val="single" w:color="auto" w:sz="4" w:space="0"/>
              <w:right w:val="single" w:color="auto" w:sz="4" w:space="0"/>
            </w:tcBorders>
            <w:noWrap w:val="0"/>
            <w:vAlign w:val="center"/>
          </w:tcPr>
          <w:p w14:paraId="4AB610ED">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4744C0FF">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14:paraId="26EEDFB6">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1000≤Y＜200000</w:t>
            </w:r>
          </w:p>
        </w:tc>
        <w:tc>
          <w:tcPr>
            <w:tcW w:w="1701" w:type="dxa"/>
            <w:tcBorders>
              <w:top w:val="nil"/>
              <w:left w:val="nil"/>
              <w:bottom w:val="single" w:color="auto" w:sz="4" w:space="0"/>
              <w:right w:val="single" w:color="auto" w:sz="4" w:space="0"/>
            </w:tcBorders>
            <w:noWrap w:val="0"/>
            <w:vAlign w:val="center"/>
          </w:tcPr>
          <w:p w14:paraId="0C2D6913">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100≤X＜1000</w:t>
            </w:r>
          </w:p>
        </w:tc>
        <w:tc>
          <w:tcPr>
            <w:tcW w:w="1134" w:type="dxa"/>
            <w:tcBorders>
              <w:top w:val="nil"/>
              <w:left w:val="nil"/>
              <w:bottom w:val="single" w:color="auto" w:sz="4" w:space="0"/>
              <w:right w:val="single" w:color="auto" w:sz="4" w:space="0"/>
            </w:tcBorders>
            <w:noWrap w:val="0"/>
            <w:vAlign w:val="center"/>
          </w:tcPr>
          <w:p w14:paraId="1F52D6C8">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X＜100</w:t>
            </w:r>
          </w:p>
        </w:tc>
      </w:tr>
      <w:tr w14:paraId="1F78176C">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66A645F9">
            <w:pPr>
              <w:widowControl/>
              <w:jc w:val="left"/>
              <w:rPr>
                <w:rFonts w:ascii="仿宋_GB2312" w:hAnsi="仿宋" w:eastAsia="仿宋_GB2312"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0"/>
            <w:vAlign w:val="center"/>
          </w:tcPr>
          <w:p w14:paraId="22B038A1">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资产总额（Z）</w:t>
            </w:r>
          </w:p>
        </w:tc>
        <w:tc>
          <w:tcPr>
            <w:tcW w:w="851" w:type="dxa"/>
            <w:tcBorders>
              <w:top w:val="nil"/>
              <w:left w:val="nil"/>
              <w:bottom w:val="single" w:color="auto" w:sz="4" w:space="0"/>
              <w:right w:val="single" w:color="auto" w:sz="4" w:space="0"/>
            </w:tcBorders>
            <w:noWrap w:val="0"/>
            <w:vAlign w:val="center"/>
          </w:tcPr>
          <w:p w14:paraId="2988E577">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14:paraId="3EA92D1C">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5000≤Z＜10000</w:t>
            </w:r>
          </w:p>
        </w:tc>
        <w:tc>
          <w:tcPr>
            <w:tcW w:w="1701" w:type="dxa"/>
            <w:tcBorders>
              <w:top w:val="nil"/>
              <w:left w:val="nil"/>
              <w:bottom w:val="single" w:color="auto" w:sz="4" w:space="0"/>
              <w:right w:val="single" w:color="auto" w:sz="4" w:space="0"/>
            </w:tcBorders>
            <w:noWrap w:val="0"/>
            <w:vAlign w:val="center"/>
          </w:tcPr>
          <w:p w14:paraId="011F0F8C">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2000≤Y＜5000</w:t>
            </w:r>
          </w:p>
        </w:tc>
        <w:tc>
          <w:tcPr>
            <w:tcW w:w="1134" w:type="dxa"/>
            <w:tcBorders>
              <w:top w:val="nil"/>
              <w:left w:val="nil"/>
              <w:bottom w:val="single" w:color="auto" w:sz="4" w:space="0"/>
              <w:right w:val="single" w:color="auto" w:sz="4" w:space="0"/>
            </w:tcBorders>
            <w:noWrap w:val="0"/>
            <w:vAlign w:val="center"/>
          </w:tcPr>
          <w:p w14:paraId="1D06B2DC">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Y＜2000</w:t>
            </w:r>
          </w:p>
        </w:tc>
      </w:tr>
      <w:tr w14:paraId="6455CAC6">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237B3DD7">
            <w:pPr>
              <w:widowControl/>
              <w:jc w:val="center"/>
              <w:rPr>
                <w:rFonts w:hint="eastAsia"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物业管理</w:t>
            </w:r>
          </w:p>
        </w:tc>
        <w:tc>
          <w:tcPr>
            <w:tcW w:w="1984" w:type="dxa"/>
            <w:tcBorders>
              <w:top w:val="nil"/>
              <w:left w:val="nil"/>
              <w:bottom w:val="single" w:color="auto" w:sz="4" w:space="0"/>
              <w:right w:val="single" w:color="auto" w:sz="4" w:space="0"/>
            </w:tcBorders>
            <w:noWrap w:val="0"/>
            <w:vAlign w:val="center"/>
          </w:tcPr>
          <w:p w14:paraId="58D48AE3">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43AE0DFA">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0"/>
            <w:vAlign w:val="center"/>
          </w:tcPr>
          <w:p w14:paraId="20B8786F">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1701" w:type="dxa"/>
            <w:tcBorders>
              <w:top w:val="nil"/>
              <w:left w:val="nil"/>
              <w:bottom w:val="single" w:color="auto" w:sz="4" w:space="0"/>
              <w:right w:val="single" w:color="auto" w:sz="4" w:space="0"/>
            </w:tcBorders>
            <w:noWrap w:val="0"/>
            <w:vAlign w:val="center"/>
          </w:tcPr>
          <w:p w14:paraId="7665FCF2">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134" w:type="dxa"/>
            <w:tcBorders>
              <w:top w:val="nil"/>
              <w:left w:val="nil"/>
              <w:bottom w:val="single" w:color="auto" w:sz="4" w:space="0"/>
              <w:right w:val="single" w:color="auto" w:sz="4" w:space="0"/>
            </w:tcBorders>
            <w:noWrap w:val="0"/>
            <w:vAlign w:val="center"/>
          </w:tcPr>
          <w:p w14:paraId="4010791C">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X＜100</w:t>
            </w:r>
          </w:p>
        </w:tc>
      </w:tr>
      <w:tr w14:paraId="4709CA23">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702813DA">
            <w:pPr>
              <w:widowControl/>
              <w:jc w:val="left"/>
              <w:rPr>
                <w:rFonts w:ascii="仿宋_GB2312" w:hAnsi="仿宋" w:eastAsia="仿宋_GB2312"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0"/>
            <w:vAlign w:val="center"/>
          </w:tcPr>
          <w:p w14:paraId="60C8EF57">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03FDB52F">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14:paraId="0B9394D7">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1000≤Y＜5000</w:t>
            </w:r>
          </w:p>
        </w:tc>
        <w:tc>
          <w:tcPr>
            <w:tcW w:w="1701" w:type="dxa"/>
            <w:tcBorders>
              <w:top w:val="nil"/>
              <w:left w:val="nil"/>
              <w:bottom w:val="single" w:color="auto" w:sz="4" w:space="0"/>
              <w:right w:val="single" w:color="auto" w:sz="4" w:space="0"/>
            </w:tcBorders>
            <w:noWrap w:val="0"/>
            <w:vAlign w:val="center"/>
          </w:tcPr>
          <w:p w14:paraId="4D527A42">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500≤Y＜1000</w:t>
            </w:r>
          </w:p>
        </w:tc>
        <w:tc>
          <w:tcPr>
            <w:tcW w:w="1134" w:type="dxa"/>
            <w:tcBorders>
              <w:top w:val="nil"/>
              <w:left w:val="nil"/>
              <w:bottom w:val="single" w:color="auto" w:sz="4" w:space="0"/>
              <w:right w:val="single" w:color="auto" w:sz="4" w:space="0"/>
            </w:tcBorders>
            <w:noWrap w:val="0"/>
            <w:vAlign w:val="center"/>
          </w:tcPr>
          <w:p w14:paraId="1B4767CC">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Y＜500</w:t>
            </w:r>
          </w:p>
        </w:tc>
      </w:tr>
      <w:tr w14:paraId="06022049">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10B6466E">
            <w:pPr>
              <w:widowControl/>
              <w:jc w:val="center"/>
              <w:rPr>
                <w:rFonts w:hint="eastAsia"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租赁和商务服务业</w:t>
            </w:r>
          </w:p>
        </w:tc>
        <w:tc>
          <w:tcPr>
            <w:tcW w:w="1984" w:type="dxa"/>
            <w:tcBorders>
              <w:top w:val="nil"/>
              <w:left w:val="nil"/>
              <w:bottom w:val="single" w:color="auto" w:sz="4" w:space="0"/>
              <w:right w:val="single" w:color="auto" w:sz="4" w:space="0"/>
            </w:tcBorders>
            <w:noWrap w:val="0"/>
            <w:vAlign w:val="center"/>
          </w:tcPr>
          <w:p w14:paraId="3BCF6F27">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1CD748D9">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0"/>
            <w:vAlign w:val="center"/>
          </w:tcPr>
          <w:p w14:paraId="38BA5620">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701" w:type="dxa"/>
            <w:tcBorders>
              <w:top w:val="nil"/>
              <w:left w:val="nil"/>
              <w:bottom w:val="single" w:color="auto" w:sz="4" w:space="0"/>
              <w:right w:val="single" w:color="auto" w:sz="4" w:space="0"/>
            </w:tcBorders>
            <w:noWrap w:val="0"/>
            <w:vAlign w:val="center"/>
          </w:tcPr>
          <w:p w14:paraId="507D15A4">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1134" w:type="dxa"/>
            <w:tcBorders>
              <w:top w:val="nil"/>
              <w:left w:val="nil"/>
              <w:bottom w:val="single" w:color="auto" w:sz="4" w:space="0"/>
              <w:right w:val="single" w:color="auto" w:sz="4" w:space="0"/>
            </w:tcBorders>
            <w:noWrap w:val="0"/>
            <w:vAlign w:val="center"/>
          </w:tcPr>
          <w:p w14:paraId="7AC85C97">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552B3986">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00F35A21">
            <w:pPr>
              <w:widowControl/>
              <w:jc w:val="left"/>
              <w:rPr>
                <w:rFonts w:ascii="仿宋_GB2312" w:hAnsi="仿宋" w:eastAsia="仿宋_GB2312"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0"/>
            <w:vAlign w:val="center"/>
          </w:tcPr>
          <w:p w14:paraId="1E381627">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资产总额（Z）</w:t>
            </w:r>
          </w:p>
        </w:tc>
        <w:tc>
          <w:tcPr>
            <w:tcW w:w="851" w:type="dxa"/>
            <w:tcBorders>
              <w:top w:val="nil"/>
              <w:left w:val="nil"/>
              <w:bottom w:val="single" w:color="auto" w:sz="4" w:space="0"/>
              <w:right w:val="single" w:color="auto" w:sz="4" w:space="0"/>
            </w:tcBorders>
            <w:noWrap w:val="0"/>
            <w:vAlign w:val="center"/>
          </w:tcPr>
          <w:p w14:paraId="060D3E1C">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14:paraId="001EFD86">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8000≤Z＜120000</w:t>
            </w:r>
          </w:p>
        </w:tc>
        <w:tc>
          <w:tcPr>
            <w:tcW w:w="1701" w:type="dxa"/>
            <w:tcBorders>
              <w:top w:val="nil"/>
              <w:left w:val="nil"/>
              <w:bottom w:val="single" w:color="auto" w:sz="4" w:space="0"/>
              <w:right w:val="single" w:color="auto" w:sz="4" w:space="0"/>
            </w:tcBorders>
            <w:noWrap w:val="0"/>
            <w:vAlign w:val="center"/>
          </w:tcPr>
          <w:p w14:paraId="3CB428D9">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100≤Z＜8000</w:t>
            </w:r>
          </w:p>
        </w:tc>
        <w:tc>
          <w:tcPr>
            <w:tcW w:w="1134" w:type="dxa"/>
            <w:tcBorders>
              <w:top w:val="nil"/>
              <w:left w:val="nil"/>
              <w:bottom w:val="single" w:color="auto" w:sz="4" w:space="0"/>
              <w:right w:val="single" w:color="auto" w:sz="4" w:space="0"/>
            </w:tcBorders>
            <w:noWrap w:val="0"/>
            <w:vAlign w:val="center"/>
          </w:tcPr>
          <w:p w14:paraId="7ED83CB8">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251F04C6">
        <w:tblPrEx>
          <w:tblCellMar>
            <w:top w:w="0" w:type="dxa"/>
            <w:left w:w="108" w:type="dxa"/>
            <w:bottom w:w="0" w:type="dxa"/>
            <w:right w:w="108" w:type="dxa"/>
          </w:tblCellMar>
        </w:tblPrEx>
        <w:trPr>
          <w:trHeight w:val="225" w:hRule="atLeast"/>
        </w:trPr>
        <w:tc>
          <w:tcPr>
            <w:tcW w:w="1985" w:type="dxa"/>
            <w:tcBorders>
              <w:top w:val="nil"/>
              <w:left w:val="single" w:color="auto" w:sz="4" w:space="0"/>
              <w:bottom w:val="single" w:color="auto" w:sz="4" w:space="0"/>
              <w:right w:val="single" w:color="auto" w:sz="4" w:space="0"/>
            </w:tcBorders>
            <w:noWrap w:val="0"/>
            <w:vAlign w:val="bottom"/>
          </w:tcPr>
          <w:p w14:paraId="7CE08FFC">
            <w:pPr>
              <w:widowControl/>
              <w:jc w:val="center"/>
              <w:rPr>
                <w:rFonts w:hint="eastAsia"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其他未列明行业</w:t>
            </w:r>
          </w:p>
        </w:tc>
        <w:tc>
          <w:tcPr>
            <w:tcW w:w="1984" w:type="dxa"/>
            <w:tcBorders>
              <w:top w:val="nil"/>
              <w:left w:val="nil"/>
              <w:bottom w:val="single" w:color="auto" w:sz="4" w:space="0"/>
              <w:right w:val="single" w:color="auto" w:sz="4" w:space="0"/>
            </w:tcBorders>
            <w:noWrap w:val="0"/>
            <w:vAlign w:val="center"/>
          </w:tcPr>
          <w:p w14:paraId="7071AC78">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7DFB0C08">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0"/>
            <w:vAlign w:val="center"/>
          </w:tcPr>
          <w:p w14:paraId="45794A80">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701" w:type="dxa"/>
            <w:tcBorders>
              <w:top w:val="nil"/>
              <w:left w:val="nil"/>
              <w:bottom w:val="single" w:color="auto" w:sz="4" w:space="0"/>
              <w:right w:val="single" w:color="auto" w:sz="4" w:space="0"/>
            </w:tcBorders>
            <w:noWrap w:val="0"/>
            <w:vAlign w:val="center"/>
          </w:tcPr>
          <w:p w14:paraId="586B6B98">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1134" w:type="dxa"/>
            <w:tcBorders>
              <w:top w:val="nil"/>
              <w:left w:val="nil"/>
              <w:bottom w:val="single" w:color="auto" w:sz="4" w:space="0"/>
              <w:right w:val="single" w:color="auto" w:sz="4" w:space="0"/>
            </w:tcBorders>
            <w:noWrap w:val="0"/>
            <w:vAlign w:val="center"/>
          </w:tcPr>
          <w:p w14:paraId="760705FA">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bl>
    <w:p w14:paraId="4DF9D5BC">
      <w:pPr>
        <w:spacing w:line="560" w:lineRule="exact"/>
        <w:ind w:firstLine="525" w:firstLineChars="250"/>
        <w:rPr>
          <w:rFonts w:hint="eastAsia" w:ascii="仿宋_GB2312" w:hAnsi="仿宋" w:eastAsia="仿宋_GB2312"/>
          <w:color w:val="auto"/>
          <w:szCs w:val="21"/>
          <w:highlight w:val="none"/>
        </w:rPr>
      </w:pPr>
      <w:r>
        <w:rPr>
          <w:rFonts w:hint="eastAsia" w:ascii="仿宋_GB2312" w:hAnsi="仿宋" w:eastAsia="仿宋_GB2312"/>
          <w:color w:val="auto"/>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14:paraId="373D9FF5">
      <w:pPr>
        <w:widowControl/>
        <w:jc w:val="left"/>
        <w:rPr>
          <w:rFonts w:ascii="宋体" w:hAnsi="宋体"/>
          <w:color w:val="auto"/>
          <w:kern w:val="0"/>
          <w:sz w:val="20"/>
          <w:szCs w:val="21"/>
          <w:highlight w:val="none"/>
        </w:rPr>
        <w:sectPr>
          <w:footerReference r:id="rId4" w:type="default"/>
          <w:pgSz w:w="11906" w:h="16838"/>
          <w:pgMar w:top="1134" w:right="1134" w:bottom="1134" w:left="1134" w:header="720" w:footer="720" w:gutter="0"/>
          <w:cols w:space="720" w:num="1"/>
          <w:docGrid w:type="lines" w:linePitch="331" w:charSpace="0"/>
        </w:sectPr>
      </w:pPr>
    </w:p>
    <w:p w14:paraId="46317C80">
      <w:pPr>
        <w:pStyle w:val="2"/>
        <w:jc w:val="center"/>
        <w:rPr>
          <w:rFonts w:hint="eastAsia"/>
          <w:color w:val="auto"/>
          <w:highlight w:val="none"/>
        </w:rPr>
      </w:pPr>
      <w:bookmarkStart w:id="41" w:name="_Toc11561"/>
      <w:r>
        <w:rPr>
          <w:rFonts w:hint="eastAsia" w:ascii="Cambria" w:hAnsi="Cambria"/>
          <w:bCs w:val="0"/>
          <w:color w:val="auto"/>
          <w:sz w:val="32"/>
          <w:szCs w:val="32"/>
          <w:highlight w:val="none"/>
        </w:rPr>
        <w:t>第三章</w:t>
      </w:r>
      <w:r>
        <w:rPr>
          <w:rFonts w:ascii="Cambria" w:hAnsi="Cambria"/>
          <w:bCs w:val="0"/>
          <w:color w:val="auto"/>
          <w:sz w:val="32"/>
          <w:szCs w:val="32"/>
          <w:highlight w:val="none"/>
        </w:rPr>
        <w:t xml:space="preserve"> </w:t>
      </w:r>
      <w:r>
        <w:rPr>
          <w:rFonts w:hint="eastAsia" w:ascii="Cambria" w:hAnsi="Cambria"/>
          <w:bCs w:val="0"/>
          <w:color w:val="auto"/>
          <w:sz w:val="32"/>
          <w:szCs w:val="32"/>
          <w:highlight w:val="none"/>
        </w:rPr>
        <w:t>供应商须知</w:t>
      </w:r>
      <w:bookmarkEnd w:id="41"/>
    </w:p>
    <w:p w14:paraId="75B41DA6">
      <w:pPr>
        <w:pStyle w:val="3"/>
        <w:jc w:val="center"/>
        <w:rPr>
          <w:rFonts w:hint="eastAsia" w:ascii="宋体" w:hAnsi="宋体"/>
          <w:b/>
          <w:color w:val="auto"/>
          <w:sz w:val="32"/>
          <w:szCs w:val="32"/>
          <w:highlight w:val="none"/>
        </w:rPr>
      </w:pPr>
      <w:bookmarkStart w:id="42" w:name="_Toc25061"/>
      <w:r>
        <w:rPr>
          <w:rFonts w:hint="eastAsia" w:ascii="宋体" w:hAnsi="宋体"/>
          <w:b w:val="0"/>
          <w:color w:val="auto"/>
          <w:highlight w:val="none"/>
        </w:rPr>
        <w:t>第一节 供应商须知前附表</w:t>
      </w:r>
      <w:bookmarkEnd w:id="42"/>
    </w:p>
    <w:tbl>
      <w:tblPr>
        <w:tblStyle w:val="25"/>
        <w:tblW w:w="9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25"/>
        <w:gridCol w:w="1929"/>
        <w:gridCol w:w="6850"/>
      </w:tblGrid>
      <w:tr w14:paraId="546EF2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725" w:type="dxa"/>
            <w:tcBorders>
              <w:top w:val="single" w:color="000000" w:sz="4" w:space="0"/>
              <w:left w:val="single" w:color="000000" w:sz="4" w:space="0"/>
              <w:bottom w:val="single" w:color="000000" w:sz="4" w:space="0"/>
              <w:right w:val="single" w:color="000000" w:sz="4" w:space="0"/>
            </w:tcBorders>
            <w:noWrap w:val="0"/>
            <w:vAlign w:val="top"/>
          </w:tcPr>
          <w:p w14:paraId="36EBF007">
            <w:pPr>
              <w:spacing w:line="400" w:lineRule="exact"/>
              <w:jc w:val="center"/>
              <w:rPr>
                <w:rFonts w:hint="eastAsia" w:ascii="宋体" w:hAnsi="宋体" w:cs="宋体"/>
                <w:b/>
                <w:color w:val="auto"/>
                <w:szCs w:val="21"/>
                <w:highlight w:val="none"/>
              </w:rPr>
            </w:pPr>
            <w:r>
              <w:rPr>
                <w:rFonts w:hint="eastAsia" w:ascii="宋体" w:hAnsi="宋体" w:cs="宋体"/>
                <w:b/>
                <w:color w:val="auto"/>
                <w:szCs w:val="21"/>
                <w:highlight w:val="none"/>
              </w:rPr>
              <w:t>条款号</w:t>
            </w:r>
          </w:p>
        </w:tc>
        <w:tc>
          <w:tcPr>
            <w:tcW w:w="1929" w:type="dxa"/>
            <w:tcBorders>
              <w:top w:val="single" w:color="000000" w:sz="4" w:space="0"/>
              <w:left w:val="single" w:color="000000" w:sz="4" w:space="0"/>
              <w:bottom w:val="single" w:color="000000" w:sz="4" w:space="0"/>
              <w:right w:val="single" w:color="000000" w:sz="4" w:space="0"/>
            </w:tcBorders>
            <w:noWrap w:val="0"/>
            <w:vAlign w:val="center"/>
          </w:tcPr>
          <w:p w14:paraId="1F91B64F">
            <w:pPr>
              <w:spacing w:line="400" w:lineRule="exact"/>
              <w:jc w:val="center"/>
              <w:rPr>
                <w:rFonts w:hint="eastAsia" w:ascii="宋体" w:hAnsi="宋体" w:cs="宋体"/>
                <w:b/>
                <w:color w:val="auto"/>
                <w:szCs w:val="21"/>
                <w:highlight w:val="none"/>
              </w:rPr>
            </w:pPr>
            <w:r>
              <w:rPr>
                <w:rFonts w:hint="eastAsia" w:ascii="宋体" w:hAnsi="宋体" w:cs="宋体"/>
                <w:b/>
                <w:color w:val="auto"/>
                <w:szCs w:val="21"/>
                <w:highlight w:val="none"/>
              </w:rPr>
              <w:t>条款内容</w:t>
            </w:r>
          </w:p>
        </w:tc>
        <w:tc>
          <w:tcPr>
            <w:tcW w:w="6850" w:type="dxa"/>
            <w:tcBorders>
              <w:top w:val="single" w:color="000000" w:sz="4" w:space="0"/>
              <w:left w:val="single" w:color="000000" w:sz="4" w:space="0"/>
              <w:bottom w:val="single" w:color="000000" w:sz="4" w:space="0"/>
              <w:right w:val="single" w:color="000000" w:sz="4" w:space="0"/>
            </w:tcBorders>
            <w:noWrap w:val="0"/>
            <w:vAlign w:val="top"/>
          </w:tcPr>
          <w:p w14:paraId="10FBBF4F">
            <w:pPr>
              <w:spacing w:line="400" w:lineRule="exact"/>
              <w:jc w:val="center"/>
              <w:rPr>
                <w:rFonts w:hint="eastAsia" w:ascii="宋体" w:hAnsi="宋体" w:cs="宋体"/>
                <w:b/>
                <w:color w:val="auto"/>
                <w:szCs w:val="21"/>
                <w:highlight w:val="none"/>
              </w:rPr>
            </w:pPr>
            <w:r>
              <w:rPr>
                <w:rFonts w:hint="eastAsia" w:ascii="宋体" w:hAnsi="宋体" w:cs="宋体"/>
                <w:b/>
                <w:color w:val="auto"/>
                <w:szCs w:val="21"/>
                <w:highlight w:val="none"/>
              </w:rPr>
              <w:t>具体要求</w:t>
            </w:r>
          </w:p>
        </w:tc>
      </w:tr>
      <w:tr w14:paraId="4AF9BB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noWrap w:val="0"/>
            <w:vAlign w:val="center"/>
          </w:tcPr>
          <w:p w14:paraId="377B1174">
            <w:pP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3.1</w:t>
            </w:r>
          </w:p>
        </w:tc>
        <w:tc>
          <w:tcPr>
            <w:tcW w:w="1929" w:type="dxa"/>
            <w:tcBorders>
              <w:top w:val="single" w:color="000000" w:sz="4" w:space="0"/>
              <w:left w:val="single" w:color="000000" w:sz="4" w:space="0"/>
              <w:bottom w:val="single" w:color="000000" w:sz="4" w:space="0"/>
              <w:right w:val="single" w:color="000000" w:sz="4" w:space="0"/>
            </w:tcBorders>
            <w:noWrap w:val="0"/>
            <w:vAlign w:val="center"/>
          </w:tcPr>
          <w:p w14:paraId="5FAE041C">
            <w:pP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供应商资格条件</w:t>
            </w:r>
          </w:p>
        </w:tc>
        <w:tc>
          <w:tcPr>
            <w:tcW w:w="6850" w:type="dxa"/>
            <w:tcBorders>
              <w:top w:val="single" w:color="000000" w:sz="4" w:space="0"/>
              <w:left w:val="single" w:color="000000" w:sz="4" w:space="0"/>
              <w:bottom w:val="single" w:color="000000" w:sz="4" w:space="0"/>
              <w:right w:val="single" w:color="000000" w:sz="4" w:space="0"/>
            </w:tcBorders>
            <w:noWrap w:val="0"/>
            <w:vAlign w:val="top"/>
          </w:tcPr>
          <w:p w14:paraId="0A518878">
            <w:pPr>
              <w:spacing w:line="400" w:lineRule="exact"/>
              <w:rPr>
                <w:rFonts w:hint="eastAsia" w:ascii="宋体" w:hAnsi="宋体"/>
                <w:color w:val="auto"/>
                <w:szCs w:val="21"/>
                <w:highlight w:val="none"/>
              </w:rPr>
            </w:pPr>
            <w:r>
              <w:rPr>
                <w:rFonts w:hint="eastAsia" w:ascii="宋体" w:hAnsi="宋体"/>
                <w:color w:val="auto"/>
                <w:szCs w:val="21"/>
                <w:highlight w:val="none"/>
              </w:rPr>
              <w:t>供应商资格条件要求详见公告。</w:t>
            </w:r>
          </w:p>
        </w:tc>
      </w:tr>
      <w:tr w14:paraId="7A6CC0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noWrap w:val="0"/>
            <w:vAlign w:val="center"/>
          </w:tcPr>
          <w:p w14:paraId="21E045E6">
            <w:pP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5.1</w:t>
            </w:r>
          </w:p>
        </w:tc>
        <w:tc>
          <w:tcPr>
            <w:tcW w:w="1929" w:type="dxa"/>
            <w:tcBorders>
              <w:top w:val="single" w:color="000000" w:sz="4" w:space="0"/>
              <w:left w:val="single" w:color="000000" w:sz="4" w:space="0"/>
              <w:bottom w:val="single" w:color="000000" w:sz="4" w:space="0"/>
              <w:right w:val="single" w:color="000000" w:sz="4" w:space="0"/>
            </w:tcBorders>
            <w:noWrap w:val="0"/>
            <w:vAlign w:val="center"/>
          </w:tcPr>
          <w:p w14:paraId="4F39ACAD">
            <w:pP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是否接受联合体竞标</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08E9966E">
            <w:pPr>
              <w:spacing w:line="400" w:lineRule="exact"/>
              <w:rPr>
                <w:rFonts w:hint="eastAsia" w:ascii="宋体" w:hAnsi="宋体" w:cs="宋体"/>
                <w:color w:val="auto"/>
                <w:szCs w:val="21"/>
                <w:highlight w:val="none"/>
              </w:rPr>
            </w:pPr>
            <w:bookmarkStart w:id="43" w:name="PO_3000001868_PM007"/>
            <w:r>
              <w:rPr>
                <w:rFonts w:ascii="宋体" w:hAnsi="宋体"/>
                <w:color w:val="auto"/>
                <w:szCs w:val="21"/>
                <w:highlight w:val="none"/>
              </w:rPr>
              <w:t>不允许联合体投标</w:t>
            </w:r>
            <w:bookmarkEnd w:id="43"/>
          </w:p>
        </w:tc>
      </w:tr>
      <w:tr w14:paraId="446389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noWrap w:val="0"/>
            <w:vAlign w:val="center"/>
          </w:tcPr>
          <w:p w14:paraId="7C280C69">
            <w:pP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5.2</w:t>
            </w:r>
          </w:p>
        </w:tc>
        <w:tc>
          <w:tcPr>
            <w:tcW w:w="1929" w:type="dxa"/>
            <w:tcBorders>
              <w:top w:val="single" w:color="000000" w:sz="4" w:space="0"/>
              <w:left w:val="single" w:color="000000" w:sz="4" w:space="0"/>
              <w:bottom w:val="single" w:color="000000" w:sz="4" w:space="0"/>
              <w:right w:val="single" w:color="000000" w:sz="4" w:space="0"/>
            </w:tcBorders>
            <w:noWrap w:val="0"/>
            <w:vAlign w:val="center"/>
          </w:tcPr>
          <w:p w14:paraId="74E0F76B">
            <w:pPr>
              <w:spacing w:line="400" w:lineRule="exact"/>
              <w:jc w:val="center"/>
              <w:rPr>
                <w:rFonts w:hint="eastAsia" w:ascii="宋体" w:hAnsi="宋体" w:cs="宋体"/>
                <w:color w:val="auto"/>
                <w:szCs w:val="21"/>
                <w:highlight w:val="none"/>
              </w:rPr>
            </w:pPr>
            <w:r>
              <w:rPr>
                <w:rFonts w:hint="eastAsia" w:ascii="宋体" w:hAnsi="宋体"/>
                <w:color w:val="auto"/>
                <w:szCs w:val="21"/>
                <w:highlight w:val="none"/>
              </w:rPr>
              <w:t>联合体竞标要求</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45FE5198">
            <w:pPr>
              <w:pStyle w:val="9"/>
              <w:spacing w:line="400" w:lineRule="exact"/>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无</w:t>
            </w:r>
          </w:p>
        </w:tc>
      </w:tr>
      <w:tr w14:paraId="66AC5A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noWrap w:val="0"/>
            <w:vAlign w:val="center"/>
          </w:tcPr>
          <w:p w14:paraId="4C6BB326">
            <w:pP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6.1</w:t>
            </w:r>
          </w:p>
        </w:tc>
        <w:tc>
          <w:tcPr>
            <w:tcW w:w="1929" w:type="dxa"/>
            <w:tcBorders>
              <w:top w:val="single" w:color="000000" w:sz="4" w:space="0"/>
              <w:left w:val="single" w:color="000000" w:sz="4" w:space="0"/>
              <w:bottom w:val="single" w:color="000000" w:sz="4" w:space="0"/>
              <w:right w:val="single" w:color="000000" w:sz="4" w:space="0"/>
            </w:tcBorders>
            <w:noWrap w:val="0"/>
            <w:vAlign w:val="center"/>
          </w:tcPr>
          <w:p w14:paraId="15F445C3">
            <w:pP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是否允许分包</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7F860EA5">
            <w:pPr>
              <w:pStyle w:val="9"/>
              <w:spacing w:line="400" w:lineRule="exact"/>
              <w:rPr>
                <w:rFonts w:hint="eastAsia" w:ascii="宋体" w:hAnsi="宋体"/>
                <w:color w:val="auto"/>
                <w:szCs w:val="21"/>
                <w:highlight w:val="none"/>
                <w:lang w:val="en-US" w:eastAsia="zh-CN"/>
              </w:rPr>
            </w:pPr>
            <w:bookmarkStart w:id="44" w:name="PO_3000001868_PM044"/>
            <w:r>
              <w:rPr>
                <w:rFonts w:hint="eastAsia" w:ascii="宋体" w:hAnsi="宋体"/>
                <w:color w:val="auto"/>
                <w:szCs w:val="21"/>
                <w:highlight w:val="none"/>
                <w:lang w:val="en-US" w:eastAsia="zh-CN"/>
              </w:rPr>
              <w:t>不允许分包</w:t>
            </w:r>
            <w:bookmarkEnd w:id="44"/>
          </w:p>
        </w:tc>
      </w:tr>
      <w:tr w14:paraId="68EFD2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noWrap w:val="0"/>
            <w:vAlign w:val="center"/>
          </w:tcPr>
          <w:p w14:paraId="2CB20835">
            <w:pP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12.1.1</w:t>
            </w:r>
          </w:p>
        </w:tc>
        <w:tc>
          <w:tcPr>
            <w:tcW w:w="1929" w:type="dxa"/>
            <w:tcBorders>
              <w:top w:val="single" w:color="000000" w:sz="4" w:space="0"/>
              <w:left w:val="single" w:color="000000" w:sz="4" w:space="0"/>
              <w:bottom w:val="single" w:color="000000" w:sz="4" w:space="0"/>
              <w:right w:val="single" w:color="000000" w:sz="4" w:space="0"/>
            </w:tcBorders>
            <w:noWrap w:val="0"/>
            <w:vAlign w:val="center"/>
          </w:tcPr>
          <w:p w14:paraId="5BB483FB">
            <w:pPr>
              <w:snapToGrid w:val="0"/>
              <w:spacing w:line="400" w:lineRule="exact"/>
              <w:jc w:val="center"/>
              <w:rPr>
                <w:rFonts w:hint="eastAsia" w:ascii="宋体" w:hAnsi="宋体" w:cs="宋体"/>
                <w:b/>
                <w:color w:val="auto"/>
                <w:szCs w:val="21"/>
                <w:highlight w:val="none"/>
              </w:rPr>
            </w:pPr>
            <w:r>
              <w:rPr>
                <w:rFonts w:hint="eastAsia" w:ascii="宋体" w:hAnsi="宋体" w:cs="宋体"/>
                <w:b/>
                <w:color w:val="auto"/>
                <w:szCs w:val="21"/>
                <w:highlight w:val="none"/>
              </w:rPr>
              <w:t>资格证明文件组成</w:t>
            </w:r>
          </w:p>
          <w:p w14:paraId="50DA4F61">
            <w:pPr>
              <w:spacing w:line="400" w:lineRule="exact"/>
              <w:jc w:val="center"/>
              <w:rPr>
                <w:rFonts w:hint="eastAsia" w:ascii="宋体" w:hAnsi="宋体" w:cs="宋体"/>
                <w:color w:val="auto"/>
                <w:szCs w:val="21"/>
                <w:highlight w:val="none"/>
              </w:rPr>
            </w:pP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02CA5CAB">
            <w:pPr>
              <w:pStyle w:val="9"/>
              <w:spacing w:line="400" w:lineRule="exact"/>
              <w:rPr>
                <w:rFonts w:hint="eastAsia" w:ascii="宋体" w:hAnsi="宋体"/>
                <w:color w:val="auto"/>
                <w:szCs w:val="21"/>
                <w:highlight w:val="none"/>
                <w:lang w:val="en-US" w:eastAsia="zh-CN"/>
              </w:rPr>
            </w:pPr>
            <w:r>
              <w:rPr>
                <w:rFonts w:hint="eastAsia" w:ascii="宋体" w:hAnsi="宋体" w:cs="宋体"/>
                <w:color w:val="auto"/>
                <w:szCs w:val="21"/>
                <w:highlight w:val="none"/>
                <w:lang w:val="en-US" w:eastAsia="zh-CN"/>
              </w:rPr>
              <w:t>1.供应商为法人或者其他组织的提供其营业执照等证明文件（如营业执照或者事业单位法人证书或者执业许可证等），供应商为自然人的提供其身份证复印件；（</w:t>
            </w:r>
            <w:r>
              <w:rPr>
                <w:rFonts w:hint="eastAsia" w:ascii="宋体" w:hAnsi="宋体" w:cs="宋体"/>
                <w:b/>
                <w:color w:val="auto"/>
                <w:szCs w:val="21"/>
                <w:highlight w:val="none"/>
                <w:lang w:val="en-US" w:eastAsia="zh-CN"/>
              </w:rPr>
              <w:t>必须提供，否则响应文件按无效响应处理</w:t>
            </w:r>
            <w:r>
              <w:rPr>
                <w:rFonts w:hint="eastAsia" w:ascii="宋体" w:hAnsi="宋体" w:cs="宋体"/>
                <w:color w:val="auto"/>
                <w:szCs w:val="21"/>
                <w:highlight w:val="none"/>
                <w:lang w:val="en-US" w:eastAsia="zh-CN"/>
              </w:rPr>
              <w:t>）</w:t>
            </w:r>
          </w:p>
          <w:p w14:paraId="61FE4965">
            <w:pPr>
              <w:snapToGrid w:val="0"/>
              <w:spacing w:line="400" w:lineRule="exact"/>
              <w:jc w:val="left"/>
              <w:rPr>
                <w:rFonts w:hint="eastAsia" w:ascii="宋体" w:hAnsi="宋体"/>
                <w:color w:val="auto"/>
                <w:szCs w:val="21"/>
                <w:highlight w:val="none"/>
              </w:rPr>
            </w:pPr>
            <w:r>
              <w:rPr>
                <w:rFonts w:hint="eastAsia" w:ascii="宋体" w:hAnsi="宋体" w:cs="宋体"/>
                <w:color w:val="auto"/>
                <w:szCs w:val="21"/>
                <w:highlight w:val="none"/>
              </w:rPr>
              <w:t>2.供应商依法缴纳税收的相关材料：[</w:t>
            </w:r>
            <w:r>
              <w:rPr>
                <w:rFonts w:hint="eastAsia" w:ascii="宋体" w:hAnsi="宋体" w:cs="宋体"/>
                <w:color w:val="auto"/>
                <w:szCs w:val="21"/>
                <w:highlight w:val="none"/>
                <w:u w:val="single"/>
              </w:rPr>
              <w:t xml:space="preserve"> 202</w:t>
            </w:r>
            <w:r>
              <w:rPr>
                <w:rFonts w:hint="eastAsia" w:ascii="宋体" w:hAnsi="宋体" w:cs="宋体"/>
                <w:color w:val="auto"/>
                <w:szCs w:val="21"/>
                <w:highlight w:val="none"/>
                <w:u w:val="single"/>
                <w:lang w:val="en-US" w:eastAsia="zh-CN"/>
              </w:rPr>
              <w:t>5</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10</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月]以来任意连续</w:t>
            </w:r>
            <w:r>
              <w:rPr>
                <w:rFonts w:hint="eastAsia" w:ascii="宋体" w:hAnsi="宋体" w:cs="宋体"/>
                <w:color w:val="auto"/>
                <w:szCs w:val="21"/>
                <w:highlight w:val="none"/>
                <w:u w:val="single"/>
              </w:rPr>
              <w:t xml:space="preserve"> 3 </w:t>
            </w:r>
            <w:r>
              <w:rPr>
                <w:rFonts w:hint="eastAsia" w:ascii="宋体" w:hAnsi="宋体" w:cs="宋体"/>
                <w:color w:val="auto"/>
                <w:szCs w:val="21"/>
                <w:highlight w:val="none"/>
              </w:rPr>
              <w:t>个月的依法缴纳税收的凭据复印件；依</w:t>
            </w:r>
            <w:r>
              <w:rPr>
                <w:rFonts w:hint="eastAsia" w:ascii="宋体" w:hAnsi="宋体"/>
                <w:color w:val="auto"/>
                <w:szCs w:val="21"/>
                <w:highlight w:val="none"/>
              </w:rPr>
              <w:t>法免税的供应商，必须提供相应文件证明其依法免税。</w:t>
            </w:r>
            <w:r>
              <w:rPr>
                <w:rFonts w:hint="eastAsia" w:ascii="宋体" w:hAnsi="宋体" w:cs="宋体"/>
                <w:color w:val="auto"/>
                <w:szCs w:val="21"/>
                <w:highlight w:val="none"/>
              </w:rPr>
              <w:t>从取得营业执照时间起到投标文件提交截止时间为止不足要求月数的，只需提供从取得营业执照起的依法缴纳税收</w:t>
            </w:r>
            <w:r>
              <w:rPr>
                <w:rFonts w:hint="eastAsia" w:ascii="宋体" w:hAnsi="宋体"/>
                <w:color w:val="auto"/>
                <w:szCs w:val="21"/>
                <w:highlight w:val="none"/>
              </w:rPr>
              <w:t>相应证明文件</w:t>
            </w:r>
            <w:r>
              <w:rPr>
                <w:rFonts w:hint="eastAsia" w:ascii="宋体" w:hAnsi="宋体" w:cs="宋体"/>
                <w:color w:val="auto"/>
                <w:szCs w:val="21"/>
                <w:highlight w:val="none"/>
              </w:rPr>
              <w:t>）</w:t>
            </w:r>
            <w:r>
              <w:rPr>
                <w:rFonts w:hint="eastAsia" w:ascii="宋体" w:hAnsi="宋体"/>
                <w:color w:val="auto"/>
                <w:szCs w:val="21"/>
                <w:highlight w:val="none"/>
              </w:rPr>
              <w:t>；（</w:t>
            </w:r>
            <w:r>
              <w:rPr>
                <w:rFonts w:hint="eastAsia" w:ascii="宋体" w:hAnsi="宋体"/>
                <w:b/>
                <w:color w:val="auto"/>
                <w:szCs w:val="21"/>
                <w:highlight w:val="none"/>
              </w:rPr>
              <w:t>必须提供，否则作无效竞标处理</w:t>
            </w:r>
            <w:r>
              <w:rPr>
                <w:rFonts w:hint="eastAsia" w:ascii="宋体" w:hAnsi="宋体"/>
                <w:color w:val="auto"/>
                <w:szCs w:val="21"/>
                <w:highlight w:val="none"/>
              </w:rPr>
              <w:t>）</w:t>
            </w:r>
          </w:p>
          <w:p w14:paraId="26BD5DA9">
            <w:pPr>
              <w:snapToGrid w:val="0"/>
              <w:spacing w:line="400" w:lineRule="exact"/>
              <w:jc w:val="left"/>
              <w:rPr>
                <w:rFonts w:hint="eastAsia" w:ascii="宋体" w:hAnsi="宋体"/>
                <w:color w:val="auto"/>
                <w:szCs w:val="21"/>
                <w:highlight w:val="none"/>
              </w:rPr>
            </w:pPr>
            <w:r>
              <w:rPr>
                <w:rFonts w:hint="eastAsia" w:ascii="宋体" w:hAnsi="宋体" w:cs="宋体"/>
                <w:color w:val="auto"/>
                <w:szCs w:val="21"/>
                <w:highlight w:val="none"/>
              </w:rPr>
              <w:t>3.供应商依法缴纳社会保障资金的相关材料：[</w:t>
            </w:r>
            <w:r>
              <w:rPr>
                <w:rFonts w:hint="eastAsia" w:ascii="宋体" w:hAnsi="宋体" w:cs="宋体"/>
                <w:color w:val="auto"/>
                <w:szCs w:val="21"/>
                <w:highlight w:val="none"/>
                <w:u w:val="single"/>
              </w:rPr>
              <w:t xml:space="preserve"> 202</w:t>
            </w:r>
            <w:r>
              <w:rPr>
                <w:rFonts w:hint="eastAsia" w:ascii="宋体" w:hAnsi="宋体" w:cs="宋体"/>
                <w:color w:val="auto"/>
                <w:szCs w:val="21"/>
                <w:highlight w:val="none"/>
                <w:u w:val="single"/>
                <w:lang w:val="en-US" w:eastAsia="zh-CN"/>
              </w:rPr>
              <w:t>5</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10</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月]以来任意连续</w:t>
            </w:r>
            <w:r>
              <w:rPr>
                <w:rFonts w:hint="eastAsia" w:ascii="宋体" w:hAnsi="宋体" w:cs="宋体"/>
                <w:color w:val="auto"/>
                <w:szCs w:val="21"/>
                <w:highlight w:val="none"/>
                <w:u w:val="single"/>
              </w:rPr>
              <w:t xml:space="preserve"> 3 </w:t>
            </w:r>
            <w:r>
              <w:rPr>
                <w:rFonts w:hint="eastAsia" w:ascii="宋体" w:hAnsi="宋体" w:cs="宋体"/>
                <w:color w:val="auto"/>
                <w:szCs w:val="21"/>
                <w:highlight w:val="none"/>
              </w:rPr>
              <w:t>个月的依法缴纳社会保障资金的缴费凭证复印件；</w:t>
            </w:r>
            <w:r>
              <w:rPr>
                <w:rFonts w:hint="eastAsia" w:ascii="宋体" w:hAnsi="宋体"/>
                <w:color w:val="auto"/>
                <w:szCs w:val="21"/>
                <w:highlight w:val="none"/>
              </w:rPr>
              <w:t>依法不需要缴纳社会保障资金的供应商，必须提供相应文件证明不需要缴纳社会保障资金。</w:t>
            </w:r>
            <w:r>
              <w:rPr>
                <w:rFonts w:hint="eastAsia" w:ascii="宋体" w:hAnsi="宋体" w:cs="宋体"/>
                <w:color w:val="auto"/>
                <w:szCs w:val="21"/>
                <w:highlight w:val="none"/>
              </w:rPr>
              <w:t>从取得营业执照时间起到响应文件提交截止时间为止不足要求月数的只需提供从取得营业执照起的依法缴纳社会保障资金的</w:t>
            </w:r>
            <w:r>
              <w:rPr>
                <w:rFonts w:hint="eastAsia" w:ascii="宋体" w:hAnsi="宋体"/>
                <w:color w:val="auto"/>
                <w:szCs w:val="21"/>
                <w:highlight w:val="none"/>
              </w:rPr>
              <w:t>相应证明文件</w:t>
            </w:r>
            <w:r>
              <w:rPr>
                <w:rFonts w:hint="eastAsia" w:ascii="宋体" w:hAnsi="宋体" w:cs="宋体"/>
                <w:color w:val="auto"/>
                <w:szCs w:val="21"/>
                <w:highlight w:val="none"/>
              </w:rPr>
              <w:t>]</w:t>
            </w:r>
            <w:r>
              <w:rPr>
                <w:rFonts w:hint="eastAsia" w:ascii="宋体" w:hAnsi="宋体"/>
                <w:color w:val="auto"/>
                <w:szCs w:val="21"/>
                <w:highlight w:val="none"/>
              </w:rPr>
              <w:t>；（</w:t>
            </w:r>
            <w:r>
              <w:rPr>
                <w:rFonts w:hint="eastAsia" w:ascii="宋体" w:hAnsi="宋体"/>
                <w:b/>
                <w:color w:val="auto"/>
                <w:szCs w:val="21"/>
                <w:highlight w:val="none"/>
              </w:rPr>
              <w:t>必须提供，否则作无效竞标处理</w:t>
            </w:r>
            <w:r>
              <w:rPr>
                <w:rFonts w:hint="eastAsia" w:ascii="宋体" w:hAnsi="宋体"/>
                <w:color w:val="auto"/>
                <w:szCs w:val="21"/>
                <w:highlight w:val="none"/>
              </w:rPr>
              <w:t>）</w:t>
            </w:r>
          </w:p>
          <w:p w14:paraId="2F79E64A">
            <w:pPr>
              <w:snapToGrid w:val="0"/>
              <w:spacing w:line="400" w:lineRule="exact"/>
              <w:jc w:val="left"/>
              <w:rPr>
                <w:rFonts w:hint="eastAsia" w:ascii="宋体" w:hAnsi="宋体"/>
                <w:color w:val="auto"/>
                <w:szCs w:val="21"/>
                <w:highlight w:val="none"/>
              </w:rPr>
            </w:pPr>
            <w:r>
              <w:rPr>
                <w:rFonts w:hint="eastAsia" w:ascii="宋体" w:hAnsi="宋体" w:cs="宋体"/>
                <w:color w:val="auto"/>
                <w:szCs w:val="21"/>
                <w:highlight w:val="none"/>
              </w:rPr>
              <w:t>4.供应商财务状况报告：</w:t>
            </w:r>
            <w:r>
              <w:rPr>
                <w:rFonts w:hint="eastAsia" w:ascii="宋体" w:hAnsi="宋体"/>
                <w:color w:val="auto"/>
                <w:szCs w:val="21"/>
                <w:highlight w:val="none"/>
              </w:rPr>
              <w:t>[</w:t>
            </w:r>
            <w:r>
              <w:rPr>
                <w:rFonts w:hint="eastAsia" w:ascii="宋体" w:hAnsi="宋体"/>
                <w:color w:val="auto"/>
                <w:szCs w:val="21"/>
                <w:highlight w:val="none"/>
                <w:u w:val="single"/>
              </w:rPr>
              <w:t>202</w:t>
            </w:r>
            <w:r>
              <w:rPr>
                <w:rFonts w:hint="eastAsia" w:ascii="宋体" w:hAnsi="宋体"/>
                <w:color w:val="auto"/>
                <w:szCs w:val="21"/>
                <w:highlight w:val="none"/>
                <w:u w:val="single"/>
                <w:lang w:val="en-US" w:eastAsia="zh-CN"/>
              </w:rPr>
              <w:t>4</w:t>
            </w:r>
            <w:r>
              <w:rPr>
                <w:rFonts w:hint="eastAsia" w:ascii="宋体" w:hAnsi="宋体"/>
                <w:color w:val="auto"/>
                <w:szCs w:val="21"/>
                <w:highlight w:val="none"/>
              </w:rPr>
              <w:t>年或</w:t>
            </w:r>
            <w:r>
              <w:rPr>
                <w:rFonts w:hint="eastAsia" w:ascii="宋体" w:hAnsi="宋体"/>
                <w:color w:val="auto"/>
                <w:szCs w:val="21"/>
                <w:highlight w:val="none"/>
                <w:u w:val="single"/>
              </w:rPr>
              <w:t>202</w:t>
            </w:r>
            <w:r>
              <w:rPr>
                <w:rFonts w:hint="eastAsia" w:ascii="宋体" w:hAnsi="宋体"/>
                <w:color w:val="auto"/>
                <w:szCs w:val="21"/>
                <w:highlight w:val="none"/>
                <w:u w:val="single"/>
                <w:lang w:val="en-US" w:eastAsia="zh-CN"/>
              </w:rPr>
              <w:t>5</w:t>
            </w:r>
            <w:r>
              <w:rPr>
                <w:rFonts w:hint="eastAsia" w:ascii="宋体" w:hAnsi="宋体"/>
                <w:color w:val="auto"/>
                <w:szCs w:val="21"/>
                <w:highlight w:val="none"/>
              </w:rPr>
              <w:t>年]财务状况报告复印件；供应商成立不满一年的应按提供首次响应文件提交截止时间上一个月的财务状况报告复印件。（上述财务状况报告包括：供应商执行《企业会计准则》的，提供资产负债表、利润表、现金流量表、所有者权益变动表及其附注（以下称“四表一注”）；供应商执行《小企业会计准则》的，提供资产负债表、利润表、现金流量表及其附注（以下称“三表一注”）；供应商执行《政府会计制度》的，提供资产负债表、收入费用表和净资产变动表及其附注)；（</w:t>
            </w:r>
            <w:r>
              <w:rPr>
                <w:rFonts w:hint="eastAsia" w:ascii="宋体" w:hAnsi="宋体"/>
                <w:b/>
                <w:color w:val="auto"/>
                <w:szCs w:val="21"/>
                <w:highlight w:val="none"/>
              </w:rPr>
              <w:t>必须提供，否则作无效竞标处理</w:t>
            </w:r>
            <w:r>
              <w:rPr>
                <w:rFonts w:hint="eastAsia" w:ascii="宋体" w:hAnsi="宋体"/>
                <w:color w:val="auto"/>
                <w:szCs w:val="21"/>
                <w:highlight w:val="none"/>
              </w:rPr>
              <w:t>）</w:t>
            </w:r>
          </w:p>
          <w:p w14:paraId="04FFEB62">
            <w:pPr>
              <w:snapToGrid w:val="0"/>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5.供应商直接控股、管理关系信息表；（</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004B18E5">
            <w:pPr>
              <w:snapToGrid w:val="0"/>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6.资格声明；（</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6B253B49">
            <w:pPr>
              <w:snapToGrid w:val="0"/>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7.联合体协议书；（</w:t>
            </w:r>
            <w:r>
              <w:rPr>
                <w:rFonts w:hint="eastAsia" w:ascii="宋体" w:hAnsi="宋体" w:cs="宋体"/>
                <w:b/>
                <w:color w:val="auto"/>
                <w:szCs w:val="21"/>
                <w:highlight w:val="none"/>
              </w:rPr>
              <w:t>联合体竞标时必须提供，否则响应文件按无效响应处理</w:t>
            </w:r>
            <w:r>
              <w:rPr>
                <w:rFonts w:hint="eastAsia" w:ascii="宋体" w:hAnsi="宋体" w:cs="宋体"/>
                <w:color w:val="auto"/>
                <w:szCs w:val="21"/>
                <w:highlight w:val="none"/>
              </w:rPr>
              <w:t>）</w:t>
            </w:r>
          </w:p>
          <w:p w14:paraId="3158EF2C">
            <w:pPr>
              <w:snapToGrid w:val="0"/>
              <w:spacing w:line="400" w:lineRule="exact"/>
              <w:jc w:val="left"/>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rPr>
              <w:t>8.</w:t>
            </w:r>
            <w:r>
              <w:rPr>
                <w:rFonts w:hint="eastAsia" w:ascii="宋体" w:hAnsi="宋体" w:eastAsia="宋体" w:cs="宋体"/>
                <w:color w:val="auto"/>
                <w:szCs w:val="21"/>
                <w:highlight w:val="none"/>
              </w:rPr>
              <w:t>特定</w:t>
            </w:r>
            <w:r>
              <w:rPr>
                <w:rFonts w:hint="eastAsia" w:ascii="宋体" w:hAnsi="宋体"/>
                <w:color w:val="auto"/>
                <w:szCs w:val="21"/>
                <w:highlight w:val="none"/>
              </w:rPr>
              <w:t>资格条件：</w:t>
            </w:r>
            <w:r>
              <w:rPr>
                <w:rFonts w:hint="eastAsia" w:ascii="宋体" w:hAnsi="宋体"/>
                <w:color w:val="auto"/>
                <w:szCs w:val="21"/>
                <w:highlight w:val="none"/>
                <w:lang w:val="en-US" w:eastAsia="zh-CN"/>
              </w:rPr>
              <w:t>无。</w:t>
            </w:r>
          </w:p>
          <w:p w14:paraId="141032C7">
            <w:pPr>
              <w:snapToGrid w:val="0"/>
              <w:spacing w:line="400" w:lineRule="exact"/>
              <w:jc w:val="left"/>
              <w:rPr>
                <w:rFonts w:ascii="宋体" w:hAnsi="宋体"/>
                <w:color w:val="auto"/>
                <w:highlight w:val="none"/>
              </w:rPr>
            </w:pPr>
            <w:r>
              <w:rPr>
                <w:rFonts w:hint="eastAsia" w:ascii="宋体" w:hAnsi="宋体"/>
                <w:color w:val="auto"/>
                <w:highlight w:val="none"/>
              </w:rPr>
              <w:t>9.本项目专门面向中小微型企业采购项目（监狱企业、残疾人福利性单位视为小微企业），提供中小型企业申明函或监狱企业证明文件或残疾人福利性单位申明函。（</w:t>
            </w:r>
            <w:r>
              <w:rPr>
                <w:rFonts w:hint="eastAsia" w:ascii="宋体" w:hAnsi="宋体"/>
                <w:b/>
                <w:color w:val="auto"/>
                <w:highlight w:val="none"/>
              </w:rPr>
              <w:t>必须提供，否则响应文件按无效响应处理</w:t>
            </w:r>
            <w:r>
              <w:rPr>
                <w:rFonts w:hint="eastAsia" w:ascii="宋体" w:hAnsi="宋体"/>
                <w:color w:val="auto"/>
                <w:highlight w:val="none"/>
              </w:rPr>
              <w:t>）</w:t>
            </w:r>
          </w:p>
          <w:p w14:paraId="34F93930">
            <w:pPr>
              <w:snapToGrid w:val="0"/>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10.除磋商文件规定必须提供以外，供应商认为需要提供的其他证明材料；</w:t>
            </w:r>
          </w:p>
          <w:p w14:paraId="088C6E76">
            <w:pPr>
              <w:snapToGrid w:val="0"/>
              <w:spacing w:line="400" w:lineRule="exact"/>
              <w:jc w:val="left"/>
              <w:rPr>
                <w:rFonts w:hint="eastAsia" w:ascii="宋体" w:hAnsi="宋体" w:cs="宋体"/>
                <w:b/>
                <w:color w:val="auto"/>
                <w:szCs w:val="21"/>
                <w:highlight w:val="none"/>
              </w:rPr>
            </w:pPr>
            <w:r>
              <w:rPr>
                <w:rFonts w:hint="eastAsia" w:ascii="宋体" w:hAnsi="宋体" w:cs="宋体"/>
                <w:b/>
                <w:color w:val="auto"/>
                <w:szCs w:val="21"/>
                <w:highlight w:val="none"/>
              </w:rPr>
              <w:t>注：</w:t>
            </w:r>
          </w:p>
          <w:p w14:paraId="268B6E81">
            <w:pPr>
              <w:snapToGrid w:val="0"/>
              <w:spacing w:line="400" w:lineRule="exact"/>
              <w:ind w:firstLine="413" w:firstLineChars="196"/>
              <w:jc w:val="left"/>
              <w:rPr>
                <w:rFonts w:hint="eastAsia" w:ascii="宋体" w:hAnsi="宋体" w:cs="宋体"/>
                <w:b/>
                <w:color w:val="auto"/>
                <w:szCs w:val="21"/>
                <w:highlight w:val="none"/>
              </w:rPr>
            </w:pPr>
            <w:r>
              <w:rPr>
                <w:rFonts w:hint="eastAsia" w:ascii="宋体" w:hAnsi="宋体" w:cs="宋体"/>
                <w:b/>
                <w:color w:val="auto"/>
                <w:szCs w:val="21"/>
                <w:highlight w:val="none"/>
              </w:rPr>
              <w:t>1.以上标明“必须提供”的材料属于复印件的扫描件的，必须加盖供应商电子公章，否则响应文件按无效响应处理。</w:t>
            </w:r>
          </w:p>
          <w:p w14:paraId="4715606D">
            <w:pPr>
              <w:pStyle w:val="9"/>
              <w:spacing w:line="400" w:lineRule="exact"/>
              <w:ind w:firstLine="422" w:firstLineChars="200"/>
              <w:rPr>
                <w:rFonts w:hint="eastAsia" w:ascii="宋体" w:hAnsi="宋体" w:cs="宋体"/>
                <w:b/>
                <w:color w:val="auto"/>
                <w:szCs w:val="21"/>
                <w:highlight w:val="none"/>
                <w:lang w:val="en-US" w:eastAsia="zh-CN"/>
              </w:rPr>
            </w:pPr>
            <w:r>
              <w:rPr>
                <w:rFonts w:hint="eastAsia" w:ascii="宋体" w:hAnsi="宋体" w:cs="宋体"/>
                <w:b/>
                <w:color w:val="auto"/>
                <w:szCs w:val="21"/>
                <w:highlight w:val="none"/>
                <w:lang w:val="en-US" w:eastAsia="zh-CN"/>
              </w:rPr>
              <w:t>2.联合体竞标时，第1-5项资格证明文件联合体各方均必须分别提供，联合体各方分别盖章和签字，否则响应文件按无效响应处理。</w:t>
            </w:r>
          </w:p>
        </w:tc>
      </w:tr>
      <w:tr w14:paraId="609064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56347F9E">
            <w:pP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12.1.2</w:t>
            </w:r>
          </w:p>
        </w:tc>
        <w:tc>
          <w:tcPr>
            <w:tcW w:w="1929" w:type="dxa"/>
            <w:tcBorders>
              <w:top w:val="single" w:color="000000" w:sz="4" w:space="0"/>
              <w:left w:val="single" w:color="000000" w:sz="4" w:space="0"/>
              <w:bottom w:val="single" w:color="000000" w:sz="4" w:space="0"/>
              <w:right w:val="single" w:color="000000" w:sz="4" w:space="0"/>
            </w:tcBorders>
            <w:noWrap w:val="0"/>
            <w:vAlign w:val="center"/>
          </w:tcPr>
          <w:p w14:paraId="7945D3C7">
            <w:pPr>
              <w:spacing w:line="400" w:lineRule="exact"/>
              <w:jc w:val="center"/>
              <w:rPr>
                <w:rFonts w:hint="eastAsia" w:ascii="宋体" w:hAnsi="宋体" w:cs="宋体"/>
                <w:b/>
                <w:bCs/>
                <w:color w:val="auto"/>
                <w:szCs w:val="21"/>
                <w:highlight w:val="none"/>
              </w:rPr>
            </w:pPr>
            <w:r>
              <w:rPr>
                <w:rFonts w:hint="eastAsia" w:ascii="宋体" w:hAnsi="宋体" w:cs="宋体"/>
                <w:b/>
                <w:bCs/>
                <w:color w:val="auto"/>
                <w:szCs w:val="21"/>
                <w:highlight w:val="none"/>
              </w:rPr>
              <w:t>商务文件组成</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0A2B4B84">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1.无串通竞标行为的承诺函；（</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574EC3EB">
            <w:pPr>
              <w:snapToGrid w:val="0"/>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2.法定代表人身份证明书及法定代表人有效身份证正反面复印件；（</w:t>
            </w:r>
            <w:r>
              <w:rPr>
                <w:rFonts w:hint="eastAsia" w:ascii="宋体" w:hAnsi="宋体" w:cs="宋体"/>
                <w:b/>
                <w:bCs/>
                <w:color w:val="auto"/>
                <w:szCs w:val="21"/>
                <w:highlight w:val="none"/>
              </w:rPr>
              <w:t>除自然人竞标外</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5E9E4EF2">
            <w:pPr>
              <w:spacing w:line="400" w:lineRule="exact"/>
              <w:rPr>
                <w:rFonts w:hint="eastAsia" w:ascii="宋体" w:hAnsi="宋体" w:cs="宋体"/>
                <w:b/>
                <w:color w:val="auto"/>
                <w:szCs w:val="21"/>
                <w:highlight w:val="none"/>
              </w:rPr>
            </w:pPr>
            <w:r>
              <w:rPr>
                <w:rFonts w:hint="eastAsia" w:ascii="宋体" w:hAnsi="宋体" w:cs="宋体"/>
                <w:color w:val="auto"/>
                <w:szCs w:val="21"/>
                <w:highlight w:val="none"/>
              </w:rPr>
              <w:t>3.法定代表人授权委托书及委托代理人有效身份证正反面复印件；（</w:t>
            </w:r>
            <w:r>
              <w:rPr>
                <w:rFonts w:hint="eastAsia" w:ascii="宋体" w:hAnsi="宋体" w:cs="宋体"/>
                <w:b/>
                <w:color w:val="auto"/>
                <w:szCs w:val="21"/>
                <w:highlight w:val="none"/>
              </w:rPr>
              <w:t>委托时必须提供，否则响应文件按无效响应处理</w:t>
            </w:r>
            <w:r>
              <w:rPr>
                <w:rFonts w:hint="eastAsia" w:ascii="宋体" w:hAnsi="宋体" w:cs="宋体"/>
                <w:color w:val="auto"/>
                <w:szCs w:val="21"/>
                <w:highlight w:val="none"/>
              </w:rPr>
              <w:t>）</w:t>
            </w:r>
          </w:p>
          <w:p w14:paraId="710E0887">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4.商务条款偏离表；（</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6E7CBACD">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5.竞标人情况介绍；</w:t>
            </w:r>
          </w:p>
          <w:p w14:paraId="1A95FCA1">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6.供应商认为需要提供的其他有关资料。</w:t>
            </w:r>
          </w:p>
          <w:p w14:paraId="0CD253E0">
            <w:pPr>
              <w:snapToGrid w:val="0"/>
              <w:spacing w:line="400" w:lineRule="exact"/>
              <w:jc w:val="left"/>
              <w:rPr>
                <w:rFonts w:hint="eastAsia" w:ascii="宋体" w:hAnsi="宋体" w:cs="宋体"/>
                <w:b/>
                <w:color w:val="auto"/>
                <w:szCs w:val="21"/>
                <w:highlight w:val="none"/>
              </w:rPr>
            </w:pPr>
            <w:r>
              <w:rPr>
                <w:rFonts w:hint="eastAsia" w:ascii="宋体" w:hAnsi="宋体" w:cs="宋体"/>
                <w:b/>
                <w:color w:val="auto"/>
                <w:szCs w:val="21"/>
                <w:highlight w:val="none"/>
              </w:rPr>
              <w:t xml:space="preserve">注： </w:t>
            </w:r>
          </w:p>
          <w:p w14:paraId="56AB63D2">
            <w:pPr>
              <w:snapToGrid w:val="0"/>
              <w:spacing w:line="400" w:lineRule="exact"/>
              <w:ind w:firstLine="413" w:firstLineChars="196"/>
              <w:jc w:val="left"/>
              <w:rPr>
                <w:rFonts w:hint="eastAsia" w:ascii="宋体" w:hAnsi="宋体" w:cs="宋体"/>
                <w:b/>
                <w:color w:val="auto"/>
                <w:szCs w:val="21"/>
                <w:highlight w:val="none"/>
              </w:rPr>
            </w:pPr>
            <w:r>
              <w:rPr>
                <w:rFonts w:hint="eastAsia" w:ascii="宋体" w:hAnsi="宋体" w:cs="宋体"/>
                <w:b/>
                <w:color w:val="auto"/>
                <w:szCs w:val="21"/>
                <w:highlight w:val="none"/>
              </w:rPr>
              <w:t>1.法定代表人授权委托书必须由法定代表人及委托代理人签字，并加盖供应商公章，否则响应文件按无效响应处理。</w:t>
            </w:r>
          </w:p>
          <w:p w14:paraId="333ACFB3">
            <w:pPr>
              <w:spacing w:line="400" w:lineRule="exact"/>
              <w:ind w:firstLine="413" w:firstLineChars="196"/>
              <w:rPr>
                <w:rFonts w:hint="eastAsia" w:ascii="宋体" w:hAnsi="宋体" w:cs="宋体"/>
                <w:b/>
                <w:color w:val="auto"/>
                <w:szCs w:val="21"/>
                <w:highlight w:val="none"/>
              </w:rPr>
            </w:pPr>
            <w:r>
              <w:rPr>
                <w:rFonts w:hint="eastAsia" w:ascii="宋体" w:hAnsi="宋体" w:cs="宋体"/>
                <w:b/>
                <w:color w:val="auto"/>
                <w:szCs w:val="21"/>
                <w:highlight w:val="none"/>
              </w:rPr>
              <w:t>2.以上标明“必须提供”的材料属于复印件的扫描件的，必须加盖供应商电子公章，否则响应文件按无效响应处理。</w:t>
            </w:r>
          </w:p>
        </w:tc>
      </w:tr>
      <w:tr w14:paraId="060C2A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3A811B6">
            <w:pPr>
              <w:widowControl/>
              <w:spacing w:line="400" w:lineRule="exact"/>
              <w:jc w:val="left"/>
              <w:rPr>
                <w:rFonts w:ascii="宋体" w:hAnsi="宋体" w:cs="宋体"/>
                <w:color w:val="auto"/>
                <w:szCs w:val="21"/>
                <w:highlight w:val="none"/>
              </w:rPr>
            </w:pPr>
          </w:p>
        </w:tc>
        <w:tc>
          <w:tcPr>
            <w:tcW w:w="1929" w:type="dxa"/>
            <w:tcBorders>
              <w:top w:val="single" w:color="000000" w:sz="4" w:space="0"/>
              <w:left w:val="single" w:color="000000" w:sz="4" w:space="0"/>
              <w:bottom w:val="single" w:color="000000" w:sz="4" w:space="0"/>
              <w:right w:val="single" w:color="000000" w:sz="4" w:space="0"/>
            </w:tcBorders>
            <w:noWrap w:val="0"/>
            <w:vAlign w:val="center"/>
          </w:tcPr>
          <w:p w14:paraId="5FFC2249">
            <w:pPr>
              <w:spacing w:line="400" w:lineRule="exact"/>
              <w:jc w:val="center"/>
              <w:rPr>
                <w:rFonts w:hint="eastAsia" w:ascii="宋体" w:hAnsi="宋体" w:cs="宋体"/>
                <w:b/>
                <w:bCs/>
                <w:color w:val="auto"/>
                <w:szCs w:val="21"/>
                <w:highlight w:val="none"/>
              </w:rPr>
            </w:pPr>
            <w:r>
              <w:rPr>
                <w:rFonts w:hint="eastAsia" w:ascii="宋体" w:hAnsi="宋体" w:cs="宋体"/>
                <w:b/>
                <w:bCs/>
                <w:color w:val="auto"/>
                <w:szCs w:val="21"/>
                <w:highlight w:val="none"/>
              </w:rPr>
              <w:t>技术文件组成</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7EEFC603">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1.服务需求偏离表；（</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15946EBE">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lang w:val="en-US" w:eastAsia="zh-CN"/>
              </w:rPr>
              <w:t>项目实施</w:t>
            </w:r>
            <w:r>
              <w:rPr>
                <w:rFonts w:hint="eastAsia" w:ascii="宋体" w:hAnsi="宋体" w:cs="宋体"/>
                <w:color w:val="auto"/>
                <w:szCs w:val="21"/>
                <w:highlight w:val="none"/>
              </w:rPr>
              <w:t>方案；（</w:t>
            </w:r>
            <w:r>
              <w:rPr>
                <w:rFonts w:hint="eastAsia" w:ascii="宋体" w:hAnsi="宋体"/>
                <w:color w:val="auto"/>
                <w:highlight w:val="none"/>
                <w:lang w:val="en-US" w:eastAsia="zh-CN"/>
              </w:rPr>
              <w:t>可</w:t>
            </w:r>
            <w:r>
              <w:rPr>
                <w:rFonts w:hint="eastAsia" w:ascii="宋体" w:hAnsi="宋体"/>
                <w:color w:val="auto"/>
                <w:highlight w:val="none"/>
              </w:rPr>
              <w:t>根据</w:t>
            </w:r>
            <w:r>
              <w:rPr>
                <w:rFonts w:hint="eastAsia" w:ascii="宋体" w:hAnsi="宋体"/>
                <w:color w:val="auto"/>
                <w:highlight w:val="none"/>
                <w:lang w:val="en-US" w:eastAsia="zh-CN"/>
              </w:rPr>
              <w:t>评分</w:t>
            </w:r>
            <w:r>
              <w:rPr>
                <w:rFonts w:hint="eastAsia" w:ascii="宋体" w:hAnsi="宋体"/>
                <w:color w:val="auto"/>
                <w:highlight w:val="none"/>
              </w:rPr>
              <w:t>要求</w:t>
            </w:r>
            <w:r>
              <w:rPr>
                <w:rFonts w:hint="eastAsia" w:ascii="宋体" w:hAnsi="宋体"/>
                <w:b/>
                <w:color w:val="auto"/>
                <w:highlight w:val="none"/>
              </w:rPr>
              <w:t>自行</w:t>
            </w:r>
            <w:r>
              <w:rPr>
                <w:rFonts w:hint="eastAsia" w:ascii="宋体" w:hAnsi="宋体"/>
                <w:b/>
                <w:color w:val="auto"/>
                <w:highlight w:val="none"/>
                <w:lang w:val="en-US" w:eastAsia="zh-CN"/>
              </w:rPr>
              <w:t>编写</w:t>
            </w:r>
            <w:r>
              <w:rPr>
                <w:rFonts w:hint="eastAsia" w:ascii="宋体" w:hAnsi="宋体" w:cs="宋体"/>
                <w:color w:val="auto"/>
                <w:szCs w:val="21"/>
                <w:highlight w:val="none"/>
              </w:rPr>
              <w:t>）</w:t>
            </w:r>
          </w:p>
          <w:p w14:paraId="6913E779">
            <w:pPr>
              <w:spacing w:line="400" w:lineRule="exact"/>
              <w:rPr>
                <w:rFonts w:hint="eastAsia" w:ascii="宋体" w:hAnsi="宋体" w:eastAsia="宋体" w:cs="宋体"/>
                <w:color w:val="auto"/>
                <w:szCs w:val="21"/>
                <w:highlight w:val="none"/>
                <w:lang w:eastAsia="zh-CN"/>
              </w:rPr>
            </w:pPr>
            <w:r>
              <w:rPr>
                <w:rFonts w:hint="eastAsia" w:ascii="宋体" w:hAnsi="宋体" w:cs="宋体"/>
                <w:color w:val="000000"/>
                <w:szCs w:val="21"/>
                <w:highlight w:val="none"/>
                <w:lang w:val="en-US" w:eastAsia="zh-CN"/>
              </w:rPr>
              <w:t>3.</w:t>
            </w:r>
            <w:r>
              <w:rPr>
                <w:rFonts w:hint="eastAsia" w:ascii="宋体" w:hAnsi="宋体" w:eastAsia="宋体" w:cs="宋体"/>
                <w:color w:val="000000"/>
                <w:szCs w:val="21"/>
                <w:highlight w:val="none"/>
              </w:rPr>
              <w:t>进度计划、质量保证措施</w:t>
            </w:r>
            <w:r>
              <w:rPr>
                <w:rFonts w:hint="eastAsia" w:ascii="宋体" w:hAnsi="宋体" w:cs="宋体"/>
                <w:color w:val="000000"/>
                <w:szCs w:val="21"/>
                <w:highlight w:val="none"/>
                <w:lang w:eastAsia="zh-CN"/>
              </w:rPr>
              <w:t>；</w:t>
            </w:r>
            <w:r>
              <w:rPr>
                <w:rFonts w:hint="eastAsia" w:ascii="宋体" w:hAnsi="宋体" w:cs="宋体"/>
                <w:color w:val="auto"/>
                <w:szCs w:val="21"/>
                <w:highlight w:val="none"/>
              </w:rPr>
              <w:t>（</w:t>
            </w:r>
            <w:r>
              <w:rPr>
                <w:rFonts w:hint="eastAsia" w:ascii="宋体" w:hAnsi="宋体"/>
                <w:color w:val="auto"/>
                <w:highlight w:val="none"/>
                <w:lang w:val="en-US" w:eastAsia="zh-CN"/>
              </w:rPr>
              <w:t>可</w:t>
            </w:r>
            <w:r>
              <w:rPr>
                <w:rFonts w:hint="eastAsia" w:ascii="宋体" w:hAnsi="宋体"/>
                <w:color w:val="auto"/>
                <w:highlight w:val="none"/>
              </w:rPr>
              <w:t>根据</w:t>
            </w:r>
            <w:r>
              <w:rPr>
                <w:rFonts w:hint="eastAsia" w:ascii="宋体" w:hAnsi="宋体"/>
                <w:color w:val="auto"/>
                <w:highlight w:val="none"/>
                <w:lang w:val="en-US" w:eastAsia="zh-CN"/>
              </w:rPr>
              <w:t>评分</w:t>
            </w:r>
            <w:r>
              <w:rPr>
                <w:rFonts w:hint="eastAsia" w:ascii="宋体" w:hAnsi="宋体"/>
                <w:color w:val="auto"/>
                <w:highlight w:val="none"/>
              </w:rPr>
              <w:t>要求</w:t>
            </w:r>
            <w:r>
              <w:rPr>
                <w:rFonts w:hint="eastAsia" w:ascii="宋体" w:hAnsi="宋体"/>
                <w:b/>
                <w:color w:val="auto"/>
                <w:highlight w:val="none"/>
              </w:rPr>
              <w:t>自行</w:t>
            </w:r>
            <w:r>
              <w:rPr>
                <w:rFonts w:hint="eastAsia" w:ascii="宋体" w:hAnsi="宋体"/>
                <w:b/>
                <w:color w:val="auto"/>
                <w:highlight w:val="none"/>
                <w:lang w:val="en-US" w:eastAsia="zh-CN"/>
              </w:rPr>
              <w:t>编写</w:t>
            </w:r>
            <w:r>
              <w:rPr>
                <w:rFonts w:hint="eastAsia" w:ascii="宋体" w:hAnsi="宋体" w:cs="宋体"/>
                <w:color w:val="auto"/>
                <w:szCs w:val="21"/>
                <w:highlight w:val="none"/>
              </w:rPr>
              <w:t>）</w:t>
            </w:r>
          </w:p>
          <w:p w14:paraId="156184C3">
            <w:pPr>
              <w:spacing w:line="400" w:lineRule="exact"/>
              <w:rPr>
                <w:rFonts w:hint="eastAsia" w:ascii="宋体" w:hAnsi="宋体" w:cs="宋体"/>
                <w:color w:val="auto"/>
                <w:szCs w:val="21"/>
                <w:highlight w:val="none"/>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.服务承诺；（</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688385EB">
            <w:pPr>
              <w:spacing w:line="400" w:lineRule="exact"/>
              <w:rPr>
                <w:rFonts w:hint="eastAsia" w:ascii="宋体" w:hAnsi="宋体" w:cs="宋体"/>
                <w:color w:val="auto"/>
                <w:szCs w:val="21"/>
                <w:highlight w:val="none"/>
              </w:rPr>
            </w:pP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 xml:space="preserve">.项目实施人员一览表； </w:t>
            </w:r>
          </w:p>
          <w:p w14:paraId="7994B6C5">
            <w:pPr>
              <w:spacing w:line="400" w:lineRule="exact"/>
              <w:rPr>
                <w:rFonts w:hint="eastAsia" w:ascii="宋体" w:hAnsi="宋体" w:cs="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.对应采购需求的服务需求、商务条款提供的其他文件资料；</w:t>
            </w:r>
          </w:p>
          <w:p w14:paraId="106C2802">
            <w:pPr>
              <w:spacing w:line="400" w:lineRule="exact"/>
              <w:rPr>
                <w:rFonts w:hint="eastAsia" w:ascii="宋体" w:hAnsi="宋体" w:cs="宋体"/>
                <w:color w:val="auto"/>
                <w:szCs w:val="21"/>
                <w:highlight w:val="none"/>
              </w:rPr>
            </w:pPr>
            <w:r>
              <w:rPr>
                <w:rFonts w:hint="eastAsia" w:ascii="宋体" w:hAnsi="宋体" w:cs="宋体"/>
                <w:color w:val="auto"/>
                <w:szCs w:val="21"/>
                <w:highlight w:val="none"/>
                <w:lang w:val="en-US" w:eastAsia="zh-CN"/>
              </w:rPr>
              <w:t>7</w:t>
            </w:r>
            <w:bookmarkStart w:id="272" w:name="_GoBack"/>
            <w:bookmarkEnd w:id="272"/>
            <w:r>
              <w:rPr>
                <w:rFonts w:hint="eastAsia" w:ascii="宋体" w:hAnsi="宋体" w:cs="宋体"/>
                <w:color w:val="auto"/>
                <w:szCs w:val="21"/>
                <w:highlight w:val="none"/>
              </w:rPr>
              <w:t>.供应商认为需要提供的其他有关资料。</w:t>
            </w:r>
          </w:p>
          <w:p w14:paraId="505D10D3">
            <w:pPr>
              <w:spacing w:line="400" w:lineRule="exact"/>
              <w:rPr>
                <w:rFonts w:hint="eastAsia" w:ascii="宋体" w:hAnsi="宋体" w:cs="宋体"/>
                <w:color w:val="auto"/>
                <w:szCs w:val="21"/>
                <w:highlight w:val="none"/>
              </w:rPr>
            </w:pPr>
            <w:r>
              <w:rPr>
                <w:rFonts w:hint="eastAsia" w:ascii="宋体" w:hAnsi="宋体" w:cs="宋体"/>
                <w:b/>
                <w:color w:val="auto"/>
                <w:szCs w:val="21"/>
                <w:highlight w:val="none"/>
              </w:rPr>
              <w:t>注：1.以上标明“必须提供”的材料属于复印件的扫描件的，必须加盖供应商电子公章，否则响应文件按无效响应处理。</w:t>
            </w:r>
          </w:p>
        </w:tc>
      </w:tr>
      <w:tr w14:paraId="0D4094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noWrap w:val="0"/>
            <w:vAlign w:val="center"/>
          </w:tcPr>
          <w:p w14:paraId="7573F51C">
            <w:pP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12.1.2</w:t>
            </w:r>
          </w:p>
        </w:tc>
        <w:tc>
          <w:tcPr>
            <w:tcW w:w="1929" w:type="dxa"/>
            <w:tcBorders>
              <w:top w:val="single" w:color="000000" w:sz="4" w:space="0"/>
              <w:left w:val="single" w:color="000000" w:sz="4" w:space="0"/>
              <w:bottom w:val="single" w:color="000000" w:sz="4" w:space="0"/>
              <w:right w:val="single" w:color="000000" w:sz="4" w:space="0"/>
            </w:tcBorders>
            <w:noWrap w:val="0"/>
            <w:vAlign w:val="center"/>
          </w:tcPr>
          <w:p w14:paraId="6334FE81">
            <w:pPr>
              <w:spacing w:line="400" w:lineRule="exact"/>
              <w:jc w:val="center"/>
              <w:rPr>
                <w:rFonts w:hint="eastAsia" w:ascii="宋体" w:hAnsi="宋体" w:cs="宋体"/>
                <w:color w:val="auto"/>
                <w:szCs w:val="21"/>
                <w:highlight w:val="none"/>
              </w:rPr>
            </w:pPr>
            <w:r>
              <w:rPr>
                <w:rFonts w:hint="eastAsia" w:ascii="宋体" w:hAnsi="宋体" w:cs="宋体"/>
                <w:b/>
                <w:bCs/>
                <w:color w:val="auto"/>
                <w:szCs w:val="21"/>
                <w:highlight w:val="none"/>
              </w:rPr>
              <w:t>报价文件组成</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12F26371">
            <w:pPr>
              <w:tabs>
                <w:tab w:val="left" w:pos="459"/>
              </w:tabs>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1.响应函；</w:t>
            </w:r>
            <w:r>
              <w:rPr>
                <w:rFonts w:hint="eastAsia" w:ascii="宋体" w:hAnsi="宋体"/>
                <w:b/>
                <w:color w:val="auto"/>
                <w:szCs w:val="21"/>
                <w:highlight w:val="none"/>
              </w:rPr>
              <w:t>（必须提供，否则作无效响应处理）</w:t>
            </w:r>
          </w:p>
          <w:p w14:paraId="4A6A0114">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2.响应报价表；（</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1BCEF6C5">
            <w:pPr>
              <w:spacing w:line="400" w:lineRule="exact"/>
              <w:rPr>
                <w:rFonts w:hint="eastAsia" w:ascii="宋体" w:hAnsi="宋体" w:cs="宋体"/>
                <w:color w:val="auto"/>
                <w:szCs w:val="21"/>
                <w:highlight w:val="none"/>
              </w:rPr>
            </w:pPr>
            <w:r>
              <w:rPr>
                <w:rFonts w:hint="eastAsia" w:ascii="宋体" w:hAnsi="宋体"/>
                <w:color w:val="auto"/>
                <w:szCs w:val="21"/>
                <w:highlight w:val="none"/>
              </w:rPr>
              <w:t>3.供应商认为有必要提交的报价说明。</w:t>
            </w:r>
          </w:p>
        </w:tc>
      </w:tr>
      <w:tr w14:paraId="4C8FF0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noWrap w:val="0"/>
            <w:vAlign w:val="center"/>
          </w:tcPr>
          <w:p w14:paraId="49F67B85">
            <w:pP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12.2</w:t>
            </w:r>
          </w:p>
        </w:tc>
        <w:tc>
          <w:tcPr>
            <w:tcW w:w="1929" w:type="dxa"/>
            <w:tcBorders>
              <w:top w:val="single" w:color="000000" w:sz="4" w:space="0"/>
              <w:left w:val="single" w:color="000000" w:sz="4" w:space="0"/>
              <w:bottom w:val="single" w:color="000000" w:sz="4" w:space="0"/>
              <w:right w:val="single" w:color="000000" w:sz="4" w:space="0"/>
            </w:tcBorders>
            <w:noWrap w:val="0"/>
            <w:vAlign w:val="center"/>
          </w:tcPr>
          <w:p w14:paraId="5750E140">
            <w:pP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响应文件电子版要求</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04D1F94E">
            <w:pPr>
              <w:snapToGrid w:val="0"/>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1.响应文件电子版要求：按照本采购文件“</w:t>
            </w:r>
            <w:r>
              <w:rPr>
                <w:rFonts w:hint="eastAsia" w:ascii="宋体" w:hAnsi="宋体"/>
                <w:color w:val="auto"/>
                <w:szCs w:val="21"/>
                <w:highlight w:val="none"/>
              </w:rPr>
              <w:t>第五章 响应文件格式</w:t>
            </w:r>
            <w:r>
              <w:rPr>
                <w:rFonts w:hint="eastAsia" w:ascii="宋体" w:hAnsi="宋体" w:cs="宋体"/>
                <w:color w:val="auto"/>
                <w:szCs w:val="21"/>
                <w:highlight w:val="none"/>
              </w:rPr>
              <w:t>”编写（第五章未附格式的，由供应商自行拟定），不可涂改并在规定加盖公章处加盖电子公章，</w:t>
            </w:r>
            <w:r>
              <w:rPr>
                <w:rFonts w:hint="eastAsia" w:ascii="宋体" w:hAnsi="宋体" w:cs="宋体"/>
                <w:b/>
                <w:color w:val="auto"/>
                <w:szCs w:val="21"/>
                <w:highlight w:val="none"/>
              </w:rPr>
              <w:t>否则响应文件按无效响应处理</w:t>
            </w:r>
            <w:r>
              <w:rPr>
                <w:rFonts w:hint="eastAsia" w:ascii="宋体" w:hAnsi="宋体" w:cs="宋体"/>
                <w:color w:val="auto"/>
                <w:szCs w:val="21"/>
                <w:highlight w:val="none"/>
              </w:rPr>
              <w:t>。</w:t>
            </w:r>
          </w:p>
          <w:p w14:paraId="4C111900">
            <w:pPr>
              <w:snapToGrid w:val="0"/>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Courier New"/>
                <w:color w:val="auto"/>
                <w:szCs w:val="21"/>
                <w:highlight w:val="none"/>
              </w:rPr>
              <w:t>.响应文件电子版密封方式：电子响应文件通过平台有效CA加密后在“广西政府采购云平台”平台投送。（操作方式见公告附件“</w:t>
            </w:r>
            <w:r>
              <w:rPr>
                <w:rFonts w:hint="eastAsia" w:ascii="宋体" w:hAnsi="宋体"/>
                <w:color w:val="auto"/>
                <w:szCs w:val="21"/>
                <w:highlight w:val="none"/>
              </w:rPr>
              <w:t>电子响应文件制作与投送教程</w:t>
            </w:r>
            <w:r>
              <w:rPr>
                <w:rFonts w:hint="eastAsia" w:ascii="宋体" w:hAnsi="宋体" w:cs="Courier New"/>
                <w:color w:val="auto"/>
                <w:szCs w:val="21"/>
                <w:highlight w:val="none"/>
              </w:rPr>
              <w:t>” ）</w:t>
            </w:r>
          </w:p>
        </w:tc>
      </w:tr>
      <w:tr w14:paraId="718FE9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noWrap w:val="0"/>
            <w:vAlign w:val="center"/>
          </w:tcPr>
          <w:p w14:paraId="714C05E5">
            <w:pP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15.2</w:t>
            </w:r>
          </w:p>
        </w:tc>
        <w:tc>
          <w:tcPr>
            <w:tcW w:w="1929" w:type="dxa"/>
            <w:tcBorders>
              <w:top w:val="single" w:color="000000" w:sz="4" w:space="0"/>
              <w:left w:val="single" w:color="000000" w:sz="4" w:space="0"/>
              <w:bottom w:val="single" w:color="000000" w:sz="4" w:space="0"/>
              <w:right w:val="single" w:color="000000" w:sz="4" w:space="0"/>
            </w:tcBorders>
            <w:noWrap w:val="0"/>
            <w:vAlign w:val="center"/>
          </w:tcPr>
          <w:p w14:paraId="596B95D5">
            <w:pP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响应报价要求</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2D1A7909">
            <w:pPr>
              <w:snapToGrid w:val="0"/>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响应报价必须包含满足本次竞标全部采购需求所应提供的服务，以及伴随的货物和工程（如有）的价格；包含竞标服务、货物、工程的成本、运输（含保险）、安装（如有）、调试、检验、技术服务、培训、税费等所有费用。</w:t>
            </w:r>
            <w:r>
              <w:rPr>
                <w:rFonts w:hint="eastAsia" w:ascii="宋体" w:hAnsi="宋体"/>
                <w:b/>
                <w:color w:val="auto"/>
                <w:szCs w:val="21"/>
                <w:highlight w:val="none"/>
              </w:rPr>
              <w:t>（采购需求另有约定的，从其约定。）</w:t>
            </w:r>
          </w:p>
        </w:tc>
      </w:tr>
      <w:tr w14:paraId="21CD8C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noWrap w:val="0"/>
            <w:vAlign w:val="center"/>
          </w:tcPr>
          <w:p w14:paraId="234BB7B7">
            <w:pP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16.2</w:t>
            </w:r>
          </w:p>
        </w:tc>
        <w:tc>
          <w:tcPr>
            <w:tcW w:w="1929" w:type="dxa"/>
            <w:tcBorders>
              <w:top w:val="single" w:color="000000" w:sz="4" w:space="0"/>
              <w:left w:val="single" w:color="000000" w:sz="4" w:space="0"/>
              <w:bottom w:val="single" w:color="000000" w:sz="4" w:space="0"/>
              <w:right w:val="single" w:color="000000" w:sz="4" w:space="0"/>
            </w:tcBorders>
            <w:noWrap w:val="0"/>
            <w:vAlign w:val="center"/>
          </w:tcPr>
          <w:p w14:paraId="40E1B939">
            <w:pP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竞标有效期</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427A1D0F">
            <w:pPr>
              <w:pStyle w:val="8"/>
              <w:widowControl w:val="0"/>
              <w:tabs>
                <w:tab w:val="clear" w:pos="454"/>
              </w:tabs>
              <w:snapToGrid w:val="0"/>
              <w:spacing w:after="0" w:afterLines="0" w:line="400" w:lineRule="exact"/>
              <w:ind w:left="0" w:firstLine="0"/>
              <w:rPr>
                <w:rFonts w:hint="eastAsia" w:ascii="宋体" w:hAnsi="宋体" w:cs="宋体"/>
                <w:color w:val="auto"/>
                <w:kern w:val="2"/>
                <w:sz w:val="21"/>
                <w:szCs w:val="21"/>
                <w:highlight w:val="none"/>
              </w:rPr>
            </w:pPr>
            <w:r>
              <w:rPr>
                <w:rFonts w:hint="eastAsia" w:ascii="宋体" w:hAnsi="宋体" w:cs="宋体"/>
                <w:color w:val="auto"/>
                <w:kern w:val="2"/>
                <w:sz w:val="21"/>
                <w:szCs w:val="21"/>
                <w:highlight w:val="none"/>
              </w:rPr>
              <w:t>自首次响应文件提交截止之日起</w:t>
            </w:r>
            <w:bookmarkStart w:id="45" w:name="PO_3000001868_PM046"/>
            <w:r>
              <w:rPr>
                <w:rFonts w:ascii="宋体" w:hAnsi="宋体" w:cs="宋体"/>
                <w:color w:val="auto"/>
                <w:kern w:val="2"/>
                <w:sz w:val="21"/>
                <w:szCs w:val="21"/>
                <w:highlight w:val="none"/>
                <w:u w:val="single"/>
              </w:rPr>
              <w:t>90日历天</w:t>
            </w:r>
            <w:bookmarkEnd w:id="45"/>
            <w:r>
              <w:rPr>
                <w:rFonts w:hint="eastAsia" w:ascii="宋体" w:hAnsi="宋体" w:cs="宋体"/>
                <w:color w:val="auto"/>
                <w:kern w:val="2"/>
                <w:sz w:val="21"/>
                <w:szCs w:val="21"/>
                <w:highlight w:val="none"/>
              </w:rPr>
              <w:t>。</w:t>
            </w:r>
          </w:p>
        </w:tc>
      </w:tr>
      <w:tr w14:paraId="588939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noWrap w:val="0"/>
            <w:vAlign w:val="center"/>
          </w:tcPr>
          <w:p w14:paraId="114BC70A">
            <w:pP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17.1</w:t>
            </w:r>
          </w:p>
        </w:tc>
        <w:tc>
          <w:tcPr>
            <w:tcW w:w="1929" w:type="dxa"/>
            <w:tcBorders>
              <w:top w:val="single" w:color="000000" w:sz="4" w:space="0"/>
              <w:left w:val="single" w:color="000000" w:sz="4" w:space="0"/>
              <w:bottom w:val="single" w:color="000000" w:sz="4" w:space="0"/>
              <w:right w:val="single" w:color="000000" w:sz="4" w:space="0"/>
            </w:tcBorders>
            <w:noWrap w:val="0"/>
            <w:vAlign w:val="center"/>
          </w:tcPr>
          <w:p w14:paraId="2578A7D2">
            <w:pP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磋商保证金</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4E70EF78">
            <w:pPr>
              <w:autoSpaceDE w:val="0"/>
              <w:autoSpaceDN w:val="0"/>
              <w:snapToGrid w:val="0"/>
              <w:spacing w:line="400" w:lineRule="exact"/>
              <w:textAlignment w:val="bottom"/>
              <w:rPr>
                <w:rFonts w:hint="eastAsia" w:ascii="宋体" w:hAnsi="宋体"/>
                <w:color w:val="auto"/>
                <w:szCs w:val="21"/>
                <w:highlight w:val="none"/>
              </w:rPr>
            </w:pPr>
            <w:r>
              <w:rPr>
                <w:rFonts w:hint="eastAsia" w:ascii="宋体" w:hAnsi="宋体"/>
                <w:color w:val="auto"/>
                <w:szCs w:val="21"/>
                <w:highlight w:val="none"/>
              </w:rPr>
              <w:t>本项目不收取磋商保证金。</w:t>
            </w:r>
          </w:p>
        </w:tc>
      </w:tr>
      <w:tr w14:paraId="17F5B3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62D1B6E2">
            <w:pP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20.1</w:t>
            </w:r>
          </w:p>
        </w:tc>
        <w:tc>
          <w:tcPr>
            <w:tcW w:w="1929" w:type="dxa"/>
            <w:tcBorders>
              <w:top w:val="single" w:color="000000" w:sz="4" w:space="0"/>
              <w:left w:val="single" w:color="000000" w:sz="4" w:space="0"/>
              <w:bottom w:val="single" w:color="000000" w:sz="4" w:space="0"/>
              <w:right w:val="single" w:color="000000" w:sz="4" w:space="0"/>
            </w:tcBorders>
            <w:noWrap w:val="0"/>
            <w:vAlign w:val="center"/>
          </w:tcPr>
          <w:p w14:paraId="68A8291D">
            <w:pP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首次响应文件提交起止时间</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118607A8">
            <w:pPr>
              <w:snapToGrid w:val="0"/>
              <w:spacing w:line="400" w:lineRule="exact"/>
              <w:jc w:val="left"/>
              <w:rPr>
                <w:rFonts w:hint="eastAsia" w:ascii="宋体" w:hAnsi="宋体" w:cs="宋体"/>
                <w:color w:val="auto"/>
                <w:szCs w:val="21"/>
                <w:highlight w:val="none"/>
                <w:u w:val="single"/>
              </w:rPr>
            </w:pPr>
            <w:r>
              <w:rPr>
                <w:rFonts w:hint="eastAsia" w:ascii="宋体" w:hAnsi="宋体" w:cs="宋体"/>
                <w:color w:val="auto"/>
                <w:szCs w:val="21"/>
                <w:highlight w:val="none"/>
              </w:rPr>
              <w:t>详见竞争性磋商公告。</w:t>
            </w:r>
          </w:p>
        </w:tc>
      </w:tr>
      <w:tr w14:paraId="26C562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E7BB9C1">
            <w:pPr>
              <w:widowControl/>
              <w:spacing w:line="400" w:lineRule="exact"/>
              <w:jc w:val="left"/>
              <w:rPr>
                <w:rFonts w:ascii="宋体" w:hAnsi="宋体" w:cs="宋体"/>
                <w:color w:val="auto"/>
                <w:szCs w:val="21"/>
                <w:highlight w:val="none"/>
              </w:rPr>
            </w:pPr>
          </w:p>
        </w:tc>
        <w:tc>
          <w:tcPr>
            <w:tcW w:w="1929" w:type="dxa"/>
            <w:tcBorders>
              <w:top w:val="single" w:color="000000" w:sz="4" w:space="0"/>
              <w:left w:val="single" w:color="000000" w:sz="4" w:space="0"/>
              <w:bottom w:val="single" w:color="000000" w:sz="4" w:space="0"/>
              <w:right w:val="single" w:color="000000" w:sz="4" w:space="0"/>
            </w:tcBorders>
            <w:noWrap w:val="0"/>
            <w:vAlign w:val="center"/>
          </w:tcPr>
          <w:p w14:paraId="5D28C5FC">
            <w:pP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首次响应文件提交地点</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6FFA4A0E">
            <w:pPr>
              <w:snapToGrid w:val="0"/>
              <w:spacing w:line="400" w:lineRule="exact"/>
              <w:jc w:val="left"/>
              <w:rPr>
                <w:rFonts w:hint="eastAsia" w:ascii="宋体" w:hAnsi="宋体" w:cs="宋体"/>
                <w:color w:val="auto"/>
                <w:szCs w:val="21"/>
                <w:highlight w:val="none"/>
                <w:u w:val="single"/>
              </w:rPr>
            </w:pPr>
            <w:r>
              <w:rPr>
                <w:rFonts w:hint="eastAsia" w:ascii="宋体" w:hAnsi="宋体" w:cs="宋体"/>
                <w:color w:val="auto"/>
                <w:szCs w:val="21"/>
                <w:highlight w:val="none"/>
              </w:rPr>
              <w:t>详见竞争性磋商公告。</w:t>
            </w:r>
          </w:p>
        </w:tc>
      </w:tr>
      <w:tr w14:paraId="2FB9EC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725" w:type="dxa"/>
            <w:tcBorders>
              <w:top w:val="single" w:color="000000" w:sz="4" w:space="0"/>
              <w:left w:val="single" w:color="000000" w:sz="4" w:space="0"/>
              <w:bottom w:val="single" w:color="000000" w:sz="4" w:space="0"/>
              <w:right w:val="single" w:color="000000" w:sz="4" w:space="0"/>
            </w:tcBorders>
            <w:noWrap w:val="0"/>
            <w:vAlign w:val="center"/>
          </w:tcPr>
          <w:p w14:paraId="327FD651">
            <w:pP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20.6</w:t>
            </w:r>
          </w:p>
        </w:tc>
        <w:tc>
          <w:tcPr>
            <w:tcW w:w="1929" w:type="dxa"/>
            <w:tcBorders>
              <w:top w:val="single" w:color="000000" w:sz="4" w:space="0"/>
              <w:left w:val="single" w:color="000000" w:sz="4" w:space="0"/>
              <w:bottom w:val="single" w:color="000000" w:sz="4" w:space="0"/>
              <w:right w:val="single" w:color="000000" w:sz="4" w:space="0"/>
            </w:tcBorders>
            <w:noWrap w:val="0"/>
            <w:vAlign w:val="center"/>
          </w:tcPr>
          <w:p w14:paraId="3867D42E">
            <w:pP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备份响应文件</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11D31FEF">
            <w:pPr>
              <w:snapToGrid w:val="0"/>
              <w:spacing w:line="400" w:lineRule="exact"/>
              <w:jc w:val="left"/>
              <w:rPr>
                <w:rFonts w:hint="eastAsia" w:ascii="宋体" w:hAnsi="宋体" w:cs="宋体"/>
                <w:color w:val="auto"/>
                <w:szCs w:val="21"/>
                <w:highlight w:val="none"/>
              </w:rPr>
            </w:pPr>
            <w:r>
              <w:rPr>
                <w:rFonts w:hint="eastAsia" w:ascii="宋体" w:hAnsi="宋体"/>
                <w:color w:val="auto"/>
                <w:szCs w:val="21"/>
                <w:highlight w:val="none"/>
              </w:rPr>
              <w:t>本项目不接受备份响应文件。</w:t>
            </w:r>
          </w:p>
        </w:tc>
      </w:tr>
      <w:tr w14:paraId="3E2F0C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725" w:type="dxa"/>
            <w:tcBorders>
              <w:top w:val="single" w:color="000000" w:sz="4" w:space="0"/>
              <w:left w:val="single" w:color="000000" w:sz="4" w:space="0"/>
              <w:bottom w:val="single" w:color="000000" w:sz="4" w:space="0"/>
              <w:right w:val="single" w:color="000000" w:sz="4" w:space="0"/>
            </w:tcBorders>
            <w:noWrap w:val="0"/>
            <w:vAlign w:val="center"/>
          </w:tcPr>
          <w:p w14:paraId="50D0EFEA">
            <w:pP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21</w:t>
            </w:r>
          </w:p>
        </w:tc>
        <w:tc>
          <w:tcPr>
            <w:tcW w:w="1929" w:type="dxa"/>
            <w:tcBorders>
              <w:top w:val="single" w:color="000000" w:sz="4" w:space="0"/>
              <w:left w:val="single" w:color="000000" w:sz="4" w:space="0"/>
              <w:bottom w:val="single" w:color="000000" w:sz="4" w:space="0"/>
              <w:right w:val="single" w:color="000000" w:sz="4" w:space="0"/>
            </w:tcBorders>
            <w:noWrap w:val="0"/>
            <w:vAlign w:val="center"/>
          </w:tcPr>
          <w:p w14:paraId="5C983EAF">
            <w:pP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首次响应文件的退回</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40081447">
            <w:pPr>
              <w:snapToGrid w:val="0"/>
              <w:spacing w:line="400" w:lineRule="exact"/>
              <w:jc w:val="left"/>
              <w:rPr>
                <w:rFonts w:hint="eastAsia" w:ascii="宋体" w:hAnsi="宋体"/>
                <w:color w:val="auto"/>
                <w:szCs w:val="21"/>
                <w:highlight w:val="none"/>
              </w:rPr>
            </w:pPr>
            <w:r>
              <w:rPr>
                <w:rFonts w:hint="eastAsia" w:ascii="宋体" w:hAnsi="宋体" w:cs="宋体"/>
                <w:color w:val="auto"/>
                <w:szCs w:val="21"/>
                <w:highlight w:val="none"/>
              </w:rPr>
              <w:t>详见竞争性磋商公告。</w:t>
            </w:r>
          </w:p>
        </w:tc>
      </w:tr>
      <w:tr w14:paraId="7EC0EA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1178771C">
            <w:pP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26.2</w:t>
            </w:r>
          </w:p>
        </w:tc>
        <w:tc>
          <w:tcPr>
            <w:tcW w:w="1929" w:type="dxa"/>
            <w:tcBorders>
              <w:top w:val="single" w:color="000000" w:sz="4" w:space="0"/>
              <w:left w:val="single" w:color="000000" w:sz="4" w:space="0"/>
              <w:bottom w:val="single" w:color="000000" w:sz="4" w:space="0"/>
              <w:right w:val="single" w:color="000000" w:sz="4" w:space="0"/>
            </w:tcBorders>
            <w:noWrap w:val="0"/>
            <w:vAlign w:val="center"/>
          </w:tcPr>
          <w:p w14:paraId="7ADA6E5F">
            <w:pP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负偏离要求</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718810C6">
            <w:pPr>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商务条款评审中允许负偏离的条款数为</w:t>
            </w:r>
            <w:r>
              <w:rPr>
                <w:rFonts w:hint="eastAsia" w:ascii="宋体" w:hAnsi="宋体" w:cs="宋体"/>
                <w:color w:val="auto"/>
                <w:szCs w:val="21"/>
                <w:highlight w:val="none"/>
                <w:u w:val="single"/>
              </w:rPr>
              <w:t xml:space="preserve"> 1  </w:t>
            </w:r>
            <w:r>
              <w:rPr>
                <w:rFonts w:hint="eastAsia" w:ascii="宋体" w:hAnsi="宋体" w:cs="宋体"/>
                <w:color w:val="auto"/>
                <w:szCs w:val="21"/>
                <w:highlight w:val="none"/>
              </w:rPr>
              <w:t>项。</w:t>
            </w:r>
          </w:p>
          <w:p w14:paraId="6DA8872C">
            <w:pPr>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服务需求评审中允许负偏离的条款数为</w:t>
            </w:r>
            <w:r>
              <w:rPr>
                <w:rFonts w:hint="eastAsia" w:ascii="宋体" w:hAnsi="宋体" w:cs="宋体"/>
                <w:color w:val="auto"/>
                <w:szCs w:val="21"/>
                <w:highlight w:val="none"/>
                <w:u w:val="single"/>
              </w:rPr>
              <w:t xml:space="preserve"> 1  </w:t>
            </w:r>
            <w:r>
              <w:rPr>
                <w:rFonts w:hint="eastAsia" w:ascii="宋体" w:hAnsi="宋体" w:cs="宋体"/>
                <w:color w:val="auto"/>
                <w:szCs w:val="21"/>
                <w:highlight w:val="none"/>
              </w:rPr>
              <w:t>项。</w:t>
            </w:r>
          </w:p>
        </w:tc>
      </w:tr>
      <w:tr w14:paraId="7EDD04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C3F3231">
            <w:pPr>
              <w:widowControl/>
              <w:spacing w:line="400" w:lineRule="exact"/>
              <w:jc w:val="left"/>
              <w:rPr>
                <w:rFonts w:ascii="宋体" w:hAnsi="宋体" w:cs="宋体"/>
                <w:color w:val="auto"/>
                <w:szCs w:val="21"/>
                <w:highlight w:val="none"/>
              </w:rPr>
            </w:pPr>
          </w:p>
        </w:tc>
        <w:tc>
          <w:tcPr>
            <w:tcW w:w="1929" w:type="dxa"/>
            <w:tcBorders>
              <w:top w:val="single" w:color="000000" w:sz="4" w:space="0"/>
              <w:left w:val="single" w:color="000000" w:sz="4" w:space="0"/>
              <w:bottom w:val="single" w:color="000000" w:sz="4" w:space="0"/>
              <w:right w:val="single" w:color="000000" w:sz="4" w:space="0"/>
            </w:tcBorders>
            <w:noWrap w:val="0"/>
            <w:vAlign w:val="center"/>
          </w:tcPr>
          <w:p w14:paraId="228F0859">
            <w:pPr>
              <w:snapToGrid w:val="0"/>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磋商的顺序</w:t>
            </w:r>
          </w:p>
          <w:p w14:paraId="359CFEFE">
            <w:pPr>
              <w:spacing w:line="400" w:lineRule="exact"/>
              <w:jc w:val="center"/>
              <w:rPr>
                <w:rFonts w:hint="eastAsia" w:ascii="宋体" w:hAnsi="宋体" w:cs="宋体"/>
                <w:color w:val="auto"/>
                <w:szCs w:val="21"/>
                <w:highlight w:val="none"/>
              </w:rPr>
            </w:pP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6B0A1762">
            <w:pPr>
              <w:pStyle w:val="9"/>
              <w:spacing w:line="400" w:lineRule="exact"/>
              <w:rPr>
                <w:rFonts w:hint="eastAsia" w:ascii="宋体" w:hAnsi="宋体"/>
                <w:color w:val="auto"/>
                <w:szCs w:val="21"/>
                <w:highlight w:val="none"/>
                <w:lang w:val="en-US" w:eastAsia="zh-CN"/>
              </w:rPr>
            </w:pPr>
            <w:r>
              <w:rPr>
                <w:rFonts w:hint="eastAsia" w:ascii="宋体" w:hAnsi="宋体" w:cs="宋体"/>
                <w:color w:val="auto"/>
                <w:szCs w:val="21"/>
                <w:highlight w:val="none"/>
                <w:lang w:val="en-US" w:eastAsia="zh-CN"/>
              </w:rPr>
              <w:t>□</w:t>
            </w:r>
            <w:r>
              <w:rPr>
                <w:rFonts w:hint="eastAsia" w:ascii="宋体" w:hAnsi="宋体"/>
                <w:color w:val="auto"/>
                <w:szCs w:val="21"/>
                <w:highlight w:val="none"/>
                <w:lang w:val="en-US" w:eastAsia="zh-CN"/>
              </w:rPr>
              <w:t>按照</w:t>
            </w:r>
            <w:r>
              <w:rPr>
                <w:rFonts w:hint="eastAsia" w:ascii="宋体" w:hAnsi="宋体" w:cs="宋体"/>
                <w:color w:val="auto"/>
                <w:szCs w:val="21"/>
                <w:highlight w:val="none"/>
                <w:lang w:val="en-US" w:eastAsia="zh-CN"/>
              </w:rPr>
              <w:t>提交首次响应文件的顺序，通知磋商时，若某供应商不在通知现场时，该供应商排序到最后磋商，按照签到的顺序由其下一位供应商先参与磋商。</w:t>
            </w:r>
          </w:p>
          <w:p w14:paraId="23167044">
            <w:pPr>
              <w:snapToGrid w:val="0"/>
              <w:spacing w:line="400" w:lineRule="exact"/>
              <w:rPr>
                <w:rFonts w:hint="eastAsia" w:ascii="宋体" w:hAnsi="宋体" w:cs="宋体"/>
                <w:color w:val="auto"/>
                <w:szCs w:val="21"/>
                <w:highlight w:val="none"/>
              </w:rPr>
            </w:pPr>
            <w:r>
              <w:rPr>
                <w:rFonts w:hint="eastAsia" w:ascii="MS Mincho" w:hAnsi="MS Mincho" w:eastAsia="MS Mincho" w:cs="MS Mincho"/>
                <w:color w:val="auto"/>
                <w:szCs w:val="21"/>
                <w:highlight w:val="none"/>
              </w:rPr>
              <w:t>☑</w:t>
            </w:r>
            <w:r>
              <w:rPr>
                <w:rFonts w:hint="eastAsia" w:ascii="宋体" w:hAnsi="宋体" w:cs="宋体"/>
                <w:color w:val="auto"/>
                <w:szCs w:val="21"/>
                <w:highlight w:val="none"/>
              </w:rPr>
              <w:t>随机排序。</w:t>
            </w:r>
          </w:p>
          <w:p w14:paraId="3A5228C6">
            <w:pPr>
              <w:pStyle w:val="9"/>
              <w:spacing w:line="400" w:lineRule="exact"/>
              <w:rPr>
                <w:rFonts w:hint="eastAsia" w:ascii="宋体" w:hAnsi="宋体" w:cs="宋体"/>
                <w:b/>
                <w:color w:val="auto"/>
                <w:szCs w:val="21"/>
                <w:highlight w:val="none"/>
                <w:lang w:val="en-US" w:eastAsia="zh-CN"/>
              </w:rPr>
            </w:pPr>
            <w:r>
              <w:rPr>
                <w:rFonts w:hint="eastAsia" w:ascii="宋体" w:hAnsi="宋体" w:cs="宋体"/>
                <w:b/>
                <w:color w:val="auto"/>
                <w:szCs w:val="21"/>
                <w:highlight w:val="none"/>
                <w:lang w:val="en-US" w:eastAsia="zh-CN"/>
              </w:rPr>
              <w:t>参与磋商前，供应商法定代表人或者委托代理人必须向磋商小组出示本人有效证件原件[有效证件可以是身份证（含临时身份证明）、机动车驾驶证、社会保障卡或者护照的其中一项]，若参与磋商的委托代理人不是响应文件中授权的委托代理人时，必须同时出示有效的法定代表人授权委托书原件，否则磋商小组将拒绝其参与磋商。</w:t>
            </w:r>
          </w:p>
        </w:tc>
      </w:tr>
      <w:tr w14:paraId="2B59B3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noWrap w:val="0"/>
            <w:vAlign w:val="center"/>
          </w:tcPr>
          <w:p w14:paraId="5A12454A">
            <w:pP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28</w:t>
            </w:r>
          </w:p>
        </w:tc>
        <w:tc>
          <w:tcPr>
            <w:tcW w:w="1929" w:type="dxa"/>
            <w:tcBorders>
              <w:top w:val="single" w:color="000000" w:sz="4" w:space="0"/>
              <w:left w:val="single" w:color="000000" w:sz="4" w:space="0"/>
              <w:bottom w:val="single" w:color="000000" w:sz="4" w:space="0"/>
              <w:right w:val="single" w:color="000000" w:sz="4" w:space="0"/>
            </w:tcBorders>
            <w:noWrap w:val="0"/>
            <w:vAlign w:val="center"/>
          </w:tcPr>
          <w:p w14:paraId="2C916AF8">
            <w:pP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履约保证金</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0AFE6726">
            <w:pPr>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 xml:space="preserve">本项目不收取履约保证金 </w:t>
            </w:r>
          </w:p>
        </w:tc>
      </w:tr>
      <w:tr w14:paraId="6F5D24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noWrap w:val="0"/>
            <w:vAlign w:val="center"/>
          </w:tcPr>
          <w:p w14:paraId="5AF9B34E">
            <w:pP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29.5</w:t>
            </w:r>
          </w:p>
        </w:tc>
        <w:tc>
          <w:tcPr>
            <w:tcW w:w="1929" w:type="dxa"/>
            <w:tcBorders>
              <w:top w:val="single" w:color="000000" w:sz="4" w:space="0"/>
              <w:left w:val="single" w:color="000000" w:sz="4" w:space="0"/>
              <w:bottom w:val="single" w:color="000000" w:sz="4" w:space="0"/>
              <w:right w:val="single" w:color="000000" w:sz="4" w:space="0"/>
            </w:tcBorders>
            <w:noWrap w:val="0"/>
            <w:vAlign w:val="center"/>
          </w:tcPr>
          <w:p w14:paraId="015B3B19">
            <w:pPr>
              <w:spacing w:line="400" w:lineRule="exact"/>
              <w:jc w:val="center"/>
              <w:rPr>
                <w:rFonts w:hint="eastAsia" w:ascii="宋体" w:hAnsi="宋体" w:cs="宋体"/>
                <w:color w:val="auto"/>
                <w:szCs w:val="21"/>
                <w:highlight w:val="none"/>
              </w:rPr>
            </w:pPr>
            <w:r>
              <w:rPr>
                <w:rFonts w:hint="eastAsia" w:ascii="宋体" w:hAnsi="宋体"/>
                <w:color w:val="auto"/>
                <w:szCs w:val="21"/>
                <w:highlight w:val="none"/>
              </w:rPr>
              <w:t>签订合同携带的材料</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555AADAD">
            <w:pPr>
              <w:snapToGrid w:val="0"/>
              <w:spacing w:line="400" w:lineRule="exact"/>
              <w:rPr>
                <w:rFonts w:hint="eastAsia" w:ascii="宋体" w:hAnsi="宋体" w:cs="宋体"/>
                <w:color w:val="auto"/>
                <w:szCs w:val="21"/>
                <w:highlight w:val="none"/>
              </w:rPr>
            </w:pPr>
            <w:r>
              <w:rPr>
                <w:rFonts w:hint="eastAsia" w:ascii="宋体" w:hAnsi="宋体"/>
                <w:color w:val="auto"/>
                <w:szCs w:val="21"/>
                <w:highlight w:val="none"/>
              </w:rPr>
              <w:t>使用的有效CA证书加盖单位电子公章</w:t>
            </w:r>
          </w:p>
        </w:tc>
      </w:tr>
      <w:tr w14:paraId="434FDC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11655F5C">
            <w:pP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31.2</w:t>
            </w:r>
          </w:p>
        </w:tc>
        <w:tc>
          <w:tcPr>
            <w:tcW w:w="1929" w:type="dxa"/>
            <w:tcBorders>
              <w:top w:val="single" w:color="000000" w:sz="4" w:space="0"/>
              <w:left w:val="single" w:color="000000" w:sz="4" w:space="0"/>
              <w:bottom w:val="single" w:color="000000" w:sz="4" w:space="0"/>
              <w:right w:val="single" w:color="000000" w:sz="4" w:space="0"/>
            </w:tcBorders>
            <w:noWrap w:val="0"/>
            <w:vAlign w:val="center"/>
          </w:tcPr>
          <w:p w14:paraId="44AE5945">
            <w:pPr>
              <w:spacing w:line="400" w:lineRule="exact"/>
              <w:jc w:val="center"/>
              <w:rPr>
                <w:rFonts w:hint="eastAsia" w:ascii="宋体" w:hAnsi="宋体"/>
                <w:color w:val="auto"/>
                <w:szCs w:val="21"/>
                <w:highlight w:val="none"/>
              </w:rPr>
            </w:pPr>
            <w:r>
              <w:rPr>
                <w:rFonts w:hint="eastAsia" w:ascii="宋体" w:hAnsi="宋体"/>
                <w:color w:val="auto"/>
                <w:szCs w:val="21"/>
                <w:highlight w:val="none"/>
              </w:rPr>
              <w:t>接收质疑函方式</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6086D7F3">
            <w:pPr>
              <w:snapToGrid w:val="0"/>
              <w:spacing w:line="400" w:lineRule="exact"/>
              <w:rPr>
                <w:rFonts w:hint="eastAsia" w:ascii="宋体" w:hAnsi="宋体"/>
                <w:color w:val="auto"/>
                <w:szCs w:val="21"/>
                <w:highlight w:val="none"/>
              </w:rPr>
            </w:pPr>
            <w:r>
              <w:rPr>
                <w:rFonts w:hint="eastAsia" w:ascii="宋体" w:hAnsi="宋体"/>
                <w:color w:val="auto"/>
                <w:szCs w:val="21"/>
                <w:highlight w:val="none"/>
              </w:rPr>
              <w:t>以书面形式</w:t>
            </w:r>
          </w:p>
        </w:tc>
      </w:tr>
      <w:tr w14:paraId="554661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7D42BD2">
            <w:pPr>
              <w:widowControl/>
              <w:spacing w:line="400" w:lineRule="exact"/>
              <w:jc w:val="left"/>
              <w:rPr>
                <w:rFonts w:ascii="宋体" w:hAnsi="宋体" w:cs="宋体"/>
                <w:color w:val="auto"/>
                <w:szCs w:val="21"/>
                <w:highlight w:val="none"/>
              </w:rPr>
            </w:pPr>
          </w:p>
        </w:tc>
        <w:tc>
          <w:tcPr>
            <w:tcW w:w="1929" w:type="dxa"/>
            <w:tcBorders>
              <w:top w:val="single" w:color="000000" w:sz="4" w:space="0"/>
              <w:left w:val="single" w:color="000000" w:sz="4" w:space="0"/>
              <w:bottom w:val="single" w:color="000000" w:sz="4" w:space="0"/>
              <w:right w:val="single" w:color="000000" w:sz="4" w:space="0"/>
            </w:tcBorders>
            <w:noWrap w:val="0"/>
            <w:vAlign w:val="center"/>
          </w:tcPr>
          <w:p w14:paraId="4DB8AAAC">
            <w:pPr>
              <w:spacing w:line="400" w:lineRule="exact"/>
              <w:jc w:val="center"/>
              <w:rPr>
                <w:rFonts w:hint="eastAsia" w:ascii="宋体" w:hAnsi="宋体"/>
                <w:color w:val="auto"/>
                <w:szCs w:val="21"/>
                <w:highlight w:val="none"/>
              </w:rPr>
            </w:pPr>
            <w:r>
              <w:rPr>
                <w:rFonts w:hint="eastAsia" w:ascii="宋体" w:hAnsi="宋体"/>
                <w:color w:val="auto"/>
                <w:szCs w:val="21"/>
                <w:highlight w:val="none"/>
              </w:rPr>
              <w:t>质疑联系部门及联系方式</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513952A7">
            <w:pPr>
              <w:snapToGrid w:val="0"/>
              <w:spacing w:line="400" w:lineRule="exact"/>
              <w:rPr>
                <w:rFonts w:hint="eastAsia" w:ascii="宋体" w:hAnsi="宋体"/>
                <w:color w:val="auto"/>
                <w:szCs w:val="21"/>
                <w:highlight w:val="none"/>
              </w:rPr>
            </w:pPr>
            <w:r>
              <w:rPr>
                <w:rFonts w:hint="eastAsia" w:ascii="宋体" w:hAnsi="宋体"/>
                <w:color w:val="auto"/>
                <w:szCs w:val="21"/>
                <w:highlight w:val="none"/>
                <w:u w:val="single"/>
              </w:rPr>
              <w:t>（1）</w:t>
            </w:r>
            <w:bookmarkStart w:id="46" w:name="PO_3000001868_PM031_3"/>
            <w:r>
              <w:rPr>
                <w:rFonts w:hint="eastAsia" w:ascii="宋体" w:hAnsi="宋体"/>
                <w:color w:val="auto"/>
                <w:szCs w:val="21"/>
                <w:highlight w:val="none"/>
                <w:u w:val="single"/>
              </w:rPr>
              <w:t>广西科文招标有限公司</w:t>
            </w:r>
            <w:bookmarkEnd w:id="46"/>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29BB9B1D">
            <w:pPr>
              <w:snapToGrid w:val="0"/>
              <w:spacing w:line="400" w:lineRule="exact"/>
              <w:rPr>
                <w:rFonts w:hint="eastAsia" w:ascii="宋体" w:hAnsi="宋体"/>
                <w:color w:val="auto"/>
                <w:szCs w:val="21"/>
                <w:highlight w:val="none"/>
              </w:rPr>
            </w:pPr>
            <w:r>
              <w:rPr>
                <w:rFonts w:hint="eastAsia" w:ascii="宋体" w:hAnsi="宋体"/>
                <w:color w:val="auto"/>
                <w:szCs w:val="21"/>
                <w:highlight w:val="none"/>
              </w:rPr>
              <w:t>联系电话：</w:t>
            </w:r>
            <w:bookmarkStart w:id="47" w:name="PO_3000001868_PM033_1"/>
            <w:r>
              <w:rPr>
                <w:rFonts w:ascii="宋体" w:hAnsi="宋体"/>
                <w:color w:val="auto"/>
                <w:szCs w:val="21"/>
                <w:highlight w:val="none"/>
              </w:rPr>
              <w:t>0771-2023873</w:t>
            </w:r>
            <w:bookmarkEnd w:id="47"/>
            <w:r>
              <w:rPr>
                <w:rFonts w:hint="eastAsia" w:ascii="宋体" w:hAnsi="宋体"/>
                <w:color w:val="auto"/>
                <w:szCs w:val="21"/>
                <w:highlight w:val="none"/>
              </w:rPr>
              <w:t>，</w:t>
            </w:r>
          </w:p>
          <w:p w14:paraId="2F8489C7">
            <w:pPr>
              <w:snapToGrid w:val="0"/>
              <w:spacing w:line="400" w:lineRule="exact"/>
              <w:rPr>
                <w:rFonts w:hint="eastAsia" w:ascii="宋体" w:hAnsi="宋体"/>
                <w:color w:val="auto"/>
                <w:szCs w:val="21"/>
                <w:highlight w:val="none"/>
              </w:rPr>
            </w:pPr>
            <w:r>
              <w:rPr>
                <w:rFonts w:hint="eastAsia" w:ascii="宋体" w:hAnsi="宋体"/>
                <w:color w:val="auto"/>
                <w:szCs w:val="21"/>
                <w:highlight w:val="none"/>
              </w:rPr>
              <w:t>通讯地址</w:t>
            </w:r>
            <w:r>
              <w:rPr>
                <w:rFonts w:hint="eastAsia" w:ascii="宋体" w:hAnsi="宋体" w:cs="Helvetica"/>
                <w:color w:val="auto"/>
                <w:szCs w:val="21"/>
                <w:highlight w:val="none"/>
              </w:rPr>
              <w:t>：</w:t>
            </w:r>
            <w:r>
              <w:rPr>
                <w:rFonts w:hint="eastAsia" w:ascii="宋体" w:hAnsi="宋体"/>
                <w:color w:val="auto"/>
                <w:szCs w:val="21"/>
                <w:highlight w:val="none"/>
                <w:u w:val="single"/>
              </w:rPr>
              <w:t xml:space="preserve"> </w:t>
            </w:r>
            <w:bookmarkStart w:id="48" w:name="PO_3000001868_PM035_1"/>
            <w:r>
              <w:rPr>
                <w:rFonts w:hint="eastAsia" w:ascii="宋体" w:hAnsi="宋体"/>
                <w:color w:val="auto"/>
                <w:szCs w:val="21"/>
                <w:highlight w:val="none"/>
                <w:u w:val="single"/>
              </w:rPr>
              <w:t>广西南宁市民族大道</w:t>
            </w:r>
            <w:r>
              <w:rPr>
                <w:rFonts w:ascii="宋体" w:hAnsi="宋体"/>
                <w:color w:val="auto"/>
                <w:szCs w:val="21"/>
                <w:highlight w:val="none"/>
                <w:u w:val="single"/>
              </w:rPr>
              <w:t>141号中鼎万象东方D区5楼</w:t>
            </w:r>
            <w:bookmarkEnd w:id="48"/>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w:t>
            </w:r>
          </w:p>
          <w:p w14:paraId="148E3C0A">
            <w:pPr>
              <w:snapToGrid w:val="0"/>
              <w:spacing w:line="400" w:lineRule="exact"/>
              <w:rPr>
                <w:rFonts w:hint="eastAsia" w:ascii="宋体" w:hAnsi="宋体"/>
                <w:color w:val="auto"/>
                <w:szCs w:val="21"/>
                <w:highlight w:val="none"/>
              </w:rPr>
            </w:pPr>
            <w:r>
              <w:rPr>
                <w:rFonts w:hint="eastAsia" w:ascii="宋体" w:hAnsi="宋体"/>
                <w:color w:val="auto"/>
                <w:szCs w:val="21"/>
                <w:highlight w:val="none"/>
                <w:u w:val="single"/>
              </w:rPr>
              <w:t>（2）</w:t>
            </w:r>
            <w:r>
              <w:rPr>
                <w:rFonts w:hint="eastAsia" w:ascii="宋体" w:hAnsi="宋体"/>
                <w:color w:val="auto"/>
                <w:szCs w:val="21"/>
                <w:highlight w:val="none"/>
                <w:u w:val="single"/>
                <w:lang w:eastAsia="zh-CN"/>
              </w:rPr>
              <w:t>南宁市邕宁区农业农村局</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33F47009">
            <w:pPr>
              <w:snapToGrid w:val="0"/>
              <w:spacing w:line="400" w:lineRule="exact"/>
              <w:rPr>
                <w:rFonts w:hint="eastAsia" w:ascii="宋体" w:hAnsi="宋体"/>
                <w:color w:val="auto"/>
                <w:szCs w:val="21"/>
                <w:highlight w:val="none"/>
              </w:rPr>
            </w:pPr>
            <w:r>
              <w:rPr>
                <w:rFonts w:hint="eastAsia" w:ascii="宋体" w:hAnsi="宋体"/>
                <w:color w:val="auto"/>
                <w:szCs w:val="21"/>
                <w:highlight w:val="none"/>
              </w:rPr>
              <w:t>联系电话：</w:t>
            </w:r>
            <w:bookmarkStart w:id="49" w:name="PO_3000001868_PM028_1"/>
            <w:r>
              <w:rPr>
                <w:rFonts w:ascii="宋体" w:hAnsi="宋体"/>
                <w:color w:val="auto"/>
                <w:szCs w:val="21"/>
                <w:highlight w:val="none"/>
              </w:rPr>
              <w:t>0771-</w:t>
            </w:r>
            <w:bookmarkEnd w:id="49"/>
            <w:r>
              <w:rPr>
                <w:rFonts w:hint="eastAsia" w:ascii="宋体" w:hAnsi="宋体" w:cs="宋体"/>
                <w:color w:val="auto"/>
                <w:szCs w:val="21"/>
                <w:highlight w:val="none"/>
                <w:u w:val="none"/>
                <w:lang w:eastAsia="zh-CN"/>
              </w:rPr>
              <w:t>4791452</w:t>
            </w:r>
            <w:r>
              <w:rPr>
                <w:rFonts w:hint="eastAsia" w:ascii="宋体" w:hAnsi="宋体"/>
                <w:color w:val="auto"/>
                <w:szCs w:val="21"/>
                <w:highlight w:val="none"/>
              </w:rPr>
              <w:t>，</w:t>
            </w:r>
          </w:p>
          <w:p w14:paraId="082A12AF">
            <w:pPr>
              <w:snapToGrid w:val="0"/>
              <w:spacing w:line="400" w:lineRule="exact"/>
              <w:rPr>
                <w:rFonts w:hint="eastAsia" w:ascii="宋体" w:hAnsi="宋体"/>
                <w:color w:val="auto"/>
                <w:szCs w:val="21"/>
                <w:highlight w:val="none"/>
              </w:rPr>
            </w:pPr>
            <w:r>
              <w:rPr>
                <w:rFonts w:hint="eastAsia" w:ascii="宋体" w:hAnsi="宋体"/>
                <w:color w:val="auto"/>
                <w:szCs w:val="21"/>
                <w:highlight w:val="none"/>
              </w:rPr>
              <w:t>通讯地址</w:t>
            </w:r>
            <w:r>
              <w:rPr>
                <w:rFonts w:hint="eastAsia" w:ascii="宋体" w:hAnsi="宋体" w:cs="Helvetica"/>
                <w:color w:val="auto"/>
                <w:szCs w:val="21"/>
                <w:highlight w:val="none"/>
              </w:rPr>
              <w:t>：</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eastAsia="zh-CN"/>
              </w:rPr>
              <w:t>南宁市仙葫开发区彩虹路41号</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w:t>
            </w:r>
          </w:p>
        </w:tc>
      </w:tr>
      <w:tr w14:paraId="33AFEC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EAFF316">
            <w:pPr>
              <w:widowControl/>
              <w:spacing w:line="400" w:lineRule="exact"/>
              <w:jc w:val="left"/>
              <w:rPr>
                <w:rFonts w:ascii="宋体" w:hAnsi="宋体" w:cs="宋体"/>
                <w:color w:val="auto"/>
                <w:szCs w:val="21"/>
                <w:highlight w:val="none"/>
              </w:rPr>
            </w:pPr>
          </w:p>
        </w:tc>
        <w:tc>
          <w:tcPr>
            <w:tcW w:w="1929" w:type="dxa"/>
            <w:tcBorders>
              <w:top w:val="single" w:color="000000" w:sz="4" w:space="0"/>
              <w:left w:val="single" w:color="000000" w:sz="4" w:space="0"/>
              <w:bottom w:val="single" w:color="000000" w:sz="4" w:space="0"/>
              <w:right w:val="single" w:color="000000" w:sz="4" w:space="0"/>
            </w:tcBorders>
            <w:noWrap w:val="0"/>
            <w:vAlign w:val="center"/>
          </w:tcPr>
          <w:p w14:paraId="5C6C9DAA">
            <w:pPr>
              <w:spacing w:line="400" w:lineRule="exact"/>
              <w:jc w:val="center"/>
              <w:rPr>
                <w:rFonts w:hint="eastAsia" w:ascii="宋体" w:hAnsi="宋体"/>
                <w:color w:val="auto"/>
                <w:szCs w:val="21"/>
                <w:highlight w:val="none"/>
              </w:rPr>
            </w:pPr>
            <w:r>
              <w:rPr>
                <w:rFonts w:hint="eastAsia" w:hAnsi="宋体"/>
                <w:color w:val="auto"/>
                <w:highlight w:val="none"/>
              </w:rPr>
              <w:t>现场提交质疑办理业务时间</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21AC50EE">
            <w:pPr>
              <w:rPr>
                <w:rFonts w:hint="eastAsia" w:ascii="宋体" w:hAnsi="宋体" w:eastAsia="宋体" w:cs="宋体"/>
                <w:color w:val="auto"/>
                <w:highlight w:val="none"/>
              </w:rPr>
            </w:pPr>
            <w:r>
              <w:rPr>
                <w:rFonts w:hint="eastAsia" w:ascii="宋体" w:hAnsi="宋体" w:eastAsia="宋体" w:cs="宋体"/>
                <w:color w:val="auto"/>
                <w:highlight w:val="none"/>
              </w:rPr>
              <w:t>质疑期内每个工作日</w:t>
            </w:r>
            <w:r>
              <w:rPr>
                <w:rFonts w:hint="eastAsia" w:ascii="宋体" w:hAnsi="宋体" w:eastAsia="宋体" w:cs="宋体"/>
                <w:color w:val="auto"/>
                <w:highlight w:val="none"/>
                <w:u w:val="single"/>
              </w:rPr>
              <w:t>08时30分到12时00分，15时00分到18时00分</w:t>
            </w:r>
          </w:p>
        </w:tc>
      </w:tr>
      <w:tr w14:paraId="6FD54A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noWrap w:val="0"/>
            <w:vAlign w:val="center"/>
          </w:tcPr>
          <w:p w14:paraId="58398F56">
            <w:pP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31.6</w:t>
            </w:r>
          </w:p>
        </w:tc>
        <w:tc>
          <w:tcPr>
            <w:tcW w:w="1929" w:type="dxa"/>
            <w:tcBorders>
              <w:top w:val="single" w:color="000000" w:sz="4" w:space="0"/>
              <w:left w:val="single" w:color="000000" w:sz="4" w:space="0"/>
              <w:bottom w:val="single" w:color="000000" w:sz="4" w:space="0"/>
              <w:right w:val="single" w:color="000000" w:sz="4" w:space="0"/>
            </w:tcBorders>
            <w:noWrap w:val="0"/>
            <w:vAlign w:val="center"/>
          </w:tcPr>
          <w:p w14:paraId="27FDBAC0">
            <w:pP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受理投诉方式</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24F4A084">
            <w:pPr>
              <w:snapToGrid w:val="0"/>
              <w:spacing w:line="400" w:lineRule="exact"/>
              <w:rPr>
                <w:rFonts w:hint="eastAsia" w:hAnsi="宋体"/>
                <w:color w:val="auto"/>
                <w:highlight w:val="none"/>
              </w:rPr>
            </w:pPr>
            <w:r>
              <w:rPr>
                <w:rFonts w:hAnsi="宋体"/>
                <w:color w:val="auto"/>
                <w:highlight w:val="none"/>
              </w:rPr>
              <w:t>1</w:t>
            </w:r>
            <w:r>
              <w:rPr>
                <w:rFonts w:hint="eastAsia" w:hAnsi="宋体"/>
                <w:color w:val="auto"/>
                <w:highlight w:val="none"/>
              </w:rPr>
              <w:t>、受理方式：纸质方式受理，投诉书正、副本（经过质疑的事项才可投诉）。</w:t>
            </w:r>
          </w:p>
          <w:p w14:paraId="2280F693">
            <w:pPr>
              <w:snapToGrid w:val="0"/>
              <w:spacing w:line="400" w:lineRule="exact"/>
              <w:rPr>
                <w:rFonts w:ascii="宋体" w:hAnsi="宋体"/>
                <w:color w:val="auto"/>
                <w:highlight w:val="none"/>
              </w:rPr>
            </w:pPr>
            <w:r>
              <w:rPr>
                <w:rFonts w:ascii="宋体" w:hAnsi="宋体"/>
                <w:color w:val="auto"/>
                <w:highlight w:val="none"/>
              </w:rPr>
              <w:t>2</w:t>
            </w:r>
            <w:r>
              <w:rPr>
                <w:rFonts w:hint="eastAsia" w:ascii="宋体" w:hAnsi="宋体"/>
                <w:color w:val="auto"/>
                <w:highlight w:val="none"/>
              </w:rPr>
              <w:t>、邮寄地址：</w:t>
            </w:r>
          </w:p>
          <w:p w14:paraId="632CDB64">
            <w:pPr>
              <w:snapToGrid w:val="0"/>
              <w:spacing w:line="400" w:lineRule="exact"/>
              <w:rPr>
                <w:rFonts w:ascii="宋体" w:hAnsi="宋体"/>
                <w:color w:val="auto"/>
                <w:highlight w:val="none"/>
              </w:rPr>
            </w:pPr>
            <w:r>
              <w:rPr>
                <w:rFonts w:hint="eastAsia" w:ascii="宋体" w:hAnsi="宋体"/>
                <w:color w:val="auto"/>
                <w:highlight w:val="none"/>
              </w:rPr>
              <w:t>名称：邕宁区财政局政府采购监督管理办公室</w:t>
            </w:r>
          </w:p>
          <w:p w14:paraId="781D5B42">
            <w:pPr>
              <w:snapToGrid w:val="0"/>
              <w:spacing w:line="400" w:lineRule="exact"/>
              <w:rPr>
                <w:rFonts w:ascii="宋体" w:hAnsi="宋体"/>
                <w:color w:val="auto"/>
                <w:highlight w:val="none"/>
              </w:rPr>
            </w:pPr>
            <w:r>
              <w:rPr>
                <w:rFonts w:hint="eastAsia" w:ascii="宋体" w:hAnsi="宋体"/>
                <w:color w:val="auto"/>
                <w:highlight w:val="none"/>
              </w:rPr>
              <w:t>地址：南宁市青秀区彩虹路41号</w:t>
            </w:r>
            <w:r>
              <w:rPr>
                <w:rFonts w:ascii="宋体" w:hAnsi="宋体"/>
                <w:color w:val="auto"/>
                <w:highlight w:val="none"/>
              </w:rPr>
              <w:t xml:space="preserve"> </w:t>
            </w:r>
            <w:bookmarkStart w:id="50" w:name="PO_3000001868_PM039"/>
            <w:r>
              <w:rPr>
                <w:rFonts w:ascii="宋体" w:hAnsi="宋体"/>
                <w:color w:val="auto"/>
                <w:highlight w:val="none"/>
              </w:rPr>
              <w:t xml:space="preserve"> </w:t>
            </w:r>
            <w:bookmarkEnd w:id="50"/>
          </w:p>
          <w:p w14:paraId="3F7B70F4">
            <w:pPr>
              <w:snapToGrid w:val="0"/>
              <w:spacing w:line="400" w:lineRule="exact"/>
              <w:rPr>
                <w:rFonts w:hAnsi="宋体" w:cs="宋体"/>
                <w:color w:val="auto"/>
                <w:highlight w:val="none"/>
              </w:rPr>
            </w:pPr>
            <w:r>
              <w:rPr>
                <w:rFonts w:hint="eastAsia" w:ascii="宋体" w:hAnsi="宋体"/>
                <w:color w:val="auto"/>
                <w:highlight w:val="none"/>
              </w:rPr>
              <w:t>联系电话：</w:t>
            </w:r>
            <w:r>
              <w:rPr>
                <w:rFonts w:ascii="宋体" w:hAnsi="宋体"/>
                <w:color w:val="auto"/>
                <w:highlight w:val="none"/>
              </w:rPr>
              <w:t>0771-4790503</w:t>
            </w:r>
          </w:p>
        </w:tc>
      </w:tr>
      <w:tr w14:paraId="4525F0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noWrap w:val="0"/>
            <w:vAlign w:val="center"/>
          </w:tcPr>
          <w:p w14:paraId="5F9DA562">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33</w:t>
            </w:r>
          </w:p>
        </w:tc>
        <w:tc>
          <w:tcPr>
            <w:tcW w:w="1929" w:type="dxa"/>
            <w:tcBorders>
              <w:top w:val="single" w:color="000000" w:sz="4" w:space="0"/>
              <w:left w:val="single" w:color="000000" w:sz="4" w:space="0"/>
              <w:bottom w:val="single" w:color="000000" w:sz="4" w:space="0"/>
              <w:right w:val="single" w:color="000000" w:sz="4" w:space="0"/>
            </w:tcBorders>
            <w:noWrap w:val="0"/>
            <w:vAlign w:val="center"/>
          </w:tcPr>
          <w:p w14:paraId="2AB1B5DB">
            <w:pP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采购代理费</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73FD45D6">
            <w:pPr>
              <w:pStyle w:val="15"/>
              <w:snapToGrid w:val="0"/>
              <w:spacing w:line="400" w:lineRule="exact"/>
              <w:rPr>
                <w:rFonts w:hint="eastAsia" w:hAnsi="宋体" w:cs="宋体"/>
                <w:color w:val="auto"/>
                <w:sz w:val="21"/>
                <w:highlight w:val="none"/>
                <w:lang w:val="en-US" w:eastAsia="zh-CN"/>
              </w:rPr>
            </w:pPr>
            <w:r>
              <w:rPr>
                <w:rFonts w:hint="eastAsia" w:hAnsi="宋体" w:cs="宋体"/>
                <w:color w:val="auto"/>
                <w:sz w:val="21"/>
                <w:highlight w:val="none"/>
                <w:lang w:val="en-US" w:eastAsia="zh-CN"/>
              </w:rPr>
              <w:t>1. 是否收取采购代理费：</w:t>
            </w:r>
          </w:p>
          <w:p w14:paraId="3E4288DD">
            <w:pPr>
              <w:pStyle w:val="15"/>
              <w:snapToGrid w:val="0"/>
              <w:spacing w:line="400" w:lineRule="exact"/>
              <w:rPr>
                <w:rFonts w:hint="eastAsia" w:hAnsi="宋体" w:cs="宋体"/>
                <w:color w:val="auto"/>
                <w:sz w:val="21"/>
                <w:highlight w:val="none"/>
                <w:lang w:val="en-US" w:eastAsia="zh-CN"/>
              </w:rPr>
            </w:pPr>
            <w:r>
              <w:rPr>
                <w:rFonts w:hint="eastAsia" w:ascii="MS Mincho" w:hAnsi="MS Mincho" w:eastAsia="MS Mincho" w:cs="MS Mincho"/>
                <w:color w:val="auto"/>
                <w:sz w:val="21"/>
                <w:highlight w:val="none"/>
                <w:lang w:val="en-US" w:eastAsia="zh-CN"/>
              </w:rPr>
              <w:t>☑</w:t>
            </w:r>
            <w:r>
              <w:rPr>
                <w:rFonts w:hint="eastAsia" w:hAnsi="宋体" w:cs="宋体"/>
                <w:color w:val="auto"/>
                <w:sz w:val="21"/>
                <w:highlight w:val="none"/>
                <w:lang w:val="en-US" w:eastAsia="zh-CN"/>
              </w:rPr>
              <w:t>是    □ 否</w:t>
            </w:r>
          </w:p>
          <w:p w14:paraId="2045707A">
            <w:pPr>
              <w:pStyle w:val="15"/>
              <w:snapToGrid w:val="0"/>
              <w:spacing w:line="400" w:lineRule="exact"/>
              <w:rPr>
                <w:rFonts w:hint="eastAsia" w:hAnsi="宋体" w:cs="宋体"/>
                <w:color w:val="auto"/>
                <w:sz w:val="21"/>
                <w:highlight w:val="none"/>
                <w:lang w:val="en-US" w:eastAsia="zh-CN"/>
              </w:rPr>
            </w:pPr>
            <w:r>
              <w:rPr>
                <w:rFonts w:hint="eastAsia" w:hAnsi="宋体" w:cs="宋体"/>
                <w:color w:val="auto"/>
                <w:sz w:val="21"/>
                <w:highlight w:val="none"/>
                <w:lang w:val="en-US" w:eastAsia="zh-CN"/>
              </w:rPr>
              <w:t>2.采购代理费支付方式：</w:t>
            </w:r>
          </w:p>
          <w:p w14:paraId="04CDCEFC">
            <w:pPr>
              <w:pStyle w:val="15"/>
              <w:snapToGrid w:val="0"/>
              <w:spacing w:line="400" w:lineRule="exact"/>
              <w:rPr>
                <w:rFonts w:hint="eastAsia" w:hAnsi="宋体" w:cs="宋体"/>
                <w:color w:val="auto"/>
                <w:sz w:val="21"/>
                <w:highlight w:val="none"/>
                <w:lang w:val="en-US" w:eastAsia="zh-CN"/>
              </w:rPr>
            </w:pPr>
            <w:r>
              <w:rPr>
                <w:rFonts w:hint="eastAsia" w:ascii="MS Mincho" w:hAnsi="MS Mincho" w:eastAsia="MS Mincho" w:cs="MS Mincho"/>
                <w:color w:val="auto"/>
                <w:sz w:val="21"/>
                <w:highlight w:val="none"/>
                <w:lang w:val="en-US" w:eastAsia="zh-CN"/>
              </w:rPr>
              <w:t>☑</w:t>
            </w:r>
            <w:r>
              <w:rPr>
                <w:rFonts w:hint="eastAsia" w:hAnsi="宋体" w:cs="宋体"/>
                <w:color w:val="auto"/>
                <w:sz w:val="21"/>
                <w:highlight w:val="none"/>
                <w:lang w:val="en-US" w:eastAsia="zh-CN"/>
              </w:rPr>
              <w:t>本项目代理服务费由</w:t>
            </w:r>
            <w:r>
              <w:rPr>
                <w:rFonts w:hint="eastAsia" w:hAnsi="宋体" w:cs="宋体"/>
                <w:color w:val="auto"/>
                <w:sz w:val="21"/>
                <w:highlight w:val="none"/>
                <w:u w:val="single"/>
                <w:lang w:val="en-US" w:eastAsia="zh-CN"/>
              </w:rPr>
              <w:t>成交供应商</w:t>
            </w:r>
            <w:r>
              <w:rPr>
                <w:rFonts w:hint="eastAsia" w:hAnsi="宋体" w:cs="宋体"/>
                <w:color w:val="auto"/>
                <w:sz w:val="21"/>
                <w:highlight w:val="none"/>
                <w:lang w:val="en-US" w:eastAsia="zh-CN"/>
              </w:rPr>
              <w:t>领取成交通知书前，一次性向采购代理机构支付。</w:t>
            </w:r>
          </w:p>
          <w:p w14:paraId="72BEAEFC">
            <w:pPr>
              <w:pStyle w:val="15"/>
              <w:snapToGrid w:val="0"/>
              <w:spacing w:line="400" w:lineRule="exact"/>
              <w:rPr>
                <w:rFonts w:hint="eastAsia" w:hAnsi="宋体" w:cs="宋体"/>
                <w:color w:val="auto"/>
                <w:sz w:val="21"/>
                <w:highlight w:val="none"/>
                <w:lang w:val="en-US" w:eastAsia="zh-CN"/>
              </w:rPr>
            </w:pPr>
            <w:r>
              <w:rPr>
                <w:rFonts w:hint="eastAsia" w:hAnsi="宋体" w:cs="宋体"/>
                <w:color w:val="auto"/>
                <w:sz w:val="21"/>
                <w:highlight w:val="none"/>
                <w:lang w:val="en-US" w:eastAsia="zh-CN"/>
              </w:rPr>
              <w:t>3.采购代理费收取标准：按下表收费标准收取（以采购预算为计价基础）</w:t>
            </w:r>
          </w:p>
          <w:tbl>
            <w:tblPr>
              <w:tblStyle w:val="25"/>
              <w:tblW w:w="62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3"/>
              <w:gridCol w:w="1154"/>
              <w:gridCol w:w="1276"/>
              <w:gridCol w:w="1134"/>
            </w:tblGrid>
            <w:tr w14:paraId="14C9C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63" w:type="dxa"/>
                  <w:tcBorders>
                    <w:tl2br w:val="single" w:color="auto" w:sz="4" w:space="0"/>
                  </w:tcBorders>
                  <w:noWrap w:val="0"/>
                  <w:vAlign w:val="top"/>
                </w:tcPr>
                <w:p w14:paraId="61B8FBAF">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               费率</w:t>
                  </w:r>
                </w:p>
                <w:p w14:paraId="4EC635D4">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金额</w:t>
                  </w:r>
                </w:p>
              </w:tc>
              <w:tc>
                <w:tcPr>
                  <w:tcW w:w="1154" w:type="dxa"/>
                  <w:noWrap w:val="0"/>
                  <w:vAlign w:val="center"/>
                </w:tcPr>
                <w:p w14:paraId="0FD4D0AA">
                  <w:pPr>
                    <w:spacing w:line="360" w:lineRule="auto"/>
                    <w:ind w:firstLine="105" w:firstLineChars="50"/>
                    <w:jc w:val="center"/>
                    <w:rPr>
                      <w:rFonts w:hint="eastAsia" w:ascii="宋体" w:hAnsi="宋体" w:cs="宋体"/>
                      <w:color w:val="auto"/>
                      <w:szCs w:val="21"/>
                      <w:highlight w:val="none"/>
                    </w:rPr>
                  </w:pPr>
                  <w:r>
                    <w:rPr>
                      <w:rFonts w:hint="eastAsia" w:ascii="宋体" w:hAnsi="宋体" w:cs="宋体"/>
                      <w:color w:val="auto"/>
                      <w:szCs w:val="21"/>
                      <w:highlight w:val="none"/>
                    </w:rPr>
                    <w:t>货物类</w:t>
                  </w:r>
                </w:p>
              </w:tc>
              <w:tc>
                <w:tcPr>
                  <w:tcW w:w="1276" w:type="dxa"/>
                  <w:noWrap w:val="0"/>
                  <w:vAlign w:val="center"/>
                </w:tcPr>
                <w:p w14:paraId="0F7CA3D9">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服务类</w:t>
                  </w:r>
                </w:p>
              </w:tc>
              <w:tc>
                <w:tcPr>
                  <w:tcW w:w="1134" w:type="dxa"/>
                  <w:noWrap w:val="0"/>
                  <w:vAlign w:val="center"/>
                </w:tcPr>
                <w:p w14:paraId="6AA294E7">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工程类</w:t>
                  </w:r>
                </w:p>
              </w:tc>
            </w:tr>
            <w:tr w14:paraId="06F6F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3" w:type="dxa"/>
                  <w:noWrap w:val="0"/>
                  <w:vAlign w:val="top"/>
                </w:tcPr>
                <w:p w14:paraId="75CAF634">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100万元以下</w:t>
                  </w:r>
                </w:p>
              </w:tc>
              <w:tc>
                <w:tcPr>
                  <w:tcW w:w="1154" w:type="dxa"/>
                  <w:noWrap w:val="0"/>
                  <w:vAlign w:val="top"/>
                </w:tcPr>
                <w:p w14:paraId="3343DC53">
                  <w:pPr>
                    <w:spacing w:line="360" w:lineRule="auto"/>
                    <w:rPr>
                      <w:rFonts w:hint="eastAsia" w:ascii="宋体" w:hAnsi="宋体" w:cs="宋体"/>
                      <w:color w:val="auto"/>
                      <w:szCs w:val="21"/>
                      <w:highlight w:val="none"/>
                    </w:rPr>
                  </w:pPr>
                  <w:r>
                    <w:rPr>
                      <w:rFonts w:hint="eastAsia" w:ascii="宋体" w:hAnsi="宋体" w:cs="宋体"/>
                      <w:color w:val="auto"/>
                      <w:kern w:val="0"/>
                      <w:szCs w:val="21"/>
                      <w:highlight w:val="none"/>
                    </w:rPr>
                    <w:t xml:space="preserve">  1.5%                </w:t>
                  </w:r>
                </w:p>
              </w:tc>
              <w:tc>
                <w:tcPr>
                  <w:tcW w:w="1276" w:type="dxa"/>
                  <w:noWrap w:val="0"/>
                  <w:vAlign w:val="top"/>
                </w:tcPr>
                <w:p w14:paraId="182028A8">
                  <w:pPr>
                    <w:spacing w:line="360" w:lineRule="auto"/>
                    <w:ind w:firstLine="210" w:firstLineChars="100"/>
                    <w:rPr>
                      <w:rFonts w:hint="eastAsia" w:ascii="宋体" w:hAnsi="宋体" w:cs="宋体"/>
                      <w:color w:val="auto"/>
                      <w:szCs w:val="21"/>
                      <w:highlight w:val="none"/>
                    </w:rPr>
                  </w:pPr>
                  <w:r>
                    <w:rPr>
                      <w:rFonts w:hint="eastAsia" w:ascii="宋体" w:hAnsi="宋体" w:cs="宋体"/>
                      <w:color w:val="auto"/>
                      <w:kern w:val="0"/>
                      <w:szCs w:val="21"/>
                      <w:highlight w:val="none"/>
                    </w:rPr>
                    <w:t>1.5%</w:t>
                  </w:r>
                </w:p>
              </w:tc>
              <w:tc>
                <w:tcPr>
                  <w:tcW w:w="1134" w:type="dxa"/>
                  <w:noWrap w:val="0"/>
                  <w:vAlign w:val="top"/>
                </w:tcPr>
                <w:p w14:paraId="0F654CBC">
                  <w:pPr>
                    <w:spacing w:line="360" w:lineRule="auto"/>
                    <w:ind w:firstLine="210" w:firstLineChars="100"/>
                    <w:rPr>
                      <w:rFonts w:hint="eastAsia" w:ascii="宋体" w:hAnsi="宋体" w:cs="宋体"/>
                      <w:color w:val="auto"/>
                      <w:szCs w:val="21"/>
                      <w:highlight w:val="none"/>
                    </w:rPr>
                  </w:pPr>
                  <w:r>
                    <w:rPr>
                      <w:rFonts w:hint="eastAsia" w:ascii="宋体" w:hAnsi="宋体" w:cs="宋体"/>
                      <w:color w:val="auto"/>
                      <w:kern w:val="0"/>
                      <w:szCs w:val="21"/>
                      <w:highlight w:val="none"/>
                    </w:rPr>
                    <w:t xml:space="preserve">1.0% </w:t>
                  </w:r>
                </w:p>
              </w:tc>
            </w:tr>
            <w:tr w14:paraId="76047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3" w:type="dxa"/>
                  <w:noWrap w:val="0"/>
                  <w:vAlign w:val="top"/>
                </w:tcPr>
                <w:p w14:paraId="2F79B1E6">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100～500万元</w:t>
                  </w:r>
                </w:p>
              </w:tc>
              <w:tc>
                <w:tcPr>
                  <w:tcW w:w="1154" w:type="dxa"/>
                  <w:noWrap w:val="0"/>
                  <w:vAlign w:val="top"/>
                </w:tcPr>
                <w:p w14:paraId="439F00C3">
                  <w:pPr>
                    <w:spacing w:line="360" w:lineRule="auto"/>
                    <w:ind w:firstLine="210" w:firstLineChars="100"/>
                    <w:rPr>
                      <w:rFonts w:hint="eastAsia" w:ascii="宋体" w:hAnsi="宋体" w:cs="宋体"/>
                      <w:color w:val="auto"/>
                      <w:szCs w:val="21"/>
                      <w:highlight w:val="none"/>
                    </w:rPr>
                  </w:pPr>
                  <w:r>
                    <w:rPr>
                      <w:rFonts w:hint="eastAsia" w:ascii="宋体" w:hAnsi="宋体" w:cs="宋体"/>
                      <w:color w:val="auto"/>
                      <w:kern w:val="0"/>
                      <w:szCs w:val="21"/>
                      <w:highlight w:val="none"/>
                    </w:rPr>
                    <w:t xml:space="preserve">1.1%                 </w:t>
                  </w:r>
                </w:p>
              </w:tc>
              <w:tc>
                <w:tcPr>
                  <w:tcW w:w="1276" w:type="dxa"/>
                  <w:noWrap w:val="0"/>
                  <w:vAlign w:val="top"/>
                </w:tcPr>
                <w:p w14:paraId="22A45BBC">
                  <w:pPr>
                    <w:spacing w:line="360" w:lineRule="auto"/>
                    <w:ind w:firstLine="210" w:firstLineChars="100"/>
                    <w:rPr>
                      <w:rFonts w:hint="eastAsia" w:ascii="宋体" w:hAnsi="宋体" w:cs="宋体"/>
                      <w:color w:val="auto"/>
                      <w:szCs w:val="21"/>
                      <w:highlight w:val="none"/>
                    </w:rPr>
                  </w:pPr>
                  <w:r>
                    <w:rPr>
                      <w:rFonts w:hint="eastAsia" w:ascii="宋体" w:hAnsi="宋体" w:cs="宋体"/>
                      <w:color w:val="auto"/>
                      <w:kern w:val="0"/>
                      <w:szCs w:val="21"/>
                      <w:highlight w:val="none"/>
                    </w:rPr>
                    <w:t>0.8%</w:t>
                  </w:r>
                </w:p>
              </w:tc>
              <w:tc>
                <w:tcPr>
                  <w:tcW w:w="1134" w:type="dxa"/>
                  <w:noWrap w:val="0"/>
                  <w:vAlign w:val="top"/>
                </w:tcPr>
                <w:p w14:paraId="650FC234">
                  <w:pPr>
                    <w:spacing w:line="360" w:lineRule="auto"/>
                    <w:ind w:firstLine="210" w:firstLineChars="100"/>
                    <w:rPr>
                      <w:rFonts w:hint="eastAsia" w:ascii="宋体" w:hAnsi="宋体" w:cs="宋体"/>
                      <w:color w:val="auto"/>
                      <w:szCs w:val="21"/>
                      <w:highlight w:val="none"/>
                    </w:rPr>
                  </w:pPr>
                  <w:r>
                    <w:rPr>
                      <w:rFonts w:hint="eastAsia" w:ascii="宋体" w:hAnsi="宋体" w:cs="宋体"/>
                      <w:color w:val="auto"/>
                      <w:kern w:val="0"/>
                      <w:szCs w:val="21"/>
                      <w:highlight w:val="none"/>
                    </w:rPr>
                    <w:t xml:space="preserve">0.7% </w:t>
                  </w:r>
                </w:p>
              </w:tc>
            </w:tr>
            <w:tr w14:paraId="75B4B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3" w:type="dxa"/>
                  <w:noWrap w:val="0"/>
                  <w:vAlign w:val="top"/>
                </w:tcPr>
                <w:p w14:paraId="278488B4">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500～1000万元</w:t>
                  </w:r>
                </w:p>
              </w:tc>
              <w:tc>
                <w:tcPr>
                  <w:tcW w:w="1154" w:type="dxa"/>
                  <w:noWrap w:val="0"/>
                  <w:vAlign w:val="top"/>
                </w:tcPr>
                <w:p w14:paraId="23996562">
                  <w:pPr>
                    <w:spacing w:line="360" w:lineRule="auto"/>
                    <w:rPr>
                      <w:rFonts w:hint="eastAsia" w:ascii="宋体" w:hAnsi="宋体" w:cs="宋体"/>
                      <w:color w:val="auto"/>
                      <w:szCs w:val="21"/>
                      <w:highlight w:val="none"/>
                    </w:rPr>
                  </w:pPr>
                  <w:r>
                    <w:rPr>
                      <w:rFonts w:hint="eastAsia" w:ascii="宋体" w:hAnsi="宋体" w:cs="宋体"/>
                      <w:color w:val="auto"/>
                      <w:kern w:val="0"/>
                      <w:szCs w:val="21"/>
                      <w:highlight w:val="none"/>
                    </w:rPr>
                    <w:t xml:space="preserve">  0.8%                </w:t>
                  </w:r>
                </w:p>
              </w:tc>
              <w:tc>
                <w:tcPr>
                  <w:tcW w:w="1276" w:type="dxa"/>
                  <w:noWrap w:val="0"/>
                  <w:vAlign w:val="top"/>
                </w:tcPr>
                <w:p w14:paraId="4AA10175">
                  <w:pPr>
                    <w:spacing w:line="360" w:lineRule="auto"/>
                    <w:ind w:firstLine="210" w:firstLineChars="100"/>
                    <w:rPr>
                      <w:rFonts w:hint="eastAsia" w:ascii="宋体" w:hAnsi="宋体" w:cs="宋体"/>
                      <w:color w:val="auto"/>
                      <w:szCs w:val="21"/>
                      <w:highlight w:val="none"/>
                    </w:rPr>
                  </w:pPr>
                  <w:r>
                    <w:rPr>
                      <w:rFonts w:hint="eastAsia" w:ascii="宋体" w:hAnsi="宋体" w:cs="宋体"/>
                      <w:color w:val="auto"/>
                      <w:kern w:val="0"/>
                      <w:szCs w:val="21"/>
                      <w:highlight w:val="none"/>
                    </w:rPr>
                    <w:t>0.45%</w:t>
                  </w:r>
                </w:p>
              </w:tc>
              <w:tc>
                <w:tcPr>
                  <w:tcW w:w="1134" w:type="dxa"/>
                  <w:noWrap w:val="0"/>
                  <w:vAlign w:val="top"/>
                </w:tcPr>
                <w:p w14:paraId="77938D9E">
                  <w:pPr>
                    <w:spacing w:line="360" w:lineRule="auto"/>
                    <w:ind w:firstLine="210" w:firstLineChars="100"/>
                    <w:rPr>
                      <w:rFonts w:hint="eastAsia" w:ascii="宋体" w:hAnsi="宋体" w:cs="宋体"/>
                      <w:color w:val="auto"/>
                      <w:szCs w:val="21"/>
                      <w:highlight w:val="none"/>
                    </w:rPr>
                  </w:pPr>
                  <w:r>
                    <w:rPr>
                      <w:rFonts w:hint="eastAsia" w:ascii="宋体" w:hAnsi="宋体" w:cs="宋体"/>
                      <w:color w:val="auto"/>
                      <w:kern w:val="0"/>
                      <w:szCs w:val="21"/>
                      <w:highlight w:val="none"/>
                    </w:rPr>
                    <w:t>0.55%</w:t>
                  </w:r>
                </w:p>
              </w:tc>
            </w:tr>
            <w:tr w14:paraId="79B30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3" w:type="dxa"/>
                  <w:noWrap w:val="0"/>
                  <w:vAlign w:val="top"/>
                </w:tcPr>
                <w:p w14:paraId="08E7CC15">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1000～5000万元</w:t>
                  </w:r>
                </w:p>
              </w:tc>
              <w:tc>
                <w:tcPr>
                  <w:tcW w:w="1154" w:type="dxa"/>
                  <w:noWrap w:val="0"/>
                  <w:vAlign w:val="top"/>
                </w:tcPr>
                <w:p w14:paraId="626D3CF5">
                  <w:pPr>
                    <w:spacing w:line="360" w:lineRule="auto"/>
                    <w:ind w:firstLine="210" w:firstLineChars="100"/>
                    <w:rPr>
                      <w:rFonts w:hint="eastAsia" w:ascii="宋体" w:hAnsi="宋体" w:cs="宋体"/>
                      <w:color w:val="auto"/>
                      <w:szCs w:val="21"/>
                      <w:highlight w:val="none"/>
                    </w:rPr>
                  </w:pPr>
                  <w:r>
                    <w:rPr>
                      <w:rFonts w:hint="eastAsia" w:ascii="宋体" w:hAnsi="宋体" w:cs="宋体"/>
                      <w:color w:val="auto"/>
                      <w:kern w:val="0"/>
                      <w:szCs w:val="21"/>
                      <w:highlight w:val="none"/>
                    </w:rPr>
                    <w:t xml:space="preserve">0.5%                </w:t>
                  </w:r>
                </w:p>
              </w:tc>
              <w:tc>
                <w:tcPr>
                  <w:tcW w:w="1276" w:type="dxa"/>
                  <w:noWrap w:val="0"/>
                  <w:vAlign w:val="top"/>
                </w:tcPr>
                <w:p w14:paraId="67D1EE0D">
                  <w:pPr>
                    <w:spacing w:line="360" w:lineRule="auto"/>
                    <w:ind w:firstLine="210" w:firstLineChars="100"/>
                    <w:rPr>
                      <w:rFonts w:hint="eastAsia" w:ascii="宋体" w:hAnsi="宋体" w:cs="宋体"/>
                      <w:color w:val="auto"/>
                      <w:szCs w:val="21"/>
                      <w:highlight w:val="none"/>
                    </w:rPr>
                  </w:pPr>
                  <w:r>
                    <w:rPr>
                      <w:rFonts w:hint="eastAsia" w:ascii="宋体" w:hAnsi="宋体" w:cs="宋体"/>
                      <w:color w:val="auto"/>
                      <w:kern w:val="0"/>
                      <w:szCs w:val="21"/>
                      <w:highlight w:val="none"/>
                    </w:rPr>
                    <w:t>0.25%</w:t>
                  </w:r>
                </w:p>
              </w:tc>
              <w:tc>
                <w:tcPr>
                  <w:tcW w:w="1134" w:type="dxa"/>
                  <w:noWrap w:val="0"/>
                  <w:vAlign w:val="top"/>
                </w:tcPr>
                <w:p w14:paraId="7683FF12">
                  <w:pPr>
                    <w:spacing w:line="360" w:lineRule="auto"/>
                    <w:ind w:firstLine="210" w:firstLineChars="100"/>
                    <w:rPr>
                      <w:rFonts w:hint="eastAsia" w:ascii="宋体" w:hAnsi="宋体" w:cs="宋体"/>
                      <w:color w:val="auto"/>
                      <w:szCs w:val="21"/>
                      <w:highlight w:val="none"/>
                    </w:rPr>
                  </w:pPr>
                  <w:r>
                    <w:rPr>
                      <w:rFonts w:hint="eastAsia" w:ascii="宋体" w:hAnsi="宋体" w:cs="宋体"/>
                      <w:color w:val="auto"/>
                      <w:kern w:val="0"/>
                      <w:szCs w:val="21"/>
                      <w:highlight w:val="none"/>
                    </w:rPr>
                    <w:t xml:space="preserve">0.35% </w:t>
                  </w:r>
                </w:p>
              </w:tc>
            </w:tr>
            <w:tr w14:paraId="5C744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3" w:type="dxa"/>
                  <w:noWrap w:val="0"/>
                  <w:vAlign w:val="top"/>
                </w:tcPr>
                <w:p w14:paraId="6A6704C7">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5000万元～1亿元</w:t>
                  </w:r>
                </w:p>
              </w:tc>
              <w:tc>
                <w:tcPr>
                  <w:tcW w:w="1154" w:type="dxa"/>
                  <w:noWrap w:val="0"/>
                  <w:vAlign w:val="top"/>
                </w:tcPr>
                <w:p w14:paraId="7E6DE37A">
                  <w:pPr>
                    <w:spacing w:line="360" w:lineRule="auto"/>
                    <w:ind w:firstLine="210" w:firstLineChars="100"/>
                    <w:rPr>
                      <w:rFonts w:hint="eastAsia" w:ascii="宋体" w:hAnsi="宋体" w:cs="宋体"/>
                      <w:color w:val="auto"/>
                      <w:szCs w:val="21"/>
                      <w:highlight w:val="none"/>
                    </w:rPr>
                  </w:pPr>
                  <w:r>
                    <w:rPr>
                      <w:rFonts w:hint="eastAsia" w:ascii="宋体" w:hAnsi="宋体" w:cs="宋体"/>
                      <w:color w:val="auto"/>
                      <w:kern w:val="0"/>
                      <w:szCs w:val="21"/>
                      <w:highlight w:val="none"/>
                    </w:rPr>
                    <w:t xml:space="preserve">0.25%                 </w:t>
                  </w:r>
                </w:p>
              </w:tc>
              <w:tc>
                <w:tcPr>
                  <w:tcW w:w="1276" w:type="dxa"/>
                  <w:noWrap w:val="0"/>
                  <w:vAlign w:val="top"/>
                </w:tcPr>
                <w:p w14:paraId="147B1F84">
                  <w:pPr>
                    <w:spacing w:line="360" w:lineRule="auto"/>
                    <w:ind w:firstLine="210" w:firstLineChars="100"/>
                    <w:rPr>
                      <w:rFonts w:hint="eastAsia" w:ascii="宋体" w:hAnsi="宋体" w:cs="宋体"/>
                      <w:color w:val="auto"/>
                      <w:szCs w:val="21"/>
                      <w:highlight w:val="none"/>
                    </w:rPr>
                  </w:pPr>
                  <w:r>
                    <w:rPr>
                      <w:rFonts w:hint="eastAsia" w:ascii="宋体" w:hAnsi="宋体" w:cs="宋体"/>
                      <w:color w:val="auto"/>
                      <w:kern w:val="0"/>
                      <w:szCs w:val="21"/>
                      <w:highlight w:val="none"/>
                    </w:rPr>
                    <w:t>0.1%</w:t>
                  </w:r>
                </w:p>
              </w:tc>
              <w:tc>
                <w:tcPr>
                  <w:tcW w:w="1134" w:type="dxa"/>
                  <w:noWrap w:val="0"/>
                  <w:vAlign w:val="top"/>
                </w:tcPr>
                <w:p w14:paraId="05AC2BD4">
                  <w:pPr>
                    <w:spacing w:line="360" w:lineRule="auto"/>
                    <w:ind w:firstLine="210" w:firstLineChars="100"/>
                    <w:rPr>
                      <w:rFonts w:hint="eastAsia" w:ascii="宋体" w:hAnsi="宋体" w:cs="宋体"/>
                      <w:color w:val="auto"/>
                      <w:szCs w:val="21"/>
                      <w:highlight w:val="none"/>
                    </w:rPr>
                  </w:pPr>
                  <w:r>
                    <w:rPr>
                      <w:rFonts w:hint="eastAsia" w:ascii="宋体" w:hAnsi="宋体" w:cs="宋体"/>
                      <w:color w:val="auto"/>
                      <w:kern w:val="0"/>
                      <w:szCs w:val="21"/>
                      <w:highlight w:val="none"/>
                    </w:rPr>
                    <w:t>0.2%</w:t>
                  </w:r>
                </w:p>
              </w:tc>
            </w:tr>
          </w:tbl>
          <w:p w14:paraId="5C30C5E4">
            <w:pPr>
              <w:pStyle w:val="15"/>
              <w:snapToGrid w:val="0"/>
              <w:spacing w:line="400" w:lineRule="exact"/>
              <w:rPr>
                <w:rFonts w:hint="eastAsia" w:hAnsi="宋体" w:cs="宋体"/>
                <w:color w:val="auto"/>
                <w:sz w:val="21"/>
                <w:highlight w:val="none"/>
                <w:lang w:val="en-US" w:eastAsia="zh-CN"/>
              </w:rPr>
            </w:pPr>
            <w:r>
              <w:rPr>
                <w:rFonts w:hint="eastAsia" w:hAnsi="宋体" w:cs="宋体"/>
                <w:color w:val="auto"/>
                <w:sz w:val="21"/>
                <w:highlight w:val="none"/>
                <w:lang w:val="en-US" w:eastAsia="zh-CN"/>
              </w:rPr>
              <w:t>4.采购代理费收取银行账户</w:t>
            </w:r>
          </w:p>
          <w:p w14:paraId="3022BBD5">
            <w:pPr>
              <w:pStyle w:val="15"/>
              <w:snapToGrid w:val="0"/>
              <w:spacing w:line="400" w:lineRule="exact"/>
              <w:rPr>
                <w:rFonts w:hint="eastAsia" w:hAnsi="宋体" w:cs="宋体"/>
                <w:color w:val="auto"/>
                <w:sz w:val="21"/>
                <w:highlight w:val="none"/>
                <w:lang w:val="en-US" w:eastAsia="zh-CN"/>
              </w:rPr>
            </w:pPr>
            <w:r>
              <w:rPr>
                <w:rFonts w:hint="eastAsia" w:hAnsi="宋体" w:cs="宋体"/>
                <w:color w:val="auto"/>
                <w:sz w:val="21"/>
                <w:highlight w:val="none"/>
                <w:lang w:val="en-US" w:eastAsia="zh-CN"/>
              </w:rPr>
              <w:t>开户名称：广西科文招标有限公司南宁六分公司</w:t>
            </w:r>
          </w:p>
          <w:p w14:paraId="54075F07">
            <w:pPr>
              <w:pStyle w:val="15"/>
              <w:snapToGrid w:val="0"/>
              <w:spacing w:line="400" w:lineRule="exact"/>
              <w:rPr>
                <w:rFonts w:hint="eastAsia" w:hAnsi="宋体" w:cs="宋体"/>
                <w:color w:val="auto"/>
                <w:sz w:val="21"/>
                <w:highlight w:val="none"/>
                <w:lang w:val="en-US" w:eastAsia="zh-CN"/>
              </w:rPr>
            </w:pPr>
            <w:r>
              <w:rPr>
                <w:rFonts w:hint="eastAsia" w:hAnsi="宋体" w:cs="宋体"/>
                <w:color w:val="auto"/>
                <w:sz w:val="21"/>
                <w:highlight w:val="none"/>
                <w:lang w:val="en-US" w:eastAsia="zh-CN"/>
              </w:rPr>
              <w:t>开户银行：广西北部湾银行股份有限公司南宁市云景支行</w:t>
            </w:r>
          </w:p>
          <w:p w14:paraId="3A1C1FF3">
            <w:pPr>
              <w:pStyle w:val="15"/>
              <w:snapToGrid w:val="0"/>
              <w:spacing w:line="400" w:lineRule="exact"/>
              <w:rPr>
                <w:rFonts w:hint="eastAsia" w:hAnsi="宋体" w:cs="宋体"/>
                <w:color w:val="auto"/>
                <w:sz w:val="21"/>
                <w:highlight w:val="none"/>
                <w:lang w:val="en-US" w:eastAsia="zh-CN"/>
              </w:rPr>
            </w:pPr>
            <w:r>
              <w:rPr>
                <w:rFonts w:hint="eastAsia" w:hAnsi="宋体" w:cs="宋体"/>
                <w:color w:val="auto"/>
                <w:sz w:val="21"/>
                <w:highlight w:val="none"/>
                <w:lang w:val="en-US" w:eastAsia="zh-CN"/>
              </w:rPr>
              <w:t>银行账号：8050 3274 93 00001</w:t>
            </w:r>
          </w:p>
        </w:tc>
      </w:tr>
      <w:tr w14:paraId="27661A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noWrap w:val="0"/>
            <w:vAlign w:val="center"/>
          </w:tcPr>
          <w:p w14:paraId="0C3447C8">
            <w:pP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34.1</w:t>
            </w:r>
          </w:p>
        </w:tc>
        <w:tc>
          <w:tcPr>
            <w:tcW w:w="1929" w:type="dxa"/>
            <w:tcBorders>
              <w:top w:val="single" w:color="000000" w:sz="4" w:space="0"/>
              <w:left w:val="single" w:color="000000" w:sz="4" w:space="0"/>
              <w:bottom w:val="single" w:color="000000" w:sz="4" w:space="0"/>
              <w:right w:val="single" w:color="000000" w:sz="4" w:space="0"/>
            </w:tcBorders>
            <w:noWrap w:val="0"/>
            <w:vAlign w:val="center"/>
          </w:tcPr>
          <w:p w14:paraId="21FEA7F0">
            <w:pPr>
              <w:spacing w:line="400" w:lineRule="exact"/>
              <w:jc w:val="center"/>
              <w:rPr>
                <w:rFonts w:hint="eastAsia" w:ascii="宋体" w:hAnsi="宋体" w:cs="宋体"/>
                <w:color w:val="auto"/>
                <w:szCs w:val="21"/>
                <w:highlight w:val="none"/>
              </w:rPr>
            </w:pPr>
            <w:r>
              <w:rPr>
                <w:rFonts w:hint="eastAsia" w:hAnsi="宋体"/>
                <w:color w:val="auto"/>
                <w:highlight w:val="none"/>
              </w:rPr>
              <w:t>解释</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36AA0192">
            <w:pPr>
              <w:pStyle w:val="15"/>
              <w:snapToGrid w:val="0"/>
              <w:spacing w:line="400" w:lineRule="exact"/>
              <w:rPr>
                <w:rFonts w:hint="eastAsia" w:hAnsi="宋体" w:cs="宋体"/>
                <w:b/>
                <w:color w:val="auto"/>
                <w:sz w:val="21"/>
                <w:highlight w:val="none"/>
                <w:lang w:val="en-US" w:eastAsia="zh-CN"/>
              </w:rPr>
            </w:pPr>
            <w:r>
              <w:rPr>
                <w:rFonts w:hint="eastAsia" w:hAnsi="宋体" w:cs="宋体"/>
                <w:b/>
                <w:color w:val="auto"/>
                <w:sz w:val="21"/>
                <w:highlight w:val="none"/>
                <w:lang w:val="en-US" w:eastAsia="zh-CN"/>
              </w:rPr>
              <w:t>解释权：</w:t>
            </w:r>
            <w:r>
              <w:rPr>
                <w:rFonts w:hint="eastAsia" w:hAnsi="宋体" w:cs="宋体"/>
                <w:color w:val="auto"/>
                <w:sz w:val="21"/>
                <w:highlight w:val="none"/>
                <w:lang w:val="en-US" w:eastAsia="zh-CN"/>
              </w:rPr>
              <w:t>构成本磋商文件的各个组成文件应互为解释，互为说明；除磋商文件中有特别规定外，仅适用于竞标阶段的规定，按更正公告（澄清公告）、竞争性磋商公告、供应商须知、采购需求、评审程序、评审方法和评审标准、响应文件格式、合同文本的先后顺序解释；同一组成文件中就同一事项的规定或者约定不一致的，以编排顺序在后者为准；同一组成文件不同版本之间有不一致的，以形成时间在后者为准；更正公告（澄清公告）与同步更新的磋商文件不一致时以更正公告（澄清公告）为准。按本款前述规定仍不能形成结论的，</w:t>
            </w:r>
            <w:r>
              <w:rPr>
                <w:rFonts w:hint="eastAsia" w:hAnsi="宋体" w:cs="宋体"/>
                <w:b/>
                <w:color w:val="auto"/>
                <w:sz w:val="21"/>
                <w:highlight w:val="none"/>
                <w:lang w:val="en-US" w:eastAsia="zh-CN"/>
              </w:rPr>
              <w:t>由采购人或者采购代理机构负责解释。</w:t>
            </w:r>
          </w:p>
          <w:p w14:paraId="1D27F331">
            <w:pPr>
              <w:pStyle w:val="15"/>
              <w:snapToGrid w:val="0"/>
              <w:spacing w:line="400" w:lineRule="exact"/>
              <w:rPr>
                <w:rFonts w:hint="eastAsia" w:hAnsi="宋体" w:cs="宋体"/>
                <w:b/>
                <w:color w:val="auto"/>
                <w:sz w:val="21"/>
                <w:highlight w:val="none"/>
                <w:lang w:val="en-US" w:eastAsia="zh-CN"/>
              </w:rPr>
            </w:pPr>
            <w:r>
              <w:rPr>
                <w:rFonts w:hint="eastAsia" w:hAnsi="宋体" w:cs="宋体"/>
                <w:b/>
                <w:color w:val="auto"/>
                <w:sz w:val="21"/>
                <w:highlight w:val="none"/>
                <w:lang w:val="en-US" w:eastAsia="zh-CN"/>
              </w:rPr>
              <w:t>法律责任：</w:t>
            </w:r>
          </w:p>
          <w:p w14:paraId="6B5810DD">
            <w:pPr>
              <w:pStyle w:val="15"/>
              <w:snapToGrid w:val="0"/>
              <w:spacing w:line="400" w:lineRule="exact"/>
              <w:rPr>
                <w:rFonts w:hint="eastAsia" w:hAnsi="宋体" w:cs="宋体"/>
                <w:color w:val="auto"/>
                <w:sz w:val="21"/>
                <w:highlight w:val="none"/>
                <w:lang w:val="en-US" w:eastAsia="zh-CN"/>
              </w:rPr>
            </w:pPr>
            <w:r>
              <w:rPr>
                <w:rFonts w:hint="eastAsia" w:hAnsi="宋体" w:cs="宋体"/>
                <w:b/>
                <w:color w:val="auto"/>
                <w:sz w:val="21"/>
                <w:highlight w:val="none"/>
                <w:lang w:val="en-US" w:eastAsia="zh-CN"/>
              </w:rPr>
              <w:t>1.</w:t>
            </w:r>
            <w:r>
              <w:rPr>
                <w:rFonts w:hint="eastAsia" w:hAnsi="宋体" w:cs="宋体"/>
                <w:color w:val="auto"/>
                <w:sz w:val="21"/>
                <w:highlight w:val="none"/>
                <w:lang w:val="en-US" w:eastAsia="zh-CN"/>
              </w:rPr>
              <w:t>本采购文件根据《中华人民共和国政府采购法》、《中华人民共和国民法典》；《中华人民共和国政府采购法实施条例》、《政府采购竞争性磋商采购方式管理暂行办法》等有关法律、法规编制，参与本项目的各政府采购当事人依法享有上述法律法规所赋予的权利与义务。</w:t>
            </w:r>
          </w:p>
          <w:p w14:paraId="0E876242">
            <w:pPr>
              <w:spacing w:line="400" w:lineRule="exact"/>
              <w:rPr>
                <w:rFonts w:hint="eastAsia" w:hAnsi="宋体" w:cs="宋体"/>
                <w:color w:val="auto"/>
                <w:highlight w:val="none"/>
              </w:rPr>
            </w:pPr>
            <w:r>
              <w:rPr>
                <w:rFonts w:hAnsi="宋体" w:cs="宋体"/>
                <w:b/>
                <w:color w:val="auto"/>
                <w:highlight w:val="none"/>
              </w:rPr>
              <w:t>2.</w:t>
            </w:r>
            <w:r>
              <w:rPr>
                <w:rFonts w:hint="eastAsia" w:ascii="宋体" w:hAnsi="宋体"/>
                <w:b/>
                <w:color w:val="auto"/>
                <w:szCs w:val="21"/>
                <w:highlight w:val="none"/>
              </w:rPr>
              <w:t xml:space="preserve"> 本项目采购代理机构应严格按照“广西政府采购云平台”平台项目采购全流程电子化电子开评标规程执行项目采购活动，代理机构在“广西政府采购云平台”平台的“项目管理”—“采购文件管理”内开评标规则设置作为本采购文件的组成部分，截标之后不可更改，因代理机构开评标规则设置错误导致采购活动无法开展下去的情况，由代理机构负责解释并承担其后果。</w:t>
            </w:r>
          </w:p>
        </w:tc>
      </w:tr>
      <w:tr w14:paraId="35875A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noWrap w:val="0"/>
            <w:vAlign w:val="center"/>
          </w:tcPr>
          <w:p w14:paraId="56100028">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34.2</w:t>
            </w:r>
          </w:p>
        </w:tc>
        <w:tc>
          <w:tcPr>
            <w:tcW w:w="1929" w:type="dxa"/>
            <w:tcBorders>
              <w:top w:val="single" w:color="000000" w:sz="4" w:space="0"/>
              <w:left w:val="single" w:color="000000" w:sz="4" w:space="0"/>
              <w:bottom w:val="single" w:color="000000" w:sz="4" w:space="0"/>
              <w:right w:val="single" w:color="000000" w:sz="4" w:space="0"/>
            </w:tcBorders>
            <w:noWrap w:val="0"/>
            <w:vAlign w:val="center"/>
          </w:tcPr>
          <w:p w14:paraId="3A73F065">
            <w:pP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其他</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7AC48312">
            <w:pPr>
              <w:pStyle w:val="15"/>
              <w:snapToGrid w:val="0"/>
              <w:spacing w:line="400" w:lineRule="exact"/>
              <w:rPr>
                <w:rFonts w:hint="eastAsia" w:hAnsi="宋体" w:cs="宋体"/>
                <w:color w:val="auto"/>
                <w:sz w:val="21"/>
                <w:highlight w:val="none"/>
                <w:lang w:val="en-US" w:eastAsia="zh-CN"/>
              </w:rPr>
            </w:pPr>
            <w:r>
              <w:rPr>
                <w:rFonts w:hint="eastAsia" w:hAnsi="宋体" w:cs="宋体"/>
                <w:color w:val="auto"/>
                <w:sz w:val="21"/>
                <w:highlight w:val="none"/>
                <w:lang w:val="en-US" w:eastAsia="zh-CN"/>
              </w:rPr>
              <w:t>1.本磋商文件中描述供应商的“公章”是指根据我国对公章的管理规定，用供应商法定主体行为名称制作的印章，除本磋商文件有特殊规定外，供应商的财务章、部门章、分公司章、工会章、合同章、竞标/投标专用章、业务专用章及银行的转账章、现金收讫章、现金付讫章等其他形式印章均不能代替公章。</w:t>
            </w:r>
          </w:p>
          <w:p w14:paraId="07F23B94">
            <w:pPr>
              <w:pStyle w:val="15"/>
              <w:snapToGrid w:val="0"/>
              <w:spacing w:line="400" w:lineRule="exact"/>
              <w:rPr>
                <w:rFonts w:hint="eastAsia" w:hAnsi="宋体" w:cs="宋体"/>
                <w:color w:val="auto"/>
                <w:sz w:val="21"/>
                <w:highlight w:val="none"/>
                <w:lang w:val="en-US" w:eastAsia="zh-CN"/>
              </w:rPr>
            </w:pPr>
            <w:r>
              <w:rPr>
                <w:rFonts w:hint="eastAsia" w:hAnsi="宋体" w:cs="宋体"/>
                <w:color w:val="auto"/>
                <w:sz w:val="21"/>
                <w:highlight w:val="none"/>
                <w:lang w:val="en-US" w:eastAsia="zh-CN"/>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044ED79F">
            <w:pPr>
              <w:pStyle w:val="15"/>
              <w:snapToGrid w:val="0"/>
              <w:spacing w:line="400" w:lineRule="exact"/>
              <w:rPr>
                <w:rFonts w:hint="eastAsia" w:hAnsi="宋体" w:cs="宋体"/>
                <w:color w:val="auto"/>
                <w:sz w:val="21"/>
                <w:highlight w:val="none"/>
                <w:lang w:val="en-US" w:eastAsia="zh-CN"/>
              </w:rPr>
            </w:pPr>
            <w:r>
              <w:rPr>
                <w:rFonts w:hint="eastAsia" w:hAnsi="宋体" w:cs="宋体"/>
                <w:color w:val="auto"/>
                <w:sz w:val="21"/>
                <w:highlight w:val="none"/>
                <w:lang w:val="en-US" w:eastAsia="zh-CN"/>
              </w:rPr>
              <w:t>3.本磋商文件中描述供应商的“签字”是指供应商的法定代表人或者委托代理人亲自在文件规定签署处亲笔写上个人的名字的行为，私章、签字章、印鉴、影印等其他形式均不能代替亲笔签字。</w:t>
            </w:r>
          </w:p>
          <w:p w14:paraId="7D408C67">
            <w:pPr>
              <w:pStyle w:val="15"/>
              <w:snapToGrid w:val="0"/>
              <w:spacing w:line="400" w:lineRule="exact"/>
              <w:rPr>
                <w:rFonts w:hint="eastAsia" w:hAnsi="宋体" w:cs="宋体"/>
                <w:color w:val="auto"/>
                <w:sz w:val="21"/>
                <w:highlight w:val="none"/>
                <w:lang w:val="en-US" w:eastAsia="zh-CN"/>
              </w:rPr>
            </w:pPr>
            <w:r>
              <w:rPr>
                <w:rFonts w:hint="eastAsia" w:hAnsi="宋体" w:cs="宋体"/>
                <w:color w:val="auto"/>
                <w:sz w:val="21"/>
                <w:highlight w:val="none"/>
                <w:lang w:val="en-US" w:eastAsia="zh-CN"/>
              </w:rPr>
              <w:t>4.自然人竞标的，磋商文件规定盖公章处由自然人摁手指指印。</w:t>
            </w:r>
          </w:p>
          <w:p w14:paraId="064F0F8D">
            <w:pPr>
              <w:pStyle w:val="15"/>
              <w:snapToGrid w:val="0"/>
              <w:spacing w:line="400" w:lineRule="exact"/>
              <w:rPr>
                <w:rFonts w:hint="eastAsia" w:hAnsi="宋体" w:cs="宋体"/>
                <w:color w:val="auto"/>
                <w:sz w:val="21"/>
                <w:highlight w:val="none"/>
                <w:lang w:val="en-US" w:eastAsia="zh-CN"/>
              </w:rPr>
            </w:pPr>
            <w:r>
              <w:rPr>
                <w:rFonts w:hint="eastAsia" w:hAnsi="宋体" w:cs="宋体"/>
                <w:color w:val="auto"/>
                <w:sz w:val="21"/>
                <w:highlight w:val="none"/>
                <w:lang w:val="en-US" w:eastAsia="zh-CN"/>
              </w:rPr>
              <w:t>5.本磋商文件所称的“以上”“以下”“以内”“届满”，包括本数；所称的“不满”“超过”“以外”，不包括本数。</w:t>
            </w:r>
          </w:p>
        </w:tc>
      </w:tr>
    </w:tbl>
    <w:p w14:paraId="43041B79">
      <w:pPr>
        <w:pStyle w:val="3"/>
        <w:spacing w:line="420" w:lineRule="exact"/>
        <w:jc w:val="center"/>
        <w:rPr>
          <w:rFonts w:hint="eastAsia" w:ascii="宋体" w:hAnsi="宋体" w:cs="宋体"/>
          <w:b w:val="0"/>
          <w:color w:val="auto"/>
          <w:highlight w:val="none"/>
        </w:rPr>
      </w:pPr>
      <w:r>
        <w:rPr>
          <w:rFonts w:hint="eastAsia" w:ascii="宋体" w:hAnsi="宋体"/>
          <w:bCs w:val="0"/>
          <w:color w:val="auto"/>
          <w:highlight w:val="none"/>
        </w:rPr>
        <w:br w:type="page"/>
      </w:r>
      <w:bookmarkStart w:id="51" w:name="_Toc22962"/>
      <w:r>
        <w:rPr>
          <w:rFonts w:hint="eastAsia" w:ascii="宋体" w:hAnsi="宋体"/>
          <w:b w:val="0"/>
          <w:color w:val="auto"/>
          <w:highlight w:val="none"/>
        </w:rPr>
        <w:t>第二节 供应商须知正文</w:t>
      </w:r>
      <w:bookmarkEnd w:id="51"/>
    </w:p>
    <w:p w14:paraId="0AA37287">
      <w:pPr>
        <w:pStyle w:val="4"/>
        <w:spacing w:before="0" w:after="0" w:line="360" w:lineRule="auto"/>
        <w:ind w:firstLine="640" w:firstLineChars="200"/>
        <w:rPr>
          <w:rFonts w:hint="eastAsia" w:ascii="宋体" w:hAnsi="宋体"/>
          <w:b w:val="0"/>
          <w:color w:val="auto"/>
          <w:highlight w:val="none"/>
        </w:rPr>
      </w:pPr>
      <w:bookmarkStart w:id="52" w:name="_Toc10364"/>
      <w:r>
        <w:rPr>
          <w:rFonts w:hint="eastAsia" w:ascii="宋体" w:hAnsi="宋体"/>
          <w:b w:val="0"/>
          <w:color w:val="auto"/>
          <w:highlight w:val="none"/>
        </w:rPr>
        <w:t>一、总则</w:t>
      </w:r>
      <w:bookmarkEnd w:id="52"/>
    </w:p>
    <w:p w14:paraId="48C62B86">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1.适用范围</w:t>
      </w:r>
    </w:p>
    <w:p w14:paraId="5A2F01A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1.1本项目采购人、采购代理机构、供应商、磋商小组的相关行为均受《中华人民共和国政府采购法》《中华人民共和国政府采购法实施条例》</w:t>
      </w:r>
      <w:r>
        <w:rPr>
          <w:rFonts w:hint="eastAsia" w:ascii="宋体" w:hAnsi="宋体"/>
          <w:color w:val="auto"/>
          <w:szCs w:val="21"/>
          <w:highlight w:val="none"/>
        </w:rPr>
        <w:t>《政府采购竞争性磋商采购方式管理暂行办法》《财政部关于政府采购竞争性磋商采购方式管理暂行办法有关问题的补充通知》</w:t>
      </w:r>
      <w:r>
        <w:rPr>
          <w:rFonts w:hint="eastAsia" w:ascii="宋体" w:hAnsi="宋体" w:cs="宋体"/>
          <w:color w:val="auto"/>
          <w:szCs w:val="21"/>
          <w:highlight w:val="none"/>
        </w:rPr>
        <w:t>及本项目本级和上级财政部门政府采购有关规定的约束和保护。</w:t>
      </w:r>
    </w:p>
    <w:p w14:paraId="154617E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w:t>
      </w:r>
      <w:r>
        <w:rPr>
          <w:rFonts w:hint="eastAsia" w:ascii="宋体" w:hAnsi="宋体" w:cs="宋体"/>
          <w:color w:val="auto"/>
          <w:spacing w:val="-6"/>
          <w:szCs w:val="21"/>
          <w:highlight w:val="none"/>
        </w:rPr>
        <w:t>本竞争性磋商文件（以下简称磋商文件）适用于本项目的所有采购程序和环节（法律、法规另有规定的，从其规定）。</w:t>
      </w:r>
    </w:p>
    <w:p w14:paraId="011E5417">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2.定义</w:t>
      </w:r>
    </w:p>
    <w:p w14:paraId="12986DE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2.1“采购人”是指依法进行政府采购的国家机关、事业单位、团体组织。</w:t>
      </w:r>
    </w:p>
    <w:p w14:paraId="5163C139">
      <w:pPr>
        <w:spacing w:line="360" w:lineRule="auto"/>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rPr>
        <w:t>2.2“采购代理机构”是指政府采购集中采购机构和集中采购机构以外的采购代理机构。</w:t>
      </w:r>
    </w:p>
    <w:p w14:paraId="77D3FA2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2.3“供应商”是指向采购人提供货物、工程或者服务的法人、其他组织或者自然人。</w:t>
      </w:r>
    </w:p>
    <w:p w14:paraId="4695A64D">
      <w:pPr>
        <w:spacing w:line="360" w:lineRule="auto"/>
        <w:ind w:firstLine="420" w:firstLineChars="200"/>
        <w:rPr>
          <w:rFonts w:hint="eastAsia" w:ascii="宋体" w:hAnsi="宋体" w:cs="宋体"/>
          <w:color w:val="auto"/>
          <w:szCs w:val="21"/>
          <w:highlight w:val="none"/>
        </w:rPr>
      </w:pPr>
      <w:r>
        <w:rPr>
          <w:rFonts w:hint="eastAsia" w:ascii="宋体" w:hAnsi="宋体"/>
          <w:color w:val="auto"/>
          <w:szCs w:val="21"/>
          <w:highlight w:val="none"/>
        </w:rPr>
        <w:t>2.4“服务”是指除货物和工程以外的其他政府采购对象。</w:t>
      </w:r>
    </w:p>
    <w:p w14:paraId="517089A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2.5“竞标”是指供应商按照本项目竞争性磋商公告或者邀请函规定的方式获取磋商文件、提交响应文件并希望获得标的的行为。</w:t>
      </w:r>
    </w:p>
    <w:p w14:paraId="5357F35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2.6“响应文件”</w:t>
      </w:r>
      <w:r>
        <w:rPr>
          <w:rFonts w:hint="eastAsia" w:ascii="宋体" w:hAnsi="宋体" w:cs="宋体"/>
          <w:color w:val="auto"/>
          <w:spacing w:val="-6"/>
          <w:szCs w:val="21"/>
          <w:highlight w:val="none"/>
        </w:rPr>
        <w:t>是指：供应商根据本磋商文件要求，编制包含资格证明、报价商务技术等所有内容的文件。</w:t>
      </w:r>
    </w:p>
    <w:p w14:paraId="37103E6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2.7“实质性要求”是指磋商文件中已经指明不满足则响应文件按无效响应处理的条款，或者不能负偏离的条款，或者采购需求中带“▲”的条款。</w:t>
      </w:r>
    </w:p>
    <w:p w14:paraId="5B48182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2.8“正偏离”，是指响应文件对磋商文件“采购需求”中有关条款作出的响应优于条款要求并有利于采购人的情形。</w:t>
      </w:r>
    </w:p>
    <w:p w14:paraId="13EF7F7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2.9“负偏离”，是指响应文件对磋商文件“采购需求”中有关条款作出的响应不满足条款要求，导致采购人要求不能得到满足的情形。</w:t>
      </w:r>
    </w:p>
    <w:p w14:paraId="4DB13CC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2.10“允许负偏离的条款”是指采购需求中的不属于“实质性要求”的条款。</w:t>
      </w:r>
    </w:p>
    <w:p w14:paraId="2F6705A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2.11“书面形式”是指合同书、信件和数据电文（包括电报、电传、传真、电子数据交换和电子邮件）等可以有形地表现所载内容的形式。</w:t>
      </w:r>
    </w:p>
    <w:p w14:paraId="1A1D8CF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2.12“首次报价”是指供应商提交的首次响应文件中的报价。</w:t>
      </w:r>
    </w:p>
    <w:p w14:paraId="2C83A89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2.13“评审报价”是指供应商提交的最后报价并经修正（如有）和政策功能价格扣除（如有）后的价格。</w:t>
      </w:r>
    </w:p>
    <w:p w14:paraId="20763F7D">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3.供应商的资格条件</w:t>
      </w:r>
    </w:p>
    <w:p w14:paraId="343274F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供应商的资格条件详见“供应商须知前附表”。</w:t>
      </w:r>
    </w:p>
    <w:p w14:paraId="3F0F619F">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4.磋商费用</w:t>
      </w:r>
    </w:p>
    <w:p w14:paraId="3CA511F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供应商应承担参与本次采购活动有关的所有费用，包括但不限于、勘查现场、编制和提交响应文件、参加磋商与应答、签订合同等，不论竞标结果如何，均应自行承担。</w:t>
      </w:r>
    </w:p>
    <w:p w14:paraId="15E4EA90">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5.联合体竞标</w:t>
      </w:r>
    </w:p>
    <w:p w14:paraId="2F6BD41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5.1本项目是否接受联合体竞标，详见“供应商须知前附表”。</w:t>
      </w:r>
    </w:p>
    <w:p w14:paraId="118CC9A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5.2</w:t>
      </w:r>
      <w:r>
        <w:rPr>
          <w:rFonts w:hint="eastAsia" w:ascii="宋体" w:hAnsi="宋体"/>
          <w:color w:val="auto"/>
          <w:highlight w:val="none"/>
        </w:rPr>
        <w:t>如接受联合体竞标，</w:t>
      </w:r>
      <w:r>
        <w:rPr>
          <w:rFonts w:hint="eastAsia" w:ascii="宋体" w:hAnsi="宋体" w:cs="宋体"/>
          <w:color w:val="auto"/>
          <w:szCs w:val="21"/>
          <w:highlight w:val="none"/>
        </w:rPr>
        <w:t>联合体竞标要求详见“供应商须知前附表”。</w:t>
      </w:r>
    </w:p>
    <w:p w14:paraId="62EBB538">
      <w:pPr>
        <w:spacing w:line="360" w:lineRule="auto"/>
        <w:ind w:firstLine="420" w:firstLineChars="200"/>
        <w:rPr>
          <w:rFonts w:ascii="宋体" w:hAnsi="宋体"/>
          <w:bCs/>
          <w:color w:val="auto"/>
          <w:szCs w:val="21"/>
          <w:highlight w:val="none"/>
        </w:rPr>
      </w:pPr>
      <w:r>
        <w:rPr>
          <w:rFonts w:hint="eastAsia" w:ascii="宋体" w:hAnsi="宋体" w:cs="宋体"/>
          <w:color w:val="auto"/>
          <w:szCs w:val="21"/>
          <w:highlight w:val="none"/>
        </w:rPr>
        <w:t>5.3</w:t>
      </w:r>
      <w:r>
        <w:rPr>
          <w:rFonts w:hint="eastAsia" w:ascii="宋体" w:hAnsi="宋体"/>
          <w:bCs/>
          <w:color w:val="auto"/>
          <w:szCs w:val="21"/>
          <w:highlight w:val="none"/>
        </w:rPr>
        <w:t>根据《政府采购促进中小企业发展管理办法》（财库[2020]46号）第九条及《广西壮族自治区财政厅关于进一步发挥政府采购政策功能促进企业发展的通知》（桂财采〔2022〕30号</w:t>
      </w:r>
      <w:r>
        <w:rPr>
          <w:rFonts w:hint="eastAsia" w:ascii="仿宋_GB2312" w:hAnsi="Calibri" w:eastAsia="仿宋_GB2312"/>
          <w:color w:val="auto"/>
          <w:sz w:val="24"/>
          <w:highlight w:val="none"/>
        </w:rPr>
        <w:t>）、</w:t>
      </w:r>
      <w:r>
        <w:rPr>
          <w:rFonts w:hint="eastAsia"/>
          <w:color w:val="auto"/>
          <w:highlight w:val="none"/>
        </w:rPr>
        <w:t>《广西壮族自治区财政厅关于贯彻落实政府采购支持中小企业发展政策的通知》（桂财采〔2022〕31号）</w:t>
      </w:r>
      <w:r>
        <w:rPr>
          <w:rFonts w:hint="eastAsia" w:ascii="宋体" w:hAnsi="宋体"/>
          <w:bCs/>
          <w:color w:val="auto"/>
          <w:szCs w:val="21"/>
          <w:highlight w:val="none"/>
        </w:rPr>
        <w:t>规定，接受大中型企业与小微企业组成联合体的采购项目，对于联合协议约定小微企业的合同份额占到合同总金额 30%以上的，采购人、采购代理机构应当对联合体的报价给予 4%-6%（工程项目为 1%—2%）的扣除，用扣除后的价格参加评审。组成联合体的小微企业与联合体内其他企业、分包企业之间存在直接控股、管理关系的，不享受价格扣除优惠政策。</w:t>
      </w:r>
    </w:p>
    <w:p w14:paraId="5335D96E">
      <w:pPr>
        <w:spacing w:line="360" w:lineRule="auto"/>
        <w:ind w:firstLine="420" w:firstLineChars="200"/>
        <w:rPr>
          <w:rFonts w:hint="eastAsia" w:ascii="宋体" w:hAnsi="宋体"/>
          <w:bCs/>
          <w:color w:val="auto"/>
          <w:szCs w:val="21"/>
          <w:highlight w:val="none"/>
        </w:rPr>
      </w:pPr>
    </w:p>
    <w:p w14:paraId="1F713D9D">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 xml:space="preserve">6.转包与分包             </w:t>
      </w:r>
    </w:p>
    <w:p w14:paraId="0432701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6.1本项目是否允许分包详见“供应商须知前附表”，本项目不允许违法分包。</w:t>
      </w:r>
    </w:p>
    <w:p w14:paraId="216ABCE2">
      <w:pPr>
        <w:spacing w:line="360" w:lineRule="auto"/>
        <w:ind w:firstLine="420" w:firstLineChars="200"/>
        <w:rPr>
          <w:rFonts w:hint="eastAsia" w:ascii="宋体" w:hAnsi="宋体" w:cs="宋体"/>
          <w:bCs/>
          <w:color w:val="auto"/>
          <w:szCs w:val="21"/>
          <w:highlight w:val="none"/>
        </w:rPr>
      </w:pPr>
      <w:r>
        <w:rPr>
          <w:rFonts w:hint="eastAsia" w:ascii="宋体" w:hAnsi="宋体" w:cs="宋体"/>
          <w:color w:val="auto"/>
          <w:szCs w:val="21"/>
          <w:highlight w:val="none"/>
        </w:rPr>
        <w:t>6.2</w:t>
      </w:r>
      <w:r>
        <w:rPr>
          <w:rFonts w:hint="eastAsia" w:ascii="宋体" w:hAnsi="宋体"/>
          <w:bCs/>
          <w:color w:val="auto"/>
          <w:szCs w:val="21"/>
          <w:highlight w:val="none"/>
        </w:rPr>
        <w:t>根据《政府采购促进中小企业发展管理办法》（财库[2020]46号）第九条及《广西壮族自治区财政厅关于进一步发挥政府采购政策功能促进企业发展的通知》（桂财采〔2022〕30号）、</w:t>
      </w:r>
      <w:r>
        <w:rPr>
          <w:rFonts w:hint="eastAsia"/>
          <w:color w:val="auto"/>
          <w:highlight w:val="none"/>
        </w:rPr>
        <w:t>《广西壮族自治区财政厅关于贯彻落实政府采购支持中小企业发展政策的通知》（桂财采〔2022〕31号）</w:t>
      </w:r>
      <w:r>
        <w:rPr>
          <w:rFonts w:hint="eastAsia" w:ascii="宋体" w:hAnsi="宋体"/>
          <w:bCs/>
          <w:color w:val="auto"/>
          <w:szCs w:val="21"/>
          <w:highlight w:val="none"/>
        </w:rPr>
        <w:t>规定，允许大中型企业向一家或者多家小微企业分包的采购项目，对于分包意向协议约定小微企业的合同份额占到合同总金额 30%以上的，采购人、采购代理机构应当对大中型企业的报价给予 4%-6%的扣除，用扣除后的价格参加评审。接受分包的小微企业与分包企业之间存在直接控股、管理关系的，不享受价格扣除优惠政策。</w:t>
      </w:r>
    </w:p>
    <w:p w14:paraId="39CB7332">
      <w:pPr>
        <w:spacing w:line="360" w:lineRule="auto"/>
        <w:ind w:firstLine="482" w:firstLineChars="200"/>
        <w:rPr>
          <w:rFonts w:hint="eastAsia" w:ascii="黑体" w:hAnsi="黑体" w:eastAsia="黑体" w:cs="宋体"/>
          <w:b/>
          <w:bCs/>
          <w:color w:val="auto"/>
          <w:sz w:val="24"/>
          <w:highlight w:val="none"/>
        </w:rPr>
      </w:pPr>
      <w:bookmarkStart w:id="53" w:name="_Toc254970673"/>
      <w:bookmarkStart w:id="54" w:name="_Toc254970532"/>
      <w:r>
        <w:rPr>
          <w:rFonts w:hint="eastAsia" w:ascii="黑体" w:hAnsi="黑体" w:eastAsia="黑体" w:cs="宋体"/>
          <w:b/>
          <w:bCs/>
          <w:color w:val="auto"/>
          <w:sz w:val="24"/>
          <w:highlight w:val="none"/>
        </w:rPr>
        <w:t>7.特别说明</w:t>
      </w:r>
      <w:bookmarkEnd w:id="53"/>
      <w:bookmarkEnd w:id="54"/>
    </w:p>
    <w:p w14:paraId="59FBDFBB">
      <w:pPr>
        <w:spacing w:line="360" w:lineRule="auto"/>
        <w:ind w:firstLine="420" w:firstLineChars="200"/>
        <w:rPr>
          <w:rFonts w:hint="eastAsia" w:ascii="宋体" w:hAnsi="宋体" w:cs="宋体"/>
          <w:color w:val="auto"/>
          <w:szCs w:val="21"/>
          <w:highlight w:val="none"/>
        </w:rPr>
      </w:pPr>
      <w:bookmarkStart w:id="55" w:name="_8.1提供相同品牌产品且通过资格审查、符合性审查的不同投标人参加同一合"/>
      <w:bookmarkEnd w:id="55"/>
      <w:r>
        <w:rPr>
          <w:rFonts w:hint="eastAsia" w:ascii="宋体" w:hAnsi="宋体" w:cs="宋体"/>
          <w:color w:val="auto"/>
          <w:szCs w:val="21"/>
          <w:highlight w:val="none"/>
        </w:rPr>
        <w:t>7.1</w:t>
      </w:r>
      <w:bookmarkStart w:id="56" w:name="_Hlk65832145"/>
      <w:r>
        <w:rPr>
          <w:rFonts w:hint="eastAsia" w:ascii="宋体" w:hAnsi="宋体"/>
          <w:color w:val="auto"/>
          <w:szCs w:val="21"/>
          <w:highlight w:val="none"/>
        </w:rPr>
        <w:t xml:space="preserve">如果本磋商文件要求提供供应商或制造商的资格、信誉、荣誉、业绩与企业认证等材料的，资格、信誉、荣誉、业绩与企业认证等必须为供应商或者制造商所拥有或自身获得 </w:t>
      </w:r>
      <w:r>
        <w:rPr>
          <w:rFonts w:hint="eastAsia" w:ascii="宋体" w:hAnsi="宋体" w:cs="宋体"/>
          <w:color w:val="auto"/>
          <w:szCs w:val="21"/>
          <w:highlight w:val="none"/>
        </w:rPr>
        <w:t>。</w:t>
      </w:r>
    </w:p>
    <w:bookmarkEnd w:id="56"/>
    <w:p w14:paraId="3B522C0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7.2供应商应仔细阅读磋商文件的所有内容，按照磋商文件的要求提交响应文件，并对所提供的全部资料的真实性承担法律责任。</w:t>
      </w:r>
    </w:p>
    <w:p w14:paraId="686FE50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7.3供应商在竞标活动中提供任何疑似虚假材料，将报监管部门查处；签订合同后发现的，成交供应商须依照《中华人民共和国消费者权益保护法》规定赔偿采购人，且民事赔偿并不免除违法供应商的行政与刑事责任。</w:t>
      </w:r>
    </w:p>
    <w:p w14:paraId="339DADE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7.4在政府采购活动中，采购人员及相关人员与供应商有下列利害关系之一的，应当回避：</w:t>
      </w:r>
    </w:p>
    <w:p w14:paraId="4A88837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（1）参加采购活动前3年内与供应商存在劳动关系；</w:t>
      </w:r>
    </w:p>
    <w:p w14:paraId="42A80C3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（2）参加采购活动前3年内担任供应商的董事、监事；</w:t>
      </w:r>
    </w:p>
    <w:p w14:paraId="7964AA1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（3）参加采购活动前3年内是供应商的控股股东或者实际控制人；</w:t>
      </w:r>
    </w:p>
    <w:p w14:paraId="6B3DEA3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（4）与供应商的法定代表人或者负责人有夫妻、直系血亲、三代以内旁系血亲或者近姻亲关系；</w:t>
      </w:r>
    </w:p>
    <w:p w14:paraId="1FC4D37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（5）与供应商有其他可能影响政府采购活动公平、公正进行的关系。</w:t>
      </w:r>
    </w:p>
    <w:p w14:paraId="28A49F0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259C2DB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7.5有下列情形之一的视为供应商相互串通竞标，响应文件将被视为无效：</w:t>
      </w:r>
    </w:p>
    <w:p w14:paraId="00C0E81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（1）不同供应商的响应文件由同一单位或者个人编制；或者不同供应商报名的IP地址一致的；或者编制响应文件硬件设备CPU编号、硬盘编号、网卡地址一致的情况。 </w:t>
      </w:r>
    </w:p>
    <w:p w14:paraId="27B6D79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（2）不同供应商委托同一单位或者个人办理竞标事宜；</w:t>
      </w:r>
    </w:p>
    <w:p w14:paraId="2187E13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（3）不同的供应商的响应文件载明的项目管理员为同一个人；</w:t>
      </w:r>
    </w:p>
    <w:p w14:paraId="3CAA0E8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（4）不同供应商的响应文件异常一致或者报价呈规律性差异；</w:t>
      </w:r>
    </w:p>
    <w:p w14:paraId="0D33E05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（5）不同供应商的响应文件相互混装；</w:t>
      </w:r>
    </w:p>
    <w:p w14:paraId="777E0B4A">
      <w:pPr>
        <w:tabs>
          <w:tab w:val="left" w:pos="6931"/>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（6）不同供应商的磋商保证金从同一单位或者个人账户转出。</w:t>
      </w:r>
      <w:r>
        <w:rPr>
          <w:rFonts w:hint="eastAsia" w:ascii="宋体" w:hAnsi="宋体" w:cs="宋体"/>
          <w:color w:val="auto"/>
          <w:szCs w:val="21"/>
          <w:highlight w:val="none"/>
        </w:rPr>
        <w:tab/>
      </w:r>
    </w:p>
    <w:p w14:paraId="08D8320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7.6供应商有下列情形之一的，属于恶意串通行为，将报同级监督管理部门：</w:t>
      </w:r>
    </w:p>
    <w:p w14:paraId="3CE49C9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（1）供应商直接或者间接从采购人或者采购代理机构处获得其他供应商的相关信息并修改其响应文件；</w:t>
      </w:r>
    </w:p>
    <w:p w14:paraId="5794831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（2）供应商按照采购人或者采购代理机构的授意撤换、修改响应文件；</w:t>
      </w:r>
    </w:p>
    <w:p w14:paraId="591B583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（3）供应商之间协商报价、技术方案等响应文件或者响应文件的实质性内容；</w:t>
      </w:r>
    </w:p>
    <w:p w14:paraId="1161BEA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（4）属于同一集团、协会、商会等组织成员的供应商按照该组织要求协同参加政府采购活动；</w:t>
      </w:r>
    </w:p>
    <w:p w14:paraId="73BDC1E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（5）供应商之间事先约定一致抬高或者压低报价，或者在政府采购活动中事先约定轮流以高价位或者低价位成交，或者事先约定由某一特定供应商成交，然后再参加竞标；</w:t>
      </w:r>
    </w:p>
    <w:p w14:paraId="7CB76EC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（6）供应商之间商定部分供应商放弃参加政府采购活动或者放弃成交；</w:t>
      </w:r>
    </w:p>
    <w:p w14:paraId="3C09E81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（7）供应商与采购人或者采购代理机构之间、供应商相互之间，为谋求特定供应商成交或者排斥其他供应商的其他串通行为。</w:t>
      </w:r>
    </w:p>
    <w:p w14:paraId="2723D6B8">
      <w:pPr>
        <w:pStyle w:val="4"/>
        <w:spacing w:before="0" w:after="0" w:line="360" w:lineRule="auto"/>
        <w:ind w:firstLine="640" w:firstLineChars="200"/>
        <w:rPr>
          <w:rFonts w:hint="eastAsia" w:ascii="宋体" w:hAnsi="宋体"/>
          <w:b w:val="0"/>
          <w:bCs w:val="0"/>
          <w:color w:val="auto"/>
          <w:highlight w:val="none"/>
        </w:rPr>
      </w:pPr>
      <w:bookmarkStart w:id="57" w:name="_Toc254970534"/>
      <w:bookmarkStart w:id="58" w:name="_Toc28927"/>
      <w:bookmarkStart w:id="59" w:name="_Toc254970675"/>
      <w:r>
        <w:rPr>
          <w:rFonts w:hint="eastAsia" w:ascii="宋体" w:hAnsi="宋体"/>
          <w:b w:val="0"/>
          <w:bCs w:val="0"/>
          <w:color w:val="auto"/>
          <w:highlight w:val="none"/>
        </w:rPr>
        <w:t>二、磋商文件</w:t>
      </w:r>
      <w:bookmarkEnd w:id="57"/>
      <w:bookmarkEnd w:id="58"/>
      <w:bookmarkEnd w:id="59"/>
    </w:p>
    <w:p w14:paraId="733BBC5A">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8.磋商文件的构成</w:t>
      </w:r>
    </w:p>
    <w:p w14:paraId="2CE44E70">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第一章 竞争性磋商公告；</w:t>
      </w:r>
    </w:p>
    <w:p w14:paraId="0CCDB9AB">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第二章 采购需求；</w:t>
      </w:r>
    </w:p>
    <w:p w14:paraId="6DE3F01E">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 xml:space="preserve">第三章 供应商须知； </w:t>
      </w:r>
    </w:p>
    <w:p w14:paraId="0FF054B4">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第四章 评审程序、评审方法和评审标准；</w:t>
      </w:r>
    </w:p>
    <w:p w14:paraId="7EA947DA">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第五章 响应文件格式；</w:t>
      </w:r>
    </w:p>
    <w:p w14:paraId="776244D2">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第六章 合同文本；</w:t>
      </w:r>
    </w:p>
    <w:p w14:paraId="4783592F">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第七章 质疑、投诉材料格式。</w:t>
      </w:r>
    </w:p>
    <w:p w14:paraId="72A77758">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9.供应商的询问</w:t>
      </w:r>
    </w:p>
    <w:p w14:paraId="472A364A">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供应商应认真阅读磋商文件的采购需求，如供应商对磋商文件有疑问的，如要求采购人作出澄清或者修改的，供应商尽应在提交首次响应文件截止之日前，以书面形式向采购人、采购代理机构提出。</w:t>
      </w:r>
    </w:p>
    <w:p w14:paraId="354D6363">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10.磋商文件的澄清和修改</w:t>
      </w:r>
    </w:p>
    <w:p w14:paraId="01E4CDE0">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10.1已获取磋商文件的潜在供应商，若有问题需要澄清，应于应标截止时间前，以书面形式向采购代理机构提出，采购代理机构与采购人研究后，对认为有必要回答的问题，按照本章10.3的内容处理。</w:t>
      </w:r>
    </w:p>
    <w:p w14:paraId="64C8D324">
      <w:pPr>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10.2采购人或者采购代理机构可以对已发出的磋商文件进行必要的澄清或者修改，但不得改变采购标的和资格条件。澄清或者修改应当在原公告发布媒体上发布澄清公告。澄清或者修改的内容为磋商文件的组成部分。</w:t>
      </w:r>
    </w:p>
    <w:p w14:paraId="0E29A240">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10.3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或者磋商小组在提交首次响应文件截止之日5日前，以书面形式（目前为网上公告和系统短信等形式）通知所有获取磋商文件的供应商，不足5日的，应当顺延提交首次响应文件截止之日。</w:t>
      </w:r>
    </w:p>
    <w:p w14:paraId="7CAE5460">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10.4</w:t>
      </w:r>
      <w:r>
        <w:rPr>
          <w:rFonts w:hint="eastAsia" w:ascii="Arial" w:hAnsi="Arial" w:cs="Arial"/>
          <w:color w:val="auto"/>
          <w:highlight w:val="none"/>
          <w:shd w:val="clear" w:color="auto" w:fill="FFFFFF"/>
        </w:rPr>
        <w:t>采购信息更正公告的内容应当包括采购人和采购代理机构名称、地址、联系方式，原公告的采购项目名称及首次公告日期，更正事项、内容及日期，采购项目联系人和电话。</w:t>
      </w:r>
    </w:p>
    <w:p w14:paraId="398B85ED">
      <w:pPr>
        <w:spacing w:line="360" w:lineRule="auto"/>
        <w:ind w:firstLine="420" w:firstLineChars="200"/>
        <w:rPr>
          <w:rFonts w:hint="eastAsia"/>
          <w:color w:val="auto"/>
          <w:highlight w:val="none"/>
        </w:rPr>
      </w:pPr>
      <w:r>
        <w:rPr>
          <w:rFonts w:hAnsi="宋体"/>
          <w:color w:val="auto"/>
          <w:highlight w:val="none"/>
        </w:rPr>
        <w:t xml:space="preserve">10.5  </w:t>
      </w:r>
      <w:r>
        <w:rPr>
          <w:rFonts w:hint="eastAsia"/>
          <w:color w:val="auto"/>
          <w:highlight w:val="none"/>
        </w:rPr>
        <w:t>采购人和采购代理机构可以视采购具体情况，变更</w:t>
      </w:r>
      <w:r>
        <w:rPr>
          <w:rFonts w:hint="eastAsia" w:hAnsi="宋体"/>
          <w:color w:val="auto"/>
          <w:highlight w:val="none"/>
        </w:rPr>
        <w:t>提交首次响应文件</w:t>
      </w:r>
      <w:r>
        <w:rPr>
          <w:rFonts w:hint="eastAsia"/>
          <w:color w:val="auto"/>
          <w:highlight w:val="none"/>
        </w:rPr>
        <w:t>截止时间和竞谈时间，将变更时间将在</w:t>
      </w:r>
      <w:r>
        <w:rPr>
          <w:rFonts w:hint="eastAsia" w:hAnsi="宋体"/>
          <w:color w:val="auto"/>
          <w:highlight w:val="none"/>
        </w:rPr>
        <w:t>“采购文件公告”中“七、其他补充事宜</w:t>
      </w:r>
      <w:r>
        <w:rPr>
          <w:rFonts w:hAnsi="宋体"/>
          <w:color w:val="auto"/>
          <w:highlight w:val="none"/>
        </w:rPr>
        <w:t>3.</w:t>
      </w:r>
      <w:r>
        <w:rPr>
          <w:rFonts w:hint="eastAsia" w:hAnsi="宋体"/>
          <w:color w:val="auto"/>
          <w:highlight w:val="none"/>
        </w:rPr>
        <w:t>网上查询地址”</w:t>
      </w:r>
      <w:r>
        <w:rPr>
          <w:rFonts w:hint="eastAsia" w:cs="宋体"/>
          <w:color w:val="auto"/>
          <w:highlight w:val="none"/>
        </w:rPr>
        <w:t>规定的政府采购信息发布媒体上</w:t>
      </w:r>
      <w:r>
        <w:rPr>
          <w:rFonts w:hint="eastAsia"/>
          <w:color w:val="auto"/>
          <w:highlight w:val="none"/>
        </w:rPr>
        <w:t>发布更正公告。</w:t>
      </w:r>
    </w:p>
    <w:p w14:paraId="79CB2258">
      <w:pPr>
        <w:spacing w:line="360" w:lineRule="auto"/>
        <w:ind w:firstLine="400" w:firstLineChars="200"/>
        <w:rPr>
          <w:rFonts w:ascii="宋体" w:hAnsi="Courier New"/>
          <w:color w:val="auto"/>
          <w:kern w:val="0"/>
          <w:sz w:val="20"/>
          <w:szCs w:val="21"/>
          <w:highlight w:val="none"/>
        </w:rPr>
      </w:pPr>
      <w:r>
        <w:rPr>
          <w:rFonts w:hint="eastAsia" w:ascii="宋体" w:hAnsi="Courier New"/>
          <w:color w:val="auto"/>
          <w:kern w:val="0"/>
          <w:sz w:val="20"/>
          <w:szCs w:val="21"/>
          <w:highlight w:val="none"/>
        </w:rPr>
        <w:t>▲</w:t>
      </w:r>
      <w:r>
        <w:rPr>
          <w:rFonts w:hint="eastAsia" w:ascii="宋体" w:hAnsi="Courier New"/>
          <w:b/>
          <w:color w:val="auto"/>
          <w:kern w:val="0"/>
          <w:sz w:val="20"/>
          <w:szCs w:val="21"/>
          <w:highlight w:val="none"/>
        </w:rPr>
        <w:t>响应文件未按磋商文件的澄清、修改的内容编制，又不符合实质性要求的，其响应文件作无效处理。</w:t>
      </w:r>
    </w:p>
    <w:p w14:paraId="1660BBF0">
      <w:pPr>
        <w:pStyle w:val="4"/>
        <w:spacing w:before="0" w:after="0" w:line="360" w:lineRule="auto"/>
        <w:ind w:firstLine="640" w:firstLineChars="200"/>
        <w:rPr>
          <w:rFonts w:hint="eastAsia" w:ascii="宋体" w:hAnsi="宋体"/>
          <w:b w:val="0"/>
          <w:bCs w:val="0"/>
          <w:color w:val="auto"/>
          <w:highlight w:val="none"/>
        </w:rPr>
      </w:pPr>
      <w:bookmarkStart w:id="60" w:name="_Toc12927"/>
      <w:r>
        <w:rPr>
          <w:rFonts w:hint="eastAsia" w:ascii="宋体" w:hAnsi="宋体"/>
          <w:b w:val="0"/>
          <w:bCs w:val="0"/>
          <w:color w:val="auto"/>
          <w:highlight w:val="none"/>
        </w:rPr>
        <w:t>三、响应文件的编制</w:t>
      </w:r>
      <w:bookmarkEnd w:id="60"/>
    </w:p>
    <w:p w14:paraId="4982C669">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11.响应文件的编制原则</w:t>
      </w:r>
    </w:p>
    <w:p w14:paraId="5C7441F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供应商必须按照磋商文件的要求编制响应文件，并对其提交的响应文件的真实性、合法性承担法律责任。响应文件必须对磋商文件作出实质性响应。</w:t>
      </w:r>
    </w:p>
    <w:p w14:paraId="1ACEBCB2">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12.响应文件的组成</w:t>
      </w:r>
    </w:p>
    <w:p w14:paraId="7A85D81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12.1响应文件由资格证明文件、报价文件、商务和技术文件三部分组成。</w:t>
      </w:r>
    </w:p>
    <w:p w14:paraId="21D757B3">
      <w:pPr>
        <w:spacing w:line="360" w:lineRule="auto"/>
        <w:ind w:left="420" w:leftChars="200"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12.1.1资格证明文件：详见须知前附表</w:t>
      </w:r>
    </w:p>
    <w:p w14:paraId="51A9B9EB">
      <w:pPr>
        <w:spacing w:line="360" w:lineRule="auto"/>
        <w:ind w:left="420" w:leftChars="200"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12.1.2商务技术文件：详见须知前附表</w:t>
      </w:r>
    </w:p>
    <w:p w14:paraId="4CAF25C2">
      <w:pPr>
        <w:spacing w:line="360" w:lineRule="auto"/>
        <w:ind w:left="420" w:leftChars="200"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12.1.3报价文件：详见须知前附表</w:t>
      </w:r>
    </w:p>
    <w:p w14:paraId="664793F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12.2响应文件电子版：详见须知前附表</w:t>
      </w:r>
    </w:p>
    <w:p w14:paraId="68DC49E1">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13.计量单位</w:t>
      </w:r>
    </w:p>
    <w:p w14:paraId="55FAF73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磋商文件已有明确规定的，使用磋商文件规定的计量单位；磋商文件没有规定的，应采用中华人民共和国法定计量单位，货币种类为人民币，否则视同未响应。</w:t>
      </w:r>
    </w:p>
    <w:p w14:paraId="0E5C7F42">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14.竞标的风险</w:t>
      </w:r>
    </w:p>
    <w:p w14:paraId="3A4C6CD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供应商没有按照磋商文件要求提供全部资料，或者供应商没有对磋商文件在各方面作出实质性响应可能导致其响应无效，是供应商应当考虑的风险。</w:t>
      </w:r>
    </w:p>
    <w:p w14:paraId="0F19AE9F">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15.响应报价要求和构成</w:t>
      </w:r>
    </w:p>
    <w:p w14:paraId="5DACDC86">
      <w:pPr>
        <w:tabs>
          <w:tab w:val="left" w:pos="2492"/>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15.1响应报价应按“第五章 响应文件格式”中“响应报价表”格式填写。</w:t>
      </w:r>
    </w:p>
    <w:p w14:paraId="2C0EDE17">
      <w:pPr>
        <w:tabs>
          <w:tab w:val="left" w:pos="2492"/>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15.2响应报价的价格构成见“供应商须知前附表”。</w:t>
      </w:r>
    </w:p>
    <w:p w14:paraId="12243CF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15.3响应报价要求</w:t>
      </w:r>
    </w:p>
    <w:p w14:paraId="4F4B418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15.3.1供应商的响应报价应符合以下要求，否则响应文件按无效响应处理：</w:t>
      </w:r>
    </w:p>
    <w:p w14:paraId="461D2D0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（1）供应商必须就“采购需求”中所竞标的每个分标的全部内容分别作完整唯一总价报价，不得存在漏项报价；</w:t>
      </w:r>
    </w:p>
    <w:p w14:paraId="7D475DE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（2）供应商必须就所竞标的分标的单项内容作唯一报价。</w:t>
      </w:r>
    </w:p>
    <w:p w14:paraId="5B6DE3C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15.3.2响应报价（包含首次报价、最后报价）超过所竞标分标规定的采购预算金额或者最高限价的，其响应文件将作无效处理。</w:t>
      </w:r>
    </w:p>
    <w:p w14:paraId="44B41ED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15.3.3</w:t>
      </w:r>
      <w:bookmarkStart w:id="61" w:name="_Hlk42592874"/>
      <w:r>
        <w:rPr>
          <w:rFonts w:hint="eastAsia" w:ascii="宋体" w:hAnsi="宋体" w:cs="宋体"/>
          <w:color w:val="auto"/>
          <w:szCs w:val="21"/>
          <w:highlight w:val="none"/>
        </w:rPr>
        <w:t>响应报价（包含首次报价、最后报价）超过分项采购预算金额或者最高限价的，其响应文件将作无效处理。</w:t>
      </w:r>
    </w:p>
    <w:bookmarkEnd w:id="61"/>
    <w:p w14:paraId="5FCC7CE0">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16.竞标有效期</w:t>
      </w:r>
    </w:p>
    <w:p w14:paraId="01271BE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16.1竞标有效期是指为保证采购人有足够的时间在提交响应文件后完成评审、确定成交供应商、合同签订等工作而要求供应商提交的响应文件在一定时间内保持有效的期限。</w:t>
      </w:r>
    </w:p>
    <w:p w14:paraId="7CD95F9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16.2 竞标有效期应由供应商按“供应商须知前附表”规定的期限作出响应。</w:t>
      </w:r>
    </w:p>
    <w:p w14:paraId="3BB89D8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16.3供应商的响应文件在竞标有效期内均保持有效。</w:t>
      </w:r>
    </w:p>
    <w:p w14:paraId="5A2CD604">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17.磋商保证金</w:t>
      </w:r>
    </w:p>
    <w:p w14:paraId="0E8D7D9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详见“供应商须知前附表”。</w:t>
      </w:r>
    </w:p>
    <w:p w14:paraId="565E7109">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18.响应文件编制的要求</w:t>
      </w:r>
    </w:p>
    <w:p w14:paraId="052DE81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18.1各供应商在编制响应文件时请按照磋商文件“第五章 响应文件格式”规定的格式进行，混乱的编排导致响应文件被误读或磋商小组查找不到有效文件是供应商的风险。不完整、编排混乱导致响应文件被误读、漏读或者查找不到相关内容的，</w:t>
      </w:r>
      <w:r>
        <w:rPr>
          <w:rFonts w:hint="eastAsia" w:ascii="宋体" w:hAnsi="宋体" w:cs="宋体"/>
          <w:color w:val="auto"/>
          <w:highlight w:val="none"/>
        </w:rPr>
        <w:t>由此引发的</w:t>
      </w:r>
      <w:r>
        <w:rPr>
          <w:rFonts w:hint="eastAsia" w:ascii="宋体" w:hAnsi="宋体" w:cs="宋体"/>
          <w:color w:val="auto"/>
          <w:szCs w:val="21"/>
          <w:highlight w:val="none"/>
        </w:rPr>
        <w:t>后果由供应商承担。</w:t>
      </w:r>
    </w:p>
    <w:p w14:paraId="2173D85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18.2响应文件应按资格证明、报价分别编制，商务技术文件合并编制，本磋商只接受电子版响应文件，要求见本章“12.2响应文件电子版要求”。</w:t>
      </w:r>
    </w:p>
    <w:p w14:paraId="056485D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w:t>
      </w:r>
      <w:bookmarkStart w:id="62" w:name="_Hlk65832699"/>
      <w:r>
        <w:rPr>
          <w:rFonts w:hint="eastAsia" w:ascii="宋体" w:hAnsi="宋体" w:cs="宋体"/>
          <w:color w:val="auto"/>
          <w:szCs w:val="21"/>
          <w:highlight w:val="none"/>
        </w:rPr>
        <w:t>3</w:t>
      </w:r>
      <w:r>
        <w:rPr>
          <w:rFonts w:hint="eastAsia" w:ascii="宋体" w:hAnsi="宋体"/>
          <w:color w:val="auto"/>
          <w:szCs w:val="21"/>
          <w:highlight w:val="none"/>
        </w:rPr>
        <w:t>响应文件须由供应商在</w:t>
      </w:r>
      <w:r>
        <w:rPr>
          <w:rFonts w:hint="eastAsia" w:ascii="宋体" w:hAnsi="宋体" w:cs="仿宋_GB2312"/>
          <w:color w:val="auto"/>
          <w:kern w:val="0"/>
          <w:szCs w:val="21"/>
          <w:highlight w:val="none"/>
          <w:lang w:val="zh-CN"/>
        </w:rPr>
        <w:t>“</w:t>
      </w:r>
      <w:r>
        <w:rPr>
          <w:rFonts w:hint="eastAsia" w:ascii="宋体" w:hAnsi="宋体"/>
          <w:color w:val="auto"/>
          <w:szCs w:val="21"/>
          <w:highlight w:val="none"/>
        </w:rPr>
        <w:t>第五章 响应文件格式</w:t>
      </w:r>
      <w:r>
        <w:rPr>
          <w:rFonts w:hint="eastAsia" w:ascii="宋体" w:hAnsi="宋体" w:cs="仿宋_GB2312"/>
          <w:color w:val="auto"/>
          <w:kern w:val="0"/>
          <w:szCs w:val="21"/>
          <w:highlight w:val="none"/>
          <w:lang w:val="zh-CN"/>
        </w:rPr>
        <w:t>”</w:t>
      </w:r>
      <w:r>
        <w:rPr>
          <w:rFonts w:hint="eastAsia" w:ascii="宋体" w:hAnsi="宋体"/>
          <w:color w:val="auto"/>
          <w:szCs w:val="21"/>
          <w:highlight w:val="none"/>
        </w:rPr>
        <w:t>规定位置</w:t>
      </w:r>
      <w:r>
        <w:rPr>
          <w:rFonts w:hint="eastAsia" w:ascii="宋体" w:hAnsi="宋体" w:cs="仿宋_GB2312"/>
          <w:color w:val="auto"/>
          <w:szCs w:val="21"/>
          <w:highlight w:val="none"/>
        </w:rPr>
        <w:t>进行签署、盖章</w:t>
      </w:r>
      <w:bookmarkEnd w:id="62"/>
      <w:r>
        <w:rPr>
          <w:rFonts w:hint="eastAsia" w:ascii="宋体" w:hAnsi="宋体" w:cs="宋体"/>
          <w:color w:val="auto"/>
          <w:szCs w:val="21"/>
          <w:highlight w:val="none"/>
        </w:rPr>
        <w:t>，否则其响应文件按无效响应处理。骑缝盖公章不视为在规定位置盖章。</w:t>
      </w:r>
    </w:p>
    <w:p w14:paraId="75CE5E7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18.4响应文件中标注的供应商名称应与营业执照（事业单位法人证书、执业许可证、自然人身份证）及电子公章一致，否则其响应文件按无效响应处理。</w:t>
      </w:r>
    </w:p>
    <w:p w14:paraId="4E81291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18.5响应文件应避免涂改、行间插字或者删除，否则其响应文件按无效响应处理。</w:t>
      </w:r>
    </w:p>
    <w:p w14:paraId="20E7C71F">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19.响应文件的密封和标记</w:t>
      </w:r>
    </w:p>
    <w:p w14:paraId="405FD739">
      <w:pPr>
        <w:spacing w:line="360" w:lineRule="auto"/>
        <w:ind w:firstLine="420" w:firstLineChars="200"/>
        <w:rPr>
          <w:rFonts w:hint="eastAsia" w:ascii="宋体" w:hAnsi="宋体" w:cs="仿宋_GB2312"/>
          <w:color w:val="auto"/>
          <w:kern w:val="0"/>
          <w:szCs w:val="21"/>
          <w:highlight w:val="none"/>
          <w:lang w:val="zh-CN"/>
        </w:rPr>
      </w:pPr>
      <w:r>
        <w:rPr>
          <w:rFonts w:hint="eastAsia" w:ascii="宋体" w:hAnsi="宋体" w:cs="仿宋_GB2312"/>
          <w:color w:val="auto"/>
          <w:kern w:val="0"/>
          <w:szCs w:val="21"/>
          <w:highlight w:val="none"/>
          <w:lang w:val="zh-CN"/>
        </w:rPr>
        <w:t>19.1供应商进行电子交易应安装客户端软件—“广西政府采购云平台电子交易客户端”，并按照磋商文件和电子交易平台的要求编制并加密响应文件。供应商未按规定加密的响应文件，电子交易平台将拒收并提示。</w:t>
      </w:r>
    </w:p>
    <w:p w14:paraId="39E6680B">
      <w:pPr>
        <w:spacing w:line="360" w:lineRule="auto"/>
        <w:ind w:firstLine="420" w:firstLineChars="200"/>
        <w:rPr>
          <w:rFonts w:hint="eastAsia" w:ascii="宋体" w:hAnsi="宋体" w:cs="仿宋_GB2312"/>
          <w:color w:val="auto"/>
          <w:kern w:val="0"/>
          <w:szCs w:val="21"/>
          <w:highlight w:val="none"/>
          <w:lang w:val="zh-CN"/>
        </w:rPr>
      </w:pPr>
      <w:r>
        <w:rPr>
          <w:rFonts w:hint="eastAsia" w:ascii="宋体" w:hAnsi="宋体" w:cs="仿宋_GB2312"/>
          <w:color w:val="auto"/>
          <w:kern w:val="0"/>
          <w:szCs w:val="21"/>
          <w:highlight w:val="none"/>
          <w:lang w:val="zh-CN"/>
        </w:rPr>
        <w:t>19.2使用“广西政府采购云平台电子交易客户端”需要提前申领CA数字证书，申领流程见该项目采购公告附件。</w:t>
      </w:r>
    </w:p>
    <w:p w14:paraId="5F18FCA6">
      <w:pPr>
        <w:pStyle w:val="15"/>
        <w:spacing w:line="360" w:lineRule="auto"/>
        <w:ind w:firstLine="420" w:firstLineChars="200"/>
        <w:rPr>
          <w:rFonts w:hint="eastAsia" w:hAnsi="宋体" w:cs="仿宋_GB2312"/>
          <w:color w:val="auto"/>
          <w:sz w:val="21"/>
          <w:highlight w:val="none"/>
        </w:rPr>
      </w:pPr>
      <w:r>
        <w:rPr>
          <w:rFonts w:hint="eastAsia" w:hAnsi="宋体" w:cs="仿宋_GB2312"/>
          <w:color w:val="auto"/>
          <w:sz w:val="21"/>
          <w:highlight w:val="none"/>
        </w:rPr>
        <w:t>19.3为确保网上操作合法、有效和安全，供应商应当在响应文件提交截止时间前完成在“政府采购云平台”的身份认证，确保在电子交易过程中能够对相关数据电文进行加密和使用电子签名。</w:t>
      </w:r>
    </w:p>
    <w:p w14:paraId="3ED3CED9">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20.响应文件的提交</w:t>
      </w:r>
    </w:p>
    <w:p w14:paraId="0800CFB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20.1供应商必须在“供应商须知前附表”规定的时间和地点提交响应文件。</w:t>
      </w:r>
    </w:p>
    <w:p w14:paraId="0312236D">
      <w:pPr>
        <w:spacing w:line="360" w:lineRule="auto"/>
        <w:ind w:firstLine="420" w:firstLineChars="200"/>
        <w:rPr>
          <w:rFonts w:hint="eastAsia" w:ascii="宋体" w:hAnsi="宋体"/>
          <w:color w:val="auto"/>
          <w:szCs w:val="21"/>
          <w:highlight w:val="none"/>
        </w:rPr>
      </w:pPr>
      <w:r>
        <w:rPr>
          <w:rFonts w:hint="eastAsia" w:ascii="宋体" w:hAnsi="宋体" w:cs="宋体"/>
          <w:color w:val="auto"/>
          <w:szCs w:val="21"/>
          <w:highlight w:val="none"/>
        </w:rPr>
        <w:t>20</w:t>
      </w:r>
      <w:r>
        <w:rPr>
          <w:rFonts w:hint="eastAsia" w:ascii="宋体" w:hAnsi="宋体"/>
          <w:color w:val="auto"/>
          <w:szCs w:val="21"/>
          <w:highlight w:val="none"/>
        </w:rPr>
        <w:t>.2 在响应文件提交截止时间以后，不能补充、修改响应文件。</w:t>
      </w:r>
    </w:p>
    <w:p w14:paraId="6400243E">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20.3 在提交“最后报价”后，供应商不能退出谈判。</w:t>
      </w:r>
    </w:p>
    <w:p w14:paraId="3BC6E33A">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20.4 电子交易平台收到响应文件，将妥善保存并即时向供应商发出确认回执通知。在响应文件提交截止时间前，除供应商补充、修改或者撤回响应文件外，任何单位和个人不得解密或提取响应文件。</w:t>
      </w:r>
    </w:p>
    <w:p w14:paraId="12900CA3">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20.5 采购机构不可视情况延长提交响应文件的截止时间。</w:t>
      </w:r>
    </w:p>
    <w:p w14:paraId="424F9E5B">
      <w:pPr>
        <w:spacing w:line="360" w:lineRule="auto"/>
        <w:ind w:firstLine="420" w:firstLineChars="200"/>
        <w:rPr>
          <w:rFonts w:hint="eastAsia" w:ascii="黑体" w:hAnsi="黑体" w:eastAsia="黑体"/>
          <w:color w:val="auto"/>
          <w:sz w:val="24"/>
          <w:highlight w:val="none"/>
        </w:rPr>
      </w:pPr>
      <w:r>
        <w:rPr>
          <w:rFonts w:hint="eastAsia" w:ascii="宋体" w:hAnsi="宋体"/>
          <w:color w:val="auto"/>
          <w:szCs w:val="21"/>
          <w:highlight w:val="none"/>
        </w:rPr>
        <w:t>20.6备份响应文件。</w:t>
      </w:r>
      <w:r>
        <w:rPr>
          <w:rFonts w:hint="eastAsia" w:hAnsi="宋体"/>
          <w:bCs/>
          <w:color w:val="auto"/>
          <w:szCs w:val="21"/>
          <w:highlight w:val="none"/>
        </w:rPr>
        <w:t>详见在“供应商须知前附表”。</w:t>
      </w:r>
    </w:p>
    <w:p w14:paraId="72AAB9A6">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21.首次响应文件的补充、修改与撤回</w:t>
      </w:r>
    </w:p>
    <w:p w14:paraId="5DE6B2D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详见“供应商须知前附表”。</w:t>
      </w:r>
    </w:p>
    <w:p w14:paraId="43990617">
      <w:pPr>
        <w:spacing w:line="360" w:lineRule="auto"/>
        <w:ind w:firstLine="482" w:firstLineChars="200"/>
        <w:rPr>
          <w:rFonts w:hint="eastAsia" w:ascii="黑体" w:hAnsi="黑体" w:eastAsia="黑体" w:cs="宋体"/>
          <w:b/>
          <w:bCs/>
          <w:color w:val="auto"/>
          <w:sz w:val="24"/>
          <w:highlight w:val="none"/>
        </w:rPr>
      </w:pPr>
      <w:bookmarkStart w:id="63" w:name="_Hlk45702405"/>
      <w:r>
        <w:rPr>
          <w:rFonts w:hint="eastAsia" w:ascii="黑体" w:hAnsi="黑体" w:eastAsia="黑体" w:cs="宋体"/>
          <w:b/>
          <w:bCs/>
          <w:color w:val="auto"/>
          <w:sz w:val="24"/>
          <w:highlight w:val="none"/>
        </w:rPr>
        <w:t>22. 首次响应文件的退回</w:t>
      </w:r>
    </w:p>
    <w:p w14:paraId="7BB7F15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在首次响应文件提交截止时间止提交响应文件的供应商不足3家时电子响应文件由代理机构在“广西政府采购云平台”平台操作退回，除此之外采购人和采购代理机构对已提交的电子响应文件概不退回。</w:t>
      </w:r>
    </w:p>
    <w:p w14:paraId="6093119C">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23. 截止时间后的撤回</w:t>
      </w:r>
    </w:p>
    <w:p w14:paraId="060D4592">
      <w:pPr>
        <w:spacing w:line="360" w:lineRule="auto"/>
        <w:ind w:firstLine="420" w:firstLineChars="200"/>
        <w:rPr>
          <w:rFonts w:hint="eastAsia" w:ascii="宋体" w:hAnsi="宋体"/>
          <w:color w:val="auto"/>
          <w:szCs w:val="21"/>
          <w:highlight w:val="none"/>
        </w:rPr>
      </w:pPr>
      <w:r>
        <w:rPr>
          <w:rFonts w:hint="eastAsia" w:ascii="宋体" w:hAnsi="宋体" w:cs="宋体"/>
          <w:color w:val="auto"/>
          <w:szCs w:val="21"/>
          <w:highlight w:val="none"/>
        </w:rPr>
        <w:t>本项目不收取磋商保证金，供应商在首次响应文件提交截止时间后可向采购人、采购代理机构书面申请撤回电子响应文件。</w:t>
      </w:r>
      <w:bookmarkEnd w:id="63"/>
    </w:p>
    <w:p w14:paraId="136B9E5D">
      <w:pPr>
        <w:pStyle w:val="4"/>
        <w:spacing w:before="0" w:after="0" w:line="360" w:lineRule="auto"/>
        <w:ind w:firstLine="640" w:firstLineChars="200"/>
        <w:rPr>
          <w:rFonts w:hint="eastAsia" w:ascii="宋体" w:hAnsi="宋体"/>
          <w:b w:val="0"/>
          <w:bCs w:val="0"/>
          <w:color w:val="auto"/>
          <w:highlight w:val="none"/>
        </w:rPr>
      </w:pPr>
      <w:bookmarkStart w:id="64" w:name="_Toc12248"/>
      <w:r>
        <w:rPr>
          <w:rFonts w:hint="eastAsia" w:ascii="宋体" w:hAnsi="宋体"/>
          <w:b w:val="0"/>
          <w:bCs w:val="0"/>
          <w:color w:val="auto"/>
          <w:highlight w:val="none"/>
        </w:rPr>
        <w:t>四、评审及磋商</w:t>
      </w:r>
      <w:bookmarkEnd w:id="64"/>
    </w:p>
    <w:p w14:paraId="44E6FA8D">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24.磋商小组成立</w:t>
      </w:r>
    </w:p>
    <w:p w14:paraId="7388013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24.1磋商小组由采购人代表和评审专家共3人以上单数组成，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14:paraId="6E388BC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1F3A631C">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25.首次响应文件的开启</w:t>
      </w:r>
    </w:p>
    <w:p w14:paraId="51289E6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25.1首次响应文件由磋商小组或者采购代理机构在“供应商须知前附表”规定的时间开启。</w:t>
      </w:r>
    </w:p>
    <w:p w14:paraId="615768AC">
      <w:pPr>
        <w:pStyle w:val="15"/>
        <w:spacing w:line="360" w:lineRule="auto"/>
        <w:ind w:firstLine="420" w:firstLineChars="200"/>
        <w:rPr>
          <w:rFonts w:hint="eastAsia" w:hAnsi="宋体"/>
          <w:bCs/>
          <w:color w:val="auto"/>
          <w:sz w:val="21"/>
          <w:highlight w:val="none"/>
        </w:rPr>
      </w:pPr>
      <w:r>
        <w:rPr>
          <w:rFonts w:hint="eastAsia" w:hAnsi="宋体" w:cs="宋体"/>
          <w:color w:val="auto"/>
          <w:sz w:val="21"/>
          <w:highlight w:val="none"/>
        </w:rPr>
        <w:t xml:space="preserve">25.2 </w:t>
      </w:r>
      <w:r>
        <w:rPr>
          <w:rFonts w:hint="eastAsia" w:hAnsi="宋体"/>
          <w:bCs/>
          <w:color w:val="auto"/>
          <w:sz w:val="21"/>
          <w:highlight w:val="none"/>
        </w:rPr>
        <w:t>响应文件解密</w:t>
      </w:r>
    </w:p>
    <w:p w14:paraId="05C3DD84">
      <w:pPr>
        <w:pStyle w:val="15"/>
        <w:snapToGrid w:val="0"/>
        <w:spacing w:line="360" w:lineRule="auto"/>
        <w:ind w:firstLine="420" w:firstLineChars="200"/>
        <w:rPr>
          <w:rFonts w:hint="eastAsia" w:hAnsi="宋体"/>
          <w:color w:val="auto"/>
          <w:sz w:val="21"/>
          <w:highlight w:val="none"/>
        </w:rPr>
      </w:pPr>
      <w:r>
        <w:rPr>
          <w:rFonts w:hint="eastAsia" w:hAnsi="宋体"/>
          <w:bCs/>
          <w:color w:val="auto"/>
          <w:sz w:val="21"/>
          <w:highlight w:val="none"/>
        </w:rPr>
        <w:t>采购代理机构将在“供应商须知前附表”规定的时</w:t>
      </w:r>
      <w:r>
        <w:rPr>
          <w:rFonts w:hint="eastAsia" w:hAnsi="宋体"/>
          <w:color w:val="auto"/>
          <w:sz w:val="21"/>
          <w:highlight w:val="none"/>
        </w:rPr>
        <w:t>间通过电子交易平台组织响应文件开启，采购机构依托电子交易平台发起开始解密指令，供应商的法定代表人或其委托代理人</w:t>
      </w:r>
      <w:r>
        <w:rPr>
          <w:rFonts w:hint="eastAsia" w:hAnsi="宋体"/>
          <w:b/>
          <w:color w:val="auto"/>
          <w:sz w:val="21"/>
          <w:highlight w:val="none"/>
        </w:rPr>
        <w:t>须携带加密时所用的CA锁按平台提示和采购文件的规定登录到“</w:t>
      </w:r>
      <w:r>
        <w:rPr>
          <w:rFonts w:hint="eastAsia" w:hAnsi="宋体"/>
          <w:b/>
          <w:color w:val="auto"/>
          <w:sz w:val="21"/>
          <w:highlight w:val="none"/>
          <w:lang w:eastAsia="zh-CN"/>
        </w:rPr>
        <w:t>广西政府采购云平台</w:t>
      </w:r>
      <w:r>
        <w:rPr>
          <w:rFonts w:hint="eastAsia" w:hAnsi="宋体"/>
          <w:b/>
          <w:color w:val="auto"/>
          <w:sz w:val="21"/>
          <w:highlight w:val="none"/>
        </w:rPr>
        <w:t>”平台电子开标大厅签到并在发起解密指令之时起30分钟内完成对电子响应文件在线解密</w:t>
      </w:r>
      <w:r>
        <w:rPr>
          <w:rFonts w:hint="eastAsia" w:hAnsi="宋体"/>
          <w:color w:val="auto"/>
          <w:sz w:val="21"/>
          <w:highlight w:val="none"/>
        </w:rPr>
        <w:t>。发起解密指令之时起5分钟内供应商还未进行解密的，代理机构要通知供应商，供应商没预留联系方式或预留联系方式无效，导致代理机构无法联系到供应商进行解密的，</w:t>
      </w:r>
      <w:r>
        <w:rPr>
          <w:rFonts w:hint="eastAsia" w:hAnsi="宋体"/>
          <w:b/>
          <w:color w:val="auto"/>
          <w:sz w:val="21"/>
          <w:highlight w:val="none"/>
        </w:rPr>
        <w:t>视为响应文件无效。</w:t>
      </w:r>
      <w:r>
        <w:rPr>
          <w:rFonts w:hint="eastAsia" w:hAnsi="宋体"/>
          <w:color w:val="auto"/>
          <w:sz w:val="21"/>
          <w:highlight w:val="none"/>
        </w:rPr>
        <w:t>（解密</w:t>
      </w:r>
      <w:r>
        <w:rPr>
          <w:rFonts w:hint="eastAsia" w:hAnsi="宋体"/>
          <w:bCs/>
          <w:color w:val="auto"/>
          <w:sz w:val="21"/>
          <w:highlight w:val="none"/>
        </w:rPr>
        <w:t>异常情况处理：详见本章</w:t>
      </w:r>
      <w:r>
        <w:rPr>
          <w:rFonts w:hint="eastAsia" w:hAnsi="宋体"/>
          <w:color w:val="auto"/>
          <w:sz w:val="21"/>
          <w:highlight w:val="none"/>
        </w:rPr>
        <w:t>26.3 电子交易活动的中止。）</w:t>
      </w:r>
    </w:p>
    <w:p w14:paraId="2B58DF7D">
      <w:pPr>
        <w:pStyle w:val="15"/>
        <w:spacing w:line="360" w:lineRule="auto"/>
        <w:ind w:firstLine="420" w:firstLineChars="200"/>
        <w:rPr>
          <w:rFonts w:hint="eastAsia"/>
          <w:color w:val="auto"/>
          <w:sz w:val="21"/>
          <w:highlight w:val="none"/>
        </w:rPr>
      </w:pPr>
      <w:r>
        <w:rPr>
          <w:rFonts w:hint="eastAsia" w:hAnsi="宋体"/>
          <w:color w:val="auto"/>
          <w:sz w:val="21"/>
          <w:highlight w:val="none"/>
        </w:rPr>
        <w:t>如</w:t>
      </w:r>
      <w:r>
        <w:rPr>
          <w:rFonts w:hint="eastAsia" w:hAnsi="宋体"/>
          <w:bCs/>
          <w:color w:val="auto"/>
          <w:sz w:val="21"/>
          <w:highlight w:val="none"/>
        </w:rPr>
        <w:t>供应商成功解密响应文件，但未在“</w:t>
      </w:r>
      <w:r>
        <w:rPr>
          <w:rFonts w:hint="eastAsia" w:hAnsi="宋体"/>
          <w:bCs/>
          <w:color w:val="auto"/>
          <w:sz w:val="21"/>
          <w:highlight w:val="none"/>
          <w:lang w:eastAsia="zh-CN"/>
        </w:rPr>
        <w:t>广西政府采购云平台</w:t>
      </w:r>
      <w:r>
        <w:rPr>
          <w:rFonts w:hint="eastAsia" w:hAnsi="宋体"/>
          <w:bCs/>
          <w:color w:val="auto"/>
          <w:sz w:val="21"/>
          <w:highlight w:val="none"/>
        </w:rPr>
        <w:t>”电子开标大厅参加谈判的，视同认可谈判过程和结果，</w:t>
      </w:r>
      <w:r>
        <w:rPr>
          <w:rFonts w:hint="eastAsia" w:hAnsi="宋体"/>
          <w:color w:val="auto"/>
          <w:sz w:val="21"/>
          <w:highlight w:val="none"/>
        </w:rPr>
        <w:t>由此产生的后果由供应商自行负责。 参与谈判的供应商</w:t>
      </w:r>
      <w:r>
        <w:rPr>
          <w:rFonts w:hint="eastAsia"/>
          <w:color w:val="auto"/>
          <w:sz w:val="21"/>
          <w:highlight w:val="none"/>
        </w:rPr>
        <w:t>不足3家的，不得谈判。</w:t>
      </w:r>
    </w:p>
    <w:p w14:paraId="11400090">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26.评审程序、评审方法和评审标准</w:t>
      </w:r>
    </w:p>
    <w:p w14:paraId="03688D3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26.1磋商小组按照“第四章 评审程序、评审方法和评审标准”规定的方法、评审因素、标准和程序对响应文件进行评审。</w:t>
      </w:r>
    </w:p>
    <w:p w14:paraId="3FF12A8E">
      <w:pPr>
        <w:spacing w:line="360" w:lineRule="auto"/>
        <w:ind w:firstLine="420" w:firstLineChars="200"/>
        <w:rPr>
          <w:rFonts w:hint="eastAsia" w:ascii="宋体" w:hAnsi="宋体" w:cs="宋体"/>
          <w:color w:val="auto"/>
          <w:szCs w:val="21"/>
          <w:highlight w:val="none"/>
        </w:rPr>
      </w:pPr>
      <w:r>
        <w:rPr>
          <w:rFonts w:hint="eastAsia" w:ascii="宋体" w:hAnsi="宋体"/>
          <w:color w:val="auto"/>
          <w:szCs w:val="21"/>
          <w:highlight w:val="none"/>
        </w:rPr>
        <w:t xml:space="preserve">26.2 </w:t>
      </w:r>
      <w:r>
        <w:rPr>
          <w:rFonts w:hint="eastAsia" w:ascii="宋体" w:hAnsi="宋体" w:cs="宋体"/>
          <w:color w:val="auto"/>
          <w:szCs w:val="21"/>
          <w:highlight w:val="none"/>
        </w:rPr>
        <w:t>磋商文件内容违反国家有关强制性规定的，磋商小组应当停止评审并向采购人或者采购代理机构说明情况，并在评审报告中书面体现。</w:t>
      </w:r>
    </w:p>
    <w:p w14:paraId="44EC0BC7">
      <w:pPr>
        <w:spacing w:line="360" w:lineRule="auto"/>
        <w:ind w:firstLine="420" w:firstLineChars="200"/>
        <w:rPr>
          <w:rFonts w:hint="eastAsia" w:ascii="宋体" w:hAnsi="宋体"/>
          <w:color w:val="auto"/>
          <w:szCs w:val="21"/>
          <w:highlight w:val="none"/>
        </w:rPr>
      </w:pPr>
      <w:r>
        <w:rPr>
          <w:rFonts w:hint="eastAsia" w:ascii="宋体" w:hAnsi="宋体" w:cs="宋体"/>
          <w:color w:val="auto"/>
          <w:szCs w:val="21"/>
          <w:highlight w:val="none"/>
        </w:rPr>
        <w:t xml:space="preserve">26.3 </w:t>
      </w:r>
      <w:r>
        <w:rPr>
          <w:rFonts w:hint="eastAsia" w:ascii="宋体" w:hAnsi="宋体"/>
          <w:color w:val="auto"/>
          <w:szCs w:val="21"/>
          <w:highlight w:val="none"/>
        </w:rPr>
        <w:t>采购需求负偏离要求及磋商顺序详见 “ 供应商须知前附表”。</w:t>
      </w:r>
    </w:p>
    <w:p w14:paraId="0E46A7C6">
      <w:pPr>
        <w:spacing w:line="360" w:lineRule="auto"/>
        <w:ind w:firstLine="420" w:firstLineChars="200"/>
        <w:rPr>
          <w:rFonts w:hint="eastAsia" w:ascii="宋体" w:hAnsi="宋体"/>
          <w:color w:val="auto"/>
          <w:highlight w:val="none"/>
        </w:rPr>
      </w:pPr>
      <w:r>
        <w:rPr>
          <w:rFonts w:hint="eastAsia" w:ascii="宋体" w:hAnsi="宋体"/>
          <w:color w:val="auto"/>
          <w:highlight w:val="none"/>
        </w:rPr>
        <w:t>26.4电子交易活动的中止。采购过程中出现以下情形，导致电子交易平台无法正常运行，或者无法保证电子交易的公平、公正和安全时，采购机构可中止电子交易活动：</w:t>
      </w:r>
    </w:p>
    <w:p w14:paraId="3C0210AB">
      <w:pPr>
        <w:spacing w:line="360" w:lineRule="auto"/>
        <w:ind w:firstLine="420" w:firstLineChars="200"/>
        <w:rPr>
          <w:rFonts w:hint="eastAsia" w:ascii="宋体" w:hAnsi="宋体"/>
          <w:color w:val="auto"/>
          <w:highlight w:val="none"/>
        </w:rPr>
      </w:pPr>
      <w:r>
        <w:rPr>
          <w:rFonts w:hint="eastAsia" w:ascii="宋体" w:hAnsi="宋体"/>
          <w:color w:val="auto"/>
          <w:highlight w:val="none"/>
        </w:rPr>
        <w:t xml:space="preserve">（1）电子交易平台发生故障而无法登录访问的； </w:t>
      </w:r>
    </w:p>
    <w:p w14:paraId="6F188B54">
      <w:pPr>
        <w:spacing w:line="360" w:lineRule="auto"/>
        <w:ind w:firstLine="420" w:firstLineChars="200"/>
        <w:rPr>
          <w:rFonts w:hint="eastAsia" w:ascii="宋体" w:hAnsi="宋体"/>
          <w:color w:val="auto"/>
          <w:highlight w:val="none"/>
        </w:rPr>
      </w:pPr>
      <w:r>
        <w:rPr>
          <w:rFonts w:hint="eastAsia" w:ascii="宋体" w:hAnsi="宋体"/>
          <w:color w:val="auto"/>
          <w:highlight w:val="none"/>
        </w:rPr>
        <w:t>（2）电子交易平台应用或数据库出现错误，不能进行正常操作的；</w:t>
      </w:r>
    </w:p>
    <w:p w14:paraId="1FBCA654">
      <w:pPr>
        <w:spacing w:line="360" w:lineRule="auto"/>
        <w:ind w:firstLine="420" w:firstLineChars="200"/>
        <w:rPr>
          <w:rFonts w:hint="eastAsia" w:ascii="宋体" w:hAnsi="宋体"/>
          <w:color w:val="auto"/>
          <w:highlight w:val="none"/>
        </w:rPr>
      </w:pPr>
      <w:r>
        <w:rPr>
          <w:rFonts w:hint="eastAsia" w:ascii="宋体" w:hAnsi="宋体"/>
          <w:color w:val="auto"/>
          <w:highlight w:val="none"/>
        </w:rPr>
        <w:t>（3）电子交易平台发现严重安全漏洞，有潜在泄密危险的；</w:t>
      </w:r>
    </w:p>
    <w:p w14:paraId="4DCB4D4F">
      <w:pPr>
        <w:spacing w:line="360" w:lineRule="auto"/>
        <w:ind w:firstLine="420" w:firstLineChars="200"/>
        <w:rPr>
          <w:rFonts w:hint="eastAsia" w:ascii="宋体" w:hAnsi="宋体"/>
          <w:color w:val="auto"/>
          <w:highlight w:val="none"/>
        </w:rPr>
      </w:pPr>
      <w:r>
        <w:rPr>
          <w:rFonts w:hint="eastAsia" w:ascii="宋体" w:hAnsi="宋体"/>
          <w:color w:val="auto"/>
          <w:highlight w:val="none"/>
        </w:rPr>
        <w:t xml:space="preserve">（4）病毒发作导致不能进行正常操作的； </w:t>
      </w:r>
    </w:p>
    <w:p w14:paraId="594D7436">
      <w:pPr>
        <w:spacing w:line="360" w:lineRule="auto"/>
        <w:ind w:firstLine="420" w:firstLineChars="200"/>
        <w:rPr>
          <w:rFonts w:hint="eastAsia" w:ascii="宋体" w:hAnsi="宋体"/>
          <w:color w:val="auto"/>
          <w:highlight w:val="none"/>
        </w:rPr>
      </w:pPr>
      <w:r>
        <w:rPr>
          <w:rFonts w:hint="eastAsia" w:ascii="宋体" w:hAnsi="宋体"/>
          <w:color w:val="auto"/>
          <w:highlight w:val="none"/>
        </w:rPr>
        <w:t>（5）其他无法保证电子交易的公平、公正和安全的情况。</w:t>
      </w:r>
    </w:p>
    <w:p w14:paraId="11B28D2D">
      <w:pPr>
        <w:spacing w:line="360" w:lineRule="auto"/>
        <w:ind w:firstLine="420" w:firstLineChars="200"/>
        <w:rPr>
          <w:rFonts w:hint="eastAsia" w:ascii="宋体" w:hAnsi="宋体"/>
          <w:color w:val="auto"/>
          <w:highlight w:val="none"/>
        </w:rPr>
      </w:pPr>
      <w:r>
        <w:rPr>
          <w:rFonts w:hint="eastAsia" w:ascii="宋体" w:hAnsi="宋体"/>
          <w:color w:val="auto"/>
          <w:highlight w:val="none"/>
        </w:rPr>
        <w:t>26.5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5B3CDEE2">
      <w:pPr>
        <w:pStyle w:val="4"/>
        <w:spacing w:before="0" w:after="0" w:line="360" w:lineRule="auto"/>
        <w:ind w:firstLine="480" w:firstLineChars="150"/>
        <w:rPr>
          <w:rFonts w:hint="eastAsia" w:ascii="宋体" w:hAnsi="宋体"/>
          <w:b w:val="0"/>
          <w:bCs w:val="0"/>
          <w:color w:val="auto"/>
          <w:highlight w:val="none"/>
        </w:rPr>
      </w:pPr>
      <w:bookmarkStart w:id="65" w:name="_Toc31092"/>
      <w:r>
        <w:rPr>
          <w:rFonts w:hint="eastAsia" w:ascii="宋体" w:hAnsi="宋体"/>
          <w:b w:val="0"/>
          <w:bCs w:val="0"/>
          <w:color w:val="auto"/>
          <w:highlight w:val="none"/>
        </w:rPr>
        <w:t>五、成交及合同</w:t>
      </w:r>
      <w:bookmarkEnd w:id="65"/>
    </w:p>
    <w:p w14:paraId="02CD959E">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27.确定成交供应商及结果公告</w:t>
      </w:r>
    </w:p>
    <w:p w14:paraId="4F8780C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27.1确定成交供应商。</w:t>
      </w:r>
      <w:r>
        <w:rPr>
          <w:rFonts w:hint="eastAsia" w:ascii="宋体" w:hAnsi="宋体" w:cs="宋体"/>
          <w:color w:val="auto"/>
          <w:kern w:val="0"/>
          <w:szCs w:val="21"/>
          <w:highlight w:val="none"/>
          <w:u w:val="single"/>
        </w:rPr>
        <w:t xml:space="preserve"> 由采购人直接委托评审专家确定</w:t>
      </w:r>
      <w:r>
        <w:rPr>
          <w:rFonts w:hint="eastAsia" w:ascii="宋体" w:hAnsi="宋体" w:cs="宋体"/>
          <w:color w:val="auto"/>
          <w:szCs w:val="21"/>
          <w:highlight w:val="none"/>
          <w:u w:val="single"/>
        </w:rPr>
        <w:t>，评审报告提出的排序第一的供应商为成交供应商。</w:t>
      </w:r>
    </w:p>
    <w:p w14:paraId="2877BD1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27.2成交通知及成交结果公告。</w:t>
      </w:r>
      <w:r>
        <w:rPr>
          <w:rFonts w:hint="eastAsia" w:ascii="宋体" w:hAnsi="宋体" w:cs="宋体"/>
          <w:color w:val="auto"/>
          <w:kern w:val="0"/>
          <w:szCs w:val="21"/>
          <w:highlight w:val="none"/>
        </w:rPr>
        <w:t>成交</w:t>
      </w:r>
      <w:r>
        <w:rPr>
          <w:rFonts w:hint="eastAsia" w:ascii="宋体" w:hAnsi="宋体" w:cs="宋体"/>
          <w:color w:val="auto"/>
          <w:szCs w:val="21"/>
          <w:highlight w:val="none"/>
        </w:rPr>
        <w:t>供应商确定后2个工作日内，在省级以上财政部门指定的媒体上公</w:t>
      </w:r>
      <w:r>
        <w:rPr>
          <w:rFonts w:hint="eastAsia" w:ascii="宋体" w:hAnsi="宋体" w:cs="宋体"/>
          <w:color w:val="auto"/>
          <w:kern w:val="0"/>
          <w:szCs w:val="21"/>
          <w:highlight w:val="none"/>
        </w:rPr>
        <w:t>告成交结果（成交通知及成交结果公告应使用南宁市模板进行公告，公告内容除包含《政府采购公告和公示信息格式规范（2020年版）》要求内容外，还应包含采购人专门面向中小企业预留份额情况及成交供应商评审价格、优惠率等内容），</w:t>
      </w:r>
      <w:r>
        <w:rPr>
          <w:rFonts w:hint="eastAsia" w:ascii="宋体" w:hAnsi="宋体" w:cs="宋体"/>
          <w:color w:val="auto"/>
          <w:szCs w:val="21"/>
          <w:highlight w:val="none"/>
        </w:rPr>
        <w:t>同时向成交供应商发出成交通知书，成交通知书规定签订合同的时间不得超过25日。</w:t>
      </w:r>
    </w:p>
    <w:p w14:paraId="420E2B80">
      <w:pPr>
        <w:spacing w:line="360" w:lineRule="auto"/>
        <w:ind w:firstLine="420" w:firstLineChars="200"/>
        <w:rPr>
          <w:rFonts w:hint="eastAsia" w:ascii="宋体" w:hAnsi="宋体" w:cs="Courier New"/>
          <w:color w:val="auto"/>
          <w:szCs w:val="21"/>
          <w:highlight w:val="none"/>
        </w:rPr>
      </w:pPr>
      <w:r>
        <w:rPr>
          <w:rFonts w:hint="eastAsia" w:ascii="宋体" w:hAnsi="宋体" w:cs="宋体"/>
          <w:color w:val="auto"/>
          <w:szCs w:val="21"/>
          <w:highlight w:val="none"/>
        </w:rPr>
        <w:t>27.3采购人或者采购代理机构发出成交通知书前，应当对成交供应商信用进行查询核实，对列入失信被执行人、重大税收违法案件当事人名单、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竞磋文件一并保存。</w:t>
      </w:r>
      <w:r>
        <w:rPr>
          <w:rFonts w:hint="eastAsia" w:ascii="宋体" w:hAnsi="宋体" w:cs="Courier New"/>
          <w:color w:val="auto"/>
          <w:szCs w:val="21"/>
          <w:highlight w:val="none"/>
        </w:rPr>
        <w:t>成交供应商享受</w:t>
      </w:r>
      <w:r>
        <w:rPr>
          <w:rFonts w:hint="eastAsia" w:ascii="宋体" w:hAnsi="宋体"/>
          <w:color w:val="auto"/>
          <w:szCs w:val="21"/>
          <w:highlight w:val="none"/>
        </w:rPr>
        <w:t>《政府采购促进中小企业发展管理办法》（财库〔2020〕46号）规定的中小企业扶持</w:t>
      </w:r>
      <w:r>
        <w:rPr>
          <w:rFonts w:hint="eastAsia" w:ascii="宋体" w:hAnsi="宋体" w:cs="Courier New"/>
          <w:color w:val="auto"/>
          <w:szCs w:val="21"/>
          <w:highlight w:val="none"/>
        </w:rPr>
        <w:t>政策的，采购人、采购代理机构应当随成交结果公开成交供应商的《中小企业声明函》。</w:t>
      </w:r>
    </w:p>
    <w:p w14:paraId="14F842A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27.4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14:paraId="7311CB42">
      <w:pPr>
        <w:spacing w:line="360" w:lineRule="auto"/>
        <w:ind w:firstLine="420" w:firstLineChars="200"/>
        <w:rPr>
          <w:rFonts w:hint="eastAsia" w:ascii="宋体" w:hAnsi="宋体" w:cs="宋体"/>
          <w:color w:val="auto"/>
          <w:szCs w:val="21"/>
          <w:highlight w:val="none"/>
        </w:rPr>
      </w:pPr>
      <w:r>
        <w:rPr>
          <w:rFonts w:hint="eastAsia" w:ascii="宋体" w:hAnsi="宋体"/>
          <w:bCs/>
          <w:color w:val="auto"/>
          <w:szCs w:val="21"/>
          <w:highlight w:val="none"/>
        </w:rPr>
        <w:t>27.5</w:t>
      </w:r>
      <w:r>
        <w:rPr>
          <w:rFonts w:hint="eastAsia" w:ascii="宋体" w:hAnsi="宋体" w:cs="宋体"/>
          <w:color w:val="auto"/>
          <w:szCs w:val="21"/>
          <w:highlight w:val="none"/>
        </w:rPr>
        <w:t>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w:t>
      </w:r>
    </w:p>
    <w:p w14:paraId="58A88DBA">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28.履约保证金</w:t>
      </w:r>
    </w:p>
    <w:p w14:paraId="2E702855">
      <w:pPr>
        <w:spacing w:line="360" w:lineRule="auto"/>
        <w:ind w:firstLine="420" w:firstLineChars="200"/>
        <w:rPr>
          <w:rFonts w:hint="eastAsia" w:ascii="黑体" w:hAnsi="黑体" w:eastAsia="黑体" w:cs="宋体"/>
          <w:b/>
          <w:bCs/>
          <w:color w:val="auto"/>
          <w:sz w:val="24"/>
          <w:highlight w:val="none"/>
        </w:rPr>
      </w:pPr>
      <w:r>
        <w:rPr>
          <w:rFonts w:hint="eastAsia" w:ascii="宋体" w:hAnsi="宋体" w:cs="宋体"/>
          <w:color w:val="auto"/>
          <w:szCs w:val="21"/>
          <w:highlight w:val="none"/>
        </w:rPr>
        <w:t>详见 “供应商须知前附表”</w:t>
      </w:r>
    </w:p>
    <w:p w14:paraId="3966A203">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29.签订合同</w:t>
      </w:r>
    </w:p>
    <w:p w14:paraId="5A6286C7">
      <w:pPr>
        <w:pStyle w:val="71"/>
        <w:snapToGrid w:val="0"/>
        <w:spacing w:before="0"/>
        <w:ind w:firstLine="420"/>
        <w:rPr>
          <w:rFonts w:hint="eastAsia" w:ascii="宋体" w:hAnsi="宋体"/>
          <w:color w:val="auto"/>
          <w:sz w:val="21"/>
          <w:szCs w:val="21"/>
          <w:highlight w:val="none"/>
          <w:lang w:val="zh-CN"/>
        </w:rPr>
      </w:pPr>
      <w:r>
        <w:rPr>
          <w:rFonts w:hint="eastAsia" w:ascii="宋体" w:hAnsi="宋体" w:cs="宋体"/>
          <w:color w:val="auto"/>
          <w:sz w:val="21"/>
          <w:szCs w:val="21"/>
          <w:highlight w:val="none"/>
        </w:rPr>
        <w:t>29.1</w:t>
      </w:r>
      <w:r>
        <w:rPr>
          <w:rFonts w:hint="eastAsia" w:ascii="宋体" w:hAnsi="宋体"/>
          <w:color w:val="auto"/>
          <w:sz w:val="21"/>
          <w:szCs w:val="21"/>
          <w:highlight w:val="none"/>
        </w:rPr>
        <w:t>采购人与成交供应商应当在</w:t>
      </w:r>
      <w:r>
        <w:rPr>
          <w:rFonts w:hint="eastAsia" w:ascii="宋体" w:hAnsi="宋体" w:cs="宋体"/>
          <w:color w:val="auto"/>
          <w:sz w:val="21"/>
          <w:szCs w:val="21"/>
          <w:highlight w:val="none"/>
        </w:rPr>
        <w:t>成交通知书规定的时间内</w:t>
      </w:r>
      <w:r>
        <w:rPr>
          <w:rFonts w:hint="eastAsia" w:ascii="宋体" w:hAnsi="宋体"/>
          <w:color w:val="auto"/>
          <w:sz w:val="21"/>
          <w:szCs w:val="21"/>
          <w:highlight w:val="none"/>
        </w:rPr>
        <w:t>，按照磋商文件确定的合同文本以及采购标的、服务技术、采购金额、采购数量、技术和服务要求等事项签订政府采购合同。</w:t>
      </w:r>
      <w:r>
        <w:rPr>
          <w:rFonts w:hint="eastAsia" w:ascii="宋体" w:hAnsi="宋体"/>
          <w:color w:val="auto"/>
          <w:sz w:val="21"/>
          <w:szCs w:val="21"/>
          <w:highlight w:val="none"/>
          <w:lang w:val="zh-CN"/>
        </w:rPr>
        <w:t>如成交供应商为联合体的，由联合体成员各方法定代表人或其授权代表与采购人代表签订合同。</w:t>
      </w:r>
    </w:p>
    <w:p w14:paraId="53F8C57F">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29.2采购人不得向成交供应商提出超出磋商文件以外的任何要求作为签订合同的条件，不得与成交供应商订立背离磋商文件确定的合同文本以及采购标的、服务技术、采购金额、采购数量、技术和服务要求等实质性内容的协议。</w:t>
      </w:r>
    </w:p>
    <w:p w14:paraId="3A33B5D8">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29.3成交供应商拒绝签订政府采购合同的，采购人可以按照评审报告推荐的成交候选人名单排序，确定下一候选人为成交供应商，也可以重新开展采购活动。拒绝签订政府采购合同的成交供应商不得参加对该项目重新开展的采购活动。</w:t>
      </w:r>
    </w:p>
    <w:p w14:paraId="5613C3C4">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29.4如签订合同并生效后，供应商无故拒绝或延期，除按照合同条款处理外，列入不良行为记录，并给予通报。</w:t>
      </w:r>
    </w:p>
    <w:p w14:paraId="1903DEB3">
      <w:pPr>
        <w:pStyle w:val="71"/>
        <w:spacing w:before="0"/>
        <w:ind w:firstLine="420"/>
        <w:rPr>
          <w:rFonts w:hint="eastAsia" w:ascii="宋体" w:hAnsi="宋体" w:cs="宋体"/>
          <w:color w:val="auto"/>
          <w:szCs w:val="21"/>
          <w:highlight w:val="none"/>
        </w:rPr>
      </w:pPr>
      <w:r>
        <w:rPr>
          <w:rFonts w:hint="eastAsia" w:ascii="宋体" w:hAnsi="宋体" w:cs="仿宋_GB2312"/>
          <w:color w:val="auto"/>
          <w:sz w:val="21"/>
          <w:szCs w:val="21"/>
          <w:highlight w:val="none"/>
        </w:rPr>
        <w:t>29.5采购合同由采购人与成交供应商根据</w:t>
      </w:r>
      <w:r>
        <w:rPr>
          <w:rFonts w:hint="eastAsia" w:ascii="宋体" w:hAnsi="宋体"/>
          <w:color w:val="auto"/>
          <w:sz w:val="21"/>
          <w:szCs w:val="21"/>
          <w:highlight w:val="none"/>
        </w:rPr>
        <w:t>磋商文件</w:t>
      </w:r>
      <w:r>
        <w:rPr>
          <w:rFonts w:hint="eastAsia" w:ascii="宋体" w:hAnsi="宋体" w:cs="仿宋_GB2312"/>
          <w:color w:val="auto"/>
          <w:sz w:val="21"/>
          <w:szCs w:val="21"/>
          <w:highlight w:val="none"/>
        </w:rPr>
        <w:t>、响应文件等内容通过政府采购电子交易平台在线签订，自动备案，在线签订须携带的材料见“</w:t>
      </w:r>
      <w:r>
        <w:rPr>
          <w:color w:val="auto"/>
          <w:highlight w:val="none"/>
        </w:rPr>
        <w:t xml:space="preserve"> </w:t>
      </w:r>
      <w:r>
        <w:rPr>
          <w:rFonts w:hint="eastAsia" w:ascii="宋体" w:hAnsi="宋体" w:cs="仿宋_GB2312"/>
          <w:color w:val="auto"/>
          <w:sz w:val="21"/>
          <w:szCs w:val="21"/>
          <w:highlight w:val="none"/>
        </w:rPr>
        <w:t>供应商须</w:t>
      </w:r>
      <w:r>
        <w:rPr>
          <w:rFonts w:hint="eastAsia" w:ascii="宋体" w:hAnsi="宋体"/>
          <w:color w:val="auto"/>
          <w:sz w:val="21"/>
          <w:szCs w:val="21"/>
          <w:highlight w:val="none"/>
        </w:rPr>
        <w:t>知前附表</w:t>
      </w:r>
      <w:r>
        <w:rPr>
          <w:rFonts w:hint="eastAsia" w:ascii="宋体" w:hAnsi="宋体" w:cs="仿宋_GB2312"/>
          <w:color w:val="auto"/>
          <w:sz w:val="21"/>
          <w:szCs w:val="21"/>
          <w:highlight w:val="none"/>
        </w:rPr>
        <w:t>”。</w:t>
      </w:r>
    </w:p>
    <w:p w14:paraId="0BA089B3">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30.政府采购合同公告</w:t>
      </w:r>
    </w:p>
    <w:p w14:paraId="687277F8">
      <w:pPr>
        <w:spacing w:line="360" w:lineRule="auto"/>
        <w:ind w:firstLine="420" w:firstLineChars="200"/>
        <w:rPr>
          <w:rFonts w:hint="eastAsia" w:hAnsi="宋体"/>
          <w:color w:val="auto"/>
          <w:highlight w:val="none"/>
        </w:rPr>
      </w:pPr>
      <w:r>
        <w:rPr>
          <w:rFonts w:hint="eastAsia" w:hAnsi="宋体"/>
          <w:color w:val="auto"/>
          <w:highlight w:val="none"/>
        </w:rPr>
        <w:t>采购人或者受托采购代理机构应当自政府采购合同签订之日起</w:t>
      </w:r>
      <w:r>
        <w:rPr>
          <w:rFonts w:hAnsi="宋体"/>
          <w:color w:val="auto"/>
          <w:highlight w:val="none"/>
        </w:rPr>
        <w:t>2</w:t>
      </w:r>
      <w:r>
        <w:rPr>
          <w:rFonts w:hint="eastAsia" w:hAnsi="宋体"/>
          <w:color w:val="auto"/>
          <w:highlight w:val="none"/>
        </w:rPr>
        <w:t>个工作日内，将政府采购合同</w:t>
      </w:r>
      <w:r>
        <w:rPr>
          <w:rFonts w:hint="eastAsia" w:ascii="宋体" w:hAnsi="宋体"/>
          <w:bCs/>
          <w:color w:val="auto"/>
          <w:highlight w:val="none"/>
        </w:rPr>
        <w:t>在以下媒体上发布</w:t>
      </w:r>
      <w:r>
        <w:rPr>
          <w:rFonts w:hint="eastAsia" w:ascii="宋体" w:hAnsi="宋体" w:cs="宋体"/>
          <w:color w:val="auto"/>
          <w:kern w:val="0"/>
          <w:szCs w:val="21"/>
          <w:highlight w:val="none"/>
        </w:rPr>
        <w:t xml:space="preserve"> “广西政府采购网”（http://zfcg.gxzf.gov.cn）</w:t>
      </w:r>
      <w:r>
        <w:rPr>
          <w:rFonts w:hint="eastAsia" w:hAnsi="宋体"/>
          <w:color w:val="auto"/>
          <w:highlight w:val="none"/>
        </w:rPr>
        <w:t>上公告，但政府采购合同中涉及国家秘密、商业秘密的内容除外。</w:t>
      </w:r>
    </w:p>
    <w:p w14:paraId="17F9DB36">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31. 询问、质疑和投诉</w:t>
      </w:r>
    </w:p>
    <w:p w14:paraId="0F3390C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31.1供应商对政府采购活动事项有疑问的，可以向采购人、采购代理机构提出询问，采购人或者采购代理机构应当在3个工作日内对供应商依法提出的询问作出答复。</w:t>
      </w:r>
    </w:p>
    <w:p w14:paraId="41B76777">
      <w:pPr>
        <w:spacing w:line="360" w:lineRule="auto"/>
        <w:ind w:firstLine="420" w:firstLineChars="200"/>
        <w:rPr>
          <w:rFonts w:hint="eastAsia" w:ascii="宋体" w:hAnsi="宋体"/>
          <w:b/>
          <w:color w:val="auto"/>
          <w:szCs w:val="21"/>
          <w:highlight w:val="none"/>
        </w:rPr>
      </w:pPr>
      <w:r>
        <w:rPr>
          <w:rFonts w:hint="eastAsia" w:ascii="宋体" w:hAnsi="宋体" w:cs="宋体"/>
          <w:color w:val="auto"/>
          <w:highlight w:val="none"/>
        </w:rPr>
        <w:t>31.2供应商认为磋商文件、采购过程或者成交结果使自己的合法权益受到损害的，应当在知道或者应知其权益受到损害之日起7个工作日内，以书面形式向采购人、采购代理机构提出质疑，</w:t>
      </w:r>
      <w:r>
        <w:rPr>
          <w:rFonts w:hint="eastAsia" w:ascii="宋体" w:hAnsi="宋体" w:cs="Arial"/>
          <w:color w:val="auto"/>
          <w:highlight w:val="none"/>
          <w:shd w:val="clear" w:color="auto" w:fill="FFFFFF"/>
        </w:rPr>
        <w:t>接收质疑函的方式、联系部门、联系电话和通讯地址等信息详见</w:t>
      </w:r>
      <w:r>
        <w:rPr>
          <w:rFonts w:hint="eastAsia" w:ascii="宋体" w:hAnsi="宋体" w:cs="宋体"/>
          <w:color w:val="auto"/>
          <w:szCs w:val="21"/>
          <w:highlight w:val="none"/>
        </w:rPr>
        <w:t>“供应商须知前附表”</w:t>
      </w:r>
      <w:r>
        <w:rPr>
          <w:rFonts w:hint="eastAsia" w:ascii="宋体" w:hAnsi="宋体" w:cs="宋体"/>
          <w:color w:val="auto"/>
          <w:highlight w:val="none"/>
        </w:rPr>
        <w:t>。</w:t>
      </w:r>
      <w:r>
        <w:rPr>
          <w:rFonts w:hint="eastAsia" w:ascii="宋体" w:hAnsi="宋体"/>
          <w:b/>
          <w:color w:val="auto"/>
          <w:szCs w:val="21"/>
          <w:highlight w:val="none"/>
        </w:rPr>
        <w:t xml:space="preserve">具体质疑起算时间及处理方式如下： </w:t>
      </w:r>
    </w:p>
    <w:p w14:paraId="16DC7AFA">
      <w:pPr>
        <w:spacing w:line="360" w:lineRule="auto"/>
        <w:ind w:firstLine="420" w:firstLineChars="200"/>
        <w:rPr>
          <w:rFonts w:hint="eastAsia" w:hAnsi="宋体"/>
          <w:bCs/>
          <w:color w:val="auto"/>
          <w:highlight w:val="none"/>
        </w:rPr>
      </w:pPr>
      <w:r>
        <w:rPr>
          <w:rFonts w:hint="eastAsia" w:hAnsi="宋体"/>
          <w:bCs/>
          <w:color w:val="auto"/>
          <w:highlight w:val="none"/>
        </w:rPr>
        <w:t>（</w:t>
      </w:r>
      <w:r>
        <w:rPr>
          <w:rFonts w:hAnsi="宋体"/>
          <w:bCs/>
          <w:color w:val="auto"/>
          <w:highlight w:val="none"/>
        </w:rPr>
        <w:t>1</w:t>
      </w:r>
      <w:r>
        <w:rPr>
          <w:rFonts w:hint="eastAsia" w:hAnsi="宋体"/>
          <w:bCs/>
          <w:color w:val="auto"/>
          <w:highlight w:val="none"/>
        </w:rPr>
        <w:t>）潜在供应商依法获取采购文件后，认为采购文件使自己的权益受到损害的，应当在竞争性磋商采购文件公告期限届满之日起</w:t>
      </w:r>
      <w:r>
        <w:rPr>
          <w:rFonts w:hAnsi="宋体"/>
          <w:bCs/>
          <w:color w:val="auto"/>
          <w:highlight w:val="none"/>
        </w:rPr>
        <w:t>7</w:t>
      </w:r>
      <w:r>
        <w:rPr>
          <w:rFonts w:hint="eastAsia" w:hAnsi="宋体"/>
          <w:bCs/>
          <w:color w:val="auto"/>
          <w:highlight w:val="none"/>
        </w:rPr>
        <w:t>个工作日内提出质疑。</w:t>
      </w:r>
      <w:r>
        <w:rPr>
          <w:rFonts w:hint="eastAsia"/>
          <w:color w:val="auto"/>
          <w:highlight w:val="none"/>
        </w:rPr>
        <w:t>委托代理协议无特殊约定的，</w:t>
      </w:r>
      <w:r>
        <w:rPr>
          <w:rFonts w:hint="eastAsia" w:hAnsi="宋体"/>
          <w:bCs/>
          <w:color w:val="auto"/>
          <w:highlight w:val="none"/>
        </w:rPr>
        <w:t>对竞争性磋商文件中采购需求（含资格要求、采购预算和评分办法）的质疑由采购人受理并负责答复；对竞争性磋商文件中的采购执行程序的质疑由采购代理机构受理并负责答复。</w:t>
      </w:r>
    </w:p>
    <w:p w14:paraId="6149EA63">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2</w:t>
      </w:r>
      <w:r>
        <w:rPr>
          <w:rFonts w:hint="eastAsia" w:hAnsi="宋体"/>
          <w:bCs/>
          <w:color w:val="auto"/>
          <w:highlight w:val="none"/>
        </w:rPr>
        <w:t>）供应商认为采购过程使自己的权益受到损害的，应当在各采购程序环节结束之日起</w:t>
      </w:r>
      <w:r>
        <w:rPr>
          <w:rFonts w:hAnsi="宋体"/>
          <w:bCs/>
          <w:color w:val="auto"/>
          <w:highlight w:val="none"/>
        </w:rPr>
        <w:t>7</w:t>
      </w:r>
      <w:r>
        <w:rPr>
          <w:rFonts w:hint="eastAsia" w:hAnsi="宋体"/>
          <w:bCs/>
          <w:color w:val="auto"/>
          <w:highlight w:val="none"/>
        </w:rPr>
        <w:t>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0AC1A3BE">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3</w:t>
      </w:r>
      <w:r>
        <w:rPr>
          <w:rFonts w:hint="eastAsia" w:hAnsi="宋体"/>
          <w:bCs/>
          <w:color w:val="auto"/>
          <w:highlight w:val="none"/>
        </w:rPr>
        <w:t>）供应商认为成交结果使自己的权益受到损害的，应当在成交结果公告期限届满之日起</w:t>
      </w:r>
      <w:r>
        <w:rPr>
          <w:rFonts w:hAnsi="宋体"/>
          <w:bCs/>
          <w:color w:val="auto"/>
          <w:highlight w:val="none"/>
        </w:rPr>
        <w:t>7</w:t>
      </w:r>
      <w:r>
        <w:rPr>
          <w:rFonts w:hint="eastAsia" w:hAnsi="宋体"/>
          <w:bCs/>
          <w:color w:val="auto"/>
          <w:highlight w:val="none"/>
        </w:rPr>
        <w:t>个工作日内提出质疑，由采购人受理并负责答复。</w:t>
      </w:r>
    </w:p>
    <w:p w14:paraId="044A9C91">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31.3供应商提出的询问或者质疑超出采购人对采购代理机构委托授权范围的，采购代理机构应当告知供应商向采购人提出。政府采购评审专家应当配合采购人或者采购代理机构答复供应商的询问和质疑。</w:t>
      </w:r>
    </w:p>
    <w:p w14:paraId="0EC644C9">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31.4 供应商提出质疑应当提交质疑函和必要的证明材料，针对同一采购程序环节的质疑必须在法定质疑期内一次性提出。质疑函应当包括下列内容</w:t>
      </w:r>
      <w:r>
        <w:rPr>
          <w:rFonts w:hint="eastAsia" w:hAnsi="宋体"/>
          <w:bCs/>
          <w:color w:val="auto"/>
          <w:highlight w:val="none"/>
        </w:rPr>
        <w:t>（质疑函格式后附）</w:t>
      </w:r>
      <w:r>
        <w:rPr>
          <w:rFonts w:hint="eastAsia" w:ascii="宋体" w:hAnsi="宋体" w:cs="宋体"/>
          <w:color w:val="auto"/>
          <w:highlight w:val="none"/>
        </w:rPr>
        <w:t>：</w:t>
      </w:r>
    </w:p>
    <w:p w14:paraId="24638AC5">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（1）供应商的姓名或者名称、地址、邮编、联系人及联系电话；</w:t>
      </w:r>
    </w:p>
    <w:p w14:paraId="40C48E13">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（2）质疑项目的名称、编号；</w:t>
      </w:r>
    </w:p>
    <w:p w14:paraId="476EBD78">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（3）具体、明确的质疑事项和与质疑事项相关的请求；</w:t>
      </w:r>
    </w:p>
    <w:p w14:paraId="4C61DA34">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（4）事实依据；</w:t>
      </w:r>
    </w:p>
    <w:p w14:paraId="2F9ACC85">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（5）必要的法律依据；</w:t>
      </w:r>
    </w:p>
    <w:p w14:paraId="2763D0AB">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（6）提出质疑的日期。</w:t>
      </w:r>
    </w:p>
    <w:p w14:paraId="1EC25982">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供应商为自然人的，应当由本人签字；供应商为法人或者其他组织的，应当由法定代表人、主要负责人，或者其委托代理人签字或者盖章，并加盖公章。</w:t>
      </w:r>
    </w:p>
    <w:p w14:paraId="192EE8CF">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31.5采购人、采购代理机构认为供应商质疑不成立，或者成立但未对成交结果构成影响的，继续开展采购活动；认为供应商质疑成立且影响或者可能影响成交结果的，按照下列情况处理：</w:t>
      </w:r>
    </w:p>
    <w:p w14:paraId="74D60BD6">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（一）对采购文件提出的质疑，依法通过澄清或者修改可以继续开展采购活动的，澄清或者修改采购文件后继续开展采购活动；否则应当修改采购文件后重新开展采购活动。</w:t>
      </w:r>
    </w:p>
    <w:p w14:paraId="49FE25B2">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（二）对采购过程或者成交结果提出的质疑，合格供应商符合法定数量时，可以从合格的成交候选人中另行确定成交供应商的，应当依法另行确定成交供应商；否则应当重新开展采购活动。</w:t>
      </w:r>
    </w:p>
    <w:p w14:paraId="3ABBE94D">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质疑答复导致成交结果改变的，采购人或者采购代理机构应当将有关情况书面报告本级财政部门。</w:t>
      </w:r>
    </w:p>
    <w:p w14:paraId="2A131B21">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31.6投诉的权利。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受理投诉方式见“供应商须知前附表”。</w:t>
      </w:r>
      <w:bookmarkStart w:id="66" w:name="_Toc80205930"/>
    </w:p>
    <w:p w14:paraId="5EF273A8">
      <w:pPr>
        <w:pStyle w:val="4"/>
        <w:spacing w:before="0" w:after="0" w:line="360" w:lineRule="auto"/>
        <w:ind w:firstLine="315" w:firstLineChars="98"/>
        <w:rPr>
          <w:rFonts w:hint="eastAsia" w:ascii="宋体" w:hAnsi="宋体"/>
          <w:b w:val="0"/>
          <w:color w:val="auto"/>
          <w:highlight w:val="none"/>
        </w:rPr>
      </w:pPr>
      <w:bookmarkStart w:id="67" w:name="_Toc536"/>
      <w:r>
        <w:rPr>
          <w:rFonts w:hint="eastAsia" w:ascii="宋体" w:hAnsi="宋体"/>
          <w:color w:val="auto"/>
          <w:highlight w:val="none"/>
        </w:rPr>
        <w:t>六</w:t>
      </w:r>
      <w:r>
        <w:rPr>
          <w:rFonts w:hint="eastAsia" w:ascii="宋体" w:hAnsi="宋体"/>
          <w:b w:val="0"/>
          <w:color w:val="auto"/>
          <w:highlight w:val="none"/>
        </w:rPr>
        <w:t>、验收</w:t>
      </w:r>
      <w:bookmarkEnd w:id="66"/>
      <w:bookmarkEnd w:id="67"/>
    </w:p>
    <w:p w14:paraId="0578875D">
      <w:pPr>
        <w:tabs>
          <w:tab w:val="left" w:pos="0"/>
        </w:tabs>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32.验收</w:t>
      </w:r>
    </w:p>
    <w:p w14:paraId="684FA378">
      <w:pPr>
        <w:tabs>
          <w:tab w:val="left" w:pos="0"/>
        </w:tabs>
        <w:spacing w:line="360" w:lineRule="auto"/>
        <w:ind w:firstLine="420" w:firstLineChars="200"/>
        <w:rPr>
          <w:rFonts w:hint="eastAsia" w:ascii="宋体" w:hAnsi="宋体" w:cs="Helvetica"/>
          <w:color w:val="auto"/>
          <w:kern w:val="0"/>
          <w:szCs w:val="21"/>
          <w:highlight w:val="none"/>
        </w:rPr>
      </w:pPr>
      <w:r>
        <w:rPr>
          <w:rFonts w:hint="eastAsia" w:ascii="宋体" w:hAnsi="宋体" w:cs="Helvetica"/>
          <w:color w:val="auto"/>
          <w:kern w:val="0"/>
          <w:szCs w:val="21"/>
          <w:highlight w:val="none"/>
        </w:rPr>
        <w:t>32.1采购人会同实际使用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6B0E590E">
      <w:pPr>
        <w:tabs>
          <w:tab w:val="left" w:pos="0"/>
        </w:tabs>
        <w:spacing w:line="360" w:lineRule="auto"/>
        <w:ind w:firstLine="420" w:firstLineChars="200"/>
        <w:rPr>
          <w:rFonts w:hint="eastAsia" w:ascii="宋体" w:hAnsi="宋体" w:cs="Helvetica"/>
          <w:color w:val="auto"/>
          <w:kern w:val="0"/>
          <w:szCs w:val="21"/>
          <w:highlight w:val="none"/>
        </w:rPr>
      </w:pPr>
      <w:r>
        <w:rPr>
          <w:rFonts w:hint="eastAsia" w:ascii="宋体" w:hAnsi="宋体" w:cs="Helvetica"/>
          <w:color w:val="auto"/>
          <w:kern w:val="0"/>
          <w:szCs w:val="21"/>
          <w:highlight w:val="none"/>
        </w:rPr>
        <w:t>32.2采购人可以邀请参加本项目的其他供应商或者第三方机构参与验收。参与验收的供应商或者第三方机构的意见作为验收书的参考资料一并存档。</w:t>
      </w:r>
    </w:p>
    <w:p w14:paraId="7F268E89">
      <w:pPr>
        <w:tabs>
          <w:tab w:val="left" w:pos="0"/>
        </w:tabs>
        <w:spacing w:line="360" w:lineRule="auto"/>
        <w:ind w:firstLine="420" w:firstLineChars="200"/>
        <w:rPr>
          <w:rFonts w:hint="eastAsia" w:ascii="宋体" w:hAnsi="宋体" w:cs="Helvetica"/>
          <w:color w:val="auto"/>
          <w:kern w:val="0"/>
          <w:szCs w:val="21"/>
          <w:highlight w:val="none"/>
        </w:rPr>
      </w:pPr>
      <w:r>
        <w:rPr>
          <w:rFonts w:hint="eastAsia" w:ascii="宋体" w:hAnsi="宋体" w:cs="Helvetica"/>
          <w:color w:val="auto"/>
          <w:kern w:val="0"/>
          <w:szCs w:val="21"/>
          <w:highlight w:val="none"/>
        </w:rPr>
        <w:t>32.3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1FB46722">
      <w:pPr>
        <w:tabs>
          <w:tab w:val="left" w:pos="0"/>
        </w:tabs>
        <w:spacing w:line="360" w:lineRule="auto"/>
        <w:ind w:firstLine="420" w:firstLineChars="200"/>
        <w:rPr>
          <w:rFonts w:hint="eastAsia" w:ascii="宋体" w:hAnsi="宋体" w:cs="宋体"/>
          <w:color w:val="auto"/>
          <w:szCs w:val="21"/>
          <w:highlight w:val="none"/>
        </w:rPr>
      </w:pPr>
      <w:r>
        <w:rPr>
          <w:rFonts w:hint="eastAsia" w:ascii="宋体" w:hAnsi="宋体" w:cs="Helvetica"/>
          <w:color w:val="auto"/>
          <w:kern w:val="0"/>
          <w:szCs w:val="21"/>
          <w:highlight w:val="none"/>
        </w:rPr>
        <w:t>32.4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0F9493C1">
      <w:pPr>
        <w:pStyle w:val="4"/>
        <w:spacing w:before="0" w:after="0" w:line="360" w:lineRule="auto"/>
        <w:ind w:firstLine="320" w:firstLineChars="100"/>
        <w:rPr>
          <w:rFonts w:hint="eastAsia" w:ascii="宋体" w:hAnsi="宋体"/>
          <w:b w:val="0"/>
          <w:bCs w:val="0"/>
          <w:color w:val="auto"/>
          <w:highlight w:val="none"/>
        </w:rPr>
      </w:pPr>
      <w:bookmarkStart w:id="68" w:name="_Toc30836"/>
      <w:r>
        <w:rPr>
          <w:rFonts w:hint="eastAsia" w:ascii="宋体" w:hAnsi="宋体"/>
          <w:b w:val="0"/>
          <w:bCs w:val="0"/>
          <w:color w:val="auto"/>
          <w:highlight w:val="none"/>
        </w:rPr>
        <w:t>七、其他事项</w:t>
      </w:r>
      <w:bookmarkEnd w:id="68"/>
    </w:p>
    <w:p w14:paraId="7A304C03">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33.代理服务费</w:t>
      </w:r>
    </w:p>
    <w:p w14:paraId="791C6B72">
      <w:pPr>
        <w:tabs>
          <w:tab w:val="left" w:pos="2835"/>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代理服务收费标准及缴费账户详见“供应商须知前附表”，供应商为联合体的，可以由联合体中的一方或者多方共同交纳代理服务费。</w:t>
      </w:r>
    </w:p>
    <w:p w14:paraId="4D4E0B7C">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34.需要补充的其他内容</w:t>
      </w:r>
    </w:p>
    <w:p w14:paraId="695ADBE7">
      <w:pPr>
        <w:pStyle w:val="15"/>
        <w:spacing w:line="360" w:lineRule="auto"/>
        <w:ind w:firstLine="420" w:firstLineChars="200"/>
        <w:textAlignment w:val="center"/>
        <w:rPr>
          <w:rFonts w:hint="eastAsia" w:hAnsi="宋体" w:cs="宋体"/>
          <w:color w:val="auto"/>
          <w:kern w:val="2"/>
          <w:sz w:val="21"/>
          <w:highlight w:val="none"/>
        </w:rPr>
      </w:pPr>
      <w:r>
        <w:rPr>
          <w:rFonts w:hint="eastAsia" w:hAnsi="宋体" w:cs="宋体"/>
          <w:color w:val="auto"/>
          <w:kern w:val="2"/>
          <w:sz w:val="21"/>
          <w:highlight w:val="none"/>
        </w:rPr>
        <w:t>34.1本磋商文件解释规则详见“供应商须知前附表”。</w:t>
      </w:r>
    </w:p>
    <w:p w14:paraId="3999ED0B">
      <w:pPr>
        <w:pStyle w:val="15"/>
        <w:spacing w:line="360" w:lineRule="auto"/>
        <w:ind w:firstLine="420" w:firstLineChars="200"/>
        <w:textAlignment w:val="center"/>
        <w:rPr>
          <w:rFonts w:hint="eastAsia" w:hAnsi="宋体" w:cs="宋体"/>
          <w:color w:val="auto"/>
          <w:kern w:val="2"/>
          <w:sz w:val="21"/>
          <w:highlight w:val="none"/>
        </w:rPr>
      </w:pPr>
      <w:r>
        <w:rPr>
          <w:rFonts w:hint="eastAsia" w:hAnsi="宋体" w:cs="宋体"/>
          <w:color w:val="auto"/>
          <w:kern w:val="2"/>
          <w:sz w:val="21"/>
          <w:highlight w:val="none"/>
        </w:rPr>
        <w:t>34.2 其他事项详见“供应商须知前附表”。</w:t>
      </w:r>
    </w:p>
    <w:p w14:paraId="6473191B">
      <w:pPr>
        <w:pStyle w:val="15"/>
        <w:spacing w:line="360" w:lineRule="auto"/>
        <w:ind w:firstLine="420" w:firstLineChars="200"/>
        <w:textAlignment w:val="center"/>
        <w:rPr>
          <w:rFonts w:hint="eastAsia" w:hAnsi="宋体" w:cs="宋体"/>
          <w:color w:val="auto"/>
          <w:kern w:val="2"/>
          <w:sz w:val="21"/>
          <w:highlight w:val="none"/>
        </w:rPr>
      </w:pPr>
      <w:r>
        <w:rPr>
          <w:rFonts w:hint="eastAsia" w:hAnsi="宋体" w:cs="宋体"/>
          <w:color w:val="auto"/>
          <w:kern w:val="2"/>
          <w:sz w:val="21"/>
          <w:highlight w:val="none"/>
        </w:rPr>
        <w:t>34.3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w:t>
      </w:r>
      <w:r>
        <w:rPr>
          <w:rFonts w:hint="eastAsia" w:hAnsi="宋体"/>
          <w:color w:val="auto"/>
          <w:sz w:val="21"/>
          <w:highlight w:val="none"/>
        </w:rPr>
        <w:t>服务由中小企业承接，即提供服务的人员为中小企业依照《中华人民共和国劳动合同法》订立劳动合同的从业人员，不对其中涉及的货物的制造商和工程承建商作出要求的</w:t>
      </w:r>
      <w:r>
        <w:rPr>
          <w:rFonts w:hint="eastAsia" w:hAnsi="宋体" w:cs="宋体"/>
          <w:color w:val="auto"/>
          <w:kern w:val="2"/>
          <w:sz w:val="21"/>
          <w:highlight w:val="none"/>
        </w:rPr>
        <w:t>，享受本文件规定的中小企业扶持政策。</w:t>
      </w:r>
    </w:p>
    <w:p w14:paraId="0A79E559">
      <w:pPr>
        <w:pStyle w:val="15"/>
        <w:spacing w:line="360" w:lineRule="auto"/>
        <w:ind w:firstLine="420" w:firstLineChars="200"/>
        <w:textAlignment w:val="center"/>
        <w:rPr>
          <w:rFonts w:hint="eastAsia" w:hAnsi="宋体" w:cs="宋体"/>
          <w:color w:val="auto"/>
          <w:kern w:val="2"/>
          <w:sz w:val="21"/>
          <w:highlight w:val="none"/>
        </w:rPr>
      </w:pPr>
      <w:r>
        <w:rPr>
          <w:rFonts w:hint="eastAsia" w:hAnsi="宋体" w:cs="宋体"/>
          <w:color w:val="auto"/>
          <w:kern w:val="2"/>
          <w:sz w:val="21"/>
          <w:highlight w:val="none"/>
        </w:rPr>
        <w:t>以联合体形式参加政府采购活动，联合体各方均为中小企业的，联合体视同中小企业。其中，联合体各方均为小微企业的，联合体视同小微企业。</w:t>
      </w:r>
    </w:p>
    <w:p w14:paraId="4766A65D">
      <w:pPr>
        <w:pStyle w:val="15"/>
        <w:spacing w:line="360" w:lineRule="auto"/>
        <w:ind w:firstLine="420" w:firstLineChars="200"/>
        <w:textAlignment w:val="center"/>
        <w:rPr>
          <w:rFonts w:hint="eastAsia" w:hAnsi="宋体" w:cs="宋体"/>
          <w:color w:val="auto"/>
          <w:kern w:val="2"/>
          <w:sz w:val="21"/>
          <w:highlight w:val="none"/>
        </w:rPr>
      </w:pPr>
      <w:r>
        <w:rPr>
          <w:rFonts w:hint="eastAsia" w:hAnsi="宋体" w:cs="宋体"/>
          <w:color w:val="auto"/>
          <w:kern w:val="2"/>
          <w:sz w:val="21"/>
          <w:highlight w:val="none"/>
        </w:rPr>
        <w:t>依据本文件规定享受扶持政策获得政府采购合同的，小微企业不得将合同分包给大中型企业，中型企业不得将合同分包给大型企业。</w:t>
      </w:r>
    </w:p>
    <w:p w14:paraId="462413F8">
      <w:pPr>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35. 政采贷相关说明</w:t>
      </w:r>
    </w:p>
    <w:p w14:paraId="2A5A5C3F">
      <w:pPr>
        <w:pStyle w:val="15"/>
        <w:spacing w:line="360" w:lineRule="auto"/>
        <w:ind w:firstLine="420" w:firstLineChars="200"/>
        <w:textAlignment w:val="center"/>
        <w:rPr>
          <w:rFonts w:hint="eastAsia" w:hAnsi="宋体"/>
          <w:color w:val="auto"/>
          <w:sz w:val="21"/>
          <w:highlight w:val="none"/>
        </w:rPr>
      </w:pPr>
      <w:r>
        <w:rPr>
          <w:rFonts w:hint="eastAsia" w:hAnsi="宋体"/>
          <w:color w:val="auto"/>
          <w:sz w:val="21"/>
          <w:highlight w:val="none"/>
        </w:rPr>
        <w:t>为优化政府采购营商环境，缓解供应商资金难题，南宁市政府采购试行政府采购信用融资制度，中标供应商如有融资需求，可凭政府采购合同通过以下方式申请政府采购信用融资贷款：</w:t>
      </w:r>
    </w:p>
    <w:p w14:paraId="40F2257A">
      <w:pPr>
        <w:pStyle w:val="15"/>
        <w:numPr>
          <w:ilvl w:val="0"/>
          <w:numId w:val="2"/>
        </w:numPr>
        <w:spacing w:line="360" w:lineRule="auto"/>
        <w:ind w:firstLine="420" w:firstLineChars="200"/>
        <w:textAlignment w:val="center"/>
        <w:rPr>
          <w:rFonts w:hint="eastAsia" w:hAnsi="宋体"/>
          <w:color w:val="auto"/>
          <w:sz w:val="21"/>
          <w:highlight w:val="none"/>
        </w:rPr>
      </w:pPr>
      <w:r>
        <w:rPr>
          <w:rFonts w:hint="eastAsia" w:hAnsi="宋体"/>
          <w:color w:val="auto"/>
          <w:sz w:val="21"/>
          <w:highlight w:val="none"/>
        </w:rPr>
        <w:t>线下渠道：在“南宁市公共资源交易中心”官网（网址：</w:t>
      </w:r>
      <w:r>
        <w:rPr>
          <w:rFonts w:hint="eastAsia" w:hAnsi="宋体"/>
          <w:color w:val="auto"/>
          <w:sz w:val="21"/>
          <w:highlight w:val="none"/>
        </w:rPr>
        <w:fldChar w:fldCharType="begin"/>
      </w:r>
      <w:r>
        <w:rPr>
          <w:rFonts w:hint="eastAsia" w:hAnsi="宋体"/>
          <w:color w:val="auto"/>
          <w:sz w:val="21"/>
          <w:highlight w:val="none"/>
        </w:rPr>
        <w:instrText xml:space="preserve"> HYPERLINK "http://www.nnggzy.org.cn）\“交易信息-政府采购-政府采购信用融资\”中融资银行和南宁市企业融资服务中心专栏信息申请政府采购信用融资。" </w:instrText>
      </w:r>
      <w:r>
        <w:rPr>
          <w:rFonts w:hint="eastAsia" w:hAnsi="宋体"/>
          <w:color w:val="auto"/>
          <w:sz w:val="21"/>
          <w:highlight w:val="none"/>
        </w:rPr>
        <w:fldChar w:fldCharType="separate"/>
      </w:r>
      <w:r>
        <w:rPr>
          <w:rStyle w:val="31"/>
          <w:rFonts w:hint="eastAsia" w:hAnsi="宋体"/>
          <w:color w:val="auto"/>
          <w:sz w:val="21"/>
          <w:highlight w:val="none"/>
        </w:rPr>
        <w:t>http://www.nnggzy.org.cn）“交易信息-政府采购-政府采购信用融资”中融资银行和南宁市企业融资服务中心专栏信息申请政府采购信用融资。</w:t>
      </w:r>
      <w:r>
        <w:rPr>
          <w:rFonts w:hint="eastAsia" w:hAnsi="宋体"/>
          <w:color w:val="auto"/>
          <w:sz w:val="21"/>
          <w:highlight w:val="none"/>
        </w:rPr>
        <w:fldChar w:fldCharType="end"/>
      </w:r>
    </w:p>
    <w:p w14:paraId="101DDC95">
      <w:pPr>
        <w:pStyle w:val="15"/>
        <w:numPr>
          <w:ilvl w:val="0"/>
          <w:numId w:val="2"/>
        </w:numPr>
        <w:spacing w:line="360" w:lineRule="auto"/>
        <w:ind w:firstLine="402" w:firstLineChars="200"/>
        <w:textAlignment w:val="center"/>
        <w:rPr>
          <w:rFonts w:hint="eastAsia"/>
          <w:color w:val="auto"/>
          <w:highlight w:val="none"/>
        </w:rPr>
      </w:pPr>
      <w:r>
        <w:rPr>
          <w:rFonts w:hint="eastAsia" w:hAnsi="宋体"/>
          <w:b/>
          <w:color w:val="auto"/>
          <w:highlight w:val="none"/>
        </w:rPr>
        <w:t>线上渠道：登录中征营应收账款融资服务平台（网址：https://www.crcrfsp.com，客服电话：400-009-0001），选择相关金融产品和银行业金融机构金融融资贷款。具体操作方式见《中国人民银行南宁中心支行广西壮族自治区财政厅关于推广线上“政采贷”融资模式的通知》（南宁银发〔2021〕258号）文（文件公开网址详情见：“广西政府采购网”——http://www.ccgp-guangxi.gov.cn/AdministrativeRegulations/AutonomousRegion/9830442.html）</w:t>
      </w:r>
      <w:r>
        <w:rPr>
          <w:rFonts w:hint="eastAsia" w:hAnsi="宋体"/>
          <w:b/>
          <w:color w:val="auto"/>
          <w:highlight w:val="none"/>
        </w:rPr>
        <w:br w:type="page"/>
      </w:r>
    </w:p>
    <w:p w14:paraId="187176C8">
      <w:pPr>
        <w:pStyle w:val="2"/>
        <w:jc w:val="center"/>
        <w:rPr>
          <w:rFonts w:hint="eastAsia"/>
          <w:color w:val="auto"/>
          <w:highlight w:val="none"/>
        </w:rPr>
      </w:pPr>
      <w:bookmarkStart w:id="69" w:name="_Toc25211"/>
      <w:r>
        <w:rPr>
          <w:rFonts w:hint="eastAsia"/>
          <w:color w:val="auto"/>
          <w:highlight w:val="none"/>
        </w:rPr>
        <w:t>第四章</w:t>
      </w:r>
      <w:r>
        <w:rPr>
          <w:color w:val="auto"/>
          <w:highlight w:val="none"/>
        </w:rPr>
        <w:t xml:space="preserve">  </w:t>
      </w:r>
      <w:r>
        <w:rPr>
          <w:rFonts w:hint="eastAsia"/>
          <w:color w:val="auto"/>
          <w:highlight w:val="none"/>
        </w:rPr>
        <w:t>评审程序、评审方法和评审标准</w:t>
      </w:r>
      <w:bookmarkEnd w:id="69"/>
    </w:p>
    <w:p w14:paraId="35175BF3">
      <w:pPr>
        <w:pStyle w:val="3"/>
        <w:jc w:val="center"/>
        <w:rPr>
          <w:rFonts w:ascii="宋体" w:hAnsi="宋体"/>
          <w:b w:val="0"/>
          <w:color w:val="auto"/>
          <w:highlight w:val="none"/>
        </w:rPr>
      </w:pPr>
      <w:bookmarkStart w:id="70" w:name="_Toc833"/>
      <w:r>
        <w:rPr>
          <w:rFonts w:hint="eastAsia" w:ascii="宋体" w:hAnsi="宋体"/>
          <w:b w:val="0"/>
          <w:color w:val="auto"/>
          <w:highlight w:val="none"/>
        </w:rPr>
        <w:t>第一节 评审程序和评审方法</w:t>
      </w:r>
      <w:bookmarkEnd w:id="70"/>
    </w:p>
    <w:p w14:paraId="1FA7DE91">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1.确认磋商文件</w:t>
      </w:r>
    </w:p>
    <w:p w14:paraId="4BBF578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由磋商小组确认磋商文件。</w:t>
      </w:r>
    </w:p>
    <w:p w14:paraId="5B1A6CA5">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2.资格审查</w:t>
      </w:r>
    </w:p>
    <w:p w14:paraId="7F6C657C">
      <w:pPr>
        <w:snapToGrid w:val="0"/>
        <w:spacing w:line="360" w:lineRule="auto"/>
        <w:ind w:firstLine="420" w:firstLineChars="200"/>
        <w:rPr>
          <w:rFonts w:hint="eastAsia" w:ascii="宋体" w:hAnsi="宋体"/>
          <w:color w:val="auto"/>
          <w:szCs w:val="21"/>
          <w:highlight w:val="none"/>
        </w:rPr>
      </w:pPr>
      <w:r>
        <w:rPr>
          <w:rFonts w:hint="eastAsia" w:ascii="宋体" w:hAnsi="宋体" w:cs="宋体"/>
          <w:color w:val="auto"/>
          <w:szCs w:val="21"/>
          <w:highlight w:val="none"/>
        </w:rPr>
        <w:t>2.1</w:t>
      </w:r>
      <w:r>
        <w:rPr>
          <w:rFonts w:hint="eastAsia" w:ascii="宋体" w:hAnsi="宋体"/>
          <w:color w:val="auto"/>
          <w:szCs w:val="21"/>
          <w:highlight w:val="none"/>
        </w:rPr>
        <w:t>响应文件开启后，磋商小组依法对供应商的资格证明文件进行审查。</w:t>
      </w:r>
    </w:p>
    <w:p w14:paraId="389C3C86">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注：采购人代表或者采购代理机构在资格审查结束前，对供应商进行信用查询。</w:t>
      </w:r>
    </w:p>
    <w:p w14:paraId="70CAC257">
      <w:pPr>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（1）查询渠道：“广西政府采购云平台”平台“信用中国”网站(</w:t>
      </w:r>
      <w:r>
        <w:rPr>
          <w:rFonts w:ascii="宋体" w:hAnsi="宋体" w:cs="宋体"/>
          <w:color w:val="auto"/>
          <w:szCs w:val="21"/>
          <w:highlight w:val="none"/>
        </w:rPr>
        <w:fldChar w:fldCharType="begin"/>
      </w:r>
      <w:r>
        <w:rPr>
          <w:rFonts w:ascii="宋体" w:hAnsi="宋体" w:cs="宋体"/>
          <w:color w:val="auto"/>
          <w:szCs w:val="21"/>
          <w:highlight w:val="none"/>
        </w:rPr>
        <w:instrText xml:space="preserve"> HYPERLINK "http://www.creditchina.gov.cn" </w:instrText>
      </w:r>
      <w:r>
        <w:rPr>
          <w:rFonts w:ascii="宋体" w:hAnsi="宋体" w:cs="宋体"/>
          <w:color w:val="auto"/>
          <w:szCs w:val="21"/>
          <w:highlight w:val="none"/>
        </w:rPr>
        <w:fldChar w:fldCharType="separate"/>
      </w:r>
      <w:r>
        <w:rPr>
          <w:rStyle w:val="31"/>
          <w:rFonts w:hAnsi="宋体" w:cs="宋体"/>
          <w:color w:val="auto"/>
          <w:highlight w:val="none"/>
        </w:rPr>
        <w:t>www.creditchina.gov.cn</w:t>
      </w:r>
      <w:r>
        <w:rPr>
          <w:rFonts w:ascii="宋体" w:hAnsi="宋体" w:cs="宋体"/>
          <w:color w:val="auto"/>
          <w:szCs w:val="21"/>
          <w:highlight w:val="none"/>
        </w:rPr>
        <w:fldChar w:fldCharType="end"/>
      </w:r>
      <w:r>
        <w:rPr>
          <w:rFonts w:hint="eastAsia" w:ascii="宋体" w:hAnsi="宋体" w:cs="宋体"/>
          <w:color w:val="auto"/>
          <w:szCs w:val="21"/>
          <w:highlight w:val="none"/>
        </w:rPr>
        <w:t>)、中国政府采购网(</w:t>
      </w:r>
      <w:r>
        <w:rPr>
          <w:rFonts w:ascii="宋体" w:hAnsi="宋体" w:cs="宋体"/>
          <w:color w:val="auto"/>
          <w:szCs w:val="21"/>
          <w:highlight w:val="none"/>
        </w:rPr>
        <w:fldChar w:fldCharType="begin"/>
      </w:r>
      <w:r>
        <w:rPr>
          <w:rFonts w:ascii="宋体" w:hAnsi="宋体" w:cs="宋体"/>
          <w:color w:val="auto"/>
          <w:szCs w:val="21"/>
          <w:highlight w:val="none"/>
        </w:rPr>
        <w:instrText xml:space="preserve"> HYPERLINK "http://www.ccgp.gov.cn" </w:instrText>
      </w:r>
      <w:r>
        <w:rPr>
          <w:rFonts w:ascii="宋体" w:hAnsi="宋体" w:cs="宋体"/>
          <w:color w:val="auto"/>
          <w:szCs w:val="21"/>
          <w:highlight w:val="none"/>
        </w:rPr>
        <w:fldChar w:fldCharType="separate"/>
      </w:r>
      <w:r>
        <w:rPr>
          <w:rStyle w:val="31"/>
          <w:rFonts w:hAnsi="宋体" w:cs="宋体"/>
          <w:color w:val="auto"/>
          <w:highlight w:val="none"/>
        </w:rPr>
        <w:t>www.ccgp.gov.cn</w:t>
      </w:r>
      <w:r>
        <w:rPr>
          <w:rFonts w:ascii="宋体" w:hAnsi="宋体" w:cs="宋体"/>
          <w:color w:val="auto"/>
          <w:szCs w:val="21"/>
          <w:highlight w:val="none"/>
        </w:rPr>
        <w:fldChar w:fldCharType="end"/>
      </w:r>
      <w:r>
        <w:rPr>
          <w:rFonts w:hint="eastAsia" w:ascii="宋体" w:hAnsi="宋体" w:cs="宋体"/>
          <w:color w:val="auto"/>
          <w:szCs w:val="21"/>
          <w:highlight w:val="none"/>
        </w:rPr>
        <w:t>)链接入口。</w:t>
      </w:r>
    </w:p>
    <w:p w14:paraId="1F9E876D">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（2）信用查询截止时点：资格审查结束前。</w:t>
      </w:r>
    </w:p>
    <w:p w14:paraId="3AF2781B">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查询记录和证据留存方式：在查询网站中直接打印查询记录，截图另存为电子文档作为评审资料保存。</w:t>
      </w:r>
    </w:p>
    <w:p w14:paraId="3E5E48A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（3）信用信息使用规则：对在“信用中国”网站(www.creditchina.gov.cn)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0161B70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2.2资格审查标准为本磋商文件中载明对供应商资格要求的条件。资格审查采用合格制，凡符合磋商文件规定的供应商资格要求的响应文件均通过资格审查。</w:t>
      </w:r>
    </w:p>
    <w:p w14:paraId="2896DA3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2.3供应商有下列情形之一的，资格审查不通过，其响应文件按无效响应处理：</w:t>
      </w:r>
    </w:p>
    <w:p w14:paraId="1AF851CF">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（1）不具备磋商文件中规定的资格要求的；</w:t>
      </w:r>
    </w:p>
    <w:p w14:paraId="75F4301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（2）响应文件未提供任一项“供应商须知前附表”资格证明文件规定的“必须提供”的文件资料的；</w:t>
      </w:r>
    </w:p>
    <w:p w14:paraId="7C0DAF9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（3）响应文件提供的资格证明文件出现任一项不符合“供应商须知前附表”资格证明文件规定的“必须提供”的文件资料要求或者无效的。</w:t>
      </w:r>
    </w:p>
    <w:p w14:paraId="4EDD114B">
      <w:pPr>
        <w:spacing w:line="360" w:lineRule="auto"/>
        <w:ind w:firstLine="420" w:firstLineChars="200"/>
        <w:rPr>
          <w:rFonts w:hint="eastAsia" w:ascii="宋体" w:hAnsi="宋体" w:cs="宋体"/>
          <w:color w:val="auto"/>
          <w:szCs w:val="21"/>
          <w:highlight w:val="none"/>
        </w:rPr>
      </w:pPr>
      <w:bookmarkStart w:id="71" w:name="_Hlk68601553"/>
      <w:r>
        <w:rPr>
          <w:rFonts w:hint="eastAsia" w:ascii="宋体" w:hAnsi="宋体" w:cs="宋体"/>
          <w:color w:val="auto"/>
          <w:szCs w:val="21"/>
          <w:highlight w:val="none"/>
        </w:rPr>
        <w:t>（4）同一合同项下的不同供应商，单位负责人为同一人或者存在直接控股、管理关系的；为本项目提供过整体设计、规范编制或者项目管理、监理、检测等服务的。</w:t>
      </w:r>
      <w:bookmarkEnd w:id="71"/>
    </w:p>
    <w:p w14:paraId="73B87B4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2.4通过资格审查的合格供应商不足3家的，不得进入符合性审查环节，</w:t>
      </w:r>
      <w:r>
        <w:rPr>
          <w:rFonts w:hint="eastAsia" w:ascii="宋体" w:hAnsi="宋体"/>
          <w:color w:val="auto"/>
          <w:szCs w:val="21"/>
          <w:highlight w:val="none"/>
        </w:rPr>
        <w:t>采购人或者采购代理机构应当重新开展采购活动。</w:t>
      </w:r>
    </w:p>
    <w:p w14:paraId="7A397977">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3.符合性审查</w:t>
      </w:r>
    </w:p>
    <w:p w14:paraId="0A31DA2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3.1由磋商小组对</w:t>
      </w:r>
      <w:r>
        <w:rPr>
          <w:rFonts w:hint="eastAsia" w:ascii="宋体" w:hAnsi="宋体"/>
          <w:color w:val="auto"/>
          <w:szCs w:val="21"/>
          <w:highlight w:val="none"/>
        </w:rPr>
        <w:t>通过资格审查的合格供应商</w:t>
      </w:r>
      <w:r>
        <w:rPr>
          <w:rFonts w:hint="eastAsia" w:ascii="宋体" w:hAnsi="宋体" w:cs="宋体"/>
          <w:color w:val="auto"/>
          <w:szCs w:val="21"/>
          <w:highlight w:val="none"/>
        </w:rPr>
        <w:t>的响应文件的响应报价、商务、技术等实质性要求进行符合性审查，以确定其是否满足磋商文件的实质性要求。</w:t>
      </w:r>
    </w:p>
    <w:p w14:paraId="524B91E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3.2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03404147">
      <w:pPr>
        <w:spacing w:line="360" w:lineRule="auto"/>
        <w:ind w:firstLine="420" w:firstLineChars="200"/>
        <w:rPr>
          <w:rFonts w:hint="eastAsia" w:ascii="宋体" w:hAnsi="宋体" w:cs="宋体"/>
          <w:color w:val="auto"/>
          <w:spacing w:val="-6"/>
          <w:szCs w:val="21"/>
          <w:highlight w:val="none"/>
        </w:rPr>
      </w:pPr>
      <w:r>
        <w:rPr>
          <w:rFonts w:hint="eastAsia" w:ascii="宋体" w:hAnsi="宋体" w:cs="宋体"/>
          <w:color w:val="auto"/>
          <w:szCs w:val="21"/>
          <w:highlight w:val="none"/>
        </w:rPr>
        <w:t>3.3磋商小组要求供应商澄清、说明或者更正响应文件应当以电子澄清函形式作出。供应商的澄清、说明或者更正应当已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公章</w:t>
      </w:r>
      <w:r>
        <w:rPr>
          <w:rFonts w:hint="eastAsia" w:ascii="宋体" w:hAnsi="宋体" w:cs="宋体"/>
          <w:color w:val="auto"/>
          <w:spacing w:val="-6"/>
          <w:szCs w:val="21"/>
          <w:highlight w:val="none"/>
        </w:rPr>
        <w:t>。供应商为自然人的，必须由本人签字并附身份证明。</w:t>
      </w:r>
    </w:p>
    <w:p w14:paraId="74CD62F0">
      <w:pPr>
        <w:spacing w:line="360" w:lineRule="auto"/>
        <w:ind w:firstLine="396" w:firstLineChars="200"/>
        <w:rPr>
          <w:rFonts w:hint="eastAsia" w:ascii="宋体" w:hAnsi="宋体" w:cs="宋体"/>
          <w:color w:val="auto"/>
          <w:szCs w:val="21"/>
          <w:highlight w:val="none"/>
        </w:rPr>
      </w:pPr>
      <w:r>
        <w:rPr>
          <w:rFonts w:hint="eastAsia" w:ascii="宋体" w:hAnsi="宋体" w:cs="宋体"/>
          <w:color w:val="auto"/>
          <w:spacing w:val="-6"/>
          <w:szCs w:val="21"/>
          <w:highlight w:val="none"/>
        </w:rPr>
        <w:t>3.4</w:t>
      </w:r>
      <w:r>
        <w:rPr>
          <w:rFonts w:hint="eastAsia" w:ascii="宋体" w:hAnsi="宋体" w:cs="宋体"/>
          <w:color w:val="auto"/>
          <w:szCs w:val="21"/>
          <w:highlight w:val="none"/>
        </w:rPr>
        <w:t xml:space="preserve">首次响应文件报价出现前后不一致的，按照下列规定修正： </w:t>
      </w:r>
    </w:p>
    <w:p w14:paraId="0A3F92F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（1）响应文件中报价表内容与响应文件中相应内容不一致的，以报价表为准；</w:t>
      </w:r>
    </w:p>
    <w:p w14:paraId="7F074F9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（2）大写金额和小写金额不一致的，以大写金额为准；</w:t>
      </w:r>
    </w:p>
    <w:p w14:paraId="6B2344E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（3）单价金额小数点或者百分比有明显错位的，以报价表的总价为准，并修改单价；</w:t>
      </w:r>
    </w:p>
    <w:p w14:paraId="75F75FB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（4）总价金额与按单价汇总金额不一致的，以单价金额计算结果为准。</w:t>
      </w:r>
    </w:p>
    <w:p w14:paraId="687677E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同时出现两种以上不一致的，按照以上（1）-（4）规定的顺序逐条进行修正。修正后的报价经供应商确认后产生约束力，供应商不确认的，其响应文件按无效响应处理。</w:t>
      </w:r>
    </w:p>
    <w:p w14:paraId="421AC58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3.5商务技术、报价评审</w:t>
      </w:r>
    </w:p>
    <w:p w14:paraId="660CF1C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在评审时，如发现下列情形之一的，将被视为响应文件无效处理：</w:t>
      </w:r>
    </w:p>
    <w:p w14:paraId="32EAF7F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（1）商务技术评审</w:t>
      </w:r>
    </w:p>
    <w:p w14:paraId="2924D9E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1）响应文件未按磋商文件要求签署、盖章；</w:t>
      </w:r>
    </w:p>
    <w:p w14:paraId="10823E3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2）委托代理人未能出具有效身份证明或者出具的身份证明与授权委托书中的信息不符； </w:t>
      </w:r>
    </w:p>
    <w:p w14:paraId="3AB7CC9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3）响应文件未提供任一项“供应商须知前附表” 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14:paraId="02C9F63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4）商务条款中标“▲”的条款发生负偏离的或者允许负偏离的条款数超过“供应商须知前附表”规定项数的或者标明实质性的要求发生负偏离；</w:t>
      </w:r>
    </w:p>
    <w:p w14:paraId="3C8AE53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5）未对竞标有效期作出响应或者响应文件承诺的竞标有效期不满足磋商文件要求；</w:t>
      </w:r>
    </w:p>
    <w:p w14:paraId="5BACF2F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6）响应文件的实质性内容未使用中文表述、使用计量单位不符合磋商文件要求；</w:t>
      </w:r>
    </w:p>
    <w:p w14:paraId="4469A36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7）响应文件中的文件资料因填写不齐全或者内容虚假或者出现其他情形而导致被磋商小组认定无效；</w:t>
      </w:r>
    </w:p>
    <w:p w14:paraId="4D70DB2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8）响应文件含有采购人不能接受的附加条件；</w:t>
      </w:r>
    </w:p>
    <w:p w14:paraId="7F4C9F2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9）属于“供应商须知正文”第7.5条情形；</w:t>
      </w:r>
    </w:p>
    <w:p w14:paraId="43330BC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10）技术需求允许负偏离的条款数超过“供应商须知前附表”规定项数；</w:t>
      </w:r>
    </w:p>
    <w:p w14:paraId="0A4E9E0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11）虚假竞标，或者出现其他情形而导致被磋商小组认定无效；</w:t>
      </w:r>
    </w:p>
    <w:p w14:paraId="6BC866C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12）竞标技术方案不明确，磋商文件未允许</w:t>
      </w:r>
      <w:r>
        <w:rPr>
          <w:rFonts w:hint="eastAsia" w:ascii="宋体" w:hAnsi="宋体"/>
          <w:color w:val="auto"/>
          <w:szCs w:val="21"/>
          <w:highlight w:val="none"/>
        </w:rPr>
        <w:t>但响应文件中</w:t>
      </w:r>
      <w:r>
        <w:rPr>
          <w:rFonts w:hint="eastAsia" w:ascii="宋体" w:hAnsi="宋体" w:cs="宋体"/>
          <w:color w:val="auto"/>
          <w:szCs w:val="21"/>
          <w:highlight w:val="none"/>
        </w:rPr>
        <w:t>存在一个或者一个以上备选（替代）竞标方案；</w:t>
      </w:r>
    </w:p>
    <w:p w14:paraId="723AD21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13）响应文件标注的项目名称或者项目编号与竞争性磋商文件标注的项目名称或者项目编号不一致的；</w:t>
      </w:r>
    </w:p>
    <w:p w14:paraId="0FA4CCB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14）未响应磋商文件实质性要求；</w:t>
      </w:r>
    </w:p>
    <w:p w14:paraId="0CB5947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15）法律、法规和磋商文件规定的其他无效情形。</w:t>
      </w:r>
    </w:p>
    <w:p w14:paraId="3D80404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（2）报价评审</w:t>
      </w:r>
    </w:p>
    <w:p w14:paraId="1384BE5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 响应文件未提供“供应商须知前附表” 报价文件中规定的“响应报价表”；</w:t>
      </w:r>
    </w:p>
    <w:p w14:paraId="705E681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2）未采用人民币报价或者未按照磋商文件标明的币种报价；</w:t>
      </w:r>
    </w:p>
    <w:p w14:paraId="7CBFEA3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供应商未就所竞标分标进行报价或者存在漏项报价；供应商未就所竞标分标的单项内容作唯一报价；供应商未就所竞标分标的全部内容作唯一总价报价；供应商响应文件中存在有选择、有条件报价的（磋商文件允许有备选方案或者其他约定的除外）；</w:t>
      </w:r>
    </w:p>
    <w:p w14:paraId="1B341C9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响应报价（包含首次报价、最后报价）超过所竞标分标规定的采购预算金额或者最高限价的（如本项目公布了最高限价）；响应报价（包含首次报价、最后报价）超过磋商文件分项采购预算金额或者最高限价的（如本项目公布了最高限价）；</w:t>
      </w:r>
    </w:p>
    <w:p w14:paraId="0B093E2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修正后的报价，供应商不确认的；或者经供应商确认修正后的响应报价（包含首次报价、最后报价）超过所竞标分标规定的采购预算金额或者最高限价（如本项目公布了最高限价）；或者经供应商确认修正后响应报价（包含首次报价、最后报价）超过磋商文件分项采购预算金额或者最高限价的（如本项目公布了最高限价）。</w:t>
      </w:r>
    </w:p>
    <w:p w14:paraId="26DCF23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w:t>
      </w:r>
      <w:r>
        <w:rPr>
          <w:rFonts w:hint="eastAsia" w:ascii="宋体" w:hAnsi="宋体"/>
          <w:color w:val="auto"/>
          <w:szCs w:val="21"/>
          <w:highlight w:val="none"/>
        </w:rPr>
        <w:t>响应文件响应的标的数量及单位与竞争性磋商采购文件要求实质性不一致的。</w:t>
      </w:r>
    </w:p>
    <w:p w14:paraId="341BDD2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3.6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14:paraId="6B69062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3.7非</w:t>
      </w:r>
      <w:r>
        <w:rPr>
          <w:rFonts w:hint="eastAsia" w:ascii="宋体" w:hAnsi="宋体"/>
          <w:color w:val="auto"/>
          <w:szCs w:val="21"/>
          <w:highlight w:val="none"/>
        </w:rPr>
        <w:t>政府购买服务项目，通过符合性审查的合格供应商不足3家的，不得进入磋商环节，采购人或者采购代理机构应当重新开展采购活动。政府购买服务项目，按《财政部关于政府采购竞争性磋商采购方式管理暂行办法有关问题的补充通知》（财库〔2015〕124号）规定，采购过程中通过符合性审查的供应商（社会资本）只有2家的，磋商采购活动可以继续进行。</w:t>
      </w:r>
    </w:p>
    <w:p w14:paraId="639875E3">
      <w:pPr>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4.磋商程序</w:t>
      </w:r>
    </w:p>
    <w:p w14:paraId="77260A47">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4.1磋商小组按照“供应商须知前附表”</w:t>
      </w:r>
      <w:r>
        <w:rPr>
          <w:rFonts w:hint="eastAsia" w:ascii="宋体" w:hAnsi="宋体" w:cs="宋体"/>
          <w:color w:val="auto"/>
          <w:szCs w:val="21"/>
          <w:highlight w:val="none"/>
        </w:rPr>
        <w:t xml:space="preserve"> </w:t>
      </w:r>
      <w:r>
        <w:rPr>
          <w:rFonts w:hint="eastAsia" w:ascii="宋体" w:hAnsi="宋体" w:cs="宋体"/>
          <w:color w:val="auto"/>
          <w:kern w:val="0"/>
          <w:szCs w:val="21"/>
          <w:highlight w:val="none"/>
        </w:rPr>
        <w:t>确定的</w:t>
      </w:r>
      <w:r>
        <w:rPr>
          <w:rFonts w:hint="eastAsia" w:ascii="宋体" w:hAnsi="宋体" w:cs="宋体"/>
          <w:color w:val="auto"/>
          <w:szCs w:val="21"/>
          <w:highlight w:val="none"/>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14:paraId="7BC6CD4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4.2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532DF89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4.3对磋商文件作出的实质性变动是磋商文件的有效组成部分，由磋商小组及时以电子澄清函形式同时通知所有参加磋商的供应商。</w:t>
      </w:r>
    </w:p>
    <w:p w14:paraId="6E0D760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4.4供应商必须按照磋商文件的变动情况和磋商小组的要求以回函的形式重新提交响应文件，并加盖电子公章。供应商为自然人的，必须由本人签字并附身份证明。参加磋商的供应商未在规定时间内重新提交响应文件的，视同退出磋商。</w:t>
      </w:r>
    </w:p>
    <w:p w14:paraId="22CBA11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4.5磋商中，</w:t>
      </w:r>
      <w:r>
        <w:rPr>
          <w:rFonts w:hint="eastAsia" w:ascii="宋体" w:hAnsi="宋体" w:cs="宋体"/>
          <w:color w:val="auto"/>
          <w:spacing w:val="-6"/>
          <w:szCs w:val="21"/>
          <w:highlight w:val="none"/>
        </w:rPr>
        <w:t>磋商的任何一方不得透露与磋商有关的其他供应商的技术资料、价格和其他信息。</w:t>
      </w:r>
    </w:p>
    <w:p w14:paraId="40A53E90">
      <w:pPr>
        <w:widowControl/>
        <w:tabs>
          <w:tab w:val="left" w:pos="540"/>
        </w:tabs>
        <w:spacing w:line="360" w:lineRule="auto"/>
        <w:ind w:firstLine="420" w:firstLineChars="200"/>
        <w:jc w:val="left"/>
        <w:rPr>
          <w:rFonts w:hint="eastAsia" w:ascii="宋体" w:hAnsi="宋体" w:cs="仿宋_GB2312"/>
          <w:b/>
          <w:color w:val="auto"/>
          <w:highlight w:val="none"/>
        </w:rPr>
      </w:pPr>
      <w:r>
        <w:rPr>
          <w:rFonts w:hint="eastAsia" w:ascii="宋体" w:hAnsi="宋体" w:cs="宋体"/>
          <w:color w:val="auto"/>
          <w:szCs w:val="21"/>
          <w:highlight w:val="none"/>
        </w:rPr>
        <w:t>4.6磋商小组应对磋商过程和重要磋商内容进行记录，作为评标报告一部分，磋商小组在记录上签字确认。</w:t>
      </w:r>
      <w:r>
        <w:rPr>
          <w:rFonts w:hint="eastAsia" w:ascii="宋体" w:hAnsi="宋体" w:cs="仿宋_GB2312"/>
          <w:b/>
          <w:color w:val="auto"/>
          <w:highlight w:val="none"/>
        </w:rPr>
        <w:t>主要内容包括：</w:t>
      </w:r>
    </w:p>
    <w:p w14:paraId="3E75B088">
      <w:pPr>
        <w:pStyle w:val="71"/>
        <w:spacing w:before="0"/>
        <w:ind w:firstLine="396"/>
        <w:rPr>
          <w:rFonts w:hint="eastAsia" w:ascii="宋体" w:hAnsi="宋体" w:cs="宋体"/>
          <w:color w:val="auto"/>
          <w:spacing w:val="-6"/>
          <w:kern w:val="2"/>
          <w:sz w:val="21"/>
          <w:szCs w:val="21"/>
          <w:highlight w:val="none"/>
        </w:rPr>
      </w:pPr>
      <w:r>
        <w:rPr>
          <w:rFonts w:hint="eastAsia" w:ascii="宋体" w:hAnsi="宋体" w:cs="宋体"/>
          <w:color w:val="auto"/>
          <w:spacing w:val="-6"/>
          <w:kern w:val="2"/>
          <w:sz w:val="21"/>
          <w:szCs w:val="21"/>
          <w:highlight w:val="none"/>
        </w:rPr>
        <w:t>（1）按照相关规定进行公示的，公示情况说明；</w:t>
      </w:r>
    </w:p>
    <w:p w14:paraId="6A95988D">
      <w:pPr>
        <w:pStyle w:val="71"/>
        <w:spacing w:before="0"/>
        <w:ind w:firstLine="396"/>
        <w:rPr>
          <w:rFonts w:hint="eastAsia" w:ascii="宋体" w:hAnsi="宋体" w:cs="宋体"/>
          <w:color w:val="auto"/>
          <w:spacing w:val="-6"/>
          <w:kern w:val="2"/>
          <w:sz w:val="21"/>
          <w:szCs w:val="21"/>
          <w:highlight w:val="none"/>
        </w:rPr>
      </w:pPr>
      <w:r>
        <w:rPr>
          <w:rFonts w:hint="eastAsia" w:ascii="宋体" w:hAnsi="宋体" w:cs="宋体"/>
          <w:color w:val="auto"/>
          <w:spacing w:val="-6"/>
          <w:kern w:val="2"/>
          <w:sz w:val="21"/>
          <w:szCs w:val="21"/>
          <w:highlight w:val="none"/>
        </w:rPr>
        <w:t>（2）磋商日期和地点，磋商人员名单；</w:t>
      </w:r>
    </w:p>
    <w:p w14:paraId="61E8163A">
      <w:pPr>
        <w:pStyle w:val="71"/>
        <w:spacing w:before="0"/>
        <w:ind w:firstLine="396"/>
        <w:rPr>
          <w:rFonts w:hint="eastAsia" w:ascii="宋体" w:hAnsi="宋体" w:cs="宋体"/>
          <w:color w:val="auto"/>
          <w:spacing w:val="-6"/>
          <w:kern w:val="2"/>
          <w:sz w:val="21"/>
          <w:szCs w:val="21"/>
          <w:highlight w:val="none"/>
        </w:rPr>
      </w:pPr>
      <w:r>
        <w:rPr>
          <w:rFonts w:hint="eastAsia" w:ascii="宋体" w:hAnsi="宋体" w:cs="宋体"/>
          <w:color w:val="auto"/>
          <w:spacing w:val="-6"/>
          <w:kern w:val="2"/>
          <w:sz w:val="21"/>
          <w:szCs w:val="21"/>
          <w:highlight w:val="none"/>
        </w:rPr>
        <w:t>（3）合同主要条款及价格商定情况。</w:t>
      </w:r>
    </w:p>
    <w:p w14:paraId="35247AF6">
      <w:pPr>
        <w:widowControl/>
        <w:tabs>
          <w:tab w:val="left" w:pos="540"/>
        </w:tabs>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4.7磋商过程中重新提交的响应文件，供应商可以在开启前补充、修改。</w:t>
      </w:r>
    </w:p>
    <w:p w14:paraId="26CAB78C">
      <w:pPr>
        <w:tabs>
          <w:tab w:val="left" w:pos="2835"/>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4.8</w:t>
      </w:r>
      <w:r>
        <w:rPr>
          <w:rFonts w:hint="eastAsia" w:ascii="宋体" w:hAnsi="宋体"/>
          <w:color w:val="auto"/>
          <w:szCs w:val="21"/>
          <w:highlight w:val="none"/>
        </w:rPr>
        <w:t>对磋商过程提交的响应文件进行有效性、完整性和响应程度审查，通过审查的合格供应商不足3家的，采购人或者采购代理机构应当重新开展采购活动。</w:t>
      </w:r>
    </w:p>
    <w:p w14:paraId="006EE94B">
      <w:pPr>
        <w:ind w:firstLine="200"/>
        <w:rPr>
          <w:rFonts w:hint="eastAsia" w:ascii="宋体" w:hAnsi="宋体" w:cs="宋体"/>
          <w:color w:val="auto"/>
          <w:szCs w:val="21"/>
          <w:highlight w:val="none"/>
        </w:rPr>
      </w:pPr>
      <w:r>
        <w:rPr>
          <w:rFonts w:hint="eastAsia" w:ascii="黑体" w:hAnsi="黑体" w:eastAsia="黑体" w:cs="宋体"/>
          <w:b/>
          <w:bCs/>
          <w:color w:val="auto"/>
          <w:sz w:val="24"/>
          <w:highlight w:val="none"/>
        </w:rPr>
        <w:t>5. 最后报价</w:t>
      </w:r>
    </w:p>
    <w:p w14:paraId="425F6C9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5.1磋商文件能够详细列明采购标的的技术、服务要求的，磋商结束后，由磋商小组要求所有继续参加磋商的供应商在规定时间内密封提交最后报价，除本章第3.7、5.3条外，提交最后报价的供应商不得少于3家，否则必须重新采购。</w:t>
      </w:r>
    </w:p>
    <w:p w14:paraId="6F55E0D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5.2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密封提交最后报价。</w:t>
      </w:r>
    </w:p>
    <w:p w14:paraId="74290D6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5.3 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14:paraId="2754D72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5.4已经提交响应文件的供应商，在提交最后报价之前，可以根据磋商情况退出磋商，退出磋商的供应商的响应文件按无效响应处理。</w:t>
      </w:r>
    </w:p>
    <w:p w14:paraId="1333CAA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5.5供应商未在规定时间内提交最后报价的，视同退出磋商。</w:t>
      </w:r>
    </w:p>
    <w:p w14:paraId="4C89596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5.6磋商小组收齐某一分标最后报价后统一开启，磋商小组对最后报价进行有效性、完整性和响应程度的审查。</w:t>
      </w:r>
    </w:p>
    <w:p w14:paraId="01EE1C8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5.7最终响应文件的报价出现前后不一致的，按照本章第3.4条的规定修正。 </w:t>
      </w:r>
    </w:p>
    <w:p w14:paraId="2945FA7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5.8修正后的最终报价出现下列情形的，按无效响应处理：</w:t>
      </w:r>
    </w:p>
    <w:p w14:paraId="7384C32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（1）供应商不确认的（全流程电子化评标采取在线确认）；</w:t>
      </w:r>
    </w:p>
    <w:p w14:paraId="6B9BD45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（2）经供应商确认修正后的响应报价（包含首次报价、最后报价）超过所竞标分标规定的采购预算金额或者最高限价的（如本项目公布了最高限价）；</w:t>
      </w:r>
    </w:p>
    <w:p w14:paraId="4D1A7F5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（3）经供应商确认修正后的响应报价（包含首次报价、最后报价）超过分项采购预算金额或者最高限价的（如本项目公布了最高限价）。</w:t>
      </w:r>
    </w:p>
    <w:p w14:paraId="2EED2BA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5.9经供应商确认修正后的最后报价作为评审及签订合同的依据。</w:t>
      </w:r>
    </w:p>
    <w:p w14:paraId="2B0393F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5.10供应商出现最后报价按无效响应处理或者响应文件按无效处理时</w:t>
      </w:r>
      <w:r>
        <w:rPr>
          <w:rFonts w:hint="eastAsia" w:ascii="宋体" w:hAnsi="宋体"/>
          <w:color w:val="auto"/>
          <w:sz w:val="22"/>
          <w:szCs w:val="22"/>
          <w:highlight w:val="none"/>
        </w:rPr>
        <w:t>，磋商小组应当告知有关供应商</w:t>
      </w:r>
      <w:r>
        <w:rPr>
          <w:rFonts w:hint="eastAsia" w:ascii="宋体" w:hAnsi="宋体" w:cs="宋体"/>
          <w:color w:val="auto"/>
          <w:szCs w:val="21"/>
          <w:highlight w:val="none"/>
        </w:rPr>
        <w:t>。</w:t>
      </w:r>
    </w:p>
    <w:p w14:paraId="356C794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5.11最后报价结束后，磋商小组不得再与供应商进行任何形式的商谈。</w:t>
      </w:r>
    </w:p>
    <w:p w14:paraId="165781D9">
      <w:pPr>
        <w:pStyle w:val="5"/>
        <w:keepNext w:val="0"/>
        <w:keepLines w:val="0"/>
        <w:spacing w:before="0" w:after="0"/>
        <w:ind w:left="420" w:left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5.12</w:t>
      </w:r>
      <w:r>
        <w:rPr>
          <w:rFonts w:hint="eastAsia" w:ascii="宋体" w:hAnsi="宋体" w:eastAsia="宋体" w:cs="Times New Roman"/>
          <w:color w:val="auto"/>
          <w:sz w:val="21"/>
          <w:szCs w:val="21"/>
          <w:highlight w:val="none"/>
        </w:rPr>
        <w:t>异常低价审查</w:t>
      </w:r>
    </w:p>
    <w:p w14:paraId="57BB5237">
      <w:pPr>
        <w:shd w:val="clear" w:color="auto" w:fill="auto"/>
        <w:snapToGrid w:val="0"/>
        <w:spacing w:line="360" w:lineRule="auto"/>
        <w:ind w:firstLine="420" w:firstLineChars="200"/>
        <w:textAlignment w:val="auto"/>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5.12</w:t>
      </w:r>
      <w:r>
        <w:rPr>
          <w:rFonts w:hint="eastAsia" w:ascii="宋体" w:hAnsi="宋体" w:eastAsia="宋体" w:cs="Times New Roman"/>
          <w:color w:val="auto"/>
          <w:szCs w:val="21"/>
          <w:highlight w:val="none"/>
          <w:lang w:val="en-US" w:eastAsia="zh-CN"/>
        </w:rPr>
        <w:t>.1</w:t>
      </w:r>
      <w:r>
        <w:rPr>
          <w:rFonts w:hint="eastAsia" w:ascii="宋体" w:hAnsi="宋体" w:eastAsia="宋体" w:cs="Times New Roman"/>
          <w:color w:val="auto"/>
          <w:szCs w:val="21"/>
          <w:highlight w:val="none"/>
        </w:rPr>
        <w:t>评审中出现下列情形之一的，评审委员会应当启动异常低价投标（响应）审查程序：</w:t>
      </w:r>
    </w:p>
    <w:p w14:paraId="7550258E">
      <w:pPr>
        <w:shd w:val="clear" w:color="auto" w:fill="auto"/>
        <w:snapToGrid w:val="0"/>
        <w:spacing w:line="360" w:lineRule="auto"/>
        <w:ind w:firstLine="420" w:firstLineChars="200"/>
        <w:textAlignment w:val="auto"/>
        <w:rPr>
          <w:rFonts w:hint="eastAsia" w:ascii="宋体" w:hAnsi="宋体" w:eastAsia="宋体" w:cs="Times New Roman"/>
          <w:color w:val="auto"/>
          <w:sz w:val="21"/>
          <w:szCs w:val="21"/>
          <w:highlight w:val="none"/>
        </w:rPr>
      </w:pPr>
      <w:r>
        <w:rPr>
          <w:rFonts w:hint="eastAsia" w:ascii="宋体" w:hAnsi="宋体" w:eastAsia="宋体" w:cs="Times New Roman"/>
          <w:color w:val="auto"/>
          <w:szCs w:val="21"/>
          <w:highlight w:val="none"/>
          <w:lang w:eastAsia="zh-CN"/>
        </w:rPr>
        <w:t>（</w:t>
      </w:r>
      <w:r>
        <w:rPr>
          <w:rFonts w:hint="eastAsia" w:ascii="宋体" w:hAnsi="宋体" w:eastAsia="宋体" w:cs="Times New Roman"/>
          <w:color w:val="auto"/>
          <w:szCs w:val="21"/>
          <w:highlight w:val="none"/>
          <w:lang w:val="en-US" w:eastAsia="zh-CN"/>
        </w:rPr>
        <w:t>1</w:t>
      </w:r>
      <w:r>
        <w:rPr>
          <w:rFonts w:hint="eastAsia" w:ascii="宋体" w:hAnsi="宋体" w:eastAsia="宋体" w:cs="Times New Roman"/>
          <w:color w:val="auto"/>
          <w:szCs w:val="21"/>
          <w:highlight w:val="none"/>
          <w:lang w:eastAsia="zh-CN"/>
        </w:rPr>
        <w:t>）</w:t>
      </w:r>
      <w:r>
        <w:rPr>
          <w:rFonts w:hint="eastAsia" w:ascii="宋体" w:hAnsi="宋体" w:eastAsia="宋体" w:cs="Times New Roman"/>
          <w:color w:val="auto"/>
          <w:szCs w:val="21"/>
          <w:highlight w:val="none"/>
        </w:rPr>
        <w:t>投标（响应）报价低于全部通过符合性审查供应商投标（响应）报价平均值</w:t>
      </w:r>
      <w:r>
        <w:rPr>
          <w:rFonts w:hint="eastAsia" w:ascii="宋体" w:hAnsi="宋体" w:eastAsia="宋体" w:cs="Times New Roman"/>
          <w:color w:val="auto"/>
          <w:szCs w:val="21"/>
          <w:highlight w:val="none"/>
          <w:lang w:val="en-US" w:eastAsia="zh-CN"/>
        </w:rPr>
        <w:t>65</w:t>
      </w:r>
      <w:r>
        <w:rPr>
          <w:rFonts w:hint="eastAsia" w:ascii="宋体" w:hAnsi="宋体" w:eastAsia="宋体" w:cs="Times New Roman"/>
          <w:color w:val="auto"/>
          <w:szCs w:val="21"/>
          <w:highlight w:val="none"/>
        </w:rPr>
        <w:t>%的，即投标（响应）报价&lt;全部通过符合性审查供应商投标（响应）报价平均值×</w:t>
      </w:r>
      <w:r>
        <w:rPr>
          <w:rFonts w:hint="eastAsia" w:ascii="宋体" w:hAnsi="宋体" w:eastAsia="宋体" w:cs="Times New Roman"/>
          <w:color w:val="auto"/>
          <w:szCs w:val="21"/>
          <w:highlight w:val="none"/>
          <w:lang w:val="en-US" w:eastAsia="zh-CN"/>
        </w:rPr>
        <w:t>65</w:t>
      </w:r>
      <w:r>
        <w:rPr>
          <w:rFonts w:hint="eastAsia" w:ascii="宋体" w:hAnsi="宋体" w:eastAsia="宋体" w:cs="Times New Roman"/>
          <w:color w:val="auto"/>
          <w:szCs w:val="21"/>
          <w:highlight w:val="none"/>
        </w:rPr>
        <w:t>%；</w:t>
      </w:r>
    </w:p>
    <w:p w14:paraId="414D1BC4">
      <w:pPr>
        <w:shd w:val="clear" w:color="auto" w:fill="auto"/>
        <w:snapToGrid w:val="0"/>
        <w:spacing w:line="360" w:lineRule="auto"/>
        <w:ind w:firstLine="420" w:firstLineChars="200"/>
        <w:textAlignment w:val="auto"/>
        <w:rPr>
          <w:rFonts w:hint="eastAsia" w:ascii="宋体" w:hAnsi="宋体" w:eastAsia="宋体" w:cs="Times New Roman"/>
          <w:color w:val="auto"/>
          <w:sz w:val="21"/>
          <w:szCs w:val="21"/>
          <w:highlight w:val="none"/>
        </w:rPr>
      </w:pPr>
      <w:r>
        <w:rPr>
          <w:rFonts w:hint="eastAsia" w:ascii="宋体" w:hAnsi="宋体" w:eastAsia="宋体" w:cs="Times New Roman"/>
          <w:color w:val="auto"/>
          <w:szCs w:val="21"/>
          <w:highlight w:val="none"/>
          <w:lang w:eastAsia="zh-CN"/>
        </w:rPr>
        <w:t>（</w:t>
      </w:r>
      <w:r>
        <w:rPr>
          <w:rFonts w:hint="eastAsia" w:ascii="宋体" w:hAnsi="宋体" w:eastAsia="宋体" w:cs="Times New Roman"/>
          <w:color w:val="auto"/>
          <w:szCs w:val="21"/>
          <w:highlight w:val="none"/>
          <w:lang w:val="en-US" w:eastAsia="zh-CN"/>
        </w:rPr>
        <w:t>2</w:t>
      </w:r>
      <w:r>
        <w:rPr>
          <w:rFonts w:hint="eastAsia" w:ascii="宋体" w:hAnsi="宋体" w:eastAsia="宋体" w:cs="Times New Roman"/>
          <w:color w:val="auto"/>
          <w:szCs w:val="21"/>
          <w:highlight w:val="none"/>
          <w:lang w:eastAsia="zh-CN"/>
        </w:rPr>
        <w:t>）</w:t>
      </w:r>
      <w:r>
        <w:rPr>
          <w:rFonts w:hint="eastAsia" w:ascii="宋体" w:hAnsi="宋体" w:eastAsia="宋体" w:cs="Times New Roman"/>
          <w:color w:val="auto"/>
          <w:szCs w:val="21"/>
          <w:highlight w:val="none"/>
        </w:rPr>
        <w:t>投标（响应）报价低于通过符合性审查的次低报价供应商投标（响应）报价</w:t>
      </w:r>
      <w:r>
        <w:rPr>
          <w:rFonts w:hint="eastAsia" w:ascii="宋体" w:hAnsi="宋体" w:eastAsia="宋体" w:cs="Times New Roman"/>
          <w:color w:val="auto"/>
          <w:szCs w:val="21"/>
          <w:highlight w:val="none"/>
          <w:lang w:val="en-US" w:eastAsia="zh-CN"/>
        </w:rPr>
        <w:t>65</w:t>
      </w:r>
      <w:r>
        <w:rPr>
          <w:rFonts w:hint="eastAsia" w:ascii="宋体" w:hAnsi="宋体" w:eastAsia="宋体" w:cs="Times New Roman"/>
          <w:color w:val="auto"/>
          <w:szCs w:val="21"/>
          <w:highlight w:val="none"/>
        </w:rPr>
        <w:t>%的，即投标（响应）报价&lt;通过符合性审查的次低报价供应商投标（响应）报价×</w:t>
      </w:r>
      <w:r>
        <w:rPr>
          <w:rFonts w:hint="eastAsia" w:ascii="宋体" w:hAnsi="宋体" w:eastAsia="宋体" w:cs="Times New Roman"/>
          <w:color w:val="auto"/>
          <w:szCs w:val="21"/>
          <w:highlight w:val="none"/>
          <w:lang w:val="en-US" w:eastAsia="zh-CN"/>
        </w:rPr>
        <w:t>65</w:t>
      </w:r>
      <w:r>
        <w:rPr>
          <w:rFonts w:hint="eastAsia" w:ascii="宋体" w:hAnsi="宋体" w:eastAsia="宋体" w:cs="Times New Roman"/>
          <w:color w:val="auto"/>
          <w:szCs w:val="21"/>
          <w:highlight w:val="none"/>
        </w:rPr>
        <w:t>%；</w:t>
      </w:r>
    </w:p>
    <w:p w14:paraId="4BE446EB">
      <w:pPr>
        <w:shd w:val="clear" w:color="auto" w:fill="auto"/>
        <w:snapToGrid w:val="0"/>
        <w:spacing w:line="360" w:lineRule="auto"/>
        <w:ind w:firstLine="420" w:firstLineChars="200"/>
        <w:textAlignment w:val="auto"/>
        <w:rPr>
          <w:rFonts w:hint="eastAsia" w:ascii="宋体" w:hAnsi="宋体" w:eastAsia="宋体" w:cs="Times New Roman"/>
          <w:color w:val="auto"/>
          <w:sz w:val="21"/>
          <w:szCs w:val="21"/>
          <w:highlight w:val="none"/>
        </w:rPr>
      </w:pPr>
      <w:r>
        <w:rPr>
          <w:rFonts w:hint="eastAsia" w:ascii="宋体" w:hAnsi="宋体" w:eastAsia="宋体" w:cs="Times New Roman"/>
          <w:color w:val="auto"/>
          <w:szCs w:val="21"/>
          <w:highlight w:val="none"/>
          <w:lang w:eastAsia="zh-CN"/>
        </w:rPr>
        <w:t>（</w:t>
      </w:r>
      <w:r>
        <w:rPr>
          <w:rFonts w:hint="eastAsia" w:ascii="宋体" w:hAnsi="宋体" w:eastAsia="宋体" w:cs="Times New Roman"/>
          <w:color w:val="auto"/>
          <w:szCs w:val="21"/>
          <w:highlight w:val="none"/>
          <w:lang w:val="en-US" w:eastAsia="zh-CN"/>
        </w:rPr>
        <w:t>3</w:t>
      </w:r>
      <w:r>
        <w:rPr>
          <w:rFonts w:hint="eastAsia" w:ascii="宋体" w:hAnsi="宋体" w:eastAsia="宋体" w:cs="Times New Roman"/>
          <w:color w:val="auto"/>
          <w:szCs w:val="21"/>
          <w:highlight w:val="none"/>
          <w:lang w:eastAsia="zh-CN"/>
        </w:rPr>
        <w:t>）</w:t>
      </w:r>
      <w:r>
        <w:rPr>
          <w:rFonts w:hint="eastAsia" w:ascii="宋体" w:hAnsi="宋体" w:eastAsia="宋体" w:cs="Times New Roman"/>
          <w:color w:val="auto"/>
          <w:szCs w:val="21"/>
          <w:highlight w:val="none"/>
        </w:rPr>
        <w:t>投标（响应）报价低于采购项目最高限价</w:t>
      </w:r>
      <w:r>
        <w:rPr>
          <w:rFonts w:hint="eastAsia" w:ascii="宋体" w:hAnsi="宋体" w:eastAsia="宋体" w:cs="Times New Roman"/>
          <w:color w:val="auto"/>
          <w:szCs w:val="21"/>
          <w:highlight w:val="none"/>
          <w:lang w:val="en-US" w:eastAsia="zh-CN"/>
        </w:rPr>
        <w:t>65</w:t>
      </w:r>
      <w:r>
        <w:rPr>
          <w:rFonts w:hint="eastAsia" w:ascii="宋体" w:hAnsi="宋体" w:eastAsia="宋体" w:cs="Times New Roman"/>
          <w:color w:val="auto"/>
          <w:szCs w:val="21"/>
          <w:highlight w:val="none"/>
        </w:rPr>
        <w:t>%的，即投标（响应）报价&lt;采购项目最高限价×</w:t>
      </w:r>
      <w:r>
        <w:rPr>
          <w:rFonts w:hint="eastAsia" w:ascii="宋体" w:hAnsi="宋体" w:eastAsia="宋体" w:cs="Times New Roman"/>
          <w:color w:val="auto"/>
          <w:szCs w:val="21"/>
          <w:highlight w:val="none"/>
          <w:lang w:val="en-US" w:eastAsia="zh-CN"/>
        </w:rPr>
        <w:t>65</w:t>
      </w:r>
      <w:r>
        <w:rPr>
          <w:rFonts w:hint="eastAsia" w:ascii="宋体" w:hAnsi="宋体" w:eastAsia="宋体" w:cs="Times New Roman"/>
          <w:color w:val="auto"/>
          <w:szCs w:val="21"/>
          <w:highlight w:val="none"/>
        </w:rPr>
        <w:t>%；</w:t>
      </w:r>
    </w:p>
    <w:p w14:paraId="18027033">
      <w:pPr>
        <w:shd w:val="clear" w:color="auto" w:fill="auto"/>
        <w:snapToGrid w:val="0"/>
        <w:spacing w:line="360" w:lineRule="auto"/>
        <w:ind w:firstLine="420" w:firstLineChars="200"/>
        <w:textAlignment w:val="auto"/>
        <w:rPr>
          <w:rFonts w:hint="eastAsia" w:ascii="宋体" w:hAnsi="宋体" w:eastAsia="宋体" w:cs="Times New Roman"/>
          <w:color w:val="auto"/>
          <w:sz w:val="21"/>
          <w:szCs w:val="21"/>
          <w:highlight w:val="none"/>
        </w:rPr>
      </w:pPr>
      <w:r>
        <w:rPr>
          <w:rFonts w:hint="eastAsia" w:ascii="宋体" w:hAnsi="宋体" w:eastAsia="宋体" w:cs="Times New Roman"/>
          <w:color w:val="auto"/>
          <w:szCs w:val="21"/>
          <w:highlight w:val="none"/>
          <w:lang w:eastAsia="zh-CN"/>
        </w:rPr>
        <w:t>（</w:t>
      </w:r>
      <w:r>
        <w:rPr>
          <w:rFonts w:hint="eastAsia" w:ascii="宋体" w:hAnsi="宋体" w:eastAsia="宋体" w:cs="Times New Roman"/>
          <w:color w:val="auto"/>
          <w:szCs w:val="21"/>
          <w:highlight w:val="none"/>
          <w:lang w:val="en-US" w:eastAsia="zh-CN"/>
        </w:rPr>
        <w:t>4</w:t>
      </w:r>
      <w:r>
        <w:rPr>
          <w:rFonts w:hint="eastAsia" w:ascii="宋体" w:hAnsi="宋体" w:eastAsia="宋体" w:cs="Times New Roman"/>
          <w:color w:val="auto"/>
          <w:szCs w:val="21"/>
          <w:highlight w:val="none"/>
          <w:lang w:eastAsia="zh-CN"/>
        </w:rPr>
        <w:t>）</w:t>
      </w:r>
      <w:r>
        <w:rPr>
          <w:rFonts w:hint="eastAsia" w:ascii="宋体" w:hAnsi="宋体" w:eastAsia="宋体" w:cs="Times New Roman"/>
          <w:color w:val="auto"/>
          <w:szCs w:val="21"/>
          <w:highlight w:val="none"/>
        </w:rPr>
        <w:t>评审委员会基于专业判断，认为供应商报价过低，有可能影响产品质量或者不能诚信履约的其他情形。</w:t>
      </w:r>
    </w:p>
    <w:p w14:paraId="0EA836E3">
      <w:pPr>
        <w:shd w:val="clear" w:color="auto" w:fill="auto"/>
        <w:snapToGrid w:val="0"/>
        <w:spacing w:line="360" w:lineRule="auto"/>
        <w:ind w:firstLine="420" w:firstLineChars="200"/>
        <w:textAlignment w:val="auto"/>
        <w:rPr>
          <w:rFonts w:hint="eastAsia" w:ascii="宋体" w:hAnsi="宋体" w:eastAsia="宋体" w:cs="Times New Roman"/>
          <w:color w:val="auto"/>
          <w:sz w:val="21"/>
          <w:szCs w:val="21"/>
          <w:highlight w:val="none"/>
        </w:rPr>
      </w:pPr>
      <w:r>
        <w:rPr>
          <w:rFonts w:hint="eastAsia" w:ascii="宋体" w:hAnsi="宋体" w:eastAsia="宋体" w:cs="Times New Roman"/>
          <w:color w:val="auto"/>
          <w:szCs w:val="21"/>
          <w:highlight w:val="none"/>
        </w:rPr>
        <w:t>相关法律法规对供应商报价有规定的，从其规定。</w:t>
      </w:r>
    </w:p>
    <w:p w14:paraId="0D089F8F">
      <w:pPr>
        <w:shd w:val="clear" w:color="auto" w:fill="auto"/>
        <w:snapToGrid w:val="0"/>
        <w:spacing w:line="360" w:lineRule="auto"/>
        <w:ind w:firstLine="420" w:firstLineChars="200"/>
        <w:textAlignment w:val="auto"/>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5.12</w:t>
      </w:r>
      <w:r>
        <w:rPr>
          <w:rFonts w:hint="eastAsia" w:ascii="宋体" w:hAnsi="宋体" w:eastAsia="宋体" w:cs="Times New Roman"/>
          <w:color w:val="auto"/>
          <w:szCs w:val="21"/>
          <w:highlight w:val="none"/>
          <w:lang w:val="en-US" w:eastAsia="zh-CN"/>
        </w:rPr>
        <w:t>.2</w:t>
      </w:r>
      <w:r>
        <w:rPr>
          <w:rFonts w:hint="eastAsia" w:ascii="宋体" w:hAnsi="宋体" w:eastAsia="宋体" w:cs="Times New Roman"/>
          <w:color w:val="auto"/>
          <w:szCs w:val="21"/>
          <w:highlight w:val="none"/>
        </w:rPr>
        <w:t>评审委员会启动异常低价投标（响应）审查后，属于前述第</w:t>
      </w:r>
      <w:r>
        <w:rPr>
          <w:rFonts w:hint="eastAsia" w:ascii="宋体" w:hAnsi="宋体" w:eastAsia="宋体" w:cs="Times New Roman"/>
          <w:color w:val="auto"/>
          <w:szCs w:val="21"/>
          <w:highlight w:val="none"/>
          <w:lang w:eastAsia="zh-CN"/>
        </w:rPr>
        <w:t>（</w:t>
      </w:r>
      <w:r>
        <w:rPr>
          <w:rFonts w:hint="eastAsia" w:ascii="宋体" w:hAnsi="宋体" w:eastAsia="宋体" w:cs="Times New Roman"/>
          <w:color w:val="auto"/>
          <w:szCs w:val="21"/>
          <w:highlight w:val="none"/>
          <w:lang w:val="en-US" w:eastAsia="zh-CN"/>
        </w:rPr>
        <w:t>1</w:t>
      </w:r>
      <w:r>
        <w:rPr>
          <w:rFonts w:hint="eastAsia" w:ascii="宋体" w:hAnsi="宋体" w:eastAsia="宋体" w:cs="Times New Roman"/>
          <w:color w:val="auto"/>
          <w:szCs w:val="21"/>
          <w:highlight w:val="none"/>
          <w:lang w:eastAsia="zh-CN"/>
        </w:rPr>
        <w:t>）</w:t>
      </w:r>
      <w:r>
        <w:rPr>
          <w:rFonts w:hint="eastAsia" w:ascii="宋体" w:hAnsi="宋体" w:eastAsia="宋体" w:cs="Times New Roman"/>
          <w:color w:val="auto"/>
          <w:szCs w:val="21"/>
          <w:highlight w:val="none"/>
        </w:rPr>
        <w:t>项至第</w:t>
      </w:r>
      <w:r>
        <w:rPr>
          <w:rFonts w:hint="eastAsia" w:ascii="宋体" w:hAnsi="宋体" w:eastAsia="宋体" w:cs="Times New Roman"/>
          <w:color w:val="auto"/>
          <w:szCs w:val="21"/>
          <w:highlight w:val="none"/>
          <w:lang w:eastAsia="zh-CN"/>
        </w:rPr>
        <w:t>（</w:t>
      </w:r>
      <w:r>
        <w:rPr>
          <w:rFonts w:hint="eastAsia" w:ascii="宋体" w:hAnsi="宋体" w:eastAsia="宋体" w:cs="Times New Roman"/>
          <w:color w:val="auto"/>
          <w:szCs w:val="21"/>
          <w:highlight w:val="none"/>
          <w:lang w:val="en-US" w:eastAsia="zh-CN"/>
        </w:rPr>
        <w:t>4</w:t>
      </w:r>
      <w:r>
        <w:rPr>
          <w:rFonts w:hint="eastAsia" w:ascii="宋体" w:hAnsi="宋体" w:eastAsia="宋体" w:cs="Times New Roman"/>
          <w:color w:val="auto"/>
          <w:szCs w:val="21"/>
          <w:highlight w:val="none"/>
          <w:lang w:eastAsia="zh-CN"/>
        </w:rPr>
        <w:t>）</w:t>
      </w:r>
      <w:r>
        <w:rPr>
          <w:rFonts w:hint="eastAsia" w:ascii="宋体" w:hAnsi="宋体" w:eastAsia="宋体" w:cs="Times New Roman"/>
          <w:color w:val="auto"/>
          <w:szCs w:val="21"/>
          <w:highlight w:val="none"/>
        </w:rPr>
        <w:t>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w:t>
      </w:r>
      <w:r>
        <w:rPr>
          <w:rFonts w:hint="eastAsia" w:ascii="宋体" w:hAnsi="宋体" w:eastAsia="宋体" w:cs="Times New Roman"/>
          <w:color w:val="auto"/>
          <w:szCs w:val="21"/>
          <w:highlight w:val="none"/>
          <w:lang w:eastAsia="zh-CN"/>
        </w:rPr>
        <w:t>（</w:t>
      </w:r>
      <w:r>
        <w:rPr>
          <w:rFonts w:hint="eastAsia" w:ascii="宋体" w:hAnsi="宋体" w:eastAsia="宋体" w:cs="Times New Roman"/>
          <w:color w:val="auto"/>
          <w:szCs w:val="21"/>
          <w:highlight w:val="none"/>
          <w:lang w:val="en-US" w:eastAsia="zh-CN"/>
        </w:rPr>
        <w:t>3</w:t>
      </w:r>
      <w:r>
        <w:rPr>
          <w:rFonts w:hint="eastAsia" w:ascii="宋体" w:hAnsi="宋体" w:eastAsia="宋体" w:cs="Times New Roman"/>
          <w:color w:val="auto"/>
          <w:szCs w:val="21"/>
          <w:highlight w:val="none"/>
          <w:lang w:eastAsia="zh-CN"/>
        </w:rPr>
        <w:t>）</w:t>
      </w:r>
      <w:r>
        <w:rPr>
          <w:rFonts w:hint="eastAsia" w:ascii="宋体" w:hAnsi="宋体" w:eastAsia="宋体" w:cs="Times New Roman"/>
          <w:color w:val="auto"/>
          <w:szCs w:val="21"/>
          <w:highlight w:val="none"/>
        </w:rPr>
        <w:t>项情形，供应商已随投标（响应）文件一并提交相关书面说明及必要的证明材料的，在评审现场可不再重复提交。</w:t>
      </w:r>
    </w:p>
    <w:p w14:paraId="05AB7130">
      <w:pPr>
        <w:shd w:val="clear" w:color="auto" w:fill="auto"/>
        <w:snapToGrid w:val="0"/>
        <w:spacing w:line="360" w:lineRule="auto"/>
        <w:ind w:firstLine="420" w:firstLineChars="200"/>
        <w:textAlignment w:val="auto"/>
        <w:rPr>
          <w:rFonts w:hint="eastAsia" w:ascii="宋体" w:hAnsi="宋体" w:eastAsia="宋体" w:cs="Times New Roman"/>
          <w:color w:val="auto"/>
          <w:sz w:val="21"/>
          <w:szCs w:val="21"/>
          <w:highlight w:val="none"/>
        </w:rPr>
      </w:pPr>
      <w:r>
        <w:rPr>
          <w:rFonts w:hint="eastAsia" w:ascii="宋体" w:hAnsi="宋体" w:eastAsia="宋体" w:cs="Times New Roman"/>
          <w:color w:val="auto"/>
          <w:szCs w:val="21"/>
          <w:highlight w:val="none"/>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252166A1">
      <w:pPr>
        <w:shd w:val="clear" w:color="auto" w:fill="auto"/>
        <w:snapToGrid w:val="0"/>
        <w:spacing w:line="360" w:lineRule="auto"/>
        <w:ind w:firstLine="420" w:firstLineChars="200"/>
        <w:textAlignment w:val="auto"/>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5.12</w:t>
      </w:r>
      <w:r>
        <w:rPr>
          <w:rFonts w:hint="eastAsia" w:ascii="宋体" w:hAnsi="宋体" w:eastAsia="宋体" w:cs="Times New Roman"/>
          <w:color w:val="auto"/>
          <w:szCs w:val="21"/>
          <w:highlight w:val="none"/>
          <w:lang w:val="en-US" w:eastAsia="zh-CN"/>
        </w:rPr>
        <w:t>.3</w:t>
      </w:r>
      <w:r>
        <w:rPr>
          <w:rFonts w:hint="eastAsia" w:ascii="宋体" w:hAnsi="宋体" w:eastAsia="宋体" w:cs="Times New Roman"/>
          <w:color w:val="auto"/>
          <w:szCs w:val="21"/>
          <w:highlight w:val="none"/>
        </w:rPr>
        <w:t>采购人、采购代理机构应当为评审委员会在评审现场及时获取同类项目中标（成交）价格、类似产品市场价格水平、行业人工费用标准、国家有关部门指导行业协会发布的行业平均成本等相关信息资料提供便利。评审委员会借助互联网等渠道查询相关信息的，应当严格遵守评审工作纪律，不得实施影响评审公正的行为。</w:t>
      </w:r>
    </w:p>
    <w:p w14:paraId="147DEB2E">
      <w:pPr>
        <w:spacing w:line="360" w:lineRule="auto"/>
        <w:ind w:firstLine="420" w:firstLineChars="200"/>
        <w:rPr>
          <w:rFonts w:hint="eastAsia" w:ascii="宋体" w:hAnsi="宋体" w:cs="宋体"/>
          <w:color w:val="auto"/>
          <w:szCs w:val="21"/>
          <w:highlight w:val="none"/>
        </w:rPr>
      </w:pPr>
      <w:r>
        <w:rPr>
          <w:rFonts w:hint="eastAsia" w:ascii="宋体" w:hAnsi="宋体" w:eastAsia="宋体" w:cs="Times New Roman"/>
          <w:color w:val="auto"/>
          <w:szCs w:val="21"/>
          <w:highlight w:val="none"/>
        </w:rPr>
        <w:t>异常低价投标（响应）审查的启动原因、审查意见和审查结果应当在评审报告中记录，并随供应商提供的相关书面说明及证明材料，以及评审委员会有关互联网浏览、查询历史一并归档。</w:t>
      </w:r>
    </w:p>
    <w:p w14:paraId="10A3B538">
      <w:pPr>
        <w:ind w:firstLine="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6.比较与评价</w:t>
      </w:r>
    </w:p>
    <w:p w14:paraId="5B38AC3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6.1评审方法：综合评分法。</w:t>
      </w:r>
    </w:p>
    <w:p w14:paraId="29476BA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6.2经磋商确定最终采购需求和提交最后报价的供应商后，由磋商小组采用综合评分法对提交最后报价的供应商的响应文件和最后报价进行综合评分。</w:t>
      </w:r>
    </w:p>
    <w:p w14:paraId="1D0DB34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6.3评审时，磋商小组各成员应当独立对每个有效响应的文件进行评价、打分，然后汇总每个供应商每项评分因素的得分。</w:t>
      </w:r>
    </w:p>
    <w:p w14:paraId="40B9C68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14:paraId="12B3181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（2）磋商小组按照磋商文件中规定的评审标准计算各供应商的报价得分。项目评审过程中，不得去掉最后报价中的最高报价和最低报价。</w:t>
      </w:r>
    </w:p>
    <w:p w14:paraId="35BDA88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（3）各供应商的得分为磋商小组所有成员的有效评分的算术平均数。</w:t>
      </w:r>
    </w:p>
    <w:p w14:paraId="366AA47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6.4评审价为供应商的最后报价进行政策性扣除后的价格，评审价只是作为评审时使用。最终成交供应商的成交金额等于最后报价（如有修正，以确认修正后的最后报价为准）。</w:t>
      </w:r>
    </w:p>
    <w:p w14:paraId="1F182436">
      <w:pPr>
        <w:spacing w:line="360" w:lineRule="auto"/>
        <w:ind w:firstLine="420" w:firstLineChars="200"/>
        <w:rPr>
          <w:rFonts w:hint="eastAsia" w:ascii="宋体" w:hAnsi="宋体"/>
          <w:color w:val="auto"/>
          <w:kern w:val="0"/>
          <w:szCs w:val="21"/>
          <w:highlight w:val="none"/>
        </w:rPr>
      </w:pPr>
      <w:r>
        <w:rPr>
          <w:rFonts w:hint="eastAsia" w:ascii="宋体" w:hAnsi="宋体" w:cs="宋体"/>
          <w:color w:val="auto"/>
          <w:szCs w:val="21"/>
          <w:highlight w:val="none"/>
        </w:rPr>
        <w:t>6.5由磋商小组根据综合评分情况，按照评审得分由高到低顺序推荐3名以上成交候选供应商，并编写评</w:t>
      </w:r>
      <w:r>
        <w:rPr>
          <w:rFonts w:hint="eastAsia" w:ascii="宋体" w:hAnsi="宋体"/>
          <w:color w:val="auto"/>
          <w:kern w:val="0"/>
          <w:szCs w:val="21"/>
          <w:highlight w:val="none"/>
        </w:rPr>
        <w:t>审报告。符合本章第3.7、5.3条情形的，可以推荐2家成交候选供应商。评审得分相同的，按照最后报价由低到高的顺序推荐。评审得分且最后报价相同的，按照技术指标优劣顺序推荐。</w:t>
      </w:r>
    </w:p>
    <w:p w14:paraId="214F7E5A">
      <w:pPr>
        <w:spacing w:line="360" w:lineRule="auto"/>
        <w:ind w:firstLine="420" w:firstLineChars="200"/>
        <w:rPr>
          <w:rFonts w:hint="eastAsia" w:ascii="宋体" w:hAnsi="宋体"/>
          <w:color w:val="auto"/>
          <w:kern w:val="0"/>
          <w:szCs w:val="21"/>
          <w:highlight w:val="none"/>
        </w:rPr>
      </w:pPr>
      <w:r>
        <w:rPr>
          <w:rFonts w:hint="eastAsia" w:ascii="宋体" w:hAnsi="宋体"/>
          <w:color w:val="auto"/>
          <w:kern w:val="0"/>
          <w:szCs w:val="21"/>
          <w:highlight w:val="none"/>
        </w:rPr>
        <w:t>6.6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5556F686">
      <w:pPr>
        <w:spacing w:line="360" w:lineRule="auto"/>
        <w:ind w:firstLine="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7.评审复核</w:t>
      </w:r>
    </w:p>
    <w:p w14:paraId="152FED50">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7.1评审报告签署前，评审委员会要对评审结果进行复核，复核意见要体现在评审报告中。</w:t>
      </w:r>
    </w:p>
    <w:p w14:paraId="4AB4ACF7">
      <w:pPr>
        <w:widowControl/>
        <w:spacing w:line="360" w:lineRule="auto"/>
        <w:ind w:firstLine="420" w:firstLineChars="200"/>
        <w:jc w:val="left"/>
        <w:rPr>
          <w:rFonts w:hint="eastAsia" w:ascii="宋体" w:hAnsi="宋体"/>
          <w:color w:val="auto"/>
          <w:kern w:val="0"/>
          <w:szCs w:val="21"/>
          <w:highlight w:val="none"/>
        </w:rPr>
      </w:pPr>
      <w:r>
        <w:rPr>
          <w:rFonts w:hint="eastAsia" w:ascii="宋体" w:hAnsi="宋体" w:cs="宋体"/>
          <w:color w:val="auto"/>
          <w:kern w:val="0"/>
          <w:szCs w:val="21"/>
          <w:highlight w:val="none"/>
        </w:rPr>
        <w:t>7.2评审结果汇总完成后，采购人、采购代理机构和评审委员会均不得修改评审结果或者要求重新评审，但资格性检查认定错误、分值汇总计算错误、分项评分超出评分标准范围、客观分评分不一致、经评审委员会一致认定评分畸高、畸低的情形除外。出现上述除外情形的，评审委员会应当现场修改评审结果，并在评审报告中明确记载。</w:t>
      </w:r>
    </w:p>
    <w:p w14:paraId="593DE826">
      <w:pPr>
        <w:ind w:firstLine="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8.评审标准</w:t>
      </w:r>
    </w:p>
    <w:p w14:paraId="5B130F83">
      <w:pPr>
        <w:spacing w:line="360" w:lineRule="auto"/>
        <w:ind w:firstLine="422" w:firstLineChars="200"/>
        <w:rPr>
          <w:rFonts w:hint="eastAsia" w:ascii="宋体" w:hAnsi="宋体"/>
          <w:bCs/>
          <w:color w:val="auto"/>
          <w:szCs w:val="21"/>
          <w:highlight w:val="none"/>
        </w:rPr>
      </w:pPr>
      <w:r>
        <w:rPr>
          <w:rFonts w:hint="eastAsia" w:ascii="宋体" w:hAnsi="宋体"/>
          <w:b/>
          <w:color w:val="auto"/>
          <w:highlight w:val="none"/>
        </w:rPr>
        <w:t>8.</w:t>
      </w:r>
      <w:r>
        <w:rPr>
          <w:rFonts w:hint="eastAsia" w:ascii="宋体" w:hAnsi="宋体"/>
          <w:bCs/>
          <w:color w:val="auto"/>
          <w:szCs w:val="21"/>
          <w:highlight w:val="none"/>
        </w:rPr>
        <w:t>1评审依据：磋商小组将以磋商响应文件为评审依据，对供应商的报价、技术、商务等方面内容按百分制打分。（计分方法按四舍五入取至百分位）</w:t>
      </w:r>
    </w:p>
    <w:p w14:paraId="547CE11B">
      <w:pPr>
        <w:spacing w:line="360" w:lineRule="auto"/>
        <w:ind w:firstLine="420" w:firstLineChars="200"/>
        <w:rPr>
          <w:rFonts w:hint="eastAsia" w:ascii="宋体" w:hAnsi="宋体"/>
          <w:bCs/>
          <w:color w:val="auto"/>
          <w:szCs w:val="21"/>
          <w:highlight w:val="none"/>
          <w:u w:val="single"/>
        </w:rPr>
      </w:pPr>
      <w:r>
        <w:rPr>
          <w:rFonts w:hint="eastAsia" w:ascii="宋体" w:hAnsi="宋体"/>
          <w:bCs/>
          <w:color w:val="auto"/>
          <w:szCs w:val="21"/>
          <w:highlight w:val="none"/>
        </w:rPr>
        <w:t>总得分=</w:t>
      </w:r>
      <w:r>
        <w:rPr>
          <w:rFonts w:hint="eastAsia" w:ascii="宋体" w:hAnsi="宋体"/>
          <w:bCs/>
          <w:color w:val="auto"/>
          <w:szCs w:val="21"/>
          <w:highlight w:val="none"/>
          <w:u w:val="single"/>
        </w:rPr>
        <w:t xml:space="preserve">   1+2+3  </w:t>
      </w:r>
    </w:p>
    <w:tbl>
      <w:tblPr>
        <w:tblStyle w:val="25"/>
        <w:tblW w:w="930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52"/>
        <w:gridCol w:w="1341"/>
        <w:gridCol w:w="6539"/>
        <w:gridCol w:w="672"/>
      </w:tblGrid>
      <w:tr w14:paraId="4B8EDB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7" w:hRule="atLeast"/>
        </w:trPr>
        <w:tc>
          <w:tcPr>
            <w:tcW w:w="752" w:type="dxa"/>
            <w:noWrap w:val="0"/>
            <w:vAlign w:val="center"/>
          </w:tcPr>
          <w:p w14:paraId="6D9DE1FE">
            <w:pPr>
              <w:keepNext w:val="0"/>
              <w:keepLines w:val="0"/>
              <w:pageBreakBefore w:val="0"/>
              <w:kinsoku/>
              <w:wordWrap/>
              <w:overflowPunct/>
              <w:topLinePunct w:val="0"/>
              <w:autoSpaceDN/>
              <w:bidi w:val="0"/>
              <w:adjustRightInd/>
              <w:snapToGrid/>
              <w:spacing w:line="360" w:lineRule="exact"/>
              <w:jc w:val="center"/>
              <w:textAlignment w:val="auto"/>
              <w:rPr>
                <w:rFonts w:ascii="宋体" w:hAnsi="宋体" w:eastAsia="宋体" w:cs="宋体"/>
                <w:b/>
                <w:bCs/>
                <w:color w:val="auto"/>
                <w:szCs w:val="21"/>
                <w:highlight w:val="none"/>
              </w:rPr>
            </w:pPr>
            <w:r>
              <w:rPr>
                <w:rFonts w:hint="eastAsia" w:ascii="宋体" w:hAnsi="宋体" w:eastAsia="宋体" w:cs="宋体"/>
                <w:b/>
                <w:bCs/>
                <w:color w:val="auto"/>
                <w:szCs w:val="21"/>
                <w:highlight w:val="none"/>
              </w:rPr>
              <w:t>序号</w:t>
            </w:r>
          </w:p>
        </w:tc>
        <w:tc>
          <w:tcPr>
            <w:tcW w:w="1341" w:type="dxa"/>
            <w:noWrap w:val="0"/>
            <w:vAlign w:val="center"/>
          </w:tcPr>
          <w:p w14:paraId="3AF82A74">
            <w:pPr>
              <w:keepNext w:val="0"/>
              <w:keepLines w:val="0"/>
              <w:pageBreakBefore w:val="0"/>
              <w:kinsoku/>
              <w:wordWrap/>
              <w:overflowPunct/>
              <w:topLinePunct w:val="0"/>
              <w:autoSpaceDN/>
              <w:bidi w:val="0"/>
              <w:adjustRightInd/>
              <w:snapToGrid/>
              <w:spacing w:line="360" w:lineRule="exact"/>
              <w:jc w:val="center"/>
              <w:textAlignment w:val="auto"/>
              <w:rPr>
                <w:rFonts w:ascii="宋体" w:hAnsi="宋体" w:eastAsia="宋体" w:cs="宋体"/>
                <w:b/>
                <w:bCs/>
                <w:color w:val="auto"/>
                <w:szCs w:val="21"/>
                <w:highlight w:val="none"/>
              </w:rPr>
            </w:pPr>
            <w:r>
              <w:rPr>
                <w:rFonts w:hint="eastAsia" w:ascii="宋体" w:hAnsi="宋体" w:eastAsia="宋体" w:cs="宋体"/>
                <w:b/>
                <w:bCs/>
                <w:color w:val="auto"/>
                <w:szCs w:val="21"/>
                <w:highlight w:val="none"/>
              </w:rPr>
              <w:t>评审因素</w:t>
            </w:r>
          </w:p>
        </w:tc>
        <w:tc>
          <w:tcPr>
            <w:tcW w:w="6539" w:type="dxa"/>
            <w:noWrap w:val="0"/>
            <w:vAlign w:val="center"/>
          </w:tcPr>
          <w:p w14:paraId="53BE131E">
            <w:pPr>
              <w:keepNext w:val="0"/>
              <w:keepLines w:val="0"/>
              <w:pageBreakBefore w:val="0"/>
              <w:kinsoku/>
              <w:wordWrap/>
              <w:overflowPunct/>
              <w:topLinePunct w:val="0"/>
              <w:autoSpaceDN/>
              <w:bidi w:val="0"/>
              <w:adjustRightInd/>
              <w:snapToGrid/>
              <w:spacing w:line="360" w:lineRule="exact"/>
              <w:jc w:val="center"/>
              <w:textAlignment w:val="auto"/>
              <w:rPr>
                <w:rFonts w:ascii="宋体" w:hAnsi="宋体" w:eastAsia="宋体" w:cs="宋体"/>
                <w:b/>
                <w:bCs/>
                <w:color w:val="auto"/>
                <w:szCs w:val="21"/>
                <w:highlight w:val="none"/>
              </w:rPr>
            </w:pPr>
            <w:r>
              <w:rPr>
                <w:rFonts w:hint="eastAsia" w:ascii="宋体" w:hAnsi="宋体" w:eastAsia="宋体" w:cs="宋体"/>
                <w:b/>
                <w:bCs/>
                <w:color w:val="auto"/>
                <w:szCs w:val="21"/>
                <w:highlight w:val="none"/>
              </w:rPr>
              <w:t>评审因素具体内容</w:t>
            </w:r>
          </w:p>
        </w:tc>
        <w:tc>
          <w:tcPr>
            <w:tcW w:w="672" w:type="dxa"/>
            <w:noWrap w:val="0"/>
            <w:vAlign w:val="center"/>
          </w:tcPr>
          <w:p w14:paraId="2076EFE9">
            <w:pPr>
              <w:keepNext w:val="0"/>
              <w:keepLines w:val="0"/>
              <w:pageBreakBefore w:val="0"/>
              <w:kinsoku/>
              <w:wordWrap/>
              <w:overflowPunct/>
              <w:topLinePunct w:val="0"/>
              <w:autoSpaceDN/>
              <w:bidi w:val="0"/>
              <w:adjustRightInd/>
              <w:snapToGrid/>
              <w:spacing w:line="360" w:lineRule="exact"/>
              <w:jc w:val="center"/>
              <w:textAlignment w:val="auto"/>
              <w:rPr>
                <w:rFonts w:ascii="宋体" w:hAnsi="宋体" w:eastAsia="宋体" w:cs="宋体"/>
                <w:bCs/>
                <w:color w:val="auto"/>
                <w:szCs w:val="21"/>
                <w:highlight w:val="none"/>
              </w:rPr>
            </w:pPr>
            <w:r>
              <w:rPr>
                <w:rFonts w:hint="eastAsia" w:ascii="宋体" w:hAnsi="宋体" w:eastAsia="宋体" w:cs="宋体"/>
                <w:b/>
                <w:color w:val="auto"/>
                <w:kern w:val="0"/>
                <w:highlight w:val="none"/>
              </w:rPr>
              <w:t>分值</w:t>
            </w:r>
          </w:p>
        </w:tc>
      </w:tr>
      <w:tr w14:paraId="669CBF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52" w:type="dxa"/>
            <w:noWrap w:val="0"/>
            <w:vAlign w:val="center"/>
          </w:tcPr>
          <w:p w14:paraId="39C2A11A">
            <w:pPr>
              <w:keepNext w:val="0"/>
              <w:keepLines w:val="0"/>
              <w:pageBreakBefore w:val="0"/>
              <w:kinsoku/>
              <w:wordWrap/>
              <w:overflowPunct/>
              <w:topLinePunct w:val="0"/>
              <w:autoSpaceDN/>
              <w:bidi w:val="0"/>
              <w:adjustRightInd/>
              <w:snapToGrid/>
              <w:spacing w:line="360" w:lineRule="exact"/>
              <w:jc w:val="center"/>
              <w:textAlignment w:val="auto"/>
              <w:rPr>
                <w:rFonts w:ascii="宋体" w:hAnsi="宋体" w:eastAsia="宋体" w:cs="宋体"/>
                <w:bCs/>
                <w:color w:val="auto"/>
                <w:szCs w:val="21"/>
                <w:highlight w:val="none"/>
              </w:rPr>
            </w:pPr>
            <w:r>
              <w:rPr>
                <w:rFonts w:hint="eastAsia" w:ascii="宋体" w:hAnsi="宋体" w:eastAsia="宋体" w:cs="宋体"/>
                <w:bCs/>
                <w:color w:val="auto"/>
                <w:szCs w:val="21"/>
                <w:highlight w:val="none"/>
              </w:rPr>
              <w:t>1</w:t>
            </w:r>
          </w:p>
        </w:tc>
        <w:tc>
          <w:tcPr>
            <w:tcW w:w="1341" w:type="dxa"/>
            <w:noWrap w:val="0"/>
            <w:vAlign w:val="center"/>
          </w:tcPr>
          <w:p w14:paraId="29249EEC">
            <w:pPr>
              <w:keepNext w:val="0"/>
              <w:keepLines w:val="0"/>
              <w:pageBreakBefore w:val="0"/>
              <w:kinsoku/>
              <w:wordWrap/>
              <w:overflowPunct/>
              <w:topLinePunct w:val="0"/>
              <w:autoSpaceDN/>
              <w:bidi w:val="0"/>
              <w:adjustRightInd/>
              <w:snapToGrid/>
              <w:spacing w:line="360" w:lineRule="exact"/>
              <w:jc w:val="center"/>
              <w:textAlignment w:val="auto"/>
              <w:rPr>
                <w:rFonts w:ascii="宋体" w:hAnsi="宋体" w:eastAsia="宋体" w:cs="宋体"/>
                <w:bCs/>
                <w:color w:val="auto"/>
                <w:szCs w:val="21"/>
                <w:highlight w:val="none"/>
              </w:rPr>
            </w:pPr>
            <w:r>
              <w:rPr>
                <w:rFonts w:hint="eastAsia" w:ascii="宋体" w:hAnsi="宋体" w:eastAsia="宋体" w:cs="宋体"/>
                <w:bCs/>
                <w:color w:val="auto"/>
                <w:szCs w:val="21"/>
                <w:highlight w:val="none"/>
              </w:rPr>
              <w:t>价格分</w:t>
            </w:r>
          </w:p>
        </w:tc>
        <w:tc>
          <w:tcPr>
            <w:tcW w:w="6539" w:type="dxa"/>
            <w:noWrap w:val="0"/>
            <w:vAlign w:val="center"/>
          </w:tcPr>
          <w:p w14:paraId="18084711">
            <w:pPr>
              <w:keepNext w:val="0"/>
              <w:keepLines w:val="0"/>
              <w:pageBreakBefore w:val="0"/>
              <w:kinsoku/>
              <w:wordWrap/>
              <w:overflowPunct/>
              <w:topLinePunct w:val="0"/>
              <w:autoSpaceDN/>
              <w:bidi w:val="0"/>
              <w:adjustRightInd/>
              <w:snapToGrid/>
              <w:spacing w:line="360" w:lineRule="exact"/>
              <w:ind w:firstLine="420" w:firstLineChars="200"/>
              <w:textAlignment w:val="auto"/>
              <w:rPr>
                <w:rFonts w:ascii="宋体" w:hAnsi="宋体" w:eastAsia="宋体" w:cs="宋体"/>
                <w:color w:val="auto"/>
                <w:szCs w:val="21"/>
                <w:highlight w:val="none"/>
              </w:rPr>
            </w:pPr>
            <w:r>
              <w:rPr>
                <w:rFonts w:hint="eastAsia" w:ascii="宋体" w:hAnsi="宋体" w:eastAsia="宋体" w:cs="宋体"/>
                <w:bCs/>
                <w:color w:val="auto"/>
                <w:szCs w:val="21"/>
                <w:highlight w:val="none"/>
              </w:rPr>
              <w:t>（1）</w:t>
            </w:r>
            <w:r>
              <w:rPr>
                <w:rFonts w:hint="eastAsia" w:ascii="宋体" w:hAnsi="宋体" w:eastAsia="宋体" w:cs="宋体"/>
                <w:color w:val="auto"/>
                <w:szCs w:val="21"/>
                <w:highlight w:val="none"/>
              </w:rPr>
              <w:t>最终成交供应商的成交金额等于最后报价（如有修正，以确认修正后的最后报价为准）。</w:t>
            </w:r>
          </w:p>
          <w:p w14:paraId="7A087369">
            <w:pPr>
              <w:pStyle w:val="15"/>
              <w:keepNext w:val="0"/>
              <w:keepLines w:val="0"/>
              <w:pageBreakBefore w:val="0"/>
              <w:kinsoku/>
              <w:wordWrap/>
              <w:overflowPunct/>
              <w:topLinePunct w:val="0"/>
              <w:autoSpaceDN/>
              <w:bidi w:val="0"/>
              <w:adjustRightInd/>
              <w:snapToGrid/>
              <w:spacing w:line="360" w:lineRule="exact"/>
              <w:ind w:firstLine="420" w:firstLineChars="200"/>
              <w:textAlignment w:val="auto"/>
              <w:rPr>
                <w:rFonts w:hint="default" w:ascii="宋体" w:hAnsi="宋体" w:eastAsia="宋体" w:cs="宋体"/>
                <w:color w:val="auto"/>
                <w:sz w:val="21"/>
                <w:highlight w:val="none"/>
                <w:lang w:val="en-US" w:eastAsia="zh-CN"/>
              </w:rPr>
            </w:pPr>
            <w:r>
              <w:rPr>
                <w:rFonts w:hint="eastAsia" w:ascii="宋体" w:hAnsi="宋体" w:eastAsia="宋体" w:cs="宋体"/>
                <w:bCs/>
                <w:color w:val="auto"/>
                <w:kern w:val="2"/>
                <w:sz w:val="21"/>
                <w:highlight w:val="none"/>
              </w:rPr>
              <w:t>（2）</w:t>
            </w:r>
            <w:r>
              <w:rPr>
                <w:rFonts w:hint="eastAsia" w:hAnsi="宋体" w:cs="宋体"/>
                <w:bCs/>
                <w:color w:val="auto"/>
                <w:kern w:val="2"/>
                <w:sz w:val="21"/>
                <w:highlight w:val="none"/>
                <w:lang w:val="en-US" w:eastAsia="zh-CN"/>
              </w:rPr>
              <w:t>本项目专门面向中小企业，不再进行价格政策扣除。</w:t>
            </w:r>
          </w:p>
          <w:p w14:paraId="5C00FB71">
            <w:pPr>
              <w:pStyle w:val="15"/>
              <w:keepNext w:val="0"/>
              <w:keepLines w:val="0"/>
              <w:pageBreakBefore w:val="0"/>
              <w:kinsoku/>
              <w:wordWrap/>
              <w:overflowPunct/>
              <w:topLinePunct w:val="0"/>
              <w:autoSpaceDN/>
              <w:bidi w:val="0"/>
              <w:adjustRightInd/>
              <w:snapToGrid/>
              <w:spacing w:line="360" w:lineRule="exact"/>
              <w:ind w:firstLine="420" w:firstLineChars="200"/>
              <w:textAlignment w:val="auto"/>
              <w:rPr>
                <w:rFonts w:ascii="宋体" w:hAnsi="宋体" w:eastAsia="宋体" w:cs="宋体"/>
                <w:bCs/>
                <w:color w:val="auto"/>
                <w:kern w:val="2"/>
                <w:sz w:val="21"/>
                <w:highlight w:val="none"/>
              </w:rPr>
            </w:pPr>
            <w:r>
              <w:rPr>
                <w:rFonts w:hint="eastAsia" w:ascii="宋体" w:hAnsi="宋体" w:eastAsia="宋体" w:cs="宋体"/>
                <w:bCs/>
                <w:color w:val="auto"/>
                <w:kern w:val="2"/>
                <w:sz w:val="21"/>
                <w:highlight w:val="none"/>
              </w:rPr>
              <w:t>（</w:t>
            </w:r>
            <w:r>
              <w:rPr>
                <w:rFonts w:hint="eastAsia" w:hAnsi="宋体" w:cs="宋体"/>
                <w:bCs/>
                <w:color w:val="auto"/>
                <w:kern w:val="2"/>
                <w:sz w:val="21"/>
                <w:highlight w:val="none"/>
                <w:lang w:val="en-US" w:eastAsia="zh-CN"/>
              </w:rPr>
              <w:t>3</w:t>
            </w:r>
            <w:r>
              <w:rPr>
                <w:rFonts w:hint="eastAsia" w:ascii="宋体" w:hAnsi="宋体" w:eastAsia="宋体" w:cs="宋体"/>
                <w:bCs/>
                <w:color w:val="auto"/>
                <w:kern w:val="2"/>
                <w:sz w:val="21"/>
                <w:highlight w:val="none"/>
              </w:rPr>
              <w:t>）以进入比较与评价环节的最低的评审价为基准价，基准价得分为</w:t>
            </w:r>
            <w:r>
              <w:rPr>
                <w:rFonts w:hint="eastAsia" w:ascii="宋体" w:hAnsi="宋体" w:eastAsia="宋体" w:cs="宋体"/>
                <w:bCs/>
                <w:color w:val="auto"/>
                <w:kern w:val="2"/>
                <w:sz w:val="21"/>
                <w:highlight w:val="none"/>
                <w:u w:val="single"/>
              </w:rPr>
              <w:t xml:space="preserve"> </w:t>
            </w:r>
            <w:r>
              <w:rPr>
                <w:rFonts w:hint="eastAsia" w:ascii="宋体" w:hAnsi="宋体" w:eastAsia="宋体" w:cs="宋体"/>
                <w:bCs/>
                <w:color w:val="auto"/>
                <w:kern w:val="2"/>
                <w:sz w:val="21"/>
                <w:highlight w:val="none"/>
                <w:u w:val="single"/>
                <w:lang w:val="en-US" w:eastAsia="zh-CN"/>
              </w:rPr>
              <w:t>10</w:t>
            </w:r>
            <w:r>
              <w:rPr>
                <w:rFonts w:hint="eastAsia" w:ascii="宋体" w:hAnsi="宋体" w:eastAsia="宋体" w:cs="宋体"/>
                <w:bCs/>
                <w:color w:val="auto"/>
                <w:kern w:val="2"/>
                <w:sz w:val="21"/>
                <w:highlight w:val="none"/>
                <w:u w:val="single"/>
              </w:rPr>
              <w:t>分</w:t>
            </w:r>
            <w:r>
              <w:rPr>
                <w:rFonts w:hint="eastAsia" w:ascii="宋体" w:hAnsi="宋体" w:eastAsia="宋体" w:cs="宋体"/>
                <w:bCs/>
                <w:color w:val="auto"/>
                <w:kern w:val="2"/>
                <w:sz w:val="21"/>
                <w:highlight w:val="none"/>
              </w:rPr>
              <w:t>。</w:t>
            </w:r>
          </w:p>
          <w:p w14:paraId="2D3B56CE">
            <w:pPr>
              <w:pStyle w:val="15"/>
              <w:keepNext w:val="0"/>
              <w:keepLines w:val="0"/>
              <w:pageBreakBefore w:val="0"/>
              <w:kinsoku/>
              <w:wordWrap/>
              <w:overflowPunct/>
              <w:topLinePunct w:val="0"/>
              <w:autoSpaceDN/>
              <w:bidi w:val="0"/>
              <w:adjustRightInd/>
              <w:snapToGrid/>
              <w:spacing w:line="360" w:lineRule="exact"/>
              <w:ind w:firstLine="420" w:firstLineChars="200"/>
              <w:textAlignment w:val="auto"/>
              <w:rPr>
                <w:rFonts w:ascii="宋体" w:hAnsi="宋体" w:eastAsia="宋体" w:cs="宋体"/>
                <w:bCs/>
                <w:color w:val="auto"/>
                <w:kern w:val="2"/>
                <w:sz w:val="21"/>
                <w:highlight w:val="none"/>
              </w:rPr>
            </w:pPr>
            <w:r>
              <w:rPr>
                <w:rFonts w:hint="eastAsia" w:ascii="宋体" w:hAnsi="宋体" w:eastAsia="宋体" w:cs="宋体"/>
                <w:bCs/>
                <w:color w:val="auto"/>
                <w:kern w:val="2"/>
                <w:sz w:val="21"/>
                <w:highlight w:val="none"/>
              </w:rPr>
              <w:t>（</w:t>
            </w:r>
            <w:r>
              <w:rPr>
                <w:rFonts w:hint="eastAsia" w:hAnsi="宋体" w:cs="宋体"/>
                <w:bCs/>
                <w:color w:val="auto"/>
                <w:kern w:val="2"/>
                <w:sz w:val="21"/>
                <w:highlight w:val="none"/>
                <w:lang w:val="en-US" w:eastAsia="zh-CN"/>
              </w:rPr>
              <w:t>4</w:t>
            </w:r>
            <w:r>
              <w:rPr>
                <w:rFonts w:hint="eastAsia" w:ascii="宋体" w:hAnsi="宋体" w:eastAsia="宋体" w:cs="宋体"/>
                <w:bCs/>
                <w:color w:val="auto"/>
                <w:kern w:val="2"/>
                <w:sz w:val="21"/>
                <w:highlight w:val="none"/>
              </w:rPr>
              <w:t>）价格分计算公式：</w:t>
            </w:r>
          </w:p>
          <w:p w14:paraId="5E561681">
            <w:pPr>
              <w:keepNext w:val="0"/>
              <w:keepLines w:val="0"/>
              <w:pageBreakBefore w:val="0"/>
              <w:kinsoku/>
              <w:wordWrap/>
              <w:overflowPunct/>
              <w:topLinePunct w:val="0"/>
              <w:autoSpaceDN/>
              <w:bidi w:val="0"/>
              <w:adjustRightInd/>
              <w:snapToGrid/>
              <w:spacing w:line="360" w:lineRule="exact"/>
              <w:ind w:firstLine="420" w:firstLineChars="200"/>
              <w:textAlignment w:val="auto"/>
              <w:rPr>
                <w:rFonts w:ascii="宋体" w:hAnsi="宋体" w:eastAsia="宋体" w:cs="宋体"/>
                <w:bCs/>
                <w:color w:val="auto"/>
                <w:szCs w:val="21"/>
                <w:highlight w:val="none"/>
              </w:rPr>
            </w:pPr>
            <w:r>
              <w:rPr>
                <w:rFonts w:hint="eastAsia" w:ascii="宋体" w:hAnsi="宋体" w:eastAsia="宋体" w:cs="宋体"/>
                <w:bCs/>
                <w:color w:val="auto"/>
                <w:highlight w:val="none"/>
              </w:rPr>
              <w:t>报价得分=（基准价/供应商的评审报价）×</w:t>
            </w:r>
            <w:r>
              <w:rPr>
                <w:rFonts w:hint="eastAsia" w:ascii="宋体" w:hAnsi="宋体" w:eastAsia="宋体" w:cs="宋体"/>
                <w:bCs/>
                <w:color w:val="auto"/>
                <w:highlight w:val="none"/>
                <w:u w:val="single"/>
              </w:rPr>
              <w:t xml:space="preserve"> 10分</w:t>
            </w:r>
          </w:p>
        </w:tc>
        <w:tc>
          <w:tcPr>
            <w:tcW w:w="672" w:type="dxa"/>
            <w:noWrap w:val="0"/>
            <w:vAlign w:val="center"/>
          </w:tcPr>
          <w:p w14:paraId="3EF0E41D">
            <w:pPr>
              <w:keepNext w:val="0"/>
              <w:keepLines w:val="0"/>
              <w:pageBreakBefore w:val="0"/>
              <w:kinsoku/>
              <w:wordWrap/>
              <w:overflowPunct/>
              <w:topLinePunct w:val="0"/>
              <w:autoSpaceDN/>
              <w:bidi w:val="0"/>
              <w:adjustRightInd/>
              <w:snapToGrid/>
              <w:spacing w:line="360" w:lineRule="exact"/>
              <w:jc w:val="center"/>
              <w:textAlignment w:val="auto"/>
              <w:rPr>
                <w:rFonts w:ascii="宋体" w:hAnsi="宋体" w:eastAsia="宋体" w:cs="宋体"/>
                <w:bCs/>
                <w:color w:val="auto"/>
                <w:szCs w:val="21"/>
                <w:highlight w:val="none"/>
              </w:rPr>
            </w:pPr>
            <w:r>
              <w:rPr>
                <w:rFonts w:hint="eastAsia" w:ascii="宋体" w:hAnsi="宋体" w:eastAsia="宋体" w:cs="宋体"/>
                <w:bCs/>
                <w:color w:val="auto"/>
                <w:szCs w:val="21"/>
                <w:highlight w:val="none"/>
              </w:rPr>
              <w:t>10分</w:t>
            </w:r>
          </w:p>
        </w:tc>
      </w:tr>
      <w:tr w14:paraId="71F726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52" w:type="dxa"/>
            <w:noWrap w:val="0"/>
            <w:vAlign w:val="center"/>
          </w:tcPr>
          <w:p w14:paraId="6043C608">
            <w:pPr>
              <w:keepNext w:val="0"/>
              <w:keepLines w:val="0"/>
              <w:pageBreakBefore w:val="0"/>
              <w:widowControl/>
              <w:kinsoku/>
              <w:wordWrap/>
              <w:overflowPunct/>
              <w:topLinePunct w:val="0"/>
              <w:autoSpaceDE w:val="0"/>
              <w:autoSpaceDN/>
              <w:bidi w:val="0"/>
              <w:adjustRightInd/>
              <w:snapToGrid/>
              <w:spacing w:line="360" w:lineRule="exact"/>
              <w:jc w:val="center"/>
              <w:textAlignment w:val="auto"/>
              <w:rPr>
                <w:rFonts w:ascii="宋体" w:hAnsi="宋体" w:eastAsia="宋体" w:cs="宋体"/>
                <w:b/>
                <w:color w:val="auto"/>
                <w:kern w:val="0"/>
                <w:szCs w:val="21"/>
                <w:highlight w:val="none"/>
              </w:rPr>
            </w:pPr>
            <w:r>
              <w:rPr>
                <w:rFonts w:hint="eastAsia" w:ascii="宋体" w:hAnsi="宋体" w:eastAsia="宋体" w:cs="宋体"/>
                <w:b/>
                <w:bCs/>
                <w:color w:val="auto"/>
                <w:kern w:val="0"/>
                <w:highlight w:val="none"/>
              </w:rPr>
              <w:t>2</w:t>
            </w:r>
          </w:p>
        </w:tc>
        <w:tc>
          <w:tcPr>
            <w:tcW w:w="1341" w:type="dxa"/>
            <w:noWrap w:val="0"/>
            <w:vAlign w:val="center"/>
          </w:tcPr>
          <w:p w14:paraId="240845D5">
            <w:pPr>
              <w:keepNext w:val="0"/>
              <w:keepLines w:val="0"/>
              <w:pageBreakBefore w:val="0"/>
              <w:widowControl/>
              <w:kinsoku/>
              <w:wordWrap/>
              <w:overflowPunct/>
              <w:topLinePunct w:val="0"/>
              <w:autoSpaceDE w:val="0"/>
              <w:autoSpaceDN/>
              <w:bidi w:val="0"/>
              <w:adjustRightInd/>
              <w:snapToGrid/>
              <w:spacing w:line="360" w:lineRule="exact"/>
              <w:jc w:val="center"/>
              <w:textAlignment w:val="auto"/>
              <w:rPr>
                <w:rFonts w:ascii="宋体" w:hAnsi="宋体" w:eastAsia="宋体" w:cs="宋体"/>
                <w:b/>
                <w:color w:val="auto"/>
                <w:kern w:val="0"/>
                <w:highlight w:val="none"/>
              </w:rPr>
            </w:pPr>
            <w:r>
              <w:rPr>
                <w:rFonts w:hint="eastAsia" w:ascii="宋体" w:hAnsi="宋体" w:eastAsia="宋体" w:cs="宋体"/>
                <w:b/>
                <w:bCs/>
                <w:color w:val="auto"/>
                <w:kern w:val="0"/>
                <w:highlight w:val="none"/>
              </w:rPr>
              <w:t>技术分</w:t>
            </w:r>
          </w:p>
        </w:tc>
        <w:tc>
          <w:tcPr>
            <w:tcW w:w="6539" w:type="dxa"/>
            <w:noWrap w:val="0"/>
            <w:vAlign w:val="center"/>
          </w:tcPr>
          <w:p w14:paraId="56866EBE">
            <w:pPr>
              <w:keepNext w:val="0"/>
              <w:keepLines w:val="0"/>
              <w:pageBreakBefore w:val="0"/>
              <w:widowControl/>
              <w:kinsoku/>
              <w:wordWrap/>
              <w:overflowPunct/>
              <w:topLinePunct w:val="0"/>
              <w:autoSpaceDE w:val="0"/>
              <w:autoSpaceDN/>
              <w:bidi w:val="0"/>
              <w:adjustRightInd/>
              <w:snapToGrid/>
              <w:spacing w:line="360" w:lineRule="exact"/>
              <w:jc w:val="center"/>
              <w:textAlignment w:val="auto"/>
              <w:rPr>
                <w:rFonts w:ascii="宋体" w:hAnsi="宋体" w:eastAsia="宋体" w:cs="宋体"/>
                <w:b/>
                <w:color w:val="auto"/>
                <w:kern w:val="0"/>
                <w:highlight w:val="none"/>
              </w:rPr>
            </w:pPr>
            <w:r>
              <w:rPr>
                <w:rFonts w:hint="eastAsia" w:ascii="宋体" w:hAnsi="宋体" w:eastAsia="宋体" w:cs="宋体"/>
                <w:b/>
                <w:color w:val="auto"/>
                <w:kern w:val="0"/>
                <w:highlight w:val="none"/>
              </w:rPr>
              <w:t>评审因素</w:t>
            </w:r>
          </w:p>
        </w:tc>
        <w:tc>
          <w:tcPr>
            <w:tcW w:w="672" w:type="dxa"/>
            <w:noWrap w:val="0"/>
            <w:vAlign w:val="center"/>
          </w:tcPr>
          <w:p w14:paraId="0F71C65F">
            <w:pPr>
              <w:keepNext w:val="0"/>
              <w:keepLines w:val="0"/>
              <w:pageBreakBefore w:val="0"/>
              <w:widowControl/>
              <w:kinsoku/>
              <w:wordWrap/>
              <w:overflowPunct/>
              <w:topLinePunct w:val="0"/>
              <w:autoSpaceDE w:val="0"/>
              <w:autoSpaceDN/>
              <w:bidi w:val="0"/>
              <w:adjustRightInd/>
              <w:snapToGrid/>
              <w:spacing w:line="360" w:lineRule="exact"/>
              <w:jc w:val="center"/>
              <w:textAlignment w:val="auto"/>
              <w:rPr>
                <w:rFonts w:ascii="宋体" w:hAnsi="宋体" w:eastAsia="宋体" w:cs="宋体"/>
                <w:b/>
                <w:color w:val="auto"/>
                <w:kern w:val="0"/>
                <w:highlight w:val="none"/>
              </w:rPr>
            </w:pPr>
            <w:r>
              <w:rPr>
                <w:rFonts w:hint="eastAsia" w:ascii="宋体" w:hAnsi="宋体" w:cs="宋体"/>
                <w:b/>
                <w:color w:val="auto"/>
                <w:kern w:val="0"/>
                <w:highlight w:val="none"/>
                <w:lang w:val="en-US" w:eastAsia="zh-CN"/>
              </w:rPr>
              <w:t>60</w:t>
            </w:r>
            <w:r>
              <w:rPr>
                <w:rFonts w:hint="eastAsia" w:ascii="宋体" w:hAnsi="宋体" w:eastAsia="宋体" w:cs="宋体"/>
                <w:b/>
                <w:color w:val="auto"/>
                <w:kern w:val="0"/>
                <w:highlight w:val="none"/>
              </w:rPr>
              <w:t>分</w:t>
            </w:r>
          </w:p>
        </w:tc>
      </w:tr>
      <w:tr w14:paraId="5FC8EE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52" w:type="dxa"/>
            <w:noWrap w:val="0"/>
            <w:vAlign w:val="center"/>
          </w:tcPr>
          <w:p w14:paraId="5F1401B7">
            <w:pPr>
              <w:keepNext w:val="0"/>
              <w:keepLines w:val="0"/>
              <w:pageBreakBefore w:val="0"/>
              <w:kinsoku/>
              <w:wordWrap/>
              <w:overflowPunct/>
              <w:topLinePunct w:val="0"/>
              <w:autoSpaceDN/>
              <w:bidi w:val="0"/>
              <w:adjustRightInd/>
              <w:snapToGrid/>
              <w:spacing w:line="360" w:lineRule="exact"/>
              <w:jc w:val="center"/>
              <w:textAlignment w:val="auto"/>
              <w:rPr>
                <w:rFonts w:ascii="宋体" w:hAnsi="宋体" w:eastAsia="宋体" w:cs="宋体"/>
                <w:bCs/>
                <w:color w:val="auto"/>
                <w:szCs w:val="21"/>
                <w:highlight w:val="none"/>
              </w:rPr>
            </w:pPr>
            <w:r>
              <w:rPr>
                <w:rFonts w:hint="eastAsia" w:ascii="宋体" w:hAnsi="宋体" w:eastAsia="宋体" w:cs="宋体"/>
                <w:bCs/>
                <w:color w:val="auto"/>
                <w:szCs w:val="21"/>
                <w:highlight w:val="none"/>
              </w:rPr>
              <w:t>2.1</w:t>
            </w:r>
          </w:p>
        </w:tc>
        <w:tc>
          <w:tcPr>
            <w:tcW w:w="1341" w:type="dxa"/>
            <w:noWrap w:val="0"/>
            <w:vAlign w:val="center"/>
          </w:tcPr>
          <w:p w14:paraId="6884C2A7">
            <w:pPr>
              <w:keepNext w:val="0"/>
              <w:keepLines w:val="0"/>
              <w:pageBreakBefore w:val="0"/>
              <w:kinsoku/>
              <w:wordWrap/>
              <w:overflowPunct/>
              <w:topLinePunct w:val="0"/>
              <w:autoSpaceDN/>
              <w:bidi w:val="0"/>
              <w:adjustRightInd/>
              <w:snapToGrid/>
              <w:spacing w:line="360" w:lineRule="exact"/>
              <w:jc w:val="left"/>
              <w:textAlignment w:val="auto"/>
              <w:rPr>
                <w:rFonts w:ascii="宋体" w:hAnsi="宋体" w:eastAsia="宋体" w:cs="宋体"/>
                <w:bCs/>
                <w:color w:val="auto"/>
                <w:szCs w:val="21"/>
                <w:highlight w:val="none"/>
              </w:rPr>
            </w:pPr>
            <w:r>
              <w:rPr>
                <w:rFonts w:hint="eastAsia" w:ascii="宋体" w:hAnsi="宋体" w:eastAsia="宋体" w:cs="宋体"/>
                <w:bCs/>
                <w:color w:val="auto"/>
                <w:szCs w:val="21"/>
                <w:highlight w:val="none"/>
                <w:lang w:eastAsia="zh-CN"/>
              </w:rPr>
              <w:t>项目实施方案</w:t>
            </w:r>
            <w:r>
              <w:rPr>
                <w:rFonts w:hint="eastAsia" w:ascii="宋体" w:hAnsi="宋体" w:eastAsia="宋体" w:cs="宋体"/>
                <w:bCs/>
                <w:color w:val="auto"/>
                <w:szCs w:val="21"/>
                <w:highlight w:val="none"/>
              </w:rPr>
              <w:t>（满分30分）</w:t>
            </w:r>
          </w:p>
        </w:tc>
        <w:tc>
          <w:tcPr>
            <w:tcW w:w="6539" w:type="dxa"/>
            <w:noWrap w:val="0"/>
            <w:vAlign w:val="center"/>
          </w:tcPr>
          <w:p w14:paraId="749F5DF8">
            <w:pPr>
              <w:pStyle w:val="93"/>
              <w:keepNext w:val="0"/>
              <w:keepLines w:val="0"/>
              <w:pageBreakBefore w:val="0"/>
              <w:kinsoku/>
              <w:wordWrap/>
              <w:overflowPunct/>
              <w:topLinePunct w:val="0"/>
              <w:autoSpaceDN/>
              <w:bidi w:val="0"/>
              <w:adjustRightInd/>
              <w:snapToGrid/>
              <w:spacing w:line="360" w:lineRule="exact"/>
              <w:ind w:firstLine="210" w:firstLineChars="1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一档</w:t>
            </w:r>
            <w:r>
              <w:rPr>
                <w:rFonts w:hint="eastAsia" w:ascii="宋体" w:hAnsi="宋体" w:eastAsia="宋体" w:cs="宋体"/>
                <w:color w:val="auto"/>
                <w:sz w:val="21"/>
                <w:szCs w:val="21"/>
                <w:highlight w:val="none"/>
              </w:rPr>
              <w:t>（30分）：</w:t>
            </w:r>
            <w:r>
              <w:rPr>
                <w:rFonts w:hint="eastAsia" w:ascii="宋体" w:hAnsi="宋体" w:eastAsia="宋体" w:cs="宋体"/>
                <w:color w:val="auto"/>
                <w:sz w:val="21"/>
                <w:szCs w:val="21"/>
                <w:highlight w:val="none"/>
                <w:lang w:val="en-US" w:eastAsia="zh-CN"/>
              </w:rPr>
              <w:t>对项目所处的区域基本情况描述详细，工程现状及存在问题、建设必要性等描述清晰；</w:t>
            </w:r>
            <w:r>
              <w:rPr>
                <w:rFonts w:hint="eastAsia" w:ascii="宋体" w:hAnsi="宋体" w:eastAsia="宋体" w:cs="宋体"/>
                <w:color w:val="auto"/>
                <w:sz w:val="21"/>
                <w:szCs w:val="21"/>
                <w:highlight w:val="none"/>
              </w:rPr>
              <w:t>方案编制思路清晰，叙述全面，重点突出，符合规范要求及项目实际情况的要求；报告编制重点突出；</w:t>
            </w:r>
            <w:r>
              <w:rPr>
                <w:rFonts w:hint="eastAsia" w:ascii="宋体" w:hAnsi="宋体" w:eastAsia="宋体" w:cs="宋体"/>
                <w:color w:val="auto"/>
                <w:sz w:val="21"/>
                <w:szCs w:val="21"/>
                <w:highlight w:val="none"/>
                <w:lang w:val="en-US" w:eastAsia="zh-CN"/>
              </w:rPr>
              <w:t>提出的工程布置</w:t>
            </w:r>
            <w:r>
              <w:rPr>
                <w:rFonts w:hint="eastAsia" w:ascii="宋体" w:hAnsi="宋体" w:eastAsia="宋体" w:cs="宋体"/>
                <w:color w:val="auto"/>
                <w:sz w:val="21"/>
                <w:szCs w:val="21"/>
                <w:highlight w:val="none"/>
              </w:rPr>
              <w:t>方案及建议针对性强，可实施性科学合理</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具有可行性</w:t>
            </w:r>
            <w:r>
              <w:rPr>
                <w:rFonts w:hint="eastAsia" w:ascii="宋体" w:hAnsi="宋体" w:eastAsia="宋体" w:cs="宋体"/>
                <w:color w:val="auto"/>
                <w:sz w:val="21"/>
                <w:szCs w:val="21"/>
                <w:highlight w:val="none"/>
              </w:rPr>
              <w:t>；方案中总体布局合理性强，总体方案科学全面。</w:t>
            </w:r>
          </w:p>
          <w:p w14:paraId="5E13C59D">
            <w:pPr>
              <w:pStyle w:val="93"/>
              <w:keepNext w:val="0"/>
              <w:keepLines w:val="0"/>
              <w:pageBreakBefore w:val="0"/>
              <w:kinsoku/>
              <w:wordWrap/>
              <w:overflowPunct/>
              <w:topLinePunct w:val="0"/>
              <w:autoSpaceDN/>
              <w:bidi w:val="0"/>
              <w:adjustRightInd/>
              <w:snapToGrid/>
              <w:spacing w:line="360" w:lineRule="exact"/>
              <w:ind w:firstLine="210" w:firstLineChars="1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二档</w:t>
            </w:r>
            <w:r>
              <w:rPr>
                <w:rFonts w:hint="eastAsia" w:ascii="宋体" w:hAnsi="宋体" w:eastAsia="宋体" w:cs="宋体"/>
                <w:color w:val="auto"/>
                <w:sz w:val="21"/>
                <w:szCs w:val="21"/>
                <w:highlight w:val="none"/>
              </w:rPr>
              <w:t>（20 分）：</w:t>
            </w:r>
            <w:r>
              <w:rPr>
                <w:rFonts w:hint="eastAsia" w:ascii="宋体" w:hAnsi="宋体" w:eastAsia="宋体" w:cs="宋体"/>
                <w:color w:val="auto"/>
                <w:sz w:val="21"/>
                <w:szCs w:val="21"/>
                <w:highlight w:val="none"/>
                <w:lang w:val="en-US" w:eastAsia="zh-CN"/>
              </w:rPr>
              <w:t>对项目所处的区域基本情况、工程现状、存在问题和建设必要性有描述；</w:t>
            </w:r>
            <w:r>
              <w:rPr>
                <w:rFonts w:hint="eastAsia" w:ascii="宋体" w:hAnsi="宋体" w:eastAsia="宋体" w:cs="宋体"/>
                <w:color w:val="auto"/>
                <w:sz w:val="21"/>
                <w:szCs w:val="21"/>
                <w:highlight w:val="none"/>
              </w:rPr>
              <w:t>方案编制思路</w:t>
            </w:r>
            <w:r>
              <w:rPr>
                <w:rFonts w:hint="eastAsia" w:ascii="宋体" w:hAnsi="宋体" w:eastAsia="宋体" w:cs="宋体"/>
                <w:color w:val="auto"/>
                <w:sz w:val="21"/>
                <w:szCs w:val="21"/>
                <w:highlight w:val="none"/>
                <w:lang w:val="en-US" w:eastAsia="zh-CN"/>
              </w:rPr>
              <w:t>较为</w:t>
            </w:r>
            <w:r>
              <w:rPr>
                <w:rFonts w:hint="eastAsia" w:ascii="宋体" w:hAnsi="宋体" w:eastAsia="宋体" w:cs="宋体"/>
                <w:color w:val="auto"/>
                <w:sz w:val="21"/>
                <w:szCs w:val="21"/>
                <w:highlight w:val="none"/>
              </w:rPr>
              <w:t>清晰，叙述</w:t>
            </w:r>
            <w:r>
              <w:rPr>
                <w:rFonts w:hint="eastAsia" w:ascii="宋体" w:hAnsi="宋体" w:eastAsia="宋体" w:cs="宋体"/>
                <w:color w:val="auto"/>
                <w:sz w:val="21"/>
                <w:szCs w:val="21"/>
                <w:highlight w:val="none"/>
                <w:lang w:val="en-US" w:eastAsia="zh-CN"/>
              </w:rPr>
              <w:t>较为</w:t>
            </w:r>
            <w:r>
              <w:rPr>
                <w:rFonts w:hint="eastAsia" w:ascii="宋体" w:hAnsi="宋体" w:eastAsia="宋体" w:cs="宋体"/>
                <w:color w:val="auto"/>
                <w:sz w:val="21"/>
                <w:szCs w:val="21"/>
                <w:highlight w:val="none"/>
              </w:rPr>
              <w:t>全面</w:t>
            </w:r>
            <w:r>
              <w:rPr>
                <w:rFonts w:hint="eastAsia" w:ascii="宋体" w:hAnsi="宋体" w:eastAsia="宋体" w:cs="宋体"/>
                <w:color w:val="auto"/>
                <w:sz w:val="21"/>
                <w:szCs w:val="21"/>
                <w:highlight w:val="none"/>
                <w:lang w:eastAsia="zh-CN"/>
              </w:rPr>
              <w:t>，</w:t>
            </w:r>
            <w:r>
              <w:rPr>
                <w:rFonts w:hint="eastAsia" w:ascii="宋体" w:hAnsi="宋体" w:eastAsia="宋体" w:cs="宋体"/>
                <w:strike w:val="0"/>
                <w:dstrike w:val="0"/>
                <w:color w:val="auto"/>
                <w:sz w:val="21"/>
                <w:szCs w:val="21"/>
                <w:highlight w:val="none"/>
                <w:lang w:val="en-US" w:eastAsia="zh-CN"/>
              </w:rPr>
              <w:t>基本</w:t>
            </w:r>
            <w:r>
              <w:rPr>
                <w:rFonts w:hint="eastAsia" w:ascii="宋体" w:hAnsi="宋体" w:eastAsia="宋体" w:cs="宋体"/>
                <w:color w:val="auto"/>
                <w:sz w:val="21"/>
                <w:szCs w:val="21"/>
                <w:highlight w:val="none"/>
              </w:rPr>
              <w:t>符合规范要求及项目实际情况的要求；</w:t>
            </w:r>
            <w:r>
              <w:rPr>
                <w:rFonts w:hint="eastAsia" w:ascii="宋体" w:hAnsi="宋体" w:eastAsia="宋体" w:cs="宋体"/>
                <w:color w:val="auto"/>
                <w:sz w:val="21"/>
                <w:szCs w:val="21"/>
                <w:highlight w:val="none"/>
                <w:lang w:val="en-US" w:eastAsia="zh-CN"/>
              </w:rPr>
              <w:t>有</w:t>
            </w:r>
            <w:r>
              <w:rPr>
                <w:rFonts w:hint="eastAsia" w:ascii="宋体" w:hAnsi="宋体" w:eastAsia="宋体" w:cs="宋体"/>
                <w:strike w:val="0"/>
                <w:dstrike w:val="0"/>
                <w:color w:val="auto"/>
                <w:sz w:val="21"/>
                <w:szCs w:val="21"/>
                <w:highlight w:val="none"/>
                <w:lang w:val="en-US" w:eastAsia="zh-CN"/>
              </w:rPr>
              <w:t>提出简单的</w:t>
            </w:r>
            <w:r>
              <w:rPr>
                <w:rFonts w:hint="eastAsia" w:ascii="宋体" w:hAnsi="宋体" w:eastAsia="宋体" w:cs="宋体"/>
                <w:color w:val="auto"/>
                <w:sz w:val="21"/>
                <w:szCs w:val="21"/>
                <w:highlight w:val="none"/>
              </w:rPr>
              <w:t>方案构想及建议</w:t>
            </w:r>
            <w:r>
              <w:rPr>
                <w:rFonts w:hint="eastAsia" w:ascii="宋体" w:hAnsi="宋体" w:eastAsia="宋体" w:cs="宋体"/>
                <w:color w:val="auto"/>
                <w:sz w:val="21"/>
                <w:szCs w:val="21"/>
                <w:highlight w:val="none"/>
                <w:lang w:val="en-US" w:eastAsia="zh-CN"/>
              </w:rPr>
              <w:t>。</w:t>
            </w:r>
          </w:p>
          <w:p w14:paraId="49F68621">
            <w:pPr>
              <w:keepNext w:val="0"/>
              <w:keepLines w:val="0"/>
              <w:pageBreakBefore w:val="0"/>
              <w:kinsoku/>
              <w:wordWrap/>
              <w:overflowPunct/>
              <w:topLinePunct w:val="0"/>
              <w:autoSpaceDN/>
              <w:bidi w:val="0"/>
              <w:adjustRightInd/>
              <w:snapToGrid/>
              <w:spacing w:line="360" w:lineRule="exact"/>
              <w:ind w:firstLine="210" w:firstLineChars="100"/>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lang w:val="en-US" w:eastAsia="zh-CN"/>
              </w:rPr>
              <w:t>三档</w:t>
            </w:r>
            <w:r>
              <w:rPr>
                <w:rFonts w:hint="eastAsia" w:ascii="宋体" w:hAnsi="宋体" w:eastAsia="宋体" w:cs="宋体"/>
                <w:color w:val="auto"/>
                <w:szCs w:val="21"/>
                <w:highlight w:val="none"/>
              </w:rPr>
              <w:t>（10 分）：</w:t>
            </w:r>
            <w:r>
              <w:rPr>
                <w:rFonts w:hint="eastAsia" w:ascii="宋体" w:hAnsi="宋体" w:cs="宋体"/>
                <w:color w:val="auto"/>
                <w:szCs w:val="21"/>
                <w:highlight w:val="none"/>
                <w:lang w:val="en-US" w:eastAsia="zh-CN"/>
              </w:rPr>
              <w:t>对项目所处的区域基本情况、存在问题和建设必要性描述简单；</w:t>
            </w:r>
            <w:r>
              <w:rPr>
                <w:rFonts w:hint="eastAsia" w:ascii="宋体" w:hAnsi="宋体" w:eastAsia="宋体" w:cs="宋体"/>
                <w:color w:val="auto"/>
                <w:szCs w:val="21"/>
                <w:highlight w:val="none"/>
              </w:rPr>
              <w:t>方案编制思路不清晰、叙述不全面或没有该部分内容；报告编制构想</w:t>
            </w:r>
            <w:r>
              <w:rPr>
                <w:rFonts w:hint="eastAsia" w:ascii="宋体" w:hAnsi="宋体" w:eastAsia="宋体" w:cs="宋体"/>
                <w:color w:val="auto"/>
                <w:szCs w:val="21"/>
                <w:highlight w:val="none"/>
                <w:lang w:val="en-US" w:eastAsia="zh-CN"/>
              </w:rPr>
              <w:t>粗略</w:t>
            </w:r>
            <w:r>
              <w:rPr>
                <w:rFonts w:hint="eastAsia" w:ascii="宋体" w:hAnsi="宋体" w:eastAsia="宋体" w:cs="宋体"/>
                <w:color w:val="auto"/>
                <w:szCs w:val="21"/>
                <w:highlight w:val="none"/>
              </w:rPr>
              <w:t>，方案构想及建议的针对性不明确，方案的特点及可实施性叙述不全面或没有该部分内容；</w:t>
            </w:r>
          </w:p>
          <w:p w14:paraId="7D5A9F8C">
            <w:pPr>
              <w:keepNext w:val="0"/>
              <w:keepLines w:val="0"/>
              <w:pageBreakBefore w:val="0"/>
              <w:kinsoku/>
              <w:wordWrap/>
              <w:overflowPunct/>
              <w:topLinePunct w:val="0"/>
              <w:autoSpaceDN/>
              <w:bidi w:val="0"/>
              <w:adjustRightInd/>
              <w:snapToGrid/>
              <w:spacing w:line="360" w:lineRule="exact"/>
              <w:ind w:firstLine="420" w:firstLineChars="200"/>
              <w:textAlignment w:val="auto"/>
              <w:rPr>
                <w:rFonts w:ascii="宋体" w:hAnsi="宋体" w:eastAsia="宋体" w:cs="宋体"/>
                <w:bCs/>
                <w:color w:val="auto"/>
                <w:szCs w:val="21"/>
                <w:highlight w:val="none"/>
              </w:rPr>
            </w:pPr>
            <w:r>
              <w:rPr>
                <w:rFonts w:hint="eastAsia" w:ascii="宋体" w:hAnsi="宋体" w:eastAsia="宋体" w:cs="宋体"/>
                <w:bCs/>
                <w:color w:val="auto"/>
                <w:szCs w:val="21"/>
                <w:highlight w:val="none"/>
              </w:rPr>
              <w:t>备注：未达到最低档次标准的，得0分。</w:t>
            </w:r>
          </w:p>
        </w:tc>
        <w:tc>
          <w:tcPr>
            <w:tcW w:w="672" w:type="dxa"/>
            <w:noWrap w:val="0"/>
            <w:vAlign w:val="center"/>
          </w:tcPr>
          <w:p w14:paraId="7A5A257A">
            <w:pPr>
              <w:keepNext w:val="0"/>
              <w:keepLines w:val="0"/>
              <w:pageBreakBefore w:val="0"/>
              <w:kinsoku/>
              <w:wordWrap/>
              <w:overflowPunct/>
              <w:topLinePunct w:val="0"/>
              <w:autoSpaceDN/>
              <w:bidi w:val="0"/>
              <w:adjustRightInd/>
              <w:snapToGrid/>
              <w:spacing w:line="360" w:lineRule="exact"/>
              <w:jc w:val="center"/>
              <w:textAlignment w:val="auto"/>
              <w:rPr>
                <w:rFonts w:ascii="宋体" w:hAnsi="宋体" w:eastAsia="宋体" w:cs="宋体"/>
                <w:bCs/>
                <w:color w:val="auto"/>
                <w:szCs w:val="21"/>
                <w:highlight w:val="none"/>
              </w:rPr>
            </w:pPr>
            <w:r>
              <w:rPr>
                <w:rFonts w:hint="eastAsia" w:ascii="宋体" w:hAnsi="宋体" w:eastAsia="宋体" w:cs="宋体"/>
                <w:bCs/>
                <w:color w:val="auto"/>
                <w:szCs w:val="21"/>
                <w:highlight w:val="none"/>
              </w:rPr>
              <w:t>30分</w:t>
            </w:r>
          </w:p>
        </w:tc>
      </w:tr>
      <w:tr w14:paraId="1300DB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52" w:type="dxa"/>
            <w:noWrap w:val="0"/>
            <w:vAlign w:val="center"/>
          </w:tcPr>
          <w:p w14:paraId="1C7CCDB8">
            <w:pPr>
              <w:keepNext w:val="0"/>
              <w:keepLines w:val="0"/>
              <w:pageBreakBefore w:val="0"/>
              <w:kinsoku/>
              <w:wordWrap/>
              <w:overflowPunct/>
              <w:topLinePunct w:val="0"/>
              <w:autoSpaceDN/>
              <w:bidi w:val="0"/>
              <w:adjustRightInd/>
              <w:snapToGrid/>
              <w:spacing w:line="360" w:lineRule="exact"/>
              <w:jc w:val="center"/>
              <w:textAlignment w:val="auto"/>
              <w:rPr>
                <w:rFonts w:ascii="宋体" w:hAnsi="宋体" w:eastAsia="宋体" w:cs="宋体"/>
                <w:bCs/>
                <w:color w:val="auto"/>
                <w:szCs w:val="21"/>
                <w:highlight w:val="none"/>
              </w:rPr>
            </w:pPr>
            <w:r>
              <w:rPr>
                <w:rFonts w:hint="eastAsia" w:ascii="宋体" w:hAnsi="宋体" w:eastAsia="宋体" w:cs="宋体"/>
                <w:bCs/>
                <w:color w:val="auto"/>
                <w:szCs w:val="21"/>
                <w:highlight w:val="none"/>
              </w:rPr>
              <w:t>2.2</w:t>
            </w:r>
          </w:p>
        </w:tc>
        <w:tc>
          <w:tcPr>
            <w:tcW w:w="1341" w:type="dxa"/>
            <w:noWrap w:val="0"/>
            <w:vAlign w:val="center"/>
          </w:tcPr>
          <w:p w14:paraId="3FE5AAFD">
            <w:pPr>
              <w:keepNext w:val="0"/>
              <w:keepLines w:val="0"/>
              <w:pageBreakBefore w:val="0"/>
              <w:kinsoku/>
              <w:wordWrap/>
              <w:overflowPunct/>
              <w:topLinePunct w:val="0"/>
              <w:autoSpaceDN/>
              <w:bidi w:val="0"/>
              <w:adjustRightInd/>
              <w:snapToGrid/>
              <w:spacing w:line="360" w:lineRule="exact"/>
              <w:jc w:val="left"/>
              <w:textAlignment w:val="auto"/>
              <w:rPr>
                <w:rFonts w:ascii="宋体" w:hAnsi="宋体" w:eastAsia="宋体" w:cs="宋体"/>
                <w:bCs/>
                <w:color w:val="auto"/>
                <w:szCs w:val="21"/>
                <w:highlight w:val="none"/>
              </w:rPr>
            </w:pPr>
            <w:r>
              <w:rPr>
                <w:rFonts w:hint="eastAsia" w:ascii="宋体" w:hAnsi="宋体" w:eastAsia="宋体" w:cs="宋体"/>
                <w:color w:val="auto"/>
                <w:szCs w:val="21"/>
                <w:highlight w:val="none"/>
              </w:rPr>
              <w:t>进度计划、质量保证措施（满分15分）</w:t>
            </w:r>
          </w:p>
        </w:tc>
        <w:tc>
          <w:tcPr>
            <w:tcW w:w="6539" w:type="dxa"/>
            <w:noWrap w:val="0"/>
            <w:vAlign w:val="center"/>
          </w:tcPr>
          <w:p w14:paraId="42C11F28">
            <w:pPr>
              <w:keepNext w:val="0"/>
              <w:keepLines w:val="0"/>
              <w:pageBreakBefore w:val="0"/>
              <w:kinsoku/>
              <w:wordWrap/>
              <w:overflowPunct/>
              <w:topLinePunct w:val="0"/>
              <w:autoSpaceDE w:val="0"/>
              <w:autoSpaceDN/>
              <w:bidi w:val="0"/>
              <w:adjustRightInd/>
              <w:snapToGrid/>
              <w:spacing w:line="360" w:lineRule="exact"/>
              <w:ind w:firstLine="420" w:firstLineChars="200"/>
              <w:jc w:val="left"/>
              <w:textAlignment w:val="auto"/>
              <w:rPr>
                <w:rFonts w:ascii="宋体" w:hAnsi="宋体" w:eastAsia="宋体" w:cs="宋体"/>
                <w:bCs/>
                <w:color w:val="auto"/>
                <w:szCs w:val="21"/>
                <w:highlight w:val="none"/>
              </w:rPr>
            </w:pPr>
            <w:r>
              <w:rPr>
                <w:rFonts w:hint="eastAsia" w:ascii="宋体" w:hAnsi="宋体" w:eastAsia="宋体" w:cs="宋体"/>
                <w:bCs/>
                <w:color w:val="auto"/>
                <w:szCs w:val="21"/>
                <w:highlight w:val="none"/>
                <w:lang w:val="en-US" w:eastAsia="zh-CN"/>
              </w:rPr>
              <w:t>一档</w:t>
            </w:r>
            <w:r>
              <w:rPr>
                <w:rFonts w:hint="eastAsia" w:ascii="宋体" w:hAnsi="宋体" w:eastAsia="宋体" w:cs="宋体"/>
                <w:bCs/>
                <w:color w:val="auto"/>
                <w:szCs w:val="21"/>
                <w:highlight w:val="none"/>
              </w:rPr>
              <w:t>（15分）</w:t>
            </w:r>
            <w:r>
              <w:rPr>
                <w:rFonts w:hint="eastAsia" w:ascii="宋体" w:hAnsi="宋体" w:eastAsia="宋体" w:cs="宋体"/>
                <w:bCs/>
                <w:color w:val="auto"/>
                <w:szCs w:val="21"/>
                <w:highlight w:val="none"/>
                <w:lang w:eastAsia="zh-CN"/>
              </w:rPr>
              <w:t>：</w:t>
            </w:r>
            <w:r>
              <w:rPr>
                <w:rFonts w:hint="eastAsia" w:ascii="宋体" w:hAnsi="宋体" w:eastAsia="宋体" w:cs="宋体"/>
                <w:bCs/>
                <w:color w:val="auto"/>
                <w:szCs w:val="21"/>
                <w:highlight w:val="none"/>
              </w:rPr>
              <w:t>进度计划、质量保证措施完全满足项目的要求，各项保证措施具体到位、合理可行。</w:t>
            </w:r>
          </w:p>
          <w:p w14:paraId="51CE5038">
            <w:pPr>
              <w:keepNext w:val="0"/>
              <w:keepLines w:val="0"/>
              <w:pageBreakBefore w:val="0"/>
              <w:kinsoku/>
              <w:wordWrap/>
              <w:overflowPunct/>
              <w:topLinePunct w:val="0"/>
              <w:autoSpaceDE w:val="0"/>
              <w:autoSpaceDN/>
              <w:bidi w:val="0"/>
              <w:adjustRightInd/>
              <w:snapToGrid/>
              <w:spacing w:line="360" w:lineRule="exact"/>
              <w:ind w:firstLine="420" w:firstLineChars="200"/>
              <w:jc w:val="left"/>
              <w:textAlignment w:val="auto"/>
              <w:rPr>
                <w:rFonts w:ascii="宋体" w:hAnsi="宋体" w:eastAsia="宋体" w:cs="宋体"/>
                <w:bCs/>
                <w:color w:val="auto"/>
                <w:szCs w:val="21"/>
                <w:highlight w:val="none"/>
              </w:rPr>
            </w:pPr>
            <w:r>
              <w:rPr>
                <w:rFonts w:hint="eastAsia" w:ascii="宋体" w:hAnsi="宋体" w:eastAsia="宋体" w:cs="宋体"/>
                <w:bCs/>
                <w:color w:val="auto"/>
                <w:szCs w:val="21"/>
                <w:highlight w:val="none"/>
                <w:lang w:val="en-US" w:eastAsia="zh-CN"/>
              </w:rPr>
              <w:t>二档</w:t>
            </w:r>
            <w:r>
              <w:rPr>
                <w:rFonts w:hint="eastAsia" w:ascii="宋体" w:hAnsi="宋体" w:eastAsia="宋体" w:cs="宋体"/>
                <w:bCs/>
                <w:color w:val="auto"/>
                <w:szCs w:val="21"/>
                <w:highlight w:val="none"/>
              </w:rPr>
              <w:t>（10分）</w:t>
            </w:r>
            <w:r>
              <w:rPr>
                <w:rFonts w:hint="eastAsia" w:ascii="宋体" w:hAnsi="宋体" w:eastAsia="宋体" w:cs="宋体"/>
                <w:bCs/>
                <w:color w:val="auto"/>
                <w:szCs w:val="21"/>
                <w:highlight w:val="none"/>
                <w:lang w:eastAsia="zh-CN"/>
              </w:rPr>
              <w:t>：</w:t>
            </w:r>
            <w:r>
              <w:rPr>
                <w:rFonts w:hint="eastAsia" w:ascii="宋体" w:hAnsi="宋体" w:eastAsia="宋体" w:cs="宋体"/>
                <w:bCs/>
                <w:color w:val="auto"/>
                <w:szCs w:val="21"/>
                <w:highlight w:val="none"/>
              </w:rPr>
              <w:t>进进度计划、质量保证措施基本能满足项目的要求，各项保证措施基本具体到位。</w:t>
            </w:r>
          </w:p>
          <w:p w14:paraId="51362572">
            <w:pPr>
              <w:keepNext w:val="0"/>
              <w:keepLines w:val="0"/>
              <w:pageBreakBefore w:val="0"/>
              <w:kinsoku/>
              <w:wordWrap/>
              <w:overflowPunct/>
              <w:topLinePunct w:val="0"/>
              <w:autoSpaceDE w:val="0"/>
              <w:autoSpaceDN/>
              <w:bidi w:val="0"/>
              <w:adjustRightInd/>
              <w:snapToGrid/>
              <w:spacing w:line="360" w:lineRule="exact"/>
              <w:ind w:firstLine="420" w:firstLineChars="200"/>
              <w:jc w:val="left"/>
              <w:textAlignment w:val="auto"/>
              <w:rPr>
                <w:rFonts w:ascii="宋体" w:hAnsi="宋体" w:eastAsia="宋体" w:cs="宋体"/>
                <w:bCs/>
                <w:color w:val="auto"/>
                <w:szCs w:val="21"/>
                <w:highlight w:val="none"/>
              </w:rPr>
            </w:pPr>
            <w:r>
              <w:rPr>
                <w:rFonts w:hint="eastAsia" w:ascii="宋体" w:hAnsi="宋体" w:eastAsia="宋体" w:cs="宋体"/>
                <w:bCs/>
                <w:color w:val="auto"/>
                <w:szCs w:val="21"/>
                <w:highlight w:val="none"/>
                <w:lang w:val="en-US" w:eastAsia="zh-CN"/>
              </w:rPr>
              <w:t>三档</w:t>
            </w:r>
            <w:r>
              <w:rPr>
                <w:rFonts w:hint="eastAsia" w:ascii="宋体" w:hAnsi="宋体" w:eastAsia="宋体" w:cs="宋体"/>
                <w:bCs/>
                <w:color w:val="auto"/>
                <w:szCs w:val="21"/>
                <w:highlight w:val="none"/>
              </w:rPr>
              <w:t>（5 分）</w:t>
            </w:r>
            <w:r>
              <w:rPr>
                <w:rFonts w:hint="eastAsia" w:ascii="宋体" w:hAnsi="宋体" w:eastAsia="宋体" w:cs="宋体"/>
                <w:bCs/>
                <w:color w:val="auto"/>
                <w:szCs w:val="21"/>
                <w:highlight w:val="none"/>
                <w:lang w:eastAsia="zh-CN"/>
              </w:rPr>
              <w:t>：</w:t>
            </w:r>
            <w:r>
              <w:rPr>
                <w:rFonts w:hint="eastAsia" w:ascii="宋体" w:hAnsi="宋体" w:eastAsia="宋体" w:cs="宋体"/>
                <w:bCs/>
                <w:color w:val="auto"/>
                <w:szCs w:val="21"/>
                <w:highlight w:val="none"/>
              </w:rPr>
              <w:t>进度计划、质量保证措施不完整，</w:t>
            </w:r>
            <w:r>
              <w:rPr>
                <w:rFonts w:hint="eastAsia" w:ascii="宋体" w:hAnsi="宋体" w:cs="宋体"/>
                <w:bCs/>
                <w:color w:val="auto"/>
                <w:szCs w:val="21"/>
                <w:highlight w:val="none"/>
                <w:lang w:val="en-US" w:eastAsia="zh-CN"/>
              </w:rPr>
              <w:t>方案简单</w:t>
            </w:r>
            <w:r>
              <w:rPr>
                <w:rFonts w:hint="eastAsia" w:ascii="宋体" w:hAnsi="宋体" w:eastAsia="宋体" w:cs="宋体"/>
                <w:bCs/>
                <w:color w:val="auto"/>
                <w:szCs w:val="21"/>
                <w:highlight w:val="none"/>
              </w:rPr>
              <w:t>。</w:t>
            </w:r>
          </w:p>
          <w:p w14:paraId="6A3C1C7A">
            <w:pPr>
              <w:keepNext w:val="0"/>
              <w:keepLines w:val="0"/>
              <w:pageBreakBefore w:val="0"/>
              <w:kinsoku/>
              <w:wordWrap/>
              <w:overflowPunct/>
              <w:topLinePunct w:val="0"/>
              <w:autoSpaceDE w:val="0"/>
              <w:autoSpaceDN/>
              <w:bidi w:val="0"/>
              <w:adjustRightInd/>
              <w:snapToGrid/>
              <w:spacing w:line="360" w:lineRule="exact"/>
              <w:ind w:firstLine="420" w:firstLineChars="200"/>
              <w:jc w:val="left"/>
              <w:textAlignment w:val="auto"/>
              <w:rPr>
                <w:rFonts w:ascii="宋体" w:hAnsi="宋体" w:eastAsia="宋体" w:cs="宋体"/>
                <w:bCs/>
                <w:color w:val="auto"/>
                <w:szCs w:val="21"/>
                <w:highlight w:val="none"/>
              </w:rPr>
            </w:pPr>
            <w:r>
              <w:rPr>
                <w:rFonts w:hint="eastAsia" w:ascii="宋体" w:hAnsi="宋体" w:eastAsia="宋体" w:cs="宋体"/>
                <w:bCs/>
                <w:color w:val="auto"/>
                <w:szCs w:val="21"/>
                <w:highlight w:val="none"/>
              </w:rPr>
              <w:t>备注：未达到最低档次标准的，得0分。</w:t>
            </w:r>
          </w:p>
        </w:tc>
        <w:tc>
          <w:tcPr>
            <w:tcW w:w="672" w:type="dxa"/>
            <w:noWrap w:val="0"/>
            <w:vAlign w:val="center"/>
          </w:tcPr>
          <w:p w14:paraId="3B24635C">
            <w:pPr>
              <w:keepNext w:val="0"/>
              <w:keepLines w:val="0"/>
              <w:pageBreakBefore w:val="0"/>
              <w:kinsoku/>
              <w:wordWrap/>
              <w:overflowPunct/>
              <w:topLinePunct w:val="0"/>
              <w:autoSpaceDN/>
              <w:bidi w:val="0"/>
              <w:adjustRightInd/>
              <w:snapToGrid/>
              <w:spacing w:line="360" w:lineRule="exact"/>
              <w:jc w:val="center"/>
              <w:textAlignment w:val="auto"/>
              <w:rPr>
                <w:rFonts w:ascii="宋体" w:hAnsi="宋体" w:eastAsia="宋体" w:cs="宋体"/>
                <w:bCs/>
                <w:color w:val="auto"/>
                <w:szCs w:val="21"/>
                <w:highlight w:val="none"/>
              </w:rPr>
            </w:pPr>
            <w:r>
              <w:rPr>
                <w:rFonts w:hint="eastAsia" w:ascii="宋体" w:hAnsi="宋体" w:eastAsia="宋体" w:cs="宋体"/>
                <w:bCs/>
                <w:color w:val="auto"/>
                <w:szCs w:val="21"/>
                <w:highlight w:val="none"/>
              </w:rPr>
              <w:t>15分</w:t>
            </w:r>
          </w:p>
        </w:tc>
      </w:tr>
      <w:tr w14:paraId="27A8D3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52" w:type="dxa"/>
            <w:noWrap w:val="0"/>
            <w:vAlign w:val="center"/>
          </w:tcPr>
          <w:p w14:paraId="1FECC264">
            <w:pPr>
              <w:keepNext w:val="0"/>
              <w:keepLines w:val="0"/>
              <w:pageBreakBefore w:val="0"/>
              <w:kinsoku/>
              <w:wordWrap/>
              <w:overflowPunct/>
              <w:topLinePunct w:val="0"/>
              <w:autoSpaceDN/>
              <w:bidi w:val="0"/>
              <w:adjustRightInd/>
              <w:snapToGrid/>
              <w:spacing w:line="360" w:lineRule="exact"/>
              <w:jc w:val="center"/>
              <w:textAlignment w:val="auto"/>
              <w:rPr>
                <w:rFonts w:ascii="宋体" w:hAnsi="宋体" w:eastAsia="宋体" w:cs="宋体"/>
                <w:bCs/>
                <w:color w:val="auto"/>
                <w:szCs w:val="21"/>
                <w:highlight w:val="none"/>
              </w:rPr>
            </w:pPr>
            <w:r>
              <w:rPr>
                <w:rFonts w:hint="eastAsia" w:ascii="宋体" w:hAnsi="宋体" w:eastAsia="宋体" w:cs="宋体"/>
                <w:bCs/>
                <w:color w:val="auto"/>
                <w:szCs w:val="21"/>
                <w:highlight w:val="none"/>
              </w:rPr>
              <w:t>2.3</w:t>
            </w:r>
          </w:p>
        </w:tc>
        <w:tc>
          <w:tcPr>
            <w:tcW w:w="1341" w:type="dxa"/>
            <w:noWrap w:val="0"/>
            <w:vAlign w:val="center"/>
          </w:tcPr>
          <w:p w14:paraId="6BB6419E">
            <w:pPr>
              <w:keepNext w:val="0"/>
              <w:keepLines w:val="0"/>
              <w:pageBreakBefore w:val="0"/>
              <w:kinsoku/>
              <w:wordWrap/>
              <w:overflowPunct/>
              <w:topLinePunct w:val="0"/>
              <w:autoSpaceDN/>
              <w:bidi w:val="0"/>
              <w:adjustRightInd/>
              <w:snapToGrid/>
              <w:spacing w:line="360" w:lineRule="exact"/>
              <w:jc w:val="center"/>
              <w:textAlignment w:val="auto"/>
              <w:rPr>
                <w:rFonts w:ascii="宋体" w:hAnsi="宋体" w:eastAsia="宋体" w:cs="宋体"/>
                <w:bCs/>
                <w:color w:val="auto"/>
                <w:szCs w:val="21"/>
                <w:highlight w:val="none"/>
              </w:rPr>
            </w:pPr>
            <w:r>
              <w:rPr>
                <w:rFonts w:hint="eastAsia" w:ascii="宋体" w:hAnsi="宋体" w:eastAsia="宋体" w:cs="宋体"/>
                <w:bCs/>
                <w:color w:val="auto"/>
                <w:szCs w:val="21"/>
                <w:highlight w:val="none"/>
              </w:rPr>
              <w:t>服务承诺（满分</w:t>
            </w:r>
            <w:r>
              <w:rPr>
                <w:rFonts w:hint="eastAsia" w:ascii="宋体" w:hAnsi="宋体" w:eastAsia="宋体" w:cs="宋体"/>
                <w:bCs/>
                <w:color w:val="auto"/>
                <w:szCs w:val="21"/>
                <w:highlight w:val="none"/>
                <w:lang w:val="en-US" w:eastAsia="zh-CN"/>
              </w:rPr>
              <w:t>1</w:t>
            </w:r>
            <w:r>
              <w:rPr>
                <w:rFonts w:hint="eastAsia" w:ascii="宋体" w:hAnsi="宋体" w:cs="宋体"/>
                <w:bCs/>
                <w:color w:val="auto"/>
                <w:szCs w:val="21"/>
                <w:highlight w:val="none"/>
                <w:lang w:val="en-US" w:eastAsia="zh-CN"/>
              </w:rPr>
              <w:t>5</w:t>
            </w:r>
            <w:r>
              <w:rPr>
                <w:rFonts w:hint="eastAsia" w:ascii="宋体" w:hAnsi="宋体" w:eastAsia="宋体" w:cs="宋体"/>
                <w:bCs/>
                <w:color w:val="auto"/>
                <w:szCs w:val="21"/>
                <w:highlight w:val="none"/>
              </w:rPr>
              <w:t>分）</w:t>
            </w:r>
          </w:p>
        </w:tc>
        <w:tc>
          <w:tcPr>
            <w:tcW w:w="6539" w:type="dxa"/>
            <w:noWrap w:val="0"/>
            <w:vAlign w:val="center"/>
          </w:tcPr>
          <w:p w14:paraId="412CDEAE">
            <w:pPr>
              <w:keepNext w:val="0"/>
              <w:keepLines w:val="0"/>
              <w:pageBreakBefore w:val="0"/>
              <w:kinsoku/>
              <w:wordWrap/>
              <w:overflowPunct/>
              <w:topLinePunct w:val="0"/>
              <w:autoSpaceDE w:val="0"/>
              <w:autoSpaceDN/>
              <w:bidi w:val="0"/>
              <w:adjustRightInd/>
              <w:snapToGrid/>
              <w:spacing w:line="360" w:lineRule="exact"/>
              <w:ind w:firstLine="420" w:firstLineChars="200"/>
              <w:jc w:val="left"/>
              <w:textAlignment w:val="auto"/>
              <w:rPr>
                <w:rFonts w:ascii="宋体" w:hAnsi="宋体" w:eastAsia="宋体" w:cs="宋体"/>
                <w:bCs/>
                <w:color w:val="auto"/>
                <w:szCs w:val="21"/>
                <w:highlight w:val="none"/>
              </w:rPr>
            </w:pPr>
            <w:r>
              <w:rPr>
                <w:rFonts w:hint="eastAsia" w:ascii="宋体" w:hAnsi="宋体" w:eastAsia="宋体" w:cs="宋体"/>
                <w:bCs/>
                <w:color w:val="auto"/>
                <w:szCs w:val="21"/>
                <w:highlight w:val="none"/>
                <w:lang w:val="en-US" w:eastAsia="zh-CN"/>
              </w:rPr>
              <w:t>一档</w:t>
            </w:r>
            <w:r>
              <w:rPr>
                <w:rFonts w:hint="eastAsia" w:ascii="宋体" w:hAnsi="宋体" w:eastAsia="宋体" w:cs="宋体"/>
                <w:bCs/>
                <w:color w:val="auto"/>
                <w:szCs w:val="21"/>
                <w:highlight w:val="none"/>
              </w:rPr>
              <w:t>（</w:t>
            </w:r>
            <w:r>
              <w:rPr>
                <w:rFonts w:hint="eastAsia" w:ascii="宋体" w:hAnsi="宋体" w:eastAsia="宋体" w:cs="宋体"/>
                <w:bCs/>
                <w:color w:val="auto"/>
                <w:szCs w:val="21"/>
                <w:highlight w:val="none"/>
                <w:lang w:val="en-US" w:eastAsia="zh-CN"/>
              </w:rPr>
              <w:t>1</w:t>
            </w:r>
            <w:r>
              <w:rPr>
                <w:rFonts w:hint="eastAsia" w:ascii="宋体" w:hAnsi="宋体" w:cs="宋体"/>
                <w:bCs/>
                <w:color w:val="auto"/>
                <w:szCs w:val="21"/>
                <w:highlight w:val="none"/>
                <w:lang w:val="en-US" w:eastAsia="zh-CN"/>
              </w:rPr>
              <w:t>5</w:t>
            </w:r>
            <w:r>
              <w:rPr>
                <w:rFonts w:hint="eastAsia" w:ascii="宋体" w:hAnsi="宋体" w:eastAsia="宋体" w:cs="宋体"/>
                <w:bCs/>
                <w:color w:val="auto"/>
                <w:szCs w:val="21"/>
                <w:highlight w:val="none"/>
              </w:rPr>
              <w:t>分）：服务承诺完整，内容详细，可操作性强，有专职人员，对项目的服务有正确深刻理解与充分认识，表述清晰完整、合理有效，服务方案承诺多项优于本项目要求。</w:t>
            </w:r>
          </w:p>
          <w:p w14:paraId="2609B9C3">
            <w:pPr>
              <w:keepNext w:val="0"/>
              <w:keepLines w:val="0"/>
              <w:pageBreakBefore w:val="0"/>
              <w:kinsoku/>
              <w:wordWrap/>
              <w:overflowPunct/>
              <w:topLinePunct w:val="0"/>
              <w:autoSpaceDE w:val="0"/>
              <w:autoSpaceDN/>
              <w:bidi w:val="0"/>
              <w:adjustRightInd/>
              <w:snapToGrid/>
              <w:spacing w:line="360" w:lineRule="exact"/>
              <w:ind w:firstLine="420" w:firstLineChars="200"/>
              <w:jc w:val="left"/>
              <w:textAlignment w:val="auto"/>
              <w:rPr>
                <w:rFonts w:ascii="宋体" w:hAnsi="宋体" w:eastAsia="宋体" w:cs="宋体"/>
                <w:bCs/>
                <w:color w:val="auto"/>
                <w:szCs w:val="21"/>
                <w:highlight w:val="none"/>
              </w:rPr>
            </w:pPr>
            <w:r>
              <w:rPr>
                <w:rFonts w:hint="eastAsia" w:ascii="宋体" w:hAnsi="宋体" w:eastAsia="宋体" w:cs="宋体"/>
                <w:bCs/>
                <w:color w:val="auto"/>
                <w:szCs w:val="21"/>
                <w:highlight w:val="none"/>
                <w:lang w:val="en-US" w:eastAsia="zh-CN"/>
              </w:rPr>
              <w:t>二档</w:t>
            </w:r>
            <w:r>
              <w:rPr>
                <w:rFonts w:hint="eastAsia" w:ascii="宋体" w:hAnsi="宋体" w:eastAsia="宋体" w:cs="宋体"/>
                <w:bCs/>
                <w:color w:val="auto"/>
                <w:szCs w:val="21"/>
                <w:highlight w:val="none"/>
              </w:rPr>
              <w:t>（</w:t>
            </w:r>
            <w:r>
              <w:rPr>
                <w:rFonts w:hint="eastAsia" w:ascii="宋体" w:hAnsi="宋体" w:cs="宋体"/>
                <w:bCs/>
                <w:color w:val="auto"/>
                <w:szCs w:val="21"/>
                <w:highlight w:val="none"/>
                <w:lang w:val="en-US" w:eastAsia="zh-CN"/>
              </w:rPr>
              <w:t>10</w:t>
            </w:r>
            <w:r>
              <w:rPr>
                <w:rFonts w:hint="eastAsia" w:ascii="宋体" w:hAnsi="宋体" w:eastAsia="宋体" w:cs="宋体"/>
                <w:bCs/>
                <w:color w:val="auto"/>
                <w:szCs w:val="21"/>
                <w:highlight w:val="none"/>
              </w:rPr>
              <w:t>分）：对本项目的服务有正确理解与认识，表述清晰、具体，服务方案承诺仅能满足本项目要求；</w:t>
            </w:r>
          </w:p>
          <w:p w14:paraId="5907BD60">
            <w:pPr>
              <w:keepNext w:val="0"/>
              <w:keepLines w:val="0"/>
              <w:pageBreakBefore w:val="0"/>
              <w:kinsoku/>
              <w:wordWrap/>
              <w:overflowPunct/>
              <w:topLinePunct w:val="0"/>
              <w:autoSpaceDE w:val="0"/>
              <w:autoSpaceDN/>
              <w:bidi w:val="0"/>
              <w:adjustRightInd/>
              <w:snapToGrid/>
              <w:spacing w:line="360" w:lineRule="exact"/>
              <w:ind w:firstLine="420" w:firstLineChars="200"/>
              <w:jc w:val="left"/>
              <w:textAlignment w:val="auto"/>
              <w:rPr>
                <w:rFonts w:ascii="宋体" w:hAnsi="宋体" w:eastAsia="宋体" w:cs="宋体"/>
                <w:bCs/>
                <w:color w:val="auto"/>
                <w:szCs w:val="21"/>
                <w:highlight w:val="none"/>
              </w:rPr>
            </w:pPr>
            <w:r>
              <w:rPr>
                <w:rFonts w:hint="eastAsia" w:ascii="宋体" w:hAnsi="宋体" w:eastAsia="宋体" w:cs="宋体"/>
                <w:bCs/>
                <w:color w:val="auto"/>
                <w:szCs w:val="21"/>
                <w:highlight w:val="none"/>
                <w:lang w:val="en-US" w:eastAsia="zh-CN"/>
              </w:rPr>
              <w:t>三档</w:t>
            </w:r>
            <w:r>
              <w:rPr>
                <w:rFonts w:hint="eastAsia" w:ascii="宋体" w:hAnsi="宋体" w:eastAsia="宋体" w:cs="宋体"/>
                <w:bCs/>
                <w:color w:val="auto"/>
                <w:szCs w:val="21"/>
                <w:highlight w:val="none"/>
              </w:rPr>
              <w:t>（</w:t>
            </w:r>
            <w:r>
              <w:rPr>
                <w:rFonts w:hint="eastAsia" w:ascii="宋体" w:hAnsi="宋体" w:cs="宋体"/>
                <w:bCs/>
                <w:color w:val="auto"/>
                <w:szCs w:val="21"/>
                <w:highlight w:val="none"/>
                <w:lang w:val="en-US" w:eastAsia="zh-CN"/>
              </w:rPr>
              <w:t>5</w:t>
            </w:r>
            <w:r>
              <w:rPr>
                <w:rFonts w:hint="eastAsia" w:ascii="宋体" w:hAnsi="宋体" w:eastAsia="宋体" w:cs="宋体"/>
                <w:bCs/>
                <w:color w:val="auto"/>
                <w:szCs w:val="21"/>
                <w:highlight w:val="none"/>
              </w:rPr>
              <w:t>分）：服务承诺</w:t>
            </w:r>
            <w:r>
              <w:rPr>
                <w:rFonts w:hint="eastAsia" w:ascii="宋体" w:hAnsi="宋体" w:cs="宋体"/>
                <w:bCs/>
                <w:color w:val="auto"/>
                <w:szCs w:val="21"/>
                <w:highlight w:val="none"/>
                <w:lang w:val="en-US" w:eastAsia="zh-CN"/>
              </w:rPr>
              <w:t>简单</w:t>
            </w:r>
            <w:r>
              <w:rPr>
                <w:rFonts w:hint="eastAsia" w:ascii="宋体" w:hAnsi="宋体" w:eastAsia="宋体" w:cs="宋体"/>
                <w:bCs/>
                <w:color w:val="auto"/>
                <w:szCs w:val="21"/>
                <w:highlight w:val="none"/>
              </w:rPr>
              <w:t>，基本满足项目</w:t>
            </w:r>
            <w:r>
              <w:rPr>
                <w:rFonts w:hint="eastAsia" w:ascii="宋体" w:hAnsi="宋体" w:cs="宋体"/>
                <w:bCs/>
                <w:color w:val="auto"/>
                <w:szCs w:val="21"/>
                <w:highlight w:val="none"/>
                <w:lang w:val="en-US" w:eastAsia="zh-CN"/>
              </w:rPr>
              <w:t>要求</w:t>
            </w:r>
            <w:r>
              <w:rPr>
                <w:rFonts w:hint="eastAsia" w:ascii="宋体" w:hAnsi="宋体" w:eastAsia="宋体" w:cs="宋体"/>
                <w:bCs/>
                <w:color w:val="auto"/>
                <w:szCs w:val="21"/>
                <w:highlight w:val="none"/>
              </w:rPr>
              <w:t>。</w:t>
            </w:r>
          </w:p>
          <w:p w14:paraId="2E040E68">
            <w:pPr>
              <w:keepNext w:val="0"/>
              <w:keepLines w:val="0"/>
              <w:pageBreakBefore w:val="0"/>
              <w:kinsoku/>
              <w:wordWrap/>
              <w:overflowPunct/>
              <w:topLinePunct w:val="0"/>
              <w:autoSpaceDE w:val="0"/>
              <w:autoSpaceDN/>
              <w:bidi w:val="0"/>
              <w:adjustRightInd/>
              <w:snapToGrid/>
              <w:spacing w:line="360" w:lineRule="exact"/>
              <w:ind w:firstLine="420" w:firstLineChars="200"/>
              <w:jc w:val="left"/>
              <w:textAlignment w:val="auto"/>
              <w:rPr>
                <w:rFonts w:ascii="宋体" w:hAnsi="宋体" w:eastAsia="宋体" w:cs="宋体"/>
                <w:bCs/>
                <w:color w:val="auto"/>
                <w:szCs w:val="21"/>
                <w:highlight w:val="none"/>
              </w:rPr>
            </w:pPr>
            <w:r>
              <w:rPr>
                <w:rFonts w:hint="eastAsia" w:ascii="宋体" w:hAnsi="宋体" w:eastAsia="宋体" w:cs="宋体"/>
                <w:bCs/>
                <w:color w:val="auto"/>
                <w:szCs w:val="21"/>
                <w:highlight w:val="none"/>
              </w:rPr>
              <w:t>备注：未提供或未达到最低档次标准的，得0分。</w:t>
            </w:r>
          </w:p>
        </w:tc>
        <w:tc>
          <w:tcPr>
            <w:tcW w:w="672" w:type="dxa"/>
            <w:noWrap w:val="0"/>
            <w:vAlign w:val="center"/>
          </w:tcPr>
          <w:p w14:paraId="60FCEE9B">
            <w:pPr>
              <w:keepNext w:val="0"/>
              <w:keepLines w:val="0"/>
              <w:pageBreakBefore w:val="0"/>
              <w:kinsoku/>
              <w:wordWrap/>
              <w:overflowPunct/>
              <w:topLinePunct w:val="0"/>
              <w:autoSpaceDN/>
              <w:bidi w:val="0"/>
              <w:adjustRightInd/>
              <w:snapToGrid/>
              <w:spacing w:line="360" w:lineRule="exact"/>
              <w:jc w:val="center"/>
              <w:textAlignment w:val="auto"/>
              <w:rPr>
                <w:rFonts w:ascii="宋体" w:hAnsi="宋体" w:eastAsia="宋体" w:cs="宋体"/>
                <w:bCs/>
                <w:color w:val="auto"/>
                <w:szCs w:val="21"/>
                <w:highlight w:val="none"/>
              </w:rPr>
            </w:pPr>
            <w:r>
              <w:rPr>
                <w:rFonts w:hint="eastAsia" w:ascii="宋体" w:hAnsi="宋体" w:eastAsia="宋体" w:cs="宋体"/>
                <w:bCs/>
                <w:color w:val="auto"/>
                <w:szCs w:val="21"/>
                <w:highlight w:val="none"/>
              </w:rPr>
              <w:t>1</w:t>
            </w:r>
            <w:r>
              <w:rPr>
                <w:rFonts w:hint="eastAsia" w:ascii="宋体" w:hAnsi="宋体" w:cs="宋体"/>
                <w:bCs/>
                <w:color w:val="auto"/>
                <w:szCs w:val="21"/>
                <w:highlight w:val="none"/>
                <w:lang w:val="en-US" w:eastAsia="zh-CN"/>
              </w:rPr>
              <w:t>5</w:t>
            </w:r>
            <w:r>
              <w:rPr>
                <w:rFonts w:hint="eastAsia" w:ascii="宋体" w:hAnsi="宋体" w:eastAsia="宋体" w:cs="宋体"/>
                <w:bCs/>
                <w:color w:val="auto"/>
                <w:szCs w:val="21"/>
                <w:highlight w:val="none"/>
              </w:rPr>
              <w:t>分</w:t>
            </w:r>
          </w:p>
        </w:tc>
      </w:tr>
      <w:tr w14:paraId="77E725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52" w:type="dxa"/>
            <w:noWrap w:val="0"/>
            <w:vAlign w:val="center"/>
          </w:tcPr>
          <w:p w14:paraId="03EE57C7">
            <w:pPr>
              <w:keepNext w:val="0"/>
              <w:keepLines w:val="0"/>
              <w:pageBreakBefore w:val="0"/>
              <w:widowControl/>
              <w:kinsoku/>
              <w:wordWrap/>
              <w:overflowPunct/>
              <w:topLinePunct w:val="0"/>
              <w:autoSpaceDE w:val="0"/>
              <w:autoSpaceDN/>
              <w:bidi w:val="0"/>
              <w:adjustRightInd/>
              <w:snapToGrid/>
              <w:spacing w:line="360" w:lineRule="exact"/>
              <w:jc w:val="center"/>
              <w:textAlignment w:val="auto"/>
              <w:rPr>
                <w:rFonts w:ascii="宋体" w:hAnsi="宋体" w:eastAsia="宋体" w:cs="宋体"/>
                <w:b/>
                <w:color w:val="auto"/>
                <w:kern w:val="0"/>
                <w:szCs w:val="21"/>
                <w:highlight w:val="none"/>
              </w:rPr>
            </w:pPr>
            <w:r>
              <w:rPr>
                <w:rFonts w:hint="eastAsia" w:ascii="宋体" w:hAnsi="宋体" w:eastAsia="宋体" w:cs="宋体"/>
                <w:b/>
                <w:bCs/>
                <w:color w:val="auto"/>
                <w:kern w:val="0"/>
                <w:highlight w:val="none"/>
              </w:rPr>
              <w:t>3</w:t>
            </w:r>
          </w:p>
        </w:tc>
        <w:tc>
          <w:tcPr>
            <w:tcW w:w="1341" w:type="dxa"/>
            <w:noWrap w:val="0"/>
            <w:vAlign w:val="center"/>
          </w:tcPr>
          <w:p w14:paraId="7AB2EBCD">
            <w:pPr>
              <w:keepNext w:val="0"/>
              <w:keepLines w:val="0"/>
              <w:pageBreakBefore w:val="0"/>
              <w:widowControl/>
              <w:kinsoku/>
              <w:wordWrap/>
              <w:overflowPunct/>
              <w:topLinePunct w:val="0"/>
              <w:autoSpaceDE w:val="0"/>
              <w:autoSpaceDN/>
              <w:bidi w:val="0"/>
              <w:adjustRightInd/>
              <w:snapToGrid/>
              <w:spacing w:line="360" w:lineRule="exact"/>
              <w:jc w:val="center"/>
              <w:textAlignment w:val="auto"/>
              <w:rPr>
                <w:rFonts w:ascii="宋体" w:hAnsi="宋体" w:eastAsia="宋体" w:cs="宋体"/>
                <w:b/>
                <w:color w:val="auto"/>
                <w:kern w:val="0"/>
                <w:highlight w:val="none"/>
              </w:rPr>
            </w:pPr>
            <w:r>
              <w:rPr>
                <w:rFonts w:hint="eastAsia" w:ascii="宋体" w:hAnsi="宋体" w:eastAsia="宋体" w:cs="宋体"/>
                <w:b/>
                <w:bCs/>
                <w:color w:val="auto"/>
                <w:kern w:val="0"/>
                <w:highlight w:val="none"/>
              </w:rPr>
              <w:t>商务分</w:t>
            </w:r>
          </w:p>
        </w:tc>
        <w:tc>
          <w:tcPr>
            <w:tcW w:w="6539" w:type="dxa"/>
            <w:noWrap w:val="0"/>
            <w:vAlign w:val="center"/>
          </w:tcPr>
          <w:p w14:paraId="3D10F8D7">
            <w:pPr>
              <w:keepNext w:val="0"/>
              <w:keepLines w:val="0"/>
              <w:pageBreakBefore w:val="0"/>
              <w:widowControl/>
              <w:kinsoku/>
              <w:wordWrap/>
              <w:overflowPunct/>
              <w:topLinePunct w:val="0"/>
              <w:autoSpaceDE w:val="0"/>
              <w:autoSpaceDN/>
              <w:bidi w:val="0"/>
              <w:adjustRightInd/>
              <w:snapToGrid/>
              <w:spacing w:line="360" w:lineRule="exact"/>
              <w:jc w:val="center"/>
              <w:textAlignment w:val="auto"/>
              <w:rPr>
                <w:rFonts w:ascii="宋体" w:hAnsi="宋体" w:eastAsia="宋体" w:cs="宋体"/>
                <w:b/>
                <w:color w:val="auto"/>
                <w:kern w:val="0"/>
                <w:highlight w:val="none"/>
              </w:rPr>
            </w:pPr>
            <w:r>
              <w:rPr>
                <w:rFonts w:hint="eastAsia" w:ascii="宋体" w:hAnsi="宋体" w:eastAsia="宋体" w:cs="宋体"/>
                <w:b/>
                <w:color w:val="auto"/>
                <w:kern w:val="0"/>
                <w:highlight w:val="none"/>
              </w:rPr>
              <w:t>评审因素</w:t>
            </w:r>
          </w:p>
        </w:tc>
        <w:tc>
          <w:tcPr>
            <w:tcW w:w="672" w:type="dxa"/>
            <w:noWrap w:val="0"/>
            <w:vAlign w:val="center"/>
          </w:tcPr>
          <w:p w14:paraId="07E864FC">
            <w:pPr>
              <w:keepNext w:val="0"/>
              <w:keepLines w:val="0"/>
              <w:pageBreakBefore w:val="0"/>
              <w:widowControl/>
              <w:kinsoku/>
              <w:wordWrap/>
              <w:overflowPunct/>
              <w:topLinePunct w:val="0"/>
              <w:autoSpaceDE w:val="0"/>
              <w:autoSpaceDN/>
              <w:bidi w:val="0"/>
              <w:adjustRightInd/>
              <w:snapToGrid/>
              <w:spacing w:line="360" w:lineRule="exact"/>
              <w:jc w:val="center"/>
              <w:textAlignment w:val="auto"/>
              <w:rPr>
                <w:rFonts w:hint="default" w:ascii="宋体" w:hAnsi="宋体" w:eastAsia="宋体" w:cs="宋体"/>
                <w:b/>
                <w:color w:val="auto"/>
                <w:kern w:val="0"/>
                <w:highlight w:val="none"/>
                <w:lang w:val="en-US" w:eastAsia="zh-CN"/>
              </w:rPr>
            </w:pPr>
            <w:r>
              <w:rPr>
                <w:rFonts w:hint="eastAsia" w:ascii="宋体" w:hAnsi="宋体" w:eastAsia="宋体" w:cs="宋体"/>
                <w:b/>
                <w:color w:val="auto"/>
                <w:kern w:val="0"/>
                <w:highlight w:val="none"/>
                <w:lang w:val="en-US" w:eastAsia="zh-CN"/>
              </w:rPr>
              <w:t>3</w:t>
            </w:r>
            <w:r>
              <w:rPr>
                <w:rFonts w:hint="eastAsia" w:ascii="宋体" w:hAnsi="宋体" w:cs="宋体"/>
                <w:b/>
                <w:color w:val="auto"/>
                <w:kern w:val="0"/>
                <w:highlight w:val="none"/>
                <w:lang w:val="en-US" w:eastAsia="zh-CN"/>
              </w:rPr>
              <w:t>0</w:t>
            </w:r>
          </w:p>
        </w:tc>
      </w:tr>
      <w:tr w14:paraId="41BDA0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52" w:type="dxa"/>
            <w:noWrap w:val="0"/>
            <w:vAlign w:val="center"/>
          </w:tcPr>
          <w:p w14:paraId="4F282956">
            <w:pPr>
              <w:keepNext w:val="0"/>
              <w:keepLines w:val="0"/>
              <w:pageBreakBefore w:val="0"/>
              <w:widowControl/>
              <w:kinsoku/>
              <w:wordWrap/>
              <w:overflowPunct/>
              <w:topLinePunct w:val="0"/>
              <w:autoSpaceDN/>
              <w:bidi w:val="0"/>
              <w:adjustRightInd/>
              <w:snapToGrid/>
              <w:spacing w:line="360" w:lineRule="exact"/>
              <w:jc w:val="center"/>
              <w:textAlignment w:val="auto"/>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3.1</w:t>
            </w:r>
          </w:p>
        </w:tc>
        <w:tc>
          <w:tcPr>
            <w:tcW w:w="1341" w:type="dxa"/>
            <w:noWrap w:val="0"/>
            <w:vAlign w:val="center"/>
          </w:tcPr>
          <w:p w14:paraId="6D95A5F3">
            <w:pPr>
              <w:keepNext w:val="0"/>
              <w:keepLines w:val="0"/>
              <w:pageBreakBefore w:val="0"/>
              <w:widowControl/>
              <w:kinsoku/>
              <w:wordWrap/>
              <w:overflowPunct/>
              <w:topLinePunct w:val="0"/>
              <w:autoSpaceDN/>
              <w:bidi w:val="0"/>
              <w:adjustRightInd/>
              <w:snapToGrid/>
              <w:spacing w:line="360" w:lineRule="exact"/>
              <w:jc w:val="center"/>
              <w:textAlignment w:val="auto"/>
              <w:rPr>
                <w:rFonts w:ascii="宋体" w:hAnsi="宋体" w:eastAsia="宋体" w:cs="宋体"/>
                <w:bCs/>
                <w:color w:val="auto"/>
                <w:szCs w:val="21"/>
                <w:highlight w:val="none"/>
              </w:rPr>
            </w:pPr>
            <w:r>
              <w:rPr>
                <w:rFonts w:hint="eastAsia" w:ascii="宋体" w:hAnsi="宋体" w:cs="宋体"/>
                <w:color w:val="auto"/>
                <w:kern w:val="0"/>
                <w:szCs w:val="21"/>
                <w:highlight w:val="none"/>
                <w:lang w:val="en-US" w:eastAsia="zh-CN"/>
              </w:rPr>
              <w:t>信誉业绩分</w:t>
            </w:r>
            <w:r>
              <w:rPr>
                <w:rFonts w:hint="eastAsia" w:ascii="宋体" w:hAnsi="宋体" w:eastAsia="宋体" w:cs="宋体"/>
                <w:color w:val="auto"/>
                <w:kern w:val="0"/>
                <w:szCs w:val="21"/>
                <w:highlight w:val="none"/>
              </w:rPr>
              <w:t>（</w:t>
            </w:r>
            <w:r>
              <w:rPr>
                <w:rFonts w:hint="eastAsia" w:ascii="宋体" w:hAnsi="宋体" w:eastAsia="宋体" w:cs="宋体"/>
                <w:bCs/>
                <w:color w:val="auto"/>
                <w:szCs w:val="21"/>
                <w:highlight w:val="none"/>
              </w:rPr>
              <w:t>满分1</w:t>
            </w:r>
            <w:r>
              <w:rPr>
                <w:rFonts w:hint="eastAsia" w:ascii="宋体" w:hAnsi="宋体" w:cs="宋体"/>
                <w:bCs/>
                <w:color w:val="auto"/>
                <w:szCs w:val="21"/>
                <w:highlight w:val="none"/>
                <w:lang w:val="en-US" w:eastAsia="zh-CN"/>
              </w:rPr>
              <w:t>1</w:t>
            </w:r>
            <w:r>
              <w:rPr>
                <w:rFonts w:hint="eastAsia" w:ascii="宋体" w:hAnsi="宋体" w:eastAsia="宋体" w:cs="宋体"/>
                <w:bCs/>
                <w:color w:val="auto"/>
                <w:szCs w:val="21"/>
                <w:highlight w:val="none"/>
                <w:lang w:val="en-US" w:eastAsia="zh-CN"/>
              </w:rPr>
              <w:t>分</w:t>
            </w:r>
            <w:r>
              <w:rPr>
                <w:rFonts w:hint="eastAsia" w:ascii="宋体" w:hAnsi="宋体" w:eastAsia="宋体" w:cs="宋体"/>
                <w:bCs/>
                <w:color w:val="auto"/>
                <w:szCs w:val="21"/>
                <w:highlight w:val="none"/>
              </w:rPr>
              <w:t>)</w:t>
            </w:r>
          </w:p>
        </w:tc>
        <w:tc>
          <w:tcPr>
            <w:tcW w:w="6539" w:type="dxa"/>
            <w:noWrap w:val="0"/>
            <w:vAlign w:val="top"/>
          </w:tcPr>
          <w:p w14:paraId="660077C6">
            <w:pPr>
              <w:keepNext w:val="0"/>
              <w:keepLines w:val="0"/>
              <w:pageBreakBefore w:val="0"/>
              <w:numPr>
                <w:ilvl w:val="0"/>
                <w:numId w:val="0"/>
              </w:numPr>
              <w:kinsoku/>
              <w:wordWrap/>
              <w:overflowPunct/>
              <w:topLinePunct w:val="0"/>
              <w:autoSpaceDN/>
              <w:bidi w:val="0"/>
              <w:adjustRightInd/>
              <w:snapToGrid/>
              <w:spacing w:line="360" w:lineRule="exact"/>
              <w:textAlignment w:val="auto"/>
              <w:rPr>
                <w:rFonts w:hint="eastAsia" w:ascii="宋体" w:hAnsi="宋体" w:eastAsia="宋体" w:cs="宋体"/>
                <w:color w:val="auto"/>
                <w:kern w:val="0"/>
                <w:szCs w:val="21"/>
                <w:highlight w:val="none"/>
              </w:rPr>
            </w:pPr>
            <w:r>
              <w:rPr>
                <w:rFonts w:hint="eastAsia" w:ascii="宋体" w:hAnsi="宋体" w:cs="宋体"/>
                <w:color w:val="auto"/>
                <w:kern w:val="0"/>
                <w:szCs w:val="21"/>
                <w:highlight w:val="none"/>
                <w:lang w:val="en-US" w:eastAsia="zh-CN"/>
              </w:rPr>
              <w:t>1、</w:t>
            </w:r>
            <w:r>
              <w:rPr>
                <w:rFonts w:hint="eastAsia" w:ascii="宋体" w:hAnsi="宋体" w:eastAsia="宋体" w:cs="宋体"/>
                <w:color w:val="auto"/>
                <w:kern w:val="0"/>
                <w:szCs w:val="21"/>
                <w:highlight w:val="none"/>
              </w:rPr>
              <w:t xml:space="preserve">供应商获得质量管理体系认证、环境管理体系认证、职业健康安全管理体系认证，且在有效期内的每一项得 </w:t>
            </w:r>
            <w:r>
              <w:rPr>
                <w:rFonts w:hint="eastAsia" w:ascii="宋体" w:hAnsi="宋体" w:eastAsia="宋体" w:cs="宋体"/>
                <w:color w:val="auto"/>
                <w:kern w:val="0"/>
                <w:szCs w:val="21"/>
                <w:highlight w:val="none"/>
                <w:lang w:val="en-US" w:eastAsia="zh-CN"/>
              </w:rPr>
              <w:t>1</w:t>
            </w:r>
            <w:r>
              <w:rPr>
                <w:rFonts w:hint="eastAsia" w:ascii="宋体" w:hAnsi="宋体" w:eastAsia="宋体" w:cs="宋体"/>
                <w:color w:val="auto"/>
                <w:kern w:val="0"/>
                <w:szCs w:val="21"/>
                <w:highlight w:val="none"/>
              </w:rPr>
              <w:t>分，满分</w:t>
            </w:r>
            <w:r>
              <w:rPr>
                <w:rFonts w:hint="eastAsia" w:ascii="宋体" w:hAnsi="宋体" w:eastAsia="宋体" w:cs="宋体"/>
                <w:color w:val="auto"/>
                <w:kern w:val="0"/>
                <w:szCs w:val="21"/>
                <w:highlight w:val="none"/>
                <w:lang w:val="en-US" w:eastAsia="zh-CN"/>
              </w:rPr>
              <w:t>3</w:t>
            </w:r>
            <w:r>
              <w:rPr>
                <w:rFonts w:hint="eastAsia" w:ascii="宋体" w:hAnsi="宋体" w:eastAsia="宋体" w:cs="宋体"/>
                <w:color w:val="auto"/>
                <w:kern w:val="0"/>
                <w:szCs w:val="21"/>
                <w:highlight w:val="none"/>
              </w:rPr>
              <w:t>分。</w:t>
            </w:r>
          </w:p>
          <w:p w14:paraId="61F73531">
            <w:pPr>
              <w:keepNext w:val="0"/>
              <w:keepLines w:val="0"/>
              <w:pageBreakBefore w:val="0"/>
              <w:kinsoku/>
              <w:wordWrap/>
              <w:overflowPunct/>
              <w:topLinePunct w:val="0"/>
              <w:autoSpaceDN/>
              <w:bidi w:val="0"/>
              <w:adjustRightInd/>
              <w:snapToGrid/>
              <w:spacing w:line="360" w:lineRule="exact"/>
              <w:textAlignment w:val="auto"/>
              <w:rPr>
                <w:rFonts w:ascii="宋体" w:hAnsi="宋体" w:eastAsia="宋体" w:cs="宋体"/>
                <w:color w:val="auto"/>
                <w:kern w:val="0"/>
                <w:szCs w:val="21"/>
                <w:highlight w:val="none"/>
              </w:rPr>
            </w:pPr>
            <w:r>
              <w:rPr>
                <w:rFonts w:hint="eastAsia" w:ascii="宋体" w:hAnsi="宋体" w:cs="宋体"/>
                <w:color w:val="auto"/>
                <w:kern w:val="0"/>
                <w:szCs w:val="21"/>
                <w:highlight w:val="none"/>
                <w:lang w:val="en-US" w:eastAsia="zh-CN"/>
              </w:rPr>
              <w:t>2</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供应商从202</w:t>
            </w:r>
            <w:r>
              <w:rPr>
                <w:rFonts w:hint="eastAsia" w:ascii="宋体" w:hAnsi="宋体" w:eastAsia="宋体" w:cs="宋体"/>
                <w:color w:val="auto"/>
                <w:kern w:val="0"/>
                <w:szCs w:val="21"/>
                <w:highlight w:val="none"/>
                <w:lang w:val="en-US" w:eastAsia="zh-CN"/>
              </w:rPr>
              <w:t>3</w:t>
            </w:r>
            <w:r>
              <w:rPr>
                <w:rFonts w:hint="eastAsia" w:ascii="宋体" w:hAnsi="宋体" w:eastAsia="宋体" w:cs="宋体"/>
                <w:color w:val="auto"/>
                <w:kern w:val="0"/>
                <w:szCs w:val="21"/>
                <w:highlight w:val="none"/>
              </w:rPr>
              <w:t>年1月1日起至本项目竞标截止之日止，承担过类似项目的每项得2分</w:t>
            </w:r>
            <w:r>
              <w:rPr>
                <w:rFonts w:hint="eastAsia" w:ascii="宋体" w:hAnsi="宋体" w:cs="宋体"/>
                <w:color w:val="auto"/>
                <w:kern w:val="0"/>
                <w:szCs w:val="21"/>
                <w:highlight w:val="none"/>
                <w:lang w:eastAsia="zh-CN"/>
              </w:rPr>
              <w:t>，</w:t>
            </w:r>
            <w:r>
              <w:rPr>
                <w:rFonts w:hint="eastAsia" w:ascii="宋体" w:hAnsi="宋体" w:eastAsia="宋体" w:cs="宋体"/>
                <w:color w:val="auto"/>
                <w:kern w:val="0"/>
                <w:szCs w:val="21"/>
                <w:highlight w:val="none"/>
              </w:rPr>
              <w:t>满分</w:t>
            </w:r>
            <w:r>
              <w:rPr>
                <w:rFonts w:hint="eastAsia" w:ascii="宋体" w:hAnsi="宋体" w:eastAsia="宋体" w:cs="宋体"/>
                <w:color w:val="auto"/>
                <w:kern w:val="0"/>
                <w:szCs w:val="21"/>
                <w:highlight w:val="none"/>
                <w:lang w:val="en-US" w:eastAsia="zh-CN"/>
              </w:rPr>
              <w:t>8</w:t>
            </w:r>
            <w:r>
              <w:rPr>
                <w:rFonts w:hint="eastAsia" w:ascii="宋体" w:hAnsi="宋体" w:eastAsia="宋体" w:cs="宋体"/>
                <w:color w:val="auto"/>
                <w:kern w:val="0"/>
                <w:szCs w:val="21"/>
                <w:highlight w:val="none"/>
              </w:rPr>
              <w:t>分。</w:t>
            </w:r>
          </w:p>
          <w:p w14:paraId="7F35F266">
            <w:pPr>
              <w:keepNext w:val="0"/>
              <w:keepLines w:val="0"/>
              <w:pageBreakBefore w:val="0"/>
              <w:kinsoku/>
              <w:wordWrap/>
              <w:overflowPunct/>
              <w:topLinePunct w:val="0"/>
              <w:autoSpaceDN/>
              <w:bidi w:val="0"/>
              <w:adjustRightInd/>
              <w:snapToGrid/>
              <w:spacing w:line="360" w:lineRule="exact"/>
              <w:textAlignment w:val="auto"/>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注：</w:t>
            </w:r>
            <w:r>
              <w:rPr>
                <w:rFonts w:hint="eastAsia" w:ascii="宋体" w:hAnsi="宋体" w:eastAsia="宋体" w:cs="宋体"/>
                <w:color w:val="auto"/>
                <w:kern w:val="0"/>
                <w:szCs w:val="21"/>
                <w:highlight w:val="none"/>
                <w:lang w:val="en-US" w:eastAsia="zh-CN"/>
              </w:rPr>
              <w:t>类似项目是指灌区工程的项目</w:t>
            </w:r>
            <w:r>
              <w:rPr>
                <w:rFonts w:hint="eastAsia" w:ascii="宋体" w:hAnsi="宋体" w:cs="宋体"/>
                <w:color w:val="auto"/>
                <w:kern w:val="0"/>
                <w:szCs w:val="21"/>
                <w:highlight w:val="none"/>
                <w:lang w:val="en-US" w:eastAsia="zh-CN"/>
              </w:rPr>
              <w:t>建议</w:t>
            </w:r>
            <w:r>
              <w:rPr>
                <w:rFonts w:hint="eastAsia" w:ascii="宋体" w:hAnsi="宋体" w:eastAsia="宋体" w:cs="宋体"/>
                <w:color w:val="auto"/>
                <w:kern w:val="0"/>
                <w:szCs w:val="21"/>
                <w:highlight w:val="none"/>
                <w:lang w:val="en-US" w:eastAsia="zh-CN"/>
              </w:rPr>
              <w:t>书或可行性研究报告编制项目（</w:t>
            </w:r>
            <w:r>
              <w:rPr>
                <w:rFonts w:hint="eastAsia" w:ascii="宋体" w:hAnsi="宋体" w:cs="宋体"/>
                <w:color w:val="auto"/>
                <w:kern w:val="0"/>
                <w:szCs w:val="21"/>
                <w:highlight w:val="none"/>
                <w:lang w:val="en-US" w:eastAsia="zh-CN"/>
              </w:rPr>
              <w:t>业绩</w:t>
            </w:r>
            <w:r>
              <w:rPr>
                <w:rFonts w:hint="eastAsia" w:ascii="宋体" w:hAnsi="宋体" w:eastAsia="宋体" w:cs="宋体"/>
                <w:color w:val="auto"/>
                <w:kern w:val="0"/>
                <w:szCs w:val="21"/>
                <w:highlight w:val="none"/>
                <w:lang w:val="en-US" w:eastAsia="zh-CN"/>
              </w:rPr>
              <w:t>独立完成或联合体完成均可），</w:t>
            </w:r>
            <w:r>
              <w:rPr>
                <w:rFonts w:hint="eastAsia" w:ascii="宋体" w:hAnsi="宋体" w:eastAsia="宋体" w:cs="宋体"/>
                <w:color w:val="auto"/>
                <w:kern w:val="0"/>
                <w:szCs w:val="21"/>
                <w:highlight w:val="none"/>
              </w:rPr>
              <w:t>业绩证明材料需附以下材料：合同或中标（成交）通知书复印件。</w:t>
            </w:r>
          </w:p>
        </w:tc>
        <w:tc>
          <w:tcPr>
            <w:tcW w:w="672" w:type="dxa"/>
            <w:noWrap w:val="0"/>
            <w:vAlign w:val="center"/>
          </w:tcPr>
          <w:p w14:paraId="40F5E09A">
            <w:pPr>
              <w:keepNext w:val="0"/>
              <w:keepLines w:val="0"/>
              <w:pageBreakBefore w:val="0"/>
              <w:widowControl/>
              <w:kinsoku/>
              <w:wordWrap/>
              <w:overflowPunct/>
              <w:topLinePunct w:val="0"/>
              <w:autoSpaceDN/>
              <w:bidi w:val="0"/>
              <w:adjustRightInd/>
              <w:snapToGrid/>
              <w:spacing w:line="360" w:lineRule="exact"/>
              <w:jc w:val="center"/>
              <w:textAlignment w:val="auto"/>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w:t>
            </w:r>
            <w:r>
              <w:rPr>
                <w:rFonts w:hint="eastAsia" w:ascii="宋体" w:hAnsi="宋体" w:cs="宋体"/>
                <w:color w:val="auto"/>
                <w:kern w:val="0"/>
                <w:szCs w:val="21"/>
                <w:highlight w:val="none"/>
                <w:lang w:val="en-US" w:eastAsia="zh-CN"/>
              </w:rPr>
              <w:t>1</w:t>
            </w:r>
            <w:r>
              <w:rPr>
                <w:rFonts w:hint="eastAsia" w:ascii="宋体" w:hAnsi="宋体" w:eastAsia="宋体" w:cs="宋体"/>
                <w:color w:val="auto"/>
                <w:kern w:val="0"/>
                <w:szCs w:val="21"/>
                <w:highlight w:val="none"/>
              </w:rPr>
              <w:t>分</w:t>
            </w:r>
          </w:p>
        </w:tc>
      </w:tr>
      <w:tr w14:paraId="43E72F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52" w:type="dxa"/>
            <w:noWrap w:val="0"/>
            <w:vAlign w:val="center"/>
          </w:tcPr>
          <w:p w14:paraId="7B3E0B9A">
            <w:pPr>
              <w:keepNext w:val="0"/>
              <w:keepLines w:val="0"/>
              <w:pageBreakBefore w:val="0"/>
              <w:widowControl/>
              <w:kinsoku/>
              <w:wordWrap/>
              <w:overflowPunct/>
              <w:topLinePunct w:val="0"/>
              <w:autoSpaceDN/>
              <w:bidi w:val="0"/>
              <w:adjustRightInd/>
              <w:snapToGrid/>
              <w:spacing w:line="360" w:lineRule="exact"/>
              <w:jc w:val="center"/>
              <w:textAlignment w:val="auto"/>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3.2</w:t>
            </w:r>
          </w:p>
        </w:tc>
        <w:tc>
          <w:tcPr>
            <w:tcW w:w="1341" w:type="dxa"/>
            <w:noWrap w:val="0"/>
            <w:vAlign w:val="center"/>
          </w:tcPr>
          <w:p w14:paraId="2655B547">
            <w:pPr>
              <w:keepNext w:val="0"/>
              <w:keepLines w:val="0"/>
              <w:pageBreakBefore w:val="0"/>
              <w:widowControl/>
              <w:kinsoku/>
              <w:wordWrap/>
              <w:overflowPunct/>
              <w:topLinePunct w:val="0"/>
              <w:autoSpaceDN/>
              <w:bidi w:val="0"/>
              <w:adjustRightInd/>
              <w:snapToGrid/>
              <w:spacing w:line="360" w:lineRule="exact"/>
              <w:jc w:val="center"/>
              <w:textAlignment w:val="auto"/>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人员配置分（</w:t>
            </w:r>
            <w:r>
              <w:rPr>
                <w:rFonts w:hint="eastAsia" w:ascii="宋体" w:hAnsi="宋体" w:eastAsia="宋体" w:cs="宋体"/>
                <w:bCs/>
                <w:color w:val="auto"/>
                <w:szCs w:val="21"/>
                <w:highlight w:val="none"/>
              </w:rPr>
              <w:t>满分</w:t>
            </w:r>
            <w:r>
              <w:rPr>
                <w:rFonts w:hint="eastAsia" w:ascii="宋体" w:hAnsi="宋体" w:eastAsia="宋体" w:cs="宋体"/>
                <w:bCs/>
                <w:color w:val="auto"/>
                <w:szCs w:val="21"/>
                <w:highlight w:val="none"/>
                <w:lang w:val="en-US" w:eastAsia="zh-CN"/>
              </w:rPr>
              <w:t>19分</w:t>
            </w:r>
            <w:r>
              <w:rPr>
                <w:rFonts w:hint="eastAsia" w:ascii="宋体" w:hAnsi="宋体" w:eastAsia="宋体" w:cs="宋体"/>
                <w:bCs/>
                <w:color w:val="auto"/>
                <w:szCs w:val="21"/>
                <w:highlight w:val="none"/>
              </w:rPr>
              <w:t>)</w:t>
            </w:r>
          </w:p>
        </w:tc>
        <w:tc>
          <w:tcPr>
            <w:tcW w:w="6539" w:type="dxa"/>
            <w:noWrap w:val="0"/>
            <w:vAlign w:val="top"/>
          </w:tcPr>
          <w:p w14:paraId="1CAF82AE">
            <w:pPr>
              <w:pStyle w:val="9"/>
              <w:keepNext w:val="0"/>
              <w:keepLines w:val="0"/>
              <w:pageBreakBefore w:val="0"/>
              <w:kinsoku/>
              <w:wordWrap/>
              <w:overflowPunct/>
              <w:topLinePunct w:val="0"/>
              <w:autoSpaceDN/>
              <w:bidi w:val="0"/>
              <w:adjustRightInd/>
              <w:snapToGrid/>
              <w:spacing w:line="360" w:lineRule="exact"/>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1、供应商</w:t>
            </w:r>
            <w:r>
              <w:rPr>
                <w:rFonts w:hint="eastAsia" w:ascii="宋体" w:hAnsi="宋体" w:eastAsia="宋体" w:cs="宋体"/>
                <w:color w:val="auto"/>
                <w:szCs w:val="21"/>
                <w:highlight w:val="none"/>
              </w:rPr>
              <w:t>拟投入的项目负责人具有高级或高级以上技术职称，专业是水利水电工程类</w:t>
            </w:r>
            <w:r>
              <w:rPr>
                <w:rFonts w:hint="eastAsia" w:ascii="宋体" w:hAnsi="宋体" w:eastAsia="宋体" w:cs="宋体"/>
                <w:color w:val="auto"/>
                <w:szCs w:val="21"/>
                <w:highlight w:val="none"/>
                <w:lang w:val="en-US" w:eastAsia="zh-CN"/>
              </w:rPr>
              <w:t>的得1分，</w:t>
            </w:r>
            <w:r>
              <w:rPr>
                <w:rFonts w:hint="eastAsia" w:ascii="宋体" w:hAnsi="宋体" w:eastAsia="宋体" w:cs="宋体"/>
                <w:color w:val="auto"/>
                <w:szCs w:val="21"/>
                <w:highlight w:val="none"/>
              </w:rPr>
              <w:t>满分</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分</w:t>
            </w:r>
            <w:r>
              <w:rPr>
                <w:rFonts w:hint="eastAsia" w:ascii="宋体" w:hAnsi="宋体" w:eastAsia="宋体" w:cs="宋体"/>
                <w:color w:val="auto"/>
                <w:szCs w:val="21"/>
                <w:highlight w:val="none"/>
                <w:lang w:eastAsia="zh-CN"/>
              </w:rPr>
              <w:t>。</w:t>
            </w:r>
          </w:p>
          <w:p w14:paraId="1A7CE203">
            <w:pPr>
              <w:pStyle w:val="9"/>
              <w:keepNext w:val="0"/>
              <w:keepLines w:val="0"/>
              <w:pageBreakBefore w:val="0"/>
              <w:kinsoku/>
              <w:wordWrap/>
              <w:overflowPunct/>
              <w:topLinePunct w:val="0"/>
              <w:autoSpaceDN/>
              <w:bidi w:val="0"/>
              <w:adjustRightInd/>
              <w:snapToGrid/>
              <w:spacing w:line="360" w:lineRule="exact"/>
              <w:textAlignment w:val="auto"/>
              <w:rPr>
                <w:rFonts w:ascii="宋体" w:hAnsi="宋体" w:eastAsia="宋体" w:cs="宋体"/>
                <w:color w:val="auto"/>
                <w:sz w:val="22"/>
                <w:szCs w:val="22"/>
                <w:highlight w:val="none"/>
              </w:rPr>
            </w:pPr>
            <w:r>
              <w:rPr>
                <w:rFonts w:hint="eastAsia" w:ascii="宋体" w:hAnsi="宋体" w:eastAsia="宋体" w:cs="宋体"/>
                <w:color w:val="auto"/>
                <w:szCs w:val="21"/>
                <w:highlight w:val="none"/>
              </w:rPr>
              <w:t>2、</w:t>
            </w:r>
            <w:bookmarkStart w:id="72" w:name="OLE_LINK15"/>
            <w:r>
              <w:rPr>
                <w:rFonts w:hint="eastAsia" w:ascii="宋体" w:hAnsi="宋体" w:eastAsia="宋体" w:cs="宋体"/>
                <w:color w:val="auto"/>
                <w:szCs w:val="21"/>
                <w:highlight w:val="none"/>
              </w:rPr>
              <w:t>供应商拟投入的各专业负责人</w:t>
            </w:r>
            <w:r>
              <w:rPr>
                <w:rFonts w:hint="eastAsia"/>
                <w:color w:val="auto"/>
                <w:highlight w:val="none"/>
                <w:lang w:eastAsia="zh-CN"/>
              </w:rPr>
              <w:t>【</w:t>
            </w:r>
            <w:r>
              <w:rPr>
                <w:rFonts w:hint="eastAsia"/>
                <w:color w:val="auto"/>
                <w:highlight w:val="none"/>
                <w:lang w:val="en-US" w:eastAsia="zh-CN"/>
              </w:rPr>
              <w:t>专业</w:t>
            </w:r>
            <w:r>
              <w:rPr>
                <w:rFonts w:hint="eastAsia" w:ascii="宋体" w:hAnsi="宋体" w:eastAsia="宋体" w:cs="宋体"/>
                <w:color w:val="auto"/>
                <w:szCs w:val="21"/>
                <w:highlight w:val="none"/>
              </w:rPr>
              <w:t>包含</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水利水电</w:t>
            </w:r>
            <w:r>
              <w:rPr>
                <w:rFonts w:hint="eastAsia" w:ascii="宋体" w:hAnsi="宋体" w:eastAsia="宋体" w:cs="宋体"/>
                <w:color w:val="auto"/>
                <w:spacing w:val="-1"/>
                <w:highlight w:val="none"/>
              </w:rPr>
              <w:t>工程</w:t>
            </w:r>
            <w:r>
              <w:rPr>
                <w:rFonts w:hint="eastAsia" w:ascii="宋体" w:hAnsi="宋体" w:eastAsia="宋体" w:cs="宋体"/>
                <w:color w:val="auto"/>
                <w:szCs w:val="21"/>
                <w:highlight w:val="none"/>
              </w:rPr>
              <w:t>、水文与水资源、水土保持、工程地质、工程测量、工程造价</w:t>
            </w:r>
            <w:r>
              <w:rPr>
                <w:rFonts w:hint="eastAsia"/>
                <w:color w:val="auto"/>
                <w:highlight w:val="none"/>
                <w:lang w:eastAsia="zh-CN"/>
              </w:rPr>
              <w:t>】</w:t>
            </w:r>
            <w:r>
              <w:rPr>
                <w:rFonts w:hint="eastAsia" w:ascii="宋体" w:hAnsi="宋体" w:eastAsia="宋体" w:cs="宋体"/>
                <w:color w:val="auto"/>
                <w:szCs w:val="21"/>
                <w:highlight w:val="none"/>
              </w:rPr>
              <w:t>，</w:t>
            </w:r>
            <w:bookmarkEnd w:id="72"/>
            <w:r>
              <w:rPr>
                <w:rFonts w:hint="eastAsia" w:ascii="宋体" w:hAnsi="宋体" w:eastAsia="宋体" w:cs="宋体"/>
                <w:color w:val="auto"/>
                <w:sz w:val="22"/>
                <w:szCs w:val="22"/>
                <w:highlight w:val="none"/>
              </w:rPr>
              <w:t>具有高级</w:t>
            </w:r>
            <w:r>
              <w:rPr>
                <w:rFonts w:hint="eastAsia" w:ascii="宋体" w:hAnsi="宋体" w:eastAsia="宋体" w:cs="宋体"/>
                <w:color w:val="auto"/>
                <w:sz w:val="22"/>
                <w:szCs w:val="22"/>
                <w:highlight w:val="none"/>
                <w:lang w:val="en-US" w:eastAsia="zh-CN"/>
              </w:rPr>
              <w:t>或高级以上</w:t>
            </w:r>
            <w:r>
              <w:rPr>
                <w:rFonts w:hint="eastAsia" w:ascii="宋体" w:hAnsi="宋体" w:eastAsia="宋体" w:cs="宋体"/>
                <w:color w:val="auto"/>
                <w:sz w:val="22"/>
                <w:szCs w:val="22"/>
                <w:highlight w:val="none"/>
              </w:rPr>
              <w:t>技术职称的每人得1分，满分</w:t>
            </w:r>
            <w:r>
              <w:rPr>
                <w:rFonts w:hint="eastAsia" w:ascii="宋体" w:hAnsi="宋体" w:eastAsia="宋体" w:cs="宋体"/>
                <w:color w:val="auto"/>
                <w:sz w:val="22"/>
                <w:szCs w:val="22"/>
                <w:highlight w:val="none"/>
                <w:lang w:val="en-US" w:eastAsia="zh-CN"/>
              </w:rPr>
              <w:t>6</w:t>
            </w:r>
            <w:r>
              <w:rPr>
                <w:rFonts w:hint="eastAsia" w:ascii="宋体" w:hAnsi="宋体" w:eastAsia="宋体" w:cs="宋体"/>
                <w:color w:val="auto"/>
                <w:sz w:val="22"/>
                <w:szCs w:val="22"/>
                <w:highlight w:val="none"/>
              </w:rPr>
              <w:t>分。</w:t>
            </w:r>
          </w:p>
          <w:p w14:paraId="690AABE4">
            <w:pPr>
              <w:pStyle w:val="9"/>
              <w:keepNext w:val="0"/>
              <w:keepLines w:val="0"/>
              <w:pageBreakBefore w:val="0"/>
              <w:kinsoku/>
              <w:wordWrap/>
              <w:overflowPunct/>
              <w:topLinePunct w:val="0"/>
              <w:autoSpaceDN/>
              <w:bidi w:val="0"/>
              <w:adjustRightInd/>
              <w:snapToGrid/>
              <w:spacing w:line="360" w:lineRule="exact"/>
              <w:textAlignment w:val="auto"/>
              <w:rPr>
                <w:rFonts w:hint="eastAsia" w:ascii="宋体" w:hAnsi="宋体" w:eastAsia="宋体" w:cs="宋体"/>
                <w:color w:val="auto"/>
                <w:spacing w:val="-1"/>
                <w:highlight w:val="none"/>
              </w:rPr>
            </w:pPr>
            <w:r>
              <w:rPr>
                <w:rFonts w:hint="eastAsia" w:ascii="宋体" w:hAnsi="宋体" w:eastAsia="宋体" w:cs="宋体"/>
                <w:color w:val="auto"/>
                <w:sz w:val="22"/>
                <w:szCs w:val="22"/>
                <w:highlight w:val="none"/>
              </w:rPr>
              <w:t>3、</w:t>
            </w:r>
            <w:r>
              <w:rPr>
                <w:rFonts w:hint="eastAsia" w:ascii="宋体" w:hAnsi="宋体" w:eastAsia="宋体" w:cs="宋体"/>
                <w:color w:val="auto"/>
                <w:spacing w:val="-1"/>
                <w:highlight w:val="none"/>
              </w:rPr>
              <w:t>供应商拟投入</w:t>
            </w:r>
            <w:r>
              <w:rPr>
                <w:rFonts w:hint="eastAsia" w:ascii="宋体" w:hAnsi="宋体" w:eastAsia="宋体" w:cs="宋体"/>
                <w:color w:val="auto"/>
                <w:spacing w:val="-1"/>
                <w:highlight w:val="none"/>
                <w:lang w:val="en-US" w:eastAsia="zh-CN"/>
              </w:rPr>
              <w:t>的技术人员（含项目负责人和各专业负责人）中，具有：注册土木工程师（水利水电工程）水工结构专业、注册土木工程师（水利水电工程）水利水电工程规划专业、注册土木工程师（</w:t>
            </w:r>
            <w:r>
              <w:rPr>
                <w:rFonts w:hint="eastAsia" w:ascii="宋体" w:hAnsi="宋体" w:eastAsia="宋体" w:cs="宋体"/>
                <w:color w:val="auto"/>
                <w:spacing w:val="-1"/>
                <w:highlight w:val="none"/>
              </w:rPr>
              <w:t>水利水电工程</w:t>
            </w:r>
            <w:r>
              <w:rPr>
                <w:rFonts w:hint="eastAsia" w:ascii="宋体" w:hAnsi="宋体" w:eastAsia="宋体" w:cs="宋体"/>
                <w:color w:val="auto"/>
                <w:spacing w:val="-1"/>
                <w:highlight w:val="none"/>
                <w:lang w:eastAsia="zh-CN"/>
              </w:rPr>
              <w:t>）</w:t>
            </w:r>
            <w:r>
              <w:rPr>
                <w:rFonts w:hint="eastAsia" w:ascii="宋体" w:hAnsi="宋体" w:eastAsia="宋体" w:cs="宋体"/>
                <w:color w:val="auto"/>
                <w:spacing w:val="-1"/>
                <w:highlight w:val="none"/>
                <w:lang w:val="en-US" w:eastAsia="zh-CN"/>
              </w:rPr>
              <w:t>水利水电工程水土保持专业</w:t>
            </w:r>
            <w:r>
              <w:rPr>
                <w:rFonts w:hint="eastAsia" w:ascii="宋体" w:hAnsi="宋体" w:eastAsia="宋体" w:cs="宋体"/>
                <w:color w:val="auto"/>
                <w:spacing w:val="-1"/>
                <w:highlight w:val="none"/>
              </w:rPr>
              <w:t>、</w:t>
            </w:r>
            <w:r>
              <w:rPr>
                <w:rFonts w:hint="eastAsia" w:ascii="宋体" w:hAnsi="宋体" w:eastAsia="宋体" w:cs="宋体"/>
                <w:color w:val="auto"/>
                <w:spacing w:val="-1"/>
                <w:highlight w:val="none"/>
                <w:lang w:val="en-US" w:eastAsia="zh-CN"/>
              </w:rPr>
              <w:t>注册土木工程师（岩土）</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注册测绘师</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一级</w:t>
            </w:r>
            <w:r>
              <w:rPr>
                <w:rFonts w:hint="eastAsia" w:ascii="宋体" w:hAnsi="宋体" w:eastAsia="宋体" w:cs="宋体"/>
                <w:color w:val="auto"/>
                <w:spacing w:val="-1"/>
                <w:highlight w:val="none"/>
              </w:rPr>
              <w:t>造价</w:t>
            </w:r>
            <w:r>
              <w:rPr>
                <w:rFonts w:hint="eastAsia" w:ascii="宋体" w:hAnsi="宋体" w:eastAsia="宋体" w:cs="宋体"/>
                <w:color w:val="auto"/>
                <w:spacing w:val="-1"/>
                <w:highlight w:val="none"/>
                <w:lang w:val="en-US" w:eastAsia="zh-CN"/>
              </w:rPr>
              <w:t>工程师</w:t>
            </w:r>
            <w:r>
              <w:rPr>
                <w:rFonts w:hint="eastAsia" w:ascii="宋体" w:hAnsi="宋体" w:eastAsia="宋体" w:cs="宋体"/>
                <w:color w:val="auto"/>
                <w:spacing w:val="-1"/>
                <w:highlight w:val="none"/>
              </w:rPr>
              <w:t>注册证书的每人得2分，</w:t>
            </w:r>
            <w:r>
              <w:rPr>
                <w:rFonts w:hint="eastAsia" w:ascii="宋体" w:hAnsi="宋体" w:eastAsia="宋体" w:cs="宋体"/>
                <w:color w:val="auto"/>
                <w:spacing w:val="-1"/>
                <w:highlight w:val="none"/>
                <w:lang w:val="en-US" w:eastAsia="zh-CN"/>
              </w:rPr>
              <w:t>相同专业不重复计分，</w:t>
            </w:r>
            <w:r>
              <w:rPr>
                <w:rFonts w:hint="eastAsia" w:ascii="宋体" w:hAnsi="宋体" w:eastAsia="宋体" w:cs="宋体"/>
                <w:color w:val="auto"/>
                <w:spacing w:val="-1"/>
                <w:highlight w:val="none"/>
              </w:rPr>
              <w:t>满分1</w:t>
            </w:r>
            <w:r>
              <w:rPr>
                <w:rFonts w:hint="eastAsia" w:ascii="宋体" w:hAnsi="宋体" w:eastAsia="宋体" w:cs="宋体"/>
                <w:color w:val="auto"/>
                <w:spacing w:val="-1"/>
                <w:highlight w:val="none"/>
                <w:lang w:val="en-US" w:eastAsia="zh-CN"/>
              </w:rPr>
              <w:t>2</w:t>
            </w:r>
            <w:r>
              <w:rPr>
                <w:rFonts w:hint="eastAsia" w:ascii="宋体" w:hAnsi="宋体" w:eastAsia="宋体" w:cs="宋体"/>
                <w:color w:val="auto"/>
                <w:spacing w:val="-1"/>
                <w:highlight w:val="none"/>
              </w:rPr>
              <w:t>分。</w:t>
            </w:r>
          </w:p>
          <w:p w14:paraId="52E3FF5D">
            <w:pPr>
              <w:pStyle w:val="9"/>
              <w:keepNext w:val="0"/>
              <w:keepLines w:val="0"/>
              <w:pageBreakBefore w:val="0"/>
              <w:kinsoku/>
              <w:wordWrap/>
              <w:overflowPunct/>
              <w:topLinePunct w:val="0"/>
              <w:autoSpaceDN/>
              <w:bidi w:val="0"/>
              <w:adjustRightInd/>
              <w:snapToGrid/>
              <w:spacing w:line="360" w:lineRule="exact"/>
              <w:textAlignment w:val="auto"/>
              <w:rPr>
                <w:rFonts w:hint="eastAsia" w:ascii="宋体" w:hAnsi="宋体" w:eastAsia="宋体" w:cs="宋体"/>
                <w:color w:val="auto"/>
                <w:spacing w:val="-1"/>
                <w:highlight w:val="none"/>
              </w:rPr>
            </w:pPr>
            <w:r>
              <w:rPr>
                <w:rFonts w:hint="eastAsia" w:ascii="宋体" w:hAnsi="宋体" w:eastAsia="宋体" w:cs="宋体"/>
                <w:color w:val="auto"/>
                <w:spacing w:val="-1"/>
                <w:highlight w:val="none"/>
              </w:rPr>
              <w:t>备注：1、 以上人员需提供职称证书</w:t>
            </w:r>
            <w:r>
              <w:rPr>
                <w:rFonts w:hint="eastAsia" w:ascii="宋体" w:hAnsi="宋体" w:eastAsia="宋体" w:cs="宋体"/>
                <w:color w:val="auto"/>
                <w:spacing w:val="-1"/>
                <w:highlight w:val="none"/>
                <w:lang w:val="en-US" w:eastAsia="zh-CN"/>
              </w:rPr>
              <w:t>或</w:t>
            </w:r>
            <w:r>
              <w:rPr>
                <w:rFonts w:hint="eastAsia" w:ascii="宋体" w:hAnsi="宋体" w:eastAsia="宋体" w:cs="宋体"/>
                <w:color w:val="auto"/>
                <w:spacing w:val="-1"/>
                <w:highlight w:val="none"/>
              </w:rPr>
              <w:t>执业注册证书复印件（如有）。2、投入本</w:t>
            </w:r>
            <w:r>
              <w:rPr>
                <w:rFonts w:hint="eastAsia" w:ascii="宋体" w:hAnsi="宋体" w:cs="宋体"/>
                <w:color w:val="auto"/>
                <w:spacing w:val="-1"/>
                <w:highlight w:val="none"/>
                <w:lang w:val="en-US" w:eastAsia="zh-CN"/>
              </w:rPr>
              <w:t>项目</w:t>
            </w:r>
            <w:r>
              <w:rPr>
                <w:rFonts w:hint="eastAsia" w:ascii="宋体" w:hAnsi="宋体" w:eastAsia="宋体" w:cs="宋体"/>
                <w:color w:val="auto"/>
                <w:spacing w:val="-1"/>
                <w:highlight w:val="none"/>
              </w:rPr>
              <w:t xml:space="preserve">人员须为投标单位本单位人员。 </w:t>
            </w:r>
          </w:p>
        </w:tc>
        <w:tc>
          <w:tcPr>
            <w:tcW w:w="672" w:type="dxa"/>
            <w:noWrap w:val="0"/>
            <w:vAlign w:val="center"/>
          </w:tcPr>
          <w:p w14:paraId="3F72BAA0">
            <w:pPr>
              <w:keepNext w:val="0"/>
              <w:keepLines w:val="0"/>
              <w:pageBreakBefore w:val="0"/>
              <w:widowControl/>
              <w:kinsoku/>
              <w:wordWrap/>
              <w:overflowPunct/>
              <w:topLinePunct w:val="0"/>
              <w:autoSpaceDN/>
              <w:bidi w:val="0"/>
              <w:adjustRightInd/>
              <w:snapToGrid/>
              <w:spacing w:line="360" w:lineRule="exact"/>
              <w:jc w:val="center"/>
              <w:textAlignment w:val="auto"/>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19</w:t>
            </w:r>
            <w:r>
              <w:rPr>
                <w:rFonts w:hint="eastAsia" w:ascii="宋体" w:hAnsi="宋体" w:eastAsia="宋体" w:cs="宋体"/>
                <w:color w:val="auto"/>
                <w:kern w:val="0"/>
                <w:szCs w:val="21"/>
                <w:highlight w:val="none"/>
              </w:rPr>
              <w:t>分</w:t>
            </w:r>
          </w:p>
        </w:tc>
      </w:tr>
      <w:tr w14:paraId="1E5043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304" w:type="dxa"/>
            <w:gridSpan w:val="4"/>
            <w:noWrap w:val="0"/>
            <w:vAlign w:val="center"/>
          </w:tcPr>
          <w:p w14:paraId="40A67332">
            <w:pPr>
              <w:keepNext w:val="0"/>
              <w:keepLines w:val="0"/>
              <w:pageBreakBefore w:val="0"/>
              <w:widowControl/>
              <w:kinsoku/>
              <w:wordWrap/>
              <w:overflowPunct/>
              <w:topLinePunct w:val="0"/>
              <w:autoSpaceDN/>
              <w:bidi w:val="0"/>
              <w:adjustRightInd/>
              <w:snapToGrid/>
              <w:spacing w:line="360" w:lineRule="exact"/>
              <w:jc w:val="both"/>
              <w:textAlignment w:val="auto"/>
              <w:rPr>
                <w:rFonts w:ascii="宋体" w:hAnsi="宋体" w:eastAsia="宋体" w:cs="宋体"/>
                <w:color w:val="auto"/>
                <w:kern w:val="0"/>
                <w:szCs w:val="21"/>
                <w:highlight w:val="none"/>
              </w:rPr>
            </w:pPr>
            <w:r>
              <w:rPr>
                <w:rFonts w:hint="eastAsia" w:ascii="宋体" w:hAnsi="宋体" w:eastAsia="宋体" w:cs="宋体"/>
                <w:bCs/>
                <w:color w:val="auto"/>
                <w:highlight w:val="none"/>
              </w:rPr>
              <w:t>总得分为以上各项评审因素得分合计</w:t>
            </w:r>
          </w:p>
        </w:tc>
      </w:tr>
    </w:tbl>
    <w:p w14:paraId="1E77C743">
      <w:pPr>
        <w:spacing w:line="360" w:lineRule="auto"/>
        <w:ind w:firstLine="420" w:firstLineChars="200"/>
        <w:rPr>
          <w:rFonts w:hint="eastAsia" w:ascii="宋体" w:hAnsi="宋体"/>
          <w:bCs/>
          <w:color w:val="auto"/>
          <w:szCs w:val="21"/>
          <w:highlight w:val="none"/>
        </w:rPr>
      </w:pPr>
    </w:p>
    <w:p w14:paraId="48F64AEF">
      <w:pPr>
        <w:pStyle w:val="15"/>
        <w:spacing w:line="360" w:lineRule="auto"/>
        <w:ind w:firstLine="400" w:firstLineChars="200"/>
        <w:rPr>
          <w:rFonts w:hint="eastAsia" w:hAnsi="宋体"/>
          <w:bCs/>
          <w:color w:val="auto"/>
          <w:highlight w:val="none"/>
        </w:rPr>
      </w:pPr>
      <w:r>
        <w:rPr>
          <w:rFonts w:hint="eastAsia" w:hAnsi="宋体"/>
          <w:bCs/>
          <w:color w:val="auto"/>
          <w:highlight w:val="none"/>
        </w:rPr>
        <w:t>8.2商务技术评审因素为客观评分项的，应在评分项目或评分标准中予以标注为“客观分”。对供应商的客观评分项目，各评审专家评分应当一致。</w:t>
      </w:r>
    </w:p>
    <w:p w14:paraId="1A26A1DE">
      <w:pPr>
        <w:spacing w:line="360" w:lineRule="auto"/>
        <w:ind w:firstLine="420" w:firstLineChars="200"/>
        <w:rPr>
          <w:rFonts w:hint="eastAsia" w:ascii="宋体" w:hAnsi="宋体" w:cs="宋体"/>
          <w:color w:val="auto"/>
          <w:highlight w:val="none"/>
        </w:rPr>
      </w:pPr>
      <w:bookmarkStart w:id="73" w:name="_Toc80205935"/>
      <w:r>
        <w:rPr>
          <w:rFonts w:hint="eastAsia" w:ascii="宋体" w:hAnsi="宋体" w:cs="宋体"/>
          <w:color w:val="auto"/>
          <w:highlight w:val="none"/>
        </w:rPr>
        <w:t>8.3.终止竞争性磋商采购活动</w:t>
      </w:r>
    </w:p>
    <w:p w14:paraId="31EBCE9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磋商小组发现竞争性磋商文件存在歧义、重大缺陷导致评审工作无法进行，或者竞争性磋商文件内容违反国家有关规定的，要停止评审工作并向采购人或采购代理机构书面说明情况，采购人或采购代理机构应当修改竞争性磋商文件后重新组织采购活动；发现供应商提供虚假材料、串通等违法违规行为的，要及时向采购人或采购代理机构报告。</w:t>
      </w:r>
    </w:p>
    <w:p w14:paraId="5F717636">
      <w:pPr>
        <w:spacing w:line="360" w:lineRule="auto"/>
        <w:ind w:firstLine="422" w:firstLineChars="200"/>
        <w:jc w:val="center"/>
        <w:rPr>
          <w:rFonts w:hint="eastAsia" w:ascii="宋体" w:hAnsi="宋体" w:cs="宋体"/>
          <w:b/>
          <w:color w:val="auto"/>
          <w:highlight w:val="none"/>
        </w:rPr>
      </w:pPr>
    </w:p>
    <w:p w14:paraId="6E9E799E">
      <w:pPr>
        <w:pStyle w:val="3"/>
        <w:spacing w:before="0" w:after="0" w:line="360" w:lineRule="auto"/>
        <w:ind w:firstLine="640" w:firstLineChars="200"/>
        <w:jc w:val="center"/>
        <w:rPr>
          <w:rFonts w:hint="eastAsia" w:ascii="宋体" w:hAnsi="宋体"/>
          <w:b w:val="0"/>
          <w:color w:val="auto"/>
          <w:highlight w:val="none"/>
        </w:rPr>
      </w:pPr>
      <w:bookmarkStart w:id="74" w:name="_Toc29129"/>
      <w:r>
        <w:rPr>
          <w:rFonts w:hint="eastAsia" w:ascii="宋体" w:hAnsi="宋体"/>
          <w:b w:val="0"/>
          <w:color w:val="auto"/>
          <w:highlight w:val="none"/>
        </w:rPr>
        <w:t>第二节 评标报告</w:t>
      </w:r>
      <w:bookmarkEnd w:id="73"/>
      <w:bookmarkEnd w:id="74"/>
    </w:p>
    <w:p w14:paraId="33686D5B">
      <w:pPr>
        <w:spacing w:line="360" w:lineRule="auto"/>
        <w:ind w:firstLine="480" w:firstLineChars="200"/>
        <w:rPr>
          <w:rFonts w:hint="eastAsia" w:ascii="黑体" w:hAnsi="黑体" w:eastAsia="黑体" w:cs="宋体"/>
          <w:color w:val="auto"/>
          <w:sz w:val="24"/>
          <w:szCs w:val="32"/>
          <w:highlight w:val="none"/>
        </w:rPr>
      </w:pPr>
      <w:r>
        <w:rPr>
          <w:rFonts w:hint="eastAsia" w:ascii="黑体" w:hAnsi="黑体" w:eastAsia="黑体" w:cs="宋体"/>
          <w:color w:val="auto"/>
          <w:sz w:val="24"/>
          <w:szCs w:val="32"/>
          <w:highlight w:val="none"/>
        </w:rPr>
        <w:t>1.成交标准</w:t>
      </w:r>
    </w:p>
    <w:p w14:paraId="05515B22">
      <w:pPr>
        <w:spacing w:line="360" w:lineRule="auto"/>
        <w:ind w:firstLine="420" w:firstLineChars="200"/>
        <w:rPr>
          <w:rFonts w:hint="eastAsia" w:ascii="宋体" w:hAnsi="宋体" w:cs="宋体"/>
          <w:color w:val="auto"/>
          <w:sz w:val="24"/>
          <w:highlight w:val="none"/>
        </w:rPr>
      </w:pPr>
      <w:r>
        <w:rPr>
          <w:rFonts w:hint="eastAsia" w:ascii="宋体" w:hAnsi="宋体"/>
          <w:bCs/>
          <w:color w:val="auto"/>
          <w:szCs w:val="21"/>
          <w:highlight w:val="none"/>
        </w:rPr>
        <w:t>由磋商小组根据综合评分情况，按照评审得分由高到低顺序推荐3名以上成交候选供应商</w:t>
      </w:r>
      <w:r>
        <w:rPr>
          <w:rFonts w:hint="eastAsia" w:ascii="宋体" w:hAnsi="宋体" w:cs="宋体"/>
          <w:color w:val="auto"/>
          <w:highlight w:val="none"/>
        </w:rPr>
        <w:t>,并在线编写电子评审报告</w:t>
      </w:r>
      <w:r>
        <w:rPr>
          <w:rFonts w:hint="eastAsia" w:ascii="宋体" w:hAnsi="宋体"/>
          <w:bCs/>
          <w:color w:val="auto"/>
          <w:szCs w:val="21"/>
          <w:highlight w:val="none"/>
        </w:rPr>
        <w:t>。符合本章第一节第3.7、5.3条情形的，可以推荐2家成交候选供应商。评审得分相同的，按照最后报价（不计算价格折扣）由低到高的顺序推荐。评审得分且最后报价（不计算价格折扣）相同的，按照技术指标优劣顺序推荐（按技术得分由高到低排序，技术得分相同的按照服务需求偏离分由高到低排序）。评审得分、最后报价（不计算价格折扣）、技术得分、服务需求偏离分均相同的，由磋商小组随机抽取推荐。</w:t>
      </w:r>
    </w:p>
    <w:p w14:paraId="726F767A">
      <w:pPr>
        <w:spacing w:line="360" w:lineRule="auto"/>
        <w:ind w:firstLine="480" w:firstLineChars="200"/>
        <w:rPr>
          <w:rFonts w:hint="eastAsia" w:ascii="黑体" w:hAnsi="黑体" w:eastAsia="黑体" w:cs="宋体"/>
          <w:color w:val="auto"/>
          <w:sz w:val="24"/>
          <w:szCs w:val="32"/>
          <w:highlight w:val="none"/>
        </w:rPr>
      </w:pPr>
      <w:r>
        <w:rPr>
          <w:rFonts w:hint="eastAsia" w:ascii="黑体" w:hAnsi="黑体" w:eastAsia="黑体" w:cs="宋体"/>
          <w:color w:val="auto"/>
          <w:sz w:val="24"/>
          <w:szCs w:val="32"/>
          <w:highlight w:val="none"/>
        </w:rPr>
        <w:t>2.评标争议事项处理</w:t>
      </w:r>
    </w:p>
    <w:p w14:paraId="2AAE97AF">
      <w:pPr>
        <w:pStyle w:val="71"/>
        <w:spacing w:before="0"/>
        <w:ind w:firstLine="420"/>
        <w:rPr>
          <w:rFonts w:hint="eastAsia" w:ascii="宋体" w:hAnsi="宋体" w:cs="宋体"/>
          <w:color w:val="auto"/>
          <w:kern w:val="2"/>
          <w:sz w:val="21"/>
          <w:szCs w:val="24"/>
          <w:highlight w:val="none"/>
        </w:rPr>
      </w:pPr>
      <w:r>
        <w:rPr>
          <w:rFonts w:hint="eastAsia" w:ascii="宋体" w:hAnsi="宋体" w:cs="宋体"/>
          <w:color w:val="auto"/>
          <w:kern w:val="2"/>
          <w:sz w:val="21"/>
          <w:szCs w:val="24"/>
          <w:highlight w:val="none"/>
        </w:rPr>
        <w:t>磋商小组成员对需要共同认定的事项存在争议的，应当按照少数服从多数的原则作出结论。持不同意见的磋商小组成员应当在评标报告上签署不同意见及理由，否则视为同意评标报告。</w:t>
      </w:r>
    </w:p>
    <w:p w14:paraId="09B4CCBD">
      <w:pPr>
        <w:pStyle w:val="3"/>
        <w:spacing w:before="0" w:after="0" w:line="360" w:lineRule="auto"/>
        <w:ind w:firstLine="640" w:firstLineChars="200"/>
        <w:jc w:val="center"/>
        <w:rPr>
          <w:rFonts w:hint="eastAsia" w:ascii="宋体" w:hAnsi="宋体"/>
          <w:b w:val="0"/>
          <w:color w:val="auto"/>
          <w:highlight w:val="none"/>
        </w:rPr>
      </w:pPr>
      <w:bookmarkStart w:id="75" w:name="_Toc11092"/>
      <w:bookmarkStart w:id="76" w:name="_Toc80205936"/>
    </w:p>
    <w:p w14:paraId="066412B5">
      <w:pPr>
        <w:pStyle w:val="3"/>
        <w:spacing w:before="0" w:after="0" w:line="360" w:lineRule="auto"/>
        <w:ind w:firstLine="640" w:firstLineChars="200"/>
        <w:jc w:val="center"/>
        <w:rPr>
          <w:rFonts w:hint="eastAsia" w:ascii="宋体" w:hAnsi="宋体" w:cs="宋体"/>
          <w:b w:val="0"/>
          <w:color w:val="auto"/>
          <w:highlight w:val="none"/>
        </w:rPr>
      </w:pPr>
      <w:r>
        <w:rPr>
          <w:rFonts w:hint="eastAsia" w:ascii="宋体" w:hAnsi="宋体"/>
          <w:b w:val="0"/>
          <w:color w:val="auto"/>
          <w:highlight w:val="none"/>
        </w:rPr>
        <w:t>第三节 评审过程的保密与录像</w:t>
      </w:r>
      <w:bookmarkEnd w:id="75"/>
      <w:bookmarkEnd w:id="76"/>
    </w:p>
    <w:p w14:paraId="3387A0E5">
      <w:pPr>
        <w:spacing w:line="360" w:lineRule="auto"/>
        <w:ind w:firstLine="480" w:firstLineChars="200"/>
        <w:rPr>
          <w:rFonts w:hint="eastAsia" w:ascii="黑体" w:hAnsi="黑体" w:eastAsia="黑体" w:cs="宋体"/>
          <w:color w:val="auto"/>
          <w:sz w:val="24"/>
          <w:szCs w:val="32"/>
          <w:highlight w:val="none"/>
        </w:rPr>
      </w:pPr>
      <w:r>
        <w:rPr>
          <w:rFonts w:hint="eastAsia" w:ascii="黑体" w:hAnsi="黑体" w:eastAsia="黑体" w:cs="宋体"/>
          <w:color w:val="auto"/>
          <w:sz w:val="24"/>
          <w:szCs w:val="32"/>
          <w:highlight w:val="none"/>
        </w:rPr>
        <w:t>1.保密。</w:t>
      </w:r>
    </w:p>
    <w:p w14:paraId="41835CF6">
      <w:pPr>
        <w:widowControl/>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评审活动在严格保密的情况下进行。评审过程中凡是与采购响应文件评审和比较、中标成交供应商推荐等评审有关的情况，以及涉及国家秘密和商业秘密等信息，评审委员会成员、采购人和采购机构工作人员、相关监督人员等与评审有关的人员应当予以保密。</w:t>
      </w:r>
    </w:p>
    <w:p w14:paraId="59D3E713">
      <w:pPr>
        <w:widowControl/>
        <w:spacing w:line="360" w:lineRule="auto"/>
        <w:ind w:firstLine="480" w:firstLineChars="200"/>
        <w:rPr>
          <w:rFonts w:hint="eastAsia" w:ascii="黑体" w:hAnsi="黑体" w:eastAsia="黑体" w:cs="宋体"/>
          <w:color w:val="auto"/>
          <w:sz w:val="24"/>
          <w:szCs w:val="32"/>
          <w:highlight w:val="none"/>
        </w:rPr>
      </w:pPr>
      <w:r>
        <w:rPr>
          <w:rFonts w:hint="eastAsia" w:ascii="黑体" w:hAnsi="黑体" w:eastAsia="黑体" w:cs="宋体"/>
          <w:color w:val="auto"/>
          <w:sz w:val="24"/>
          <w:szCs w:val="32"/>
          <w:highlight w:val="none"/>
        </w:rPr>
        <w:t>2.录音录像。</w:t>
      </w:r>
    </w:p>
    <w:p w14:paraId="57FC1680">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采购代理机构对评审工作现场及操作屏幕进行全过程录音录像，录音录像资料作为采购项目文件随其他文件一并存档。</w:t>
      </w:r>
    </w:p>
    <w:p w14:paraId="05EE8AD3">
      <w:pPr>
        <w:jc w:val="center"/>
        <w:rPr>
          <w:color w:val="auto"/>
          <w:highlight w:val="none"/>
        </w:rPr>
      </w:pPr>
      <w:r>
        <w:rPr>
          <w:b/>
          <w:bCs/>
          <w:color w:val="auto"/>
          <w:highlight w:val="none"/>
        </w:rPr>
        <w:br w:type="page"/>
      </w:r>
    </w:p>
    <w:p w14:paraId="6C433DFB">
      <w:pPr>
        <w:jc w:val="center"/>
        <w:rPr>
          <w:color w:val="auto"/>
          <w:highlight w:val="none"/>
        </w:rPr>
      </w:pPr>
    </w:p>
    <w:p w14:paraId="139D90EF">
      <w:pPr>
        <w:jc w:val="center"/>
        <w:rPr>
          <w:color w:val="auto"/>
          <w:highlight w:val="none"/>
        </w:rPr>
      </w:pPr>
    </w:p>
    <w:p w14:paraId="5A085B2C">
      <w:pPr>
        <w:jc w:val="center"/>
        <w:rPr>
          <w:color w:val="auto"/>
          <w:highlight w:val="none"/>
        </w:rPr>
      </w:pPr>
    </w:p>
    <w:p w14:paraId="1C981213">
      <w:pPr>
        <w:jc w:val="center"/>
        <w:rPr>
          <w:color w:val="auto"/>
          <w:highlight w:val="none"/>
        </w:rPr>
      </w:pPr>
    </w:p>
    <w:p w14:paraId="6871F3FC">
      <w:pPr>
        <w:jc w:val="center"/>
        <w:rPr>
          <w:color w:val="auto"/>
          <w:highlight w:val="none"/>
        </w:rPr>
      </w:pPr>
    </w:p>
    <w:p w14:paraId="2C7F53D3">
      <w:pPr>
        <w:pStyle w:val="2"/>
        <w:jc w:val="center"/>
        <w:rPr>
          <w:color w:val="auto"/>
          <w:highlight w:val="none"/>
        </w:rPr>
      </w:pPr>
      <w:bookmarkStart w:id="77" w:name="_Toc18495"/>
      <w:r>
        <w:rPr>
          <w:rFonts w:hint="eastAsia"/>
          <w:color w:val="auto"/>
          <w:highlight w:val="none"/>
        </w:rPr>
        <w:t>第五章</w:t>
      </w:r>
      <w:r>
        <w:rPr>
          <w:color w:val="auto"/>
          <w:highlight w:val="none"/>
        </w:rPr>
        <w:t xml:space="preserve"> </w:t>
      </w:r>
      <w:r>
        <w:rPr>
          <w:rFonts w:hint="eastAsia"/>
          <w:color w:val="auto"/>
          <w:highlight w:val="none"/>
        </w:rPr>
        <w:t>响应文件格式</w:t>
      </w:r>
      <w:bookmarkEnd w:id="77"/>
    </w:p>
    <w:p w14:paraId="19DCFE40">
      <w:pPr>
        <w:widowControl/>
        <w:spacing w:line="576" w:lineRule="auto"/>
        <w:jc w:val="left"/>
        <w:rPr>
          <w:b/>
          <w:bCs/>
          <w:color w:val="auto"/>
          <w:kern w:val="44"/>
          <w:sz w:val="44"/>
          <w:szCs w:val="44"/>
          <w:highlight w:val="none"/>
        </w:rPr>
        <w:sectPr>
          <w:pgSz w:w="11910" w:h="16840"/>
          <w:pgMar w:top="1340" w:right="1500" w:bottom="280" w:left="1680" w:header="720" w:footer="720" w:gutter="0"/>
          <w:cols w:space="720" w:num="1"/>
        </w:sectPr>
      </w:pPr>
    </w:p>
    <w:p w14:paraId="718DDEB2">
      <w:pPr>
        <w:pStyle w:val="3"/>
        <w:jc w:val="center"/>
        <w:rPr>
          <w:rFonts w:ascii="宋体" w:hAnsi="宋体"/>
          <w:b w:val="0"/>
          <w:color w:val="auto"/>
          <w:highlight w:val="none"/>
        </w:rPr>
      </w:pPr>
      <w:bookmarkStart w:id="78" w:name="_Toc18956"/>
      <w:bookmarkStart w:id="79" w:name="_Toc80205938"/>
      <w:r>
        <w:rPr>
          <w:rFonts w:hint="eastAsia" w:ascii="宋体" w:hAnsi="宋体"/>
          <w:b w:val="0"/>
          <w:color w:val="auto"/>
          <w:highlight w:val="none"/>
        </w:rPr>
        <w:t>第一节 封面格式</w:t>
      </w:r>
      <w:bookmarkEnd w:id="78"/>
      <w:bookmarkEnd w:id="79"/>
    </w:p>
    <w:p w14:paraId="55AE3A57">
      <w:pPr>
        <w:snapToGrid w:val="0"/>
        <w:spacing w:before="120" w:beforeLines="50" w:after="50"/>
        <w:rPr>
          <w:rFonts w:hint="eastAsia" w:ascii="宋体" w:hAnsi="宋体"/>
          <w:color w:val="auto"/>
          <w:sz w:val="24"/>
          <w:szCs w:val="20"/>
          <w:highlight w:val="none"/>
        </w:rPr>
      </w:pPr>
    </w:p>
    <w:p w14:paraId="26492CE7">
      <w:pPr>
        <w:snapToGrid w:val="0"/>
        <w:spacing w:before="120" w:beforeLines="50" w:after="50"/>
        <w:jc w:val="center"/>
        <w:rPr>
          <w:rFonts w:hint="eastAsia" w:ascii="宋体" w:hAnsi="宋体"/>
          <w:bCs/>
          <w:color w:val="auto"/>
          <w:sz w:val="24"/>
          <w:szCs w:val="20"/>
          <w:highlight w:val="none"/>
        </w:rPr>
      </w:pPr>
    </w:p>
    <w:p w14:paraId="0A2F795C">
      <w:pPr>
        <w:snapToGrid w:val="0"/>
        <w:spacing w:before="120"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响  应  文  件</w:t>
      </w:r>
    </w:p>
    <w:p w14:paraId="514FC1E9">
      <w:pPr>
        <w:snapToGrid w:val="0"/>
        <w:spacing w:before="120" w:beforeLines="50" w:after="50"/>
        <w:rPr>
          <w:rFonts w:hint="eastAsia" w:ascii="宋体" w:hAnsi="宋体"/>
          <w:bCs/>
          <w:color w:val="auto"/>
          <w:sz w:val="24"/>
          <w:szCs w:val="20"/>
          <w:highlight w:val="none"/>
        </w:rPr>
      </w:pPr>
    </w:p>
    <w:p w14:paraId="7EDBCF6E">
      <w:pPr>
        <w:snapToGrid w:val="0"/>
        <w:spacing w:before="120" w:beforeLines="50" w:after="50"/>
        <w:rPr>
          <w:rFonts w:hint="eastAsia" w:ascii="宋体" w:hAnsi="宋体"/>
          <w:bCs/>
          <w:color w:val="auto"/>
          <w:sz w:val="24"/>
          <w:szCs w:val="20"/>
          <w:highlight w:val="none"/>
        </w:rPr>
      </w:pPr>
    </w:p>
    <w:p w14:paraId="4B25E9AB">
      <w:pPr>
        <w:snapToGrid w:val="0"/>
        <w:spacing w:before="120" w:beforeLines="50" w:after="50"/>
        <w:rPr>
          <w:rFonts w:hint="eastAsia" w:ascii="仿宋_GB2312" w:hAnsi="仿宋_GB2312" w:eastAsia="仿宋_GB2312" w:cs="仿宋_GB2312"/>
          <w:bCs/>
          <w:color w:val="auto"/>
          <w:sz w:val="32"/>
          <w:szCs w:val="32"/>
          <w:highlight w:val="none"/>
        </w:rPr>
      </w:pPr>
    </w:p>
    <w:p w14:paraId="18673AC5">
      <w:pPr>
        <w:snapToGrid w:val="0"/>
        <w:spacing w:before="120" w:beforeLines="50" w:after="50"/>
        <w:ind w:firstLine="640" w:firstLineChars="200"/>
        <w:rPr>
          <w:rFonts w:hint="eastAsia" w:ascii="宋体" w:hAnsi="宋体" w:eastAsia="宋体" w:cs="仿宋_GB2312"/>
          <w:bCs/>
          <w:color w:val="auto"/>
          <w:sz w:val="32"/>
          <w:szCs w:val="32"/>
          <w:highlight w:val="none"/>
          <w:lang w:eastAsia="zh-CN"/>
        </w:rPr>
      </w:pPr>
      <w:r>
        <w:rPr>
          <w:rFonts w:hint="eastAsia" w:ascii="宋体" w:hAnsi="宋体" w:cs="仿宋_GB2312"/>
          <w:bCs/>
          <w:color w:val="auto"/>
          <w:sz w:val="32"/>
          <w:szCs w:val="32"/>
          <w:highlight w:val="none"/>
        </w:rPr>
        <w:t>项目名称：</w:t>
      </w:r>
      <w:r>
        <w:rPr>
          <w:rFonts w:hint="eastAsia" w:ascii="宋体" w:hAnsi="宋体" w:cs="仿宋_GB2312"/>
          <w:bCs/>
          <w:color w:val="auto"/>
          <w:sz w:val="32"/>
          <w:szCs w:val="32"/>
          <w:highlight w:val="none"/>
          <w:lang w:eastAsia="zh-CN"/>
        </w:rPr>
        <w:t>邕宁区蒲庙电灌站灌区续建配套与节水改造工程项目立项建议报告编制技术服务项目</w:t>
      </w:r>
    </w:p>
    <w:p w14:paraId="5A2791A1">
      <w:pPr>
        <w:snapToGrid w:val="0"/>
        <w:spacing w:before="120" w:beforeLines="50" w:after="50"/>
        <w:ind w:firstLine="480" w:firstLineChars="150"/>
        <w:rPr>
          <w:rFonts w:hint="eastAsia" w:ascii="宋体" w:hAnsi="宋体" w:cs="仿宋_GB2312"/>
          <w:bCs/>
          <w:color w:val="auto"/>
          <w:sz w:val="32"/>
          <w:szCs w:val="32"/>
          <w:highlight w:val="none"/>
        </w:rPr>
      </w:pPr>
    </w:p>
    <w:p w14:paraId="246B2602">
      <w:pPr>
        <w:snapToGrid w:val="0"/>
        <w:spacing w:before="120" w:beforeLines="50" w:after="50"/>
        <w:ind w:firstLine="640" w:firstLineChars="200"/>
        <w:rPr>
          <w:rFonts w:hint="eastAsia" w:ascii="宋体" w:hAnsi="宋体" w:eastAsia="宋体" w:cs="仿宋_GB2312"/>
          <w:bCs/>
          <w:color w:val="auto"/>
          <w:sz w:val="32"/>
          <w:szCs w:val="32"/>
          <w:highlight w:val="none"/>
          <w:lang w:eastAsia="zh-CN"/>
        </w:rPr>
      </w:pPr>
      <w:r>
        <w:rPr>
          <w:rFonts w:hint="eastAsia" w:ascii="宋体" w:hAnsi="宋体" w:cs="仿宋_GB2312"/>
          <w:bCs/>
          <w:color w:val="auto"/>
          <w:sz w:val="32"/>
          <w:szCs w:val="32"/>
          <w:highlight w:val="none"/>
        </w:rPr>
        <w:t>项目编号：</w:t>
      </w:r>
      <w:r>
        <w:rPr>
          <w:rFonts w:hint="eastAsia" w:ascii="宋体" w:hAnsi="宋体" w:cs="仿宋_GB2312"/>
          <w:bCs/>
          <w:color w:val="auto"/>
          <w:sz w:val="32"/>
          <w:szCs w:val="32"/>
          <w:highlight w:val="none"/>
          <w:lang w:eastAsia="zh-CN"/>
        </w:rPr>
        <w:t>NNZC2026-C3-090018-KWZB</w:t>
      </w:r>
    </w:p>
    <w:p w14:paraId="2EBB1CEF">
      <w:pPr>
        <w:snapToGrid w:val="0"/>
        <w:spacing w:before="120" w:beforeLines="50" w:after="50"/>
        <w:ind w:firstLine="480" w:firstLineChars="150"/>
        <w:rPr>
          <w:rFonts w:hint="eastAsia" w:ascii="宋体" w:hAnsi="宋体" w:cs="仿宋_GB2312"/>
          <w:bCs/>
          <w:color w:val="auto"/>
          <w:sz w:val="32"/>
          <w:szCs w:val="32"/>
          <w:highlight w:val="none"/>
        </w:rPr>
      </w:pPr>
    </w:p>
    <w:p w14:paraId="33D5CA16">
      <w:pPr>
        <w:snapToGrid w:val="0"/>
        <w:spacing w:before="120"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1FCD3359">
      <w:pPr>
        <w:snapToGrid w:val="0"/>
        <w:spacing w:before="120" w:beforeLines="50" w:after="50"/>
        <w:rPr>
          <w:rFonts w:hint="eastAsia" w:ascii="宋体" w:hAnsi="宋体" w:cs="仿宋_GB2312"/>
          <w:bCs/>
          <w:color w:val="auto"/>
          <w:sz w:val="32"/>
          <w:szCs w:val="32"/>
          <w:highlight w:val="none"/>
        </w:rPr>
      </w:pPr>
    </w:p>
    <w:p w14:paraId="687B6B9B">
      <w:pPr>
        <w:snapToGrid w:val="0"/>
        <w:spacing w:before="120"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44D7D8EC">
      <w:pPr>
        <w:snapToGrid w:val="0"/>
        <w:spacing w:before="120" w:beforeLines="50" w:after="50"/>
        <w:rPr>
          <w:rFonts w:hint="eastAsia" w:ascii="宋体" w:hAnsi="宋体" w:cs="仿宋_GB2312"/>
          <w:bCs/>
          <w:color w:val="auto"/>
          <w:sz w:val="32"/>
          <w:szCs w:val="32"/>
          <w:highlight w:val="none"/>
        </w:rPr>
      </w:pPr>
    </w:p>
    <w:p w14:paraId="6E6BC3FA">
      <w:pPr>
        <w:snapToGrid w:val="0"/>
        <w:spacing w:before="120" w:beforeLines="50" w:after="50"/>
        <w:ind w:firstLine="480" w:firstLineChars="150"/>
        <w:jc w:val="center"/>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首次响应文件提交截止时间前不得解密</w:t>
      </w:r>
    </w:p>
    <w:p w14:paraId="1AF20CCD">
      <w:pPr>
        <w:snapToGrid w:val="0"/>
        <w:spacing w:before="120" w:beforeLines="50" w:after="50"/>
        <w:ind w:firstLine="5440" w:firstLineChars="1700"/>
        <w:jc w:val="center"/>
        <w:rPr>
          <w:rFonts w:hint="eastAsia" w:ascii="宋体" w:hAnsi="宋体" w:cs="仿宋_GB2312"/>
          <w:bCs/>
          <w:color w:val="auto"/>
          <w:sz w:val="32"/>
          <w:szCs w:val="32"/>
          <w:highlight w:val="none"/>
        </w:rPr>
      </w:pPr>
    </w:p>
    <w:p w14:paraId="22FD125C">
      <w:pPr>
        <w:snapToGrid w:val="0"/>
        <w:spacing w:before="120" w:beforeLines="50" w:after="50"/>
        <w:ind w:firstLine="645"/>
        <w:jc w:val="center"/>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年    月    日</w:t>
      </w:r>
    </w:p>
    <w:p w14:paraId="79BA9F57">
      <w:pPr>
        <w:widowControl/>
        <w:jc w:val="left"/>
        <w:rPr>
          <w:color w:val="auto"/>
          <w:highlight w:val="none"/>
        </w:rPr>
        <w:sectPr>
          <w:pgSz w:w="11910" w:h="16840"/>
          <w:pgMar w:top="1340" w:right="1500" w:bottom="280" w:left="1680" w:header="720" w:footer="720" w:gutter="0"/>
          <w:cols w:space="720" w:num="1"/>
        </w:sectPr>
      </w:pPr>
    </w:p>
    <w:p w14:paraId="5D23F944">
      <w:pPr>
        <w:pStyle w:val="3"/>
        <w:jc w:val="center"/>
        <w:rPr>
          <w:rFonts w:hint="eastAsia" w:ascii="宋体" w:hAnsi="宋体" w:cs="宋体"/>
          <w:bCs w:val="0"/>
          <w:color w:val="auto"/>
          <w:highlight w:val="none"/>
        </w:rPr>
      </w:pPr>
      <w:bookmarkStart w:id="80" w:name="_Toc80205939"/>
      <w:bookmarkStart w:id="81" w:name="_Toc23404"/>
      <w:r>
        <w:rPr>
          <w:rFonts w:hint="eastAsia" w:ascii="宋体" w:hAnsi="宋体"/>
          <w:bCs w:val="0"/>
          <w:color w:val="auto"/>
          <w:highlight w:val="none"/>
        </w:rPr>
        <w:t>第二节 资格证明文件格式</w:t>
      </w:r>
      <w:bookmarkEnd w:id="80"/>
      <w:bookmarkEnd w:id="81"/>
    </w:p>
    <w:p w14:paraId="34CA4E43">
      <w:pPr>
        <w:snapToGrid w:val="0"/>
        <w:spacing w:before="120" w:beforeLines="50" w:after="50"/>
        <w:rPr>
          <w:rFonts w:hint="eastAsia" w:ascii="宋体" w:hAnsi="宋体"/>
          <w:bCs/>
          <w:color w:val="auto"/>
          <w:sz w:val="32"/>
          <w:szCs w:val="20"/>
          <w:highlight w:val="none"/>
        </w:rPr>
      </w:pPr>
      <w:r>
        <w:rPr>
          <w:rFonts w:hint="eastAsia" w:ascii="宋体" w:hAnsi="宋体"/>
          <w:color w:val="auto"/>
          <w:sz w:val="24"/>
          <w:highlight w:val="none"/>
        </w:rPr>
        <w:t xml:space="preserve">                                                    </w:t>
      </w:r>
      <w:r>
        <w:rPr>
          <w:rFonts w:hint="eastAsia" w:ascii="宋体" w:hAnsi="宋体"/>
          <w:bCs/>
          <w:color w:val="auto"/>
          <w:highlight w:val="none"/>
        </w:rPr>
        <w:t>全流程电子文件</w:t>
      </w:r>
    </w:p>
    <w:p w14:paraId="5866DBF2">
      <w:pPr>
        <w:snapToGrid w:val="0"/>
        <w:spacing w:before="120" w:beforeLines="50" w:after="50"/>
        <w:rPr>
          <w:rFonts w:hint="eastAsia" w:ascii="宋体" w:hAnsi="宋体"/>
          <w:color w:val="auto"/>
          <w:sz w:val="24"/>
          <w:szCs w:val="20"/>
          <w:highlight w:val="none"/>
        </w:rPr>
      </w:pPr>
    </w:p>
    <w:p w14:paraId="3F1A34B6">
      <w:pPr>
        <w:snapToGrid w:val="0"/>
        <w:spacing w:before="120" w:beforeLines="50" w:after="50"/>
        <w:rPr>
          <w:rFonts w:hint="eastAsia" w:ascii="宋体" w:hAnsi="宋体"/>
          <w:color w:val="auto"/>
          <w:sz w:val="24"/>
          <w:szCs w:val="20"/>
          <w:highlight w:val="none"/>
        </w:rPr>
      </w:pPr>
    </w:p>
    <w:p w14:paraId="64B884A8">
      <w:pPr>
        <w:snapToGrid w:val="0"/>
        <w:spacing w:before="120"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资  格  证  明  文  件（封面）</w:t>
      </w:r>
    </w:p>
    <w:p w14:paraId="4C665612">
      <w:pPr>
        <w:snapToGrid w:val="0"/>
        <w:spacing w:before="120" w:beforeLines="50" w:after="50"/>
        <w:rPr>
          <w:rFonts w:hint="eastAsia" w:ascii="宋体" w:hAnsi="宋体"/>
          <w:bCs/>
          <w:color w:val="auto"/>
          <w:sz w:val="24"/>
          <w:szCs w:val="20"/>
          <w:highlight w:val="none"/>
        </w:rPr>
      </w:pPr>
    </w:p>
    <w:p w14:paraId="3C08AF61">
      <w:pPr>
        <w:snapToGrid w:val="0"/>
        <w:spacing w:before="120" w:beforeLines="50" w:after="50"/>
        <w:rPr>
          <w:rFonts w:hint="eastAsia" w:ascii="宋体" w:hAnsi="宋体"/>
          <w:bCs/>
          <w:color w:val="auto"/>
          <w:sz w:val="24"/>
          <w:szCs w:val="20"/>
          <w:highlight w:val="none"/>
        </w:rPr>
      </w:pPr>
    </w:p>
    <w:p w14:paraId="67A5C650">
      <w:pPr>
        <w:snapToGrid w:val="0"/>
        <w:spacing w:before="120" w:beforeLines="50" w:after="50"/>
        <w:rPr>
          <w:rFonts w:hint="eastAsia" w:ascii="宋体" w:hAnsi="宋体"/>
          <w:bCs/>
          <w:color w:val="auto"/>
          <w:sz w:val="24"/>
          <w:szCs w:val="20"/>
          <w:highlight w:val="none"/>
        </w:rPr>
      </w:pPr>
    </w:p>
    <w:p w14:paraId="1946C38F">
      <w:pPr>
        <w:snapToGrid w:val="0"/>
        <w:spacing w:before="120" w:beforeLines="50" w:after="50"/>
        <w:rPr>
          <w:rFonts w:hint="eastAsia" w:ascii="宋体" w:hAnsi="宋体"/>
          <w:bCs/>
          <w:color w:val="auto"/>
          <w:sz w:val="24"/>
          <w:szCs w:val="20"/>
          <w:highlight w:val="none"/>
        </w:rPr>
      </w:pPr>
    </w:p>
    <w:p w14:paraId="55730B4E">
      <w:pPr>
        <w:snapToGrid w:val="0"/>
        <w:spacing w:before="120" w:beforeLines="50" w:after="50"/>
        <w:rPr>
          <w:rFonts w:hint="eastAsia" w:ascii="宋体" w:hAnsi="宋体"/>
          <w:bCs/>
          <w:color w:val="auto"/>
          <w:sz w:val="24"/>
          <w:szCs w:val="20"/>
          <w:highlight w:val="none"/>
        </w:rPr>
      </w:pPr>
    </w:p>
    <w:p w14:paraId="48AC30D4">
      <w:pPr>
        <w:snapToGrid w:val="0"/>
        <w:spacing w:before="120" w:beforeLines="50" w:after="50"/>
        <w:ind w:firstLine="640" w:firstLineChars="200"/>
        <w:rPr>
          <w:rFonts w:hint="eastAsia" w:ascii="宋体" w:hAnsi="宋体" w:eastAsia="宋体" w:cs="仿宋_GB2312"/>
          <w:bCs/>
          <w:color w:val="auto"/>
          <w:sz w:val="32"/>
          <w:szCs w:val="32"/>
          <w:highlight w:val="none"/>
          <w:lang w:eastAsia="zh-CN"/>
        </w:rPr>
      </w:pPr>
      <w:r>
        <w:rPr>
          <w:rFonts w:hint="eastAsia" w:ascii="宋体" w:hAnsi="宋体" w:cs="仿宋_GB2312"/>
          <w:bCs/>
          <w:color w:val="auto"/>
          <w:sz w:val="32"/>
          <w:szCs w:val="32"/>
          <w:highlight w:val="none"/>
        </w:rPr>
        <w:t>项目名称：</w:t>
      </w:r>
      <w:r>
        <w:rPr>
          <w:rFonts w:hint="eastAsia" w:ascii="宋体" w:hAnsi="宋体" w:cs="仿宋_GB2312"/>
          <w:bCs/>
          <w:color w:val="auto"/>
          <w:sz w:val="32"/>
          <w:szCs w:val="32"/>
          <w:highlight w:val="none"/>
          <w:lang w:eastAsia="zh-CN"/>
        </w:rPr>
        <w:t>邕宁区蒲庙电灌站灌区续建配套与节水改造工程项目立项建议报告编制技术服务项目</w:t>
      </w:r>
    </w:p>
    <w:p w14:paraId="21B970EB">
      <w:pPr>
        <w:snapToGrid w:val="0"/>
        <w:spacing w:before="120" w:beforeLines="50" w:after="50"/>
        <w:ind w:firstLine="720" w:firstLineChars="225"/>
        <w:rPr>
          <w:rFonts w:hint="eastAsia" w:ascii="宋体" w:hAnsi="宋体" w:cs="仿宋_GB2312"/>
          <w:bCs/>
          <w:color w:val="auto"/>
          <w:sz w:val="32"/>
          <w:szCs w:val="32"/>
          <w:highlight w:val="none"/>
        </w:rPr>
      </w:pPr>
    </w:p>
    <w:p w14:paraId="5397D8A7">
      <w:pPr>
        <w:snapToGrid w:val="0"/>
        <w:spacing w:before="120" w:beforeLines="50" w:after="50"/>
        <w:ind w:firstLine="720" w:firstLineChars="225"/>
        <w:rPr>
          <w:rFonts w:hint="eastAsia" w:ascii="宋体" w:hAnsi="宋体" w:eastAsia="宋体" w:cs="仿宋_GB2312"/>
          <w:bCs/>
          <w:color w:val="auto"/>
          <w:sz w:val="32"/>
          <w:szCs w:val="32"/>
          <w:highlight w:val="none"/>
          <w:lang w:eastAsia="zh-CN"/>
        </w:rPr>
      </w:pPr>
      <w:r>
        <w:rPr>
          <w:rFonts w:hint="eastAsia" w:ascii="宋体" w:hAnsi="宋体" w:cs="仿宋_GB2312"/>
          <w:bCs/>
          <w:color w:val="auto"/>
          <w:sz w:val="32"/>
          <w:szCs w:val="32"/>
          <w:highlight w:val="none"/>
        </w:rPr>
        <w:t>项目编号：</w:t>
      </w:r>
      <w:r>
        <w:rPr>
          <w:rFonts w:hint="eastAsia" w:ascii="宋体" w:hAnsi="宋体" w:cs="仿宋_GB2312"/>
          <w:bCs/>
          <w:color w:val="auto"/>
          <w:sz w:val="32"/>
          <w:szCs w:val="32"/>
          <w:highlight w:val="none"/>
          <w:lang w:eastAsia="zh-CN"/>
        </w:rPr>
        <w:t>NNZC2026-C3-090018-KWZB</w:t>
      </w:r>
    </w:p>
    <w:p w14:paraId="292EDB2D">
      <w:pPr>
        <w:snapToGrid w:val="0"/>
        <w:spacing w:before="120" w:beforeLines="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2A7EA1D3">
      <w:pPr>
        <w:snapToGrid w:val="0"/>
        <w:spacing w:before="120" w:beforeLines="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674C49DE">
      <w:pPr>
        <w:snapToGrid w:val="0"/>
        <w:spacing w:before="120" w:beforeLines="50" w:after="50"/>
        <w:ind w:firstLine="720" w:firstLineChars="225"/>
        <w:rPr>
          <w:rFonts w:hint="eastAsia" w:ascii="宋体" w:hAnsi="宋体" w:cs="仿宋_GB2312"/>
          <w:bCs/>
          <w:color w:val="auto"/>
          <w:sz w:val="32"/>
          <w:szCs w:val="32"/>
          <w:highlight w:val="none"/>
        </w:rPr>
      </w:pPr>
    </w:p>
    <w:p w14:paraId="120CBF1A">
      <w:pPr>
        <w:pStyle w:val="6"/>
        <w:snapToGrid w:val="0"/>
        <w:spacing w:before="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567FF36E">
      <w:pPr>
        <w:pStyle w:val="6"/>
        <w:snapToGrid w:val="0"/>
        <w:spacing w:before="50" w:after="50"/>
        <w:ind w:firstLine="720" w:firstLineChars="225"/>
        <w:rPr>
          <w:rFonts w:hint="eastAsia" w:ascii="宋体" w:hAnsi="宋体" w:cs="仿宋_GB2312"/>
          <w:bCs/>
          <w:color w:val="auto"/>
          <w:sz w:val="32"/>
          <w:szCs w:val="32"/>
          <w:highlight w:val="none"/>
        </w:rPr>
      </w:pPr>
    </w:p>
    <w:p w14:paraId="43A987A3">
      <w:pPr>
        <w:pStyle w:val="6"/>
        <w:snapToGrid w:val="0"/>
        <w:spacing w:before="50" w:after="50"/>
        <w:ind w:firstLine="720" w:firstLineChars="225"/>
        <w:rPr>
          <w:rFonts w:hint="eastAsia" w:ascii="宋体" w:hAnsi="宋体" w:cs="仿宋_GB2312"/>
          <w:bCs/>
          <w:color w:val="auto"/>
          <w:sz w:val="32"/>
          <w:szCs w:val="32"/>
          <w:highlight w:val="none"/>
        </w:rPr>
      </w:pPr>
    </w:p>
    <w:p w14:paraId="7D011CB9">
      <w:pPr>
        <w:pStyle w:val="6"/>
        <w:snapToGrid w:val="0"/>
        <w:spacing w:before="50" w:after="50"/>
        <w:ind w:firstLine="720" w:firstLineChars="225"/>
        <w:rPr>
          <w:rFonts w:hint="eastAsia" w:ascii="宋体" w:hAnsi="宋体" w:cs="仿宋_GB2312"/>
          <w:bCs/>
          <w:color w:val="auto"/>
          <w:sz w:val="32"/>
          <w:szCs w:val="32"/>
          <w:highlight w:val="none"/>
        </w:rPr>
      </w:pPr>
    </w:p>
    <w:p w14:paraId="69EEEDFF">
      <w:pPr>
        <w:pStyle w:val="6"/>
        <w:snapToGrid w:val="0"/>
        <w:spacing w:before="50" w:after="50"/>
        <w:ind w:firstLine="1280" w:firstLineChars="400"/>
        <w:rPr>
          <w:rFonts w:hint="eastAsia" w:ascii="宋体" w:hAnsi="宋体" w:cs="仿宋_GB2312"/>
          <w:bCs/>
          <w:color w:val="auto"/>
          <w:sz w:val="32"/>
          <w:szCs w:val="32"/>
          <w:highlight w:val="none"/>
        </w:rPr>
      </w:pPr>
    </w:p>
    <w:p w14:paraId="7D32CE5F">
      <w:pPr>
        <w:snapToGrid w:val="0"/>
        <w:spacing w:before="120" w:beforeLines="50" w:after="50"/>
        <w:jc w:val="center"/>
        <w:rPr>
          <w:rFonts w:hint="eastAsia"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6FB350E3">
      <w:pPr>
        <w:snapToGrid w:val="0"/>
        <w:spacing w:before="120" w:beforeLines="50" w:after="50" w:line="360" w:lineRule="auto"/>
        <w:jc w:val="left"/>
        <w:rPr>
          <w:rFonts w:hint="eastAsia" w:ascii="宋体" w:hAnsi="宋体"/>
          <w:b/>
          <w:bCs/>
          <w:color w:val="auto"/>
          <w:sz w:val="32"/>
          <w:szCs w:val="32"/>
          <w:highlight w:val="none"/>
        </w:rPr>
      </w:pPr>
      <w:r>
        <w:rPr>
          <w:rFonts w:hint="eastAsia" w:ascii="宋体" w:hAnsi="宋体"/>
          <w:color w:val="auto"/>
          <w:sz w:val="24"/>
          <w:highlight w:val="none"/>
        </w:rPr>
        <w:br w:type="page"/>
      </w:r>
      <w:r>
        <w:rPr>
          <w:rFonts w:hint="eastAsia" w:ascii="宋体" w:hAnsi="宋体"/>
          <w:b/>
          <w:bCs/>
          <w:color w:val="auto"/>
          <w:sz w:val="32"/>
          <w:szCs w:val="32"/>
          <w:highlight w:val="none"/>
        </w:rPr>
        <w:t xml:space="preserve"> </w:t>
      </w:r>
    </w:p>
    <w:p w14:paraId="40DFF813">
      <w:pPr>
        <w:jc w:val="center"/>
        <w:rPr>
          <w:rFonts w:hint="eastAsia" w:ascii="仿宋_GB2312" w:hAnsi="仿宋" w:eastAsia="仿宋_GB2312" w:cs="仿宋_GB2312"/>
          <w:b/>
          <w:color w:val="auto"/>
          <w:kern w:val="0"/>
          <w:sz w:val="36"/>
          <w:szCs w:val="36"/>
          <w:highlight w:val="none"/>
        </w:rPr>
      </w:pPr>
      <w:r>
        <w:rPr>
          <w:rFonts w:hint="eastAsia" w:ascii="仿宋_GB2312" w:hAnsi="仿宋" w:eastAsia="仿宋_GB2312" w:cs="仿宋_GB2312"/>
          <w:b/>
          <w:color w:val="auto"/>
          <w:kern w:val="0"/>
          <w:sz w:val="36"/>
          <w:szCs w:val="36"/>
          <w:highlight w:val="none"/>
        </w:rPr>
        <w:t>资格证明文件目录</w:t>
      </w:r>
    </w:p>
    <w:p w14:paraId="46AB32D9">
      <w:pPr>
        <w:snapToGrid w:val="0"/>
        <w:spacing w:line="360" w:lineRule="auto"/>
        <w:rPr>
          <w:rFonts w:hint="eastAsia" w:ascii="仿宋_GB2312" w:hAnsi="仿宋" w:eastAsia="仿宋_GB2312" w:cs="仿宋_GB2312"/>
          <w:color w:val="auto"/>
          <w:kern w:val="0"/>
          <w:sz w:val="24"/>
          <w:highlight w:val="none"/>
        </w:rPr>
      </w:pPr>
    </w:p>
    <w:p w14:paraId="75668610">
      <w:pPr>
        <w:snapToGrid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一、</w:t>
      </w:r>
      <w:r>
        <w:rPr>
          <w:rFonts w:hint="eastAsia" w:ascii="仿宋_GB2312" w:hAnsi="仿宋" w:eastAsia="仿宋_GB2312"/>
          <w:color w:val="auto"/>
          <w:sz w:val="24"/>
          <w:highlight w:val="none"/>
        </w:rPr>
        <w:t>营业执照(或事业法人登记证或其他工商等登记证明材料)复印件（供应商为自然人的，须提供</w:t>
      </w:r>
      <w:r>
        <w:rPr>
          <w:rFonts w:hint="eastAsia" w:ascii="仿宋_GB2312" w:hAnsi="仿宋" w:eastAsia="仿宋_GB2312" w:cs="Helvetica"/>
          <w:color w:val="auto"/>
          <w:kern w:val="0"/>
          <w:sz w:val="24"/>
          <w:highlight w:val="none"/>
        </w:rPr>
        <w:t>自然人的身份证明</w:t>
      </w:r>
      <w:r>
        <w:rPr>
          <w:rFonts w:hint="eastAsia" w:ascii="仿宋_GB2312" w:hAnsi="仿宋" w:eastAsia="仿宋_GB2312"/>
          <w:color w:val="auto"/>
          <w:sz w:val="24"/>
          <w:highlight w:val="none"/>
        </w:rPr>
        <w:t>）</w:t>
      </w:r>
      <w:r>
        <w:rPr>
          <w:rFonts w:hint="eastAsia" w:ascii="仿宋_GB2312" w:hAnsi="仿宋" w:eastAsia="仿宋_GB2312" w:cs="仿宋_GB2312"/>
          <w:color w:val="auto"/>
          <w:kern w:val="0"/>
          <w:sz w:val="24"/>
          <w:highlight w:val="none"/>
        </w:rPr>
        <w:t>…………………………………………（页码）</w:t>
      </w:r>
    </w:p>
    <w:p w14:paraId="58A4973D">
      <w:pPr>
        <w:snapToGrid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二、符合参与政府采购活动的资格条件依法缴纳税收、社会保障资金等方面的材料…………………………………………………………………………………（页码）</w:t>
      </w:r>
    </w:p>
    <w:p w14:paraId="0AD5960B">
      <w:pPr>
        <w:snapToGrid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三、财务状况报告方面的材料…………………………………………………（页码）</w:t>
      </w:r>
    </w:p>
    <w:p w14:paraId="50252C53">
      <w:pPr>
        <w:snapToGrid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sz w:val="24"/>
          <w:highlight w:val="none"/>
        </w:rPr>
        <w:t>四、供应商直接控股股东信息</w:t>
      </w:r>
      <w:r>
        <w:rPr>
          <w:rFonts w:hint="eastAsia" w:ascii="仿宋_GB2312" w:hAnsi="仿宋" w:eastAsia="仿宋_GB2312" w:cs="仿宋_GB2312"/>
          <w:color w:val="auto"/>
          <w:kern w:val="0"/>
          <w:sz w:val="24"/>
          <w:highlight w:val="none"/>
        </w:rPr>
        <w:t>…………………………………………………（页码）</w:t>
      </w:r>
    </w:p>
    <w:p w14:paraId="59227AED">
      <w:pPr>
        <w:snapToGrid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sz w:val="24"/>
          <w:highlight w:val="none"/>
        </w:rPr>
        <w:t>五、供应商直接关联关系信息表</w:t>
      </w:r>
      <w:r>
        <w:rPr>
          <w:rFonts w:hint="eastAsia" w:ascii="仿宋_GB2312" w:hAnsi="仿宋" w:eastAsia="仿宋_GB2312" w:cs="仿宋_GB2312"/>
          <w:color w:val="auto"/>
          <w:kern w:val="0"/>
          <w:sz w:val="24"/>
          <w:highlight w:val="none"/>
        </w:rPr>
        <w:t>………………………………………………（页码）</w:t>
      </w:r>
    </w:p>
    <w:p w14:paraId="01FAA2DD">
      <w:pPr>
        <w:snapToGrid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六、资格声明函…………………………………………………………………（页码）</w:t>
      </w:r>
    </w:p>
    <w:p w14:paraId="5DB7FBC3">
      <w:pPr>
        <w:snapToGrid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七、联合体协议书（</w:t>
      </w:r>
      <w:r>
        <w:rPr>
          <w:rFonts w:hint="eastAsia" w:ascii="仿宋_GB2312" w:hAnsi="仿宋" w:eastAsia="仿宋_GB2312" w:cs="仿宋_GB2312"/>
          <w:color w:val="auto"/>
          <w:sz w:val="24"/>
          <w:highlight w:val="none"/>
        </w:rPr>
        <w:t>以联合体形式响应的，提供联合体协议；本项目不接受联合体响应或者供应商不以联合体形式响应的，则不需要提供</w:t>
      </w:r>
      <w:r>
        <w:rPr>
          <w:rFonts w:hint="eastAsia" w:ascii="仿宋_GB2312" w:hAnsi="仿宋" w:eastAsia="仿宋_GB2312" w:cs="仿宋_GB2312"/>
          <w:color w:val="auto"/>
          <w:kern w:val="0"/>
          <w:sz w:val="24"/>
          <w:highlight w:val="none"/>
        </w:rPr>
        <w:t>）…………………（页码）</w:t>
      </w:r>
    </w:p>
    <w:p w14:paraId="625DFE5C">
      <w:pPr>
        <w:snapToGrid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sz w:val="24"/>
          <w:highlight w:val="none"/>
        </w:rPr>
        <w:t>八、符合特定资格条件（如有）的有关证明材料（复印件）</w:t>
      </w:r>
      <w:r>
        <w:rPr>
          <w:rFonts w:hint="eastAsia" w:ascii="仿宋_GB2312" w:hAnsi="仿宋" w:eastAsia="仿宋_GB2312" w:cs="仿宋_GB2312"/>
          <w:color w:val="auto"/>
          <w:kern w:val="0"/>
          <w:sz w:val="24"/>
          <w:highlight w:val="none"/>
        </w:rPr>
        <w:t>………………（页码）</w:t>
      </w:r>
    </w:p>
    <w:p w14:paraId="0FC94818">
      <w:pPr>
        <w:spacing w:line="360" w:lineRule="auto"/>
        <w:rPr>
          <w:rFonts w:hint="eastAsia" w:ascii="仿宋_GB2312" w:hAnsi="仿宋_GB2312" w:eastAsia="仿宋_GB2312" w:cs="仿宋_GB2312"/>
          <w:b/>
          <w:bCs/>
          <w:color w:val="auto"/>
          <w:sz w:val="24"/>
          <w:highlight w:val="none"/>
        </w:rPr>
      </w:pPr>
    </w:p>
    <w:p w14:paraId="7C79722B">
      <w:pPr>
        <w:spacing w:line="360" w:lineRule="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注：以上目录是编制供应商响应文件的基本格式要求，各供应商可根据自身情况进一步细化。</w:t>
      </w:r>
    </w:p>
    <w:p w14:paraId="42E8354F">
      <w:pPr>
        <w:snapToGrid w:val="0"/>
        <w:spacing w:before="120" w:beforeLines="50" w:after="50" w:line="360" w:lineRule="auto"/>
        <w:ind w:left="142" w:firstLine="420" w:firstLineChars="200"/>
        <w:jc w:val="left"/>
        <w:rPr>
          <w:rFonts w:hint="eastAsia" w:ascii="宋体" w:hAnsi="宋体"/>
          <w:color w:val="auto"/>
          <w:szCs w:val="21"/>
          <w:highlight w:val="none"/>
        </w:rPr>
      </w:pPr>
    </w:p>
    <w:p w14:paraId="7EB791F4">
      <w:pPr>
        <w:spacing w:line="300" w:lineRule="auto"/>
        <w:rPr>
          <w:rFonts w:hint="eastAsia" w:ascii="宋体" w:hAnsi="宋体"/>
          <w:color w:val="auto"/>
          <w:szCs w:val="21"/>
          <w:highlight w:val="none"/>
        </w:rPr>
      </w:pPr>
    </w:p>
    <w:p w14:paraId="521515EE">
      <w:pPr>
        <w:spacing w:line="300" w:lineRule="auto"/>
        <w:rPr>
          <w:rFonts w:hint="eastAsia" w:ascii="宋体" w:hAnsi="宋体"/>
          <w:color w:val="auto"/>
          <w:szCs w:val="21"/>
          <w:highlight w:val="none"/>
        </w:rPr>
      </w:pPr>
    </w:p>
    <w:p w14:paraId="4098FC13">
      <w:pPr>
        <w:spacing w:line="300" w:lineRule="auto"/>
        <w:rPr>
          <w:rFonts w:hint="eastAsia" w:ascii="宋体" w:hAnsi="宋体"/>
          <w:color w:val="auto"/>
          <w:szCs w:val="21"/>
          <w:highlight w:val="none"/>
        </w:rPr>
      </w:pPr>
    </w:p>
    <w:p w14:paraId="5C56CEA0">
      <w:pPr>
        <w:spacing w:line="300" w:lineRule="auto"/>
        <w:rPr>
          <w:rFonts w:hint="eastAsia" w:ascii="宋体" w:hAnsi="宋体"/>
          <w:color w:val="auto"/>
          <w:szCs w:val="21"/>
          <w:highlight w:val="none"/>
        </w:rPr>
      </w:pPr>
    </w:p>
    <w:p w14:paraId="08E7AA68">
      <w:pPr>
        <w:spacing w:line="300" w:lineRule="auto"/>
        <w:rPr>
          <w:rFonts w:hint="eastAsia" w:ascii="宋体" w:hAnsi="宋体"/>
          <w:color w:val="auto"/>
          <w:szCs w:val="21"/>
          <w:highlight w:val="none"/>
        </w:rPr>
      </w:pPr>
    </w:p>
    <w:p w14:paraId="03057B06">
      <w:pPr>
        <w:spacing w:line="300" w:lineRule="auto"/>
        <w:rPr>
          <w:rFonts w:hint="eastAsia" w:ascii="宋体" w:hAnsi="宋体"/>
          <w:color w:val="auto"/>
          <w:szCs w:val="21"/>
          <w:highlight w:val="none"/>
        </w:rPr>
      </w:pPr>
    </w:p>
    <w:p w14:paraId="6E173F23">
      <w:pPr>
        <w:spacing w:line="300" w:lineRule="auto"/>
        <w:rPr>
          <w:rFonts w:hint="eastAsia" w:ascii="宋体" w:hAnsi="宋体"/>
          <w:color w:val="auto"/>
          <w:szCs w:val="21"/>
          <w:highlight w:val="none"/>
        </w:rPr>
      </w:pPr>
    </w:p>
    <w:p w14:paraId="4EF275EE">
      <w:pPr>
        <w:spacing w:line="300" w:lineRule="auto"/>
        <w:rPr>
          <w:rFonts w:hint="eastAsia" w:ascii="宋体" w:hAnsi="宋体"/>
          <w:color w:val="auto"/>
          <w:szCs w:val="21"/>
          <w:highlight w:val="none"/>
        </w:rPr>
      </w:pPr>
    </w:p>
    <w:p w14:paraId="44330F11">
      <w:pPr>
        <w:spacing w:line="300" w:lineRule="auto"/>
        <w:rPr>
          <w:rFonts w:hint="eastAsia" w:ascii="宋体" w:hAnsi="宋体"/>
          <w:color w:val="auto"/>
          <w:szCs w:val="21"/>
          <w:highlight w:val="none"/>
        </w:rPr>
      </w:pPr>
    </w:p>
    <w:p w14:paraId="3F920CAB">
      <w:pPr>
        <w:pStyle w:val="15"/>
        <w:spacing w:line="360" w:lineRule="auto"/>
        <w:ind w:firstLine="400" w:firstLineChars="200"/>
        <w:rPr>
          <w:rFonts w:hint="eastAsia" w:ascii="仿宋" w:hAnsi="仿宋" w:eastAsia="仿宋" w:cs="仿宋_GB2312"/>
          <w:b/>
          <w:color w:val="auto"/>
          <w:sz w:val="30"/>
          <w:szCs w:val="30"/>
          <w:highlight w:val="none"/>
        </w:rPr>
      </w:pPr>
      <w:r>
        <w:rPr>
          <w:rFonts w:hint="eastAsia" w:hAnsi="宋体"/>
          <w:color w:val="auto"/>
          <w:highlight w:val="none"/>
        </w:rPr>
        <w:br w:type="page"/>
      </w:r>
      <w:r>
        <w:rPr>
          <w:rFonts w:hint="eastAsia" w:hAnsi="宋体"/>
          <w:color w:val="auto"/>
          <w:highlight w:val="none"/>
        </w:rPr>
        <w:t xml:space="preserve">   </w:t>
      </w:r>
      <w:r>
        <w:rPr>
          <w:rFonts w:hint="eastAsia" w:ascii="仿宋" w:hAnsi="仿宋" w:eastAsia="仿宋" w:cs="仿宋_GB2312"/>
          <w:b/>
          <w:color w:val="auto"/>
          <w:sz w:val="30"/>
          <w:szCs w:val="30"/>
          <w:highlight w:val="none"/>
        </w:rPr>
        <w:t>一、营业执照(或事业法人登记证或其他工商等登记证明材料)复印件（供应商为自然人的，提供自然人的身份证明）</w:t>
      </w:r>
    </w:p>
    <w:p w14:paraId="1A532A87">
      <w:pPr>
        <w:pStyle w:val="15"/>
        <w:spacing w:line="360" w:lineRule="auto"/>
        <w:ind w:firstLine="602" w:firstLineChars="200"/>
        <w:rPr>
          <w:rFonts w:hint="eastAsia" w:ascii="仿宋" w:hAnsi="仿宋" w:eastAsia="仿宋" w:cs="仿宋_GB2312"/>
          <w:b/>
          <w:color w:val="auto"/>
          <w:sz w:val="30"/>
          <w:szCs w:val="30"/>
          <w:highlight w:val="none"/>
        </w:rPr>
      </w:pPr>
    </w:p>
    <w:p w14:paraId="02CEA64A">
      <w:pPr>
        <w:autoSpaceDE w:val="0"/>
        <w:autoSpaceDN w:val="0"/>
        <w:spacing w:line="360" w:lineRule="auto"/>
        <w:ind w:left="4365" w:leftChars="1850" w:hanging="480" w:hangingChars="20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7CACD829">
      <w:pPr>
        <w:autoSpaceDE w:val="0"/>
        <w:autoSpaceDN w:val="0"/>
        <w:spacing w:line="360" w:lineRule="auto"/>
        <w:ind w:firstLine="6120" w:firstLineChars="2550"/>
        <w:rPr>
          <w:rFonts w:hint="eastAsia" w:ascii="仿宋_GB2312" w:hAnsi="仿宋" w:eastAsia="仿宋_GB2312" w:cs="仿宋_GB2312"/>
          <w:b/>
          <w:bCs/>
          <w:color w:val="auto"/>
          <w:sz w:val="24"/>
          <w:highlight w:val="none"/>
        </w:rPr>
      </w:pPr>
      <w:r>
        <w:rPr>
          <w:rFonts w:hint="eastAsia" w:ascii="仿宋_GB2312" w:hAnsi="仿宋" w:eastAsia="仿宋_GB2312" w:cs="仿宋_GB2312"/>
          <w:color w:val="auto"/>
          <w:kern w:val="0"/>
          <w:sz w:val="24"/>
          <w:highlight w:val="none"/>
          <w:lang w:val="zh-CN"/>
        </w:rPr>
        <w:t>日期：  年  月   日</w:t>
      </w:r>
    </w:p>
    <w:p w14:paraId="3D7094B0">
      <w:pPr>
        <w:snapToGrid w:val="0"/>
        <w:spacing w:before="120" w:beforeLines="50" w:after="50"/>
        <w:rPr>
          <w:rFonts w:hint="eastAsia" w:ascii="宋体" w:hAnsi="宋体"/>
          <w:color w:val="auto"/>
          <w:sz w:val="24"/>
          <w:szCs w:val="20"/>
          <w:highlight w:val="none"/>
        </w:rPr>
      </w:pPr>
    </w:p>
    <w:p w14:paraId="4FA9089C">
      <w:pPr>
        <w:pStyle w:val="15"/>
        <w:spacing w:line="360" w:lineRule="auto"/>
        <w:ind w:firstLine="602" w:firstLineChars="200"/>
        <w:rPr>
          <w:rFonts w:hint="eastAsia" w:ascii="仿宋" w:hAnsi="仿宋" w:eastAsia="仿宋" w:cs="仿宋_GB2312"/>
          <w:b/>
          <w:color w:val="auto"/>
          <w:sz w:val="30"/>
          <w:szCs w:val="30"/>
          <w:highlight w:val="none"/>
        </w:rPr>
      </w:pPr>
      <w:r>
        <w:rPr>
          <w:rFonts w:hint="eastAsia" w:ascii="仿宋" w:hAnsi="仿宋" w:eastAsia="仿宋" w:cs="仿宋_GB2312"/>
          <w:b/>
          <w:color w:val="auto"/>
          <w:sz w:val="30"/>
          <w:szCs w:val="30"/>
          <w:highlight w:val="none"/>
        </w:rPr>
        <w:t>二、符合参与政府采购活动的资格条件依法缴纳税收、社会保障资金等方面的材料</w:t>
      </w:r>
    </w:p>
    <w:p w14:paraId="457AE539">
      <w:pPr>
        <w:spacing w:line="300" w:lineRule="auto"/>
        <w:rPr>
          <w:rFonts w:hint="eastAsia" w:ascii="宋体" w:hAnsi="宋体"/>
          <w:color w:val="auto"/>
          <w:szCs w:val="21"/>
          <w:highlight w:val="none"/>
        </w:rPr>
      </w:pPr>
    </w:p>
    <w:p w14:paraId="485A6616">
      <w:pPr>
        <w:autoSpaceDE w:val="0"/>
        <w:autoSpaceDN w:val="0"/>
        <w:spacing w:line="360" w:lineRule="auto"/>
        <w:ind w:left="4365" w:leftChars="1850" w:hanging="480" w:hangingChars="20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722EFCBD">
      <w:pPr>
        <w:autoSpaceDE w:val="0"/>
        <w:autoSpaceDN w:val="0"/>
        <w:spacing w:line="360" w:lineRule="auto"/>
        <w:ind w:firstLine="6120" w:firstLineChars="2550"/>
        <w:rPr>
          <w:rFonts w:hint="eastAsia" w:ascii="仿宋_GB2312" w:hAnsi="仿宋" w:eastAsia="仿宋_GB2312" w:cs="仿宋_GB2312"/>
          <w:b/>
          <w:bCs/>
          <w:color w:val="auto"/>
          <w:sz w:val="24"/>
          <w:highlight w:val="none"/>
        </w:rPr>
      </w:pPr>
      <w:r>
        <w:rPr>
          <w:rFonts w:hint="eastAsia" w:ascii="仿宋_GB2312" w:hAnsi="仿宋" w:eastAsia="仿宋_GB2312" w:cs="仿宋_GB2312"/>
          <w:color w:val="auto"/>
          <w:kern w:val="0"/>
          <w:sz w:val="24"/>
          <w:highlight w:val="none"/>
          <w:lang w:val="zh-CN"/>
        </w:rPr>
        <w:t>日期：  年  月   日</w:t>
      </w:r>
    </w:p>
    <w:p w14:paraId="1B955952">
      <w:pPr>
        <w:spacing w:line="300" w:lineRule="auto"/>
        <w:rPr>
          <w:rFonts w:hint="eastAsia" w:ascii="宋体" w:hAnsi="宋体"/>
          <w:color w:val="auto"/>
          <w:szCs w:val="21"/>
          <w:highlight w:val="none"/>
        </w:rPr>
      </w:pPr>
    </w:p>
    <w:p w14:paraId="0DE73800">
      <w:pPr>
        <w:spacing w:line="300" w:lineRule="auto"/>
        <w:ind w:firstLine="596" w:firstLineChars="198"/>
        <w:rPr>
          <w:rFonts w:hint="eastAsia" w:ascii="仿宋" w:hAnsi="仿宋" w:eastAsia="仿宋" w:cs="仿宋_GB2312"/>
          <w:b/>
          <w:color w:val="auto"/>
          <w:kern w:val="0"/>
          <w:sz w:val="30"/>
          <w:szCs w:val="30"/>
          <w:highlight w:val="none"/>
        </w:rPr>
      </w:pPr>
      <w:r>
        <w:rPr>
          <w:rFonts w:hint="eastAsia" w:ascii="仿宋" w:hAnsi="仿宋" w:eastAsia="仿宋" w:cs="仿宋_GB2312"/>
          <w:b/>
          <w:color w:val="auto"/>
          <w:kern w:val="0"/>
          <w:sz w:val="30"/>
          <w:szCs w:val="30"/>
          <w:highlight w:val="none"/>
        </w:rPr>
        <w:t>三、财务状况报告方面的材料</w:t>
      </w:r>
    </w:p>
    <w:p w14:paraId="7E7AE992">
      <w:pPr>
        <w:spacing w:line="300" w:lineRule="auto"/>
        <w:rPr>
          <w:rFonts w:hint="eastAsia" w:ascii="宋体" w:hAnsi="宋体"/>
          <w:color w:val="auto"/>
          <w:szCs w:val="21"/>
          <w:highlight w:val="none"/>
        </w:rPr>
      </w:pPr>
    </w:p>
    <w:p w14:paraId="783D1335">
      <w:pPr>
        <w:autoSpaceDE w:val="0"/>
        <w:autoSpaceDN w:val="0"/>
        <w:spacing w:line="360" w:lineRule="auto"/>
        <w:ind w:left="4365" w:leftChars="1850" w:hanging="480" w:hangingChars="20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3597CB18">
      <w:pPr>
        <w:autoSpaceDE w:val="0"/>
        <w:autoSpaceDN w:val="0"/>
        <w:spacing w:line="360" w:lineRule="auto"/>
        <w:ind w:firstLine="6120" w:firstLineChars="2550"/>
        <w:rPr>
          <w:rFonts w:hint="eastAsia" w:ascii="仿宋_GB2312" w:hAnsi="仿宋" w:eastAsia="仿宋_GB2312" w:cs="仿宋_GB2312"/>
          <w:b/>
          <w:bCs/>
          <w:color w:val="auto"/>
          <w:sz w:val="24"/>
          <w:highlight w:val="none"/>
        </w:rPr>
      </w:pPr>
      <w:r>
        <w:rPr>
          <w:rFonts w:hint="eastAsia" w:ascii="仿宋_GB2312" w:hAnsi="仿宋" w:eastAsia="仿宋_GB2312" w:cs="仿宋_GB2312"/>
          <w:color w:val="auto"/>
          <w:kern w:val="0"/>
          <w:sz w:val="24"/>
          <w:highlight w:val="none"/>
          <w:lang w:val="zh-CN"/>
        </w:rPr>
        <w:t>日期：  年  月   日</w:t>
      </w:r>
    </w:p>
    <w:p w14:paraId="3426C2C2">
      <w:pPr>
        <w:spacing w:line="320" w:lineRule="exact"/>
        <w:jc w:val="left"/>
        <w:rPr>
          <w:rFonts w:hint="eastAsia" w:ascii="宋体" w:hAnsi="宋体"/>
          <w:color w:val="auto"/>
          <w:szCs w:val="21"/>
          <w:highlight w:val="none"/>
        </w:rPr>
      </w:pPr>
      <w:r>
        <w:rPr>
          <w:rFonts w:hint="eastAsia" w:ascii="宋体" w:hAnsi="宋体"/>
          <w:color w:val="auto"/>
          <w:szCs w:val="21"/>
          <w:highlight w:val="none"/>
        </w:rPr>
        <w:t xml:space="preserve"> </w:t>
      </w:r>
    </w:p>
    <w:p w14:paraId="654C2B14">
      <w:pPr>
        <w:snapToGrid w:val="0"/>
        <w:spacing w:before="120" w:beforeLines="50" w:after="50" w:line="360" w:lineRule="auto"/>
        <w:jc w:val="center"/>
        <w:rPr>
          <w:rFonts w:hint="eastAsia" w:ascii="宋体" w:hAnsi="宋体"/>
          <w:b/>
          <w:color w:val="auto"/>
          <w:sz w:val="24"/>
          <w:highlight w:val="none"/>
        </w:rPr>
      </w:pPr>
    </w:p>
    <w:p w14:paraId="719809E0">
      <w:pPr>
        <w:spacing w:line="360" w:lineRule="auto"/>
        <w:ind w:firstLine="596" w:firstLineChars="198"/>
        <w:rPr>
          <w:rFonts w:hint="eastAsia" w:ascii="仿宋" w:hAnsi="仿宋" w:eastAsia="仿宋" w:cs="仿宋_GB2312"/>
          <w:b/>
          <w:color w:val="auto"/>
          <w:kern w:val="0"/>
          <w:sz w:val="30"/>
          <w:szCs w:val="30"/>
          <w:highlight w:val="none"/>
        </w:rPr>
      </w:pPr>
      <w:r>
        <w:rPr>
          <w:rFonts w:hint="eastAsia" w:ascii="仿宋" w:hAnsi="仿宋" w:eastAsia="仿宋" w:cs="仿宋_GB2312"/>
          <w:b/>
          <w:color w:val="auto"/>
          <w:kern w:val="0"/>
          <w:sz w:val="30"/>
          <w:szCs w:val="30"/>
          <w:highlight w:val="none"/>
        </w:rPr>
        <w:t>四、供应商直接控股股东信息</w:t>
      </w:r>
    </w:p>
    <w:p w14:paraId="68920707">
      <w:pPr>
        <w:spacing w:line="360" w:lineRule="auto"/>
        <w:jc w:val="center"/>
        <w:rPr>
          <w:rFonts w:hint="eastAsia" w:ascii="宋体" w:hAnsi="宋体"/>
          <w:b/>
          <w:color w:val="auto"/>
          <w:sz w:val="24"/>
          <w:highlight w:val="none"/>
        </w:rPr>
      </w:pPr>
    </w:p>
    <w:tbl>
      <w:tblPr>
        <w:tblStyle w:val="25"/>
        <w:tblW w:w="0" w:type="auto"/>
        <w:jc w:val="center"/>
        <w:shd w:val="clear" w:color="auto" w:fill="FBFBFB"/>
        <w:tblLayout w:type="fixed"/>
        <w:tblCellMar>
          <w:top w:w="0" w:type="dxa"/>
          <w:left w:w="0" w:type="dxa"/>
          <w:bottom w:w="0" w:type="dxa"/>
          <w:right w:w="0" w:type="dxa"/>
        </w:tblCellMar>
      </w:tblPr>
      <w:tblGrid>
        <w:gridCol w:w="880"/>
        <w:gridCol w:w="2655"/>
        <w:gridCol w:w="1455"/>
        <w:gridCol w:w="4287"/>
        <w:gridCol w:w="870"/>
      </w:tblGrid>
      <w:tr w14:paraId="1C719E26">
        <w:tblPrEx>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D861C00">
            <w:pPr>
              <w:widowControl/>
              <w:spacing w:line="360" w:lineRule="auto"/>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9FDE856">
            <w:pPr>
              <w:widowControl/>
              <w:spacing w:line="360" w:lineRule="auto"/>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6D48F57">
            <w:pPr>
              <w:widowControl/>
              <w:spacing w:line="360" w:lineRule="auto"/>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26D0B26">
            <w:pPr>
              <w:widowControl/>
              <w:spacing w:line="360" w:lineRule="auto"/>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3340614">
            <w:pPr>
              <w:widowControl/>
              <w:spacing w:line="360" w:lineRule="auto"/>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3E78C8F7">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DE9CFF9">
            <w:pPr>
              <w:widowControl/>
              <w:spacing w:line="360" w:lineRule="auto"/>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1</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81B1C81">
            <w:pPr>
              <w:widowControl/>
              <w:spacing w:line="360" w:lineRule="auto"/>
              <w:jc w:val="center"/>
              <w:rPr>
                <w:rFonts w:hint="eastAsia" w:ascii="宋体" w:hAnsi="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6C3E1E4">
            <w:pPr>
              <w:widowControl/>
              <w:spacing w:line="360" w:lineRule="auto"/>
              <w:jc w:val="center"/>
              <w:rPr>
                <w:rFonts w:hint="eastAsia" w:ascii="宋体" w:hAnsi="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0349605">
            <w:pPr>
              <w:widowControl/>
              <w:spacing w:line="360" w:lineRule="auto"/>
              <w:jc w:val="center"/>
              <w:rPr>
                <w:rFonts w:hint="eastAsia" w:ascii="宋体" w:hAnsi="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21D79BF">
            <w:pPr>
              <w:widowControl/>
              <w:spacing w:line="360" w:lineRule="auto"/>
              <w:jc w:val="center"/>
              <w:rPr>
                <w:rFonts w:hint="eastAsia" w:ascii="宋体" w:hAnsi="宋体" w:cs="宋体"/>
                <w:color w:val="auto"/>
                <w:kern w:val="0"/>
                <w:sz w:val="24"/>
                <w:highlight w:val="none"/>
              </w:rPr>
            </w:pPr>
          </w:p>
        </w:tc>
      </w:tr>
      <w:tr w14:paraId="048F5252">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0CFC73D">
            <w:pPr>
              <w:widowControl/>
              <w:spacing w:line="360" w:lineRule="auto"/>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2</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367E309">
            <w:pPr>
              <w:widowControl/>
              <w:spacing w:line="360" w:lineRule="auto"/>
              <w:jc w:val="center"/>
              <w:rPr>
                <w:rFonts w:hint="eastAsia" w:ascii="宋体" w:hAnsi="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0490E99">
            <w:pPr>
              <w:widowControl/>
              <w:spacing w:line="360" w:lineRule="auto"/>
              <w:jc w:val="center"/>
              <w:rPr>
                <w:rFonts w:hint="eastAsia" w:ascii="宋体" w:hAnsi="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2CF65DA">
            <w:pPr>
              <w:widowControl/>
              <w:spacing w:line="360" w:lineRule="auto"/>
              <w:jc w:val="center"/>
              <w:rPr>
                <w:rFonts w:hint="eastAsia" w:ascii="宋体" w:hAnsi="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FB7EFE7">
            <w:pPr>
              <w:widowControl/>
              <w:spacing w:line="360" w:lineRule="auto"/>
              <w:jc w:val="center"/>
              <w:rPr>
                <w:rFonts w:hint="eastAsia" w:ascii="宋体" w:hAnsi="宋体" w:cs="宋体"/>
                <w:color w:val="auto"/>
                <w:kern w:val="0"/>
                <w:sz w:val="24"/>
                <w:highlight w:val="none"/>
              </w:rPr>
            </w:pPr>
          </w:p>
        </w:tc>
      </w:tr>
      <w:tr w14:paraId="5D214D4A">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2438107">
            <w:pPr>
              <w:widowControl/>
              <w:spacing w:line="360" w:lineRule="auto"/>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3</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278A2FE">
            <w:pPr>
              <w:widowControl/>
              <w:spacing w:line="360" w:lineRule="auto"/>
              <w:jc w:val="center"/>
              <w:rPr>
                <w:rFonts w:hint="eastAsia" w:ascii="宋体" w:hAnsi="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34DC1AF">
            <w:pPr>
              <w:widowControl/>
              <w:spacing w:line="360" w:lineRule="auto"/>
              <w:jc w:val="center"/>
              <w:rPr>
                <w:rFonts w:hint="eastAsia" w:ascii="宋体" w:hAnsi="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7628D1B">
            <w:pPr>
              <w:widowControl/>
              <w:spacing w:line="360" w:lineRule="auto"/>
              <w:jc w:val="center"/>
              <w:rPr>
                <w:rFonts w:hint="eastAsia" w:ascii="宋体" w:hAnsi="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099DA48">
            <w:pPr>
              <w:widowControl/>
              <w:spacing w:line="360" w:lineRule="auto"/>
              <w:jc w:val="center"/>
              <w:rPr>
                <w:rFonts w:hint="eastAsia" w:ascii="宋体" w:hAnsi="宋体" w:cs="宋体"/>
                <w:color w:val="auto"/>
                <w:kern w:val="0"/>
                <w:sz w:val="24"/>
                <w:highlight w:val="none"/>
              </w:rPr>
            </w:pPr>
          </w:p>
        </w:tc>
      </w:tr>
      <w:tr w14:paraId="5831E5D0">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B4B5051">
            <w:pPr>
              <w:widowControl/>
              <w:spacing w:line="360" w:lineRule="auto"/>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7DA97B6">
            <w:pPr>
              <w:widowControl/>
              <w:spacing w:line="360" w:lineRule="auto"/>
              <w:jc w:val="center"/>
              <w:rPr>
                <w:rFonts w:hint="eastAsia" w:ascii="宋体" w:hAnsi="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147F59C">
            <w:pPr>
              <w:widowControl/>
              <w:spacing w:line="360" w:lineRule="auto"/>
              <w:jc w:val="center"/>
              <w:rPr>
                <w:rFonts w:hint="eastAsia" w:ascii="宋体" w:hAnsi="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E9971D5">
            <w:pPr>
              <w:widowControl/>
              <w:spacing w:line="360" w:lineRule="auto"/>
              <w:jc w:val="center"/>
              <w:rPr>
                <w:rFonts w:hint="eastAsia" w:ascii="宋体" w:hAnsi="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AD11989">
            <w:pPr>
              <w:widowControl/>
              <w:spacing w:line="360" w:lineRule="auto"/>
              <w:jc w:val="center"/>
              <w:rPr>
                <w:rFonts w:hint="eastAsia" w:ascii="宋体" w:hAnsi="宋体" w:cs="宋体"/>
                <w:color w:val="auto"/>
                <w:kern w:val="0"/>
                <w:sz w:val="24"/>
                <w:highlight w:val="none"/>
              </w:rPr>
            </w:pPr>
          </w:p>
        </w:tc>
      </w:tr>
    </w:tbl>
    <w:p w14:paraId="2E5B26B6">
      <w:pPr>
        <w:spacing w:line="360" w:lineRule="auto"/>
        <w:jc w:val="left"/>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注：</w:t>
      </w:r>
    </w:p>
    <w:p w14:paraId="30FCA1C4">
      <w:pPr>
        <w:spacing w:line="360" w:lineRule="auto"/>
        <w:ind w:firstLine="480" w:firstLineChars="200"/>
        <w:jc w:val="left"/>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047F43FA">
      <w:pPr>
        <w:spacing w:line="360" w:lineRule="auto"/>
        <w:ind w:firstLine="480" w:firstLineChars="200"/>
        <w:jc w:val="left"/>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2.本表所指的控股关系仅限于直接控股关系，不包括间接的控股关系。公司实际控制人与公司之间的关系不属于本表所指的直接控股关系。</w:t>
      </w:r>
    </w:p>
    <w:p w14:paraId="1F505199">
      <w:pPr>
        <w:spacing w:line="360" w:lineRule="auto"/>
        <w:ind w:firstLine="480" w:firstLineChars="200"/>
        <w:jc w:val="left"/>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3.供应商不存在直接控股股东的，则填“无”。</w:t>
      </w:r>
    </w:p>
    <w:p w14:paraId="3BF96DBD">
      <w:pPr>
        <w:snapToGrid w:val="0"/>
        <w:spacing w:line="360" w:lineRule="auto"/>
        <w:jc w:val="left"/>
        <w:rPr>
          <w:rFonts w:hint="eastAsia" w:ascii="宋体" w:hAnsi="宋体" w:cs="宋体"/>
          <w:color w:val="auto"/>
          <w:sz w:val="24"/>
          <w:highlight w:val="none"/>
        </w:rPr>
      </w:pPr>
    </w:p>
    <w:p w14:paraId="416421D2">
      <w:pPr>
        <w:snapToGrid w:val="0"/>
        <w:spacing w:line="360" w:lineRule="auto"/>
        <w:jc w:val="left"/>
        <w:rPr>
          <w:rFonts w:hint="eastAsia" w:ascii="宋体" w:hAnsi="宋体" w:cs="宋体"/>
          <w:color w:val="auto"/>
          <w:sz w:val="24"/>
          <w:highlight w:val="none"/>
        </w:rPr>
      </w:pPr>
    </w:p>
    <w:p w14:paraId="03D27003">
      <w:pPr>
        <w:snapToGrid w:val="0"/>
        <w:spacing w:line="360" w:lineRule="auto"/>
        <w:jc w:val="left"/>
        <w:rPr>
          <w:rFonts w:hint="eastAsia" w:ascii="宋体" w:hAnsi="宋体" w:cs="宋体"/>
          <w:color w:val="auto"/>
          <w:sz w:val="24"/>
          <w:highlight w:val="none"/>
        </w:rPr>
      </w:pPr>
    </w:p>
    <w:p w14:paraId="67842E31">
      <w:pPr>
        <w:autoSpaceDE w:val="0"/>
        <w:autoSpaceDN w:val="0"/>
        <w:spacing w:line="360" w:lineRule="auto"/>
        <w:ind w:left="4365" w:leftChars="1850" w:hanging="480" w:hangingChars="20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532B61CD">
      <w:pPr>
        <w:autoSpaceDE w:val="0"/>
        <w:autoSpaceDN w:val="0"/>
        <w:spacing w:line="360" w:lineRule="auto"/>
        <w:ind w:firstLine="6120" w:firstLineChars="2550"/>
        <w:rPr>
          <w:rFonts w:hint="eastAsia" w:ascii="仿宋_GB2312" w:hAnsi="仿宋" w:eastAsia="仿宋_GB2312" w:cs="仿宋_GB2312"/>
          <w:b/>
          <w:bCs/>
          <w:color w:val="auto"/>
          <w:sz w:val="24"/>
          <w:highlight w:val="none"/>
        </w:rPr>
      </w:pPr>
      <w:r>
        <w:rPr>
          <w:rFonts w:hint="eastAsia" w:ascii="仿宋_GB2312" w:hAnsi="仿宋" w:eastAsia="仿宋_GB2312" w:cs="仿宋_GB2312"/>
          <w:color w:val="auto"/>
          <w:kern w:val="0"/>
          <w:sz w:val="24"/>
          <w:highlight w:val="none"/>
          <w:lang w:val="zh-CN"/>
        </w:rPr>
        <w:t>日期：  年  月   日</w:t>
      </w:r>
    </w:p>
    <w:p w14:paraId="2AD81841">
      <w:pPr>
        <w:snapToGrid w:val="0"/>
        <w:rPr>
          <w:rFonts w:hint="eastAsia" w:ascii="仿宋" w:hAnsi="仿宋" w:eastAsia="仿宋" w:cs="仿宋_GB2312"/>
          <w:b/>
          <w:color w:val="auto"/>
          <w:kern w:val="0"/>
          <w:sz w:val="30"/>
          <w:szCs w:val="30"/>
          <w:highlight w:val="none"/>
        </w:rPr>
      </w:pPr>
    </w:p>
    <w:p w14:paraId="07B419CF">
      <w:pPr>
        <w:snapToGrid w:val="0"/>
        <w:ind w:firstLine="596" w:firstLineChars="198"/>
        <w:rPr>
          <w:rFonts w:hint="eastAsia" w:ascii="仿宋" w:hAnsi="仿宋" w:eastAsia="仿宋" w:cs="仿宋_GB2312"/>
          <w:b/>
          <w:color w:val="auto"/>
          <w:kern w:val="0"/>
          <w:sz w:val="30"/>
          <w:szCs w:val="30"/>
          <w:highlight w:val="none"/>
        </w:rPr>
      </w:pPr>
      <w:r>
        <w:rPr>
          <w:rFonts w:hint="eastAsia" w:ascii="仿宋" w:hAnsi="仿宋" w:eastAsia="仿宋" w:cs="仿宋_GB2312"/>
          <w:b/>
          <w:color w:val="auto"/>
          <w:kern w:val="0"/>
          <w:sz w:val="30"/>
          <w:szCs w:val="30"/>
          <w:highlight w:val="none"/>
        </w:rPr>
        <w:t>五、供应商直接管理关系信息表</w:t>
      </w:r>
    </w:p>
    <w:p w14:paraId="5187CBC3">
      <w:pPr>
        <w:snapToGrid w:val="0"/>
        <w:spacing w:line="360" w:lineRule="auto"/>
        <w:jc w:val="center"/>
        <w:rPr>
          <w:rFonts w:hint="eastAsia" w:ascii="宋体" w:hAnsi="宋体"/>
          <w:b/>
          <w:color w:val="auto"/>
          <w:sz w:val="24"/>
          <w:highlight w:val="none"/>
        </w:rPr>
      </w:pPr>
    </w:p>
    <w:tbl>
      <w:tblPr>
        <w:tblStyle w:val="25"/>
        <w:tblW w:w="0" w:type="auto"/>
        <w:jc w:val="center"/>
        <w:shd w:val="clear" w:color="auto" w:fill="FBFBFB"/>
        <w:tblLayout w:type="fixed"/>
        <w:tblCellMar>
          <w:top w:w="0" w:type="dxa"/>
          <w:left w:w="0" w:type="dxa"/>
          <w:bottom w:w="0" w:type="dxa"/>
          <w:right w:w="0" w:type="dxa"/>
        </w:tblCellMar>
      </w:tblPr>
      <w:tblGrid>
        <w:gridCol w:w="808"/>
        <w:gridCol w:w="3600"/>
        <w:gridCol w:w="3555"/>
        <w:gridCol w:w="1689"/>
      </w:tblGrid>
      <w:tr w14:paraId="3D09D43B">
        <w:tblPrEx>
          <w:shd w:val="clear" w:color="auto" w:fill="FBFBFB"/>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9BCBE79">
            <w:pPr>
              <w:widowControl/>
              <w:spacing w:line="360" w:lineRule="auto"/>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0D814CA">
            <w:pPr>
              <w:widowControl/>
              <w:spacing w:line="360" w:lineRule="auto"/>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0FC0D20">
            <w:pPr>
              <w:widowControl/>
              <w:spacing w:line="360" w:lineRule="auto"/>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2DF2F5C">
            <w:pPr>
              <w:widowControl/>
              <w:spacing w:line="360" w:lineRule="auto"/>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6BD5DB6B">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20BB6DF">
            <w:pPr>
              <w:widowControl/>
              <w:spacing w:line="360" w:lineRule="auto"/>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1</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221DDB8">
            <w:pPr>
              <w:widowControl/>
              <w:spacing w:line="360" w:lineRule="auto"/>
              <w:jc w:val="center"/>
              <w:rPr>
                <w:rFonts w:hint="eastAsia" w:ascii="宋体" w:hAnsi="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27E6315">
            <w:pPr>
              <w:widowControl/>
              <w:spacing w:line="360" w:lineRule="auto"/>
              <w:jc w:val="center"/>
              <w:rPr>
                <w:rFonts w:hint="eastAsia" w:ascii="宋体" w:hAnsi="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5F00B38">
            <w:pPr>
              <w:widowControl/>
              <w:spacing w:line="360" w:lineRule="auto"/>
              <w:jc w:val="center"/>
              <w:rPr>
                <w:rFonts w:hint="eastAsia" w:ascii="宋体" w:hAnsi="宋体" w:cs="宋体"/>
                <w:color w:val="auto"/>
                <w:kern w:val="0"/>
                <w:sz w:val="24"/>
                <w:highlight w:val="none"/>
              </w:rPr>
            </w:pPr>
          </w:p>
        </w:tc>
      </w:tr>
      <w:tr w14:paraId="53C519E5">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F490C86">
            <w:pPr>
              <w:widowControl/>
              <w:spacing w:line="360" w:lineRule="auto"/>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2</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57E0040">
            <w:pPr>
              <w:widowControl/>
              <w:spacing w:line="360" w:lineRule="auto"/>
              <w:jc w:val="center"/>
              <w:rPr>
                <w:rFonts w:hint="eastAsia" w:ascii="宋体" w:hAnsi="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A946A07">
            <w:pPr>
              <w:widowControl/>
              <w:spacing w:line="360" w:lineRule="auto"/>
              <w:jc w:val="center"/>
              <w:rPr>
                <w:rFonts w:hint="eastAsia" w:ascii="宋体" w:hAnsi="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3CC6528">
            <w:pPr>
              <w:widowControl/>
              <w:spacing w:line="360" w:lineRule="auto"/>
              <w:jc w:val="center"/>
              <w:rPr>
                <w:rFonts w:hint="eastAsia" w:ascii="宋体" w:hAnsi="宋体" w:cs="宋体"/>
                <w:color w:val="auto"/>
                <w:kern w:val="0"/>
                <w:sz w:val="24"/>
                <w:highlight w:val="none"/>
              </w:rPr>
            </w:pPr>
          </w:p>
        </w:tc>
      </w:tr>
      <w:tr w14:paraId="4CDB4499">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CFB8526">
            <w:pPr>
              <w:widowControl/>
              <w:spacing w:line="360" w:lineRule="auto"/>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3</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44EA212">
            <w:pPr>
              <w:widowControl/>
              <w:spacing w:line="360" w:lineRule="auto"/>
              <w:jc w:val="center"/>
              <w:rPr>
                <w:rFonts w:hint="eastAsia" w:ascii="宋体" w:hAnsi="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5C7DB1C">
            <w:pPr>
              <w:widowControl/>
              <w:spacing w:line="360" w:lineRule="auto"/>
              <w:jc w:val="center"/>
              <w:rPr>
                <w:rFonts w:hint="eastAsia" w:ascii="宋体" w:hAnsi="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272050B">
            <w:pPr>
              <w:widowControl/>
              <w:spacing w:line="360" w:lineRule="auto"/>
              <w:jc w:val="center"/>
              <w:rPr>
                <w:rFonts w:hint="eastAsia" w:ascii="宋体" w:hAnsi="宋体" w:cs="宋体"/>
                <w:color w:val="auto"/>
                <w:kern w:val="0"/>
                <w:sz w:val="24"/>
                <w:highlight w:val="none"/>
              </w:rPr>
            </w:pPr>
          </w:p>
        </w:tc>
      </w:tr>
      <w:tr w14:paraId="537E8C8E">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24510AC">
            <w:pPr>
              <w:widowControl/>
              <w:spacing w:line="360" w:lineRule="auto"/>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0D52908">
            <w:pPr>
              <w:widowControl/>
              <w:spacing w:line="360" w:lineRule="auto"/>
              <w:jc w:val="center"/>
              <w:rPr>
                <w:rFonts w:hint="eastAsia" w:ascii="宋体" w:hAnsi="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CFF9143">
            <w:pPr>
              <w:widowControl/>
              <w:spacing w:line="360" w:lineRule="auto"/>
              <w:jc w:val="center"/>
              <w:rPr>
                <w:rFonts w:hint="eastAsia" w:ascii="宋体" w:hAnsi="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9A4BF59">
            <w:pPr>
              <w:widowControl/>
              <w:spacing w:line="360" w:lineRule="auto"/>
              <w:jc w:val="center"/>
              <w:rPr>
                <w:rFonts w:hint="eastAsia" w:ascii="宋体" w:hAnsi="宋体" w:cs="宋体"/>
                <w:color w:val="auto"/>
                <w:kern w:val="0"/>
                <w:sz w:val="24"/>
                <w:highlight w:val="none"/>
              </w:rPr>
            </w:pPr>
          </w:p>
        </w:tc>
      </w:tr>
    </w:tbl>
    <w:p w14:paraId="1FC6D1E7">
      <w:pPr>
        <w:spacing w:line="360" w:lineRule="auto"/>
        <w:ind w:firstLine="480" w:firstLineChars="200"/>
        <w:jc w:val="left"/>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注：</w:t>
      </w:r>
    </w:p>
    <w:p w14:paraId="16ED7C68">
      <w:pPr>
        <w:spacing w:line="360" w:lineRule="auto"/>
        <w:ind w:firstLine="480" w:firstLineChars="200"/>
        <w:jc w:val="left"/>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1.管理关系：是指不具有出资持股关系的其他单位之间存在的管理与被管理关系，如一些上下级关系的事业单位和团体组织。</w:t>
      </w:r>
    </w:p>
    <w:p w14:paraId="767BD74A">
      <w:pPr>
        <w:spacing w:line="360" w:lineRule="auto"/>
        <w:ind w:firstLine="480" w:firstLineChars="200"/>
        <w:jc w:val="left"/>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2.本表所指的管理关系仅限于直接管理关系，不包括间接的管理关系。</w:t>
      </w:r>
    </w:p>
    <w:p w14:paraId="1684D66F">
      <w:pPr>
        <w:spacing w:line="360" w:lineRule="auto"/>
        <w:ind w:firstLine="480" w:firstLineChars="200"/>
        <w:jc w:val="left"/>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3.供应商不存在直接管理关系的，则填“无”。</w:t>
      </w:r>
    </w:p>
    <w:p w14:paraId="22FA8910">
      <w:pPr>
        <w:spacing w:line="360" w:lineRule="auto"/>
        <w:jc w:val="left"/>
        <w:rPr>
          <w:rFonts w:hint="eastAsia"/>
          <w:color w:val="auto"/>
          <w:sz w:val="24"/>
          <w:highlight w:val="none"/>
        </w:rPr>
      </w:pPr>
    </w:p>
    <w:p w14:paraId="13E82714">
      <w:pPr>
        <w:autoSpaceDE w:val="0"/>
        <w:autoSpaceDN w:val="0"/>
        <w:spacing w:line="360" w:lineRule="auto"/>
        <w:ind w:left="4365" w:leftChars="1850" w:hanging="480" w:hangingChars="2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4B82B87B">
      <w:pPr>
        <w:autoSpaceDE w:val="0"/>
        <w:autoSpaceDN w:val="0"/>
        <w:spacing w:line="360" w:lineRule="auto"/>
        <w:ind w:firstLine="6120" w:firstLineChars="2550"/>
        <w:rPr>
          <w:rFonts w:hint="eastAsia" w:ascii="仿宋_GB2312" w:hAnsi="仿宋" w:eastAsia="仿宋_GB2312" w:cs="仿宋_GB2312"/>
          <w:b/>
          <w:bCs/>
          <w:color w:val="auto"/>
          <w:sz w:val="24"/>
          <w:highlight w:val="none"/>
        </w:rPr>
      </w:pPr>
      <w:r>
        <w:rPr>
          <w:rFonts w:hint="eastAsia" w:ascii="仿宋_GB2312" w:hAnsi="仿宋" w:eastAsia="仿宋_GB2312" w:cs="仿宋_GB2312"/>
          <w:color w:val="auto"/>
          <w:kern w:val="0"/>
          <w:sz w:val="24"/>
          <w:highlight w:val="none"/>
          <w:lang w:val="zh-CN"/>
        </w:rPr>
        <w:t>日期：  年  月   日</w:t>
      </w:r>
    </w:p>
    <w:p w14:paraId="7BF82926">
      <w:pPr>
        <w:spacing w:line="360" w:lineRule="auto"/>
        <w:ind w:right="480" w:firstLine="240" w:firstLineChars="100"/>
        <w:contextualSpacing/>
        <w:jc w:val="center"/>
        <w:rPr>
          <w:rFonts w:hint="eastAsia" w:ascii="宋体" w:hAnsi="宋体"/>
          <w:color w:val="auto"/>
          <w:sz w:val="28"/>
          <w:szCs w:val="28"/>
          <w:highlight w:val="none"/>
        </w:rPr>
      </w:pPr>
      <w:r>
        <w:rPr>
          <w:rFonts w:hint="eastAsia" w:ascii="宋体" w:hAnsi="宋体"/>
          <w:color w:val="auto"/>
          <w:sz w:val="24"/>
          <w:highlight w:val="none"/>
        </w:rPr>
        <w:t xml:space="preserve">                                  </w:t>
      </w:r>
    </w:p>
    <w:p w14:paraId="2148F4EF">
      <w:pPr>
        <w:spacing w:line="320" w:lineRule="exact"/>
        <w:ind w:firstLine="560" w:firstLineChars="200"/>
        <w:jc w:val="left"/>
        <w:rPr>
          <w:rFonts w:hint="eastAsia" w:ascii="宋体" w:hAnsi="宋体"/>
          <w:color w:val="auto"/>
          <w:sz w:val="28"/>
          <w:szCs w:val="28"/>
          <w:highlight w:val="none"/>
        </w:rPr>
      </w:pPr>
      <w:r>
        <w:rPr>
          <w:rFonts w:hint="eastAsia" w:ascii="宋体" w:hAnsi="宋体"/>
          <w:color w:val="auto"/>
          <w:sz w:val="28"/>
          <w:szCs w:val="28"/>
          <w:highlight w:val="none"/>
        </w:rPr>
        <w:br w:type="page"/>
      </w:r>
      <w:r>
        <w:rPr>
          <w:rFonts w:hint="eastAsia" w:ascii="仿宋" w:hAnsi="仿宋" w:eastAsia="仿宋" w:cs="仿宋_GB2312"/>
          <w:b/>
          <w:color w:val="auto"/>
          <w:kern w:val="0"/>
          <w:sz w:val="30"/>
          <w:szCs w:val="30"/>
          <w:highlight w:val="none"/>
        </w:rPr>
        <w:t>六、资格声明函</w:t>
      </w:r>
    </w:p>
    <w:p w14:paraId="56130CAE">
      <w:pPr>
        <w:spacing w:line="320" w:lineRule="exact"/>
        <w:jc w:val="center"/>
        <w:rPr>
          <w:rFonts w:hint="eastAsia" w:ascii="宋体" w:hAnsi="宋体"/>
          <w:b/>
          <w:color w:val="auto"/>
          <w:sz w:val="32"/>
          <w:szCs w:val="32"/>
          <w:highlight w:val="none"/>
        </w:rPr>
      </w:pPr>
    </w:p>
    <w:p w14:paraId="1EFB21E5">
      <w:pPr>
        <w:spacing w:line="320" w:lineRule="exact"/>
        <w:jc w:val="center"/>
        <w:rPr>
          <w:rFonts w:hint="eastAsia" w:ascii="宋体" w:hAnsi="宋体"/>
          <w:b/>
          <w:color w:val="auto"/>
          <w:sz w:val="32"/>
          <w:szCs w:val="32"/>
          <w:highlight w:val="none"/>
        </w:rPr>
      </w:pPr>
      <w:r>
        <w:rPr>
          <w:rFonts w:hint="eastAsia" w:ascii="宋体" w:hAnsi="宋体"/>
          <w:b/>
          <w:color w:val="auto"/>
          <w:sz w:val="32"/>
          <w:szCs w:val="32"/>
          <w:highlight w:val="none"/>
        </w:rPr>
        <w:t>资格声明函</w:t>
      </w:r>
    </w:p>
    <w:p w14:paraId="3271B88C">
      <w:pPr>
        <w:spacing w:line="320" w:lineRule="exact"/>
        <w:jc w:val="center"/>
        <w:rPr>
          <w:rFonts w:hint="eastAsia" w:ascii="宋体" w:hAnsi="宋体"/>
          <w:color w:val="auto"/>
          <w:sz w:val="24"/>
          <w:szCs w:val="20"/>
          <w:highlight w:val="none"/>
        </w:rPr>
      </w:pPr>
    </w:p>
    <w:p w14:paraId="33656D45">
      <w:pPr>
        <w:spacing w:line="360" w:lineRule="auto"/>
        <w:rPr>
          <w:rFonts w:hint="eastAsia" w:ascii="仿宋_GB2312" w:hAnsi="宋体" w:eastAsia="仿宋_GB2312" w:cs="宋体"/>
          <w:color w:val="auto"/>
          <w:sz w:val="24"/>
          <w:highlight w:val="none"/>
        </w:rPr>
      </w:pPr>
      <w:r>
        <w:rPr>
          <w:rFonts w:hint="eastAsia" w:ascii="仿宋_GB2312" w:hAnsi="宋体" w:eastAsia="仿宋_GB2312" w:cs="宋体"/>
          <w:color w:val="auto"/>
          <w:sz w:val="24"/>
          <w:highlight w:val="none"/>
        </w:rPr>
        <w:t>致：</w:t>
      </w:r>
      <w:bookmarkStart w:id="82" w:name="PO_3000001868_PM031_6"/>
      <w:r>
        <w:rPr>
          <w:rFonts w:hint="eastAsia" w:ascii="仿宋_GB2312" w:hAnsi="宋体" w:eastAsia="仿宋_GB2312" w:cs="宋体"/>
          <w:color w:val="auto"/>
          <w:sz w:val="24"/>
          <w:highlight w:val="none"/>
          <w:u w:val="single"/>
        </w:rPr>
        <w:t>广西科文招标有限公司</w:t>
      </w:r>
      <w:bookmarkEnd w:id="82"/>
      <w:r>
        <w:rPr>
          <w:rFonts w:hint="eastAsia" w:ascii="仿宋_GB2312" w:hAnsi="宋体" w:eastAsia="仿宋_GB2312" w:cs="宋体"/>
          <w:color w:val="auto"/>
          <w:sz w:val="24"/>
          <w:highlight w:val="none"/>
        </w:rPr>
        <w:t>：</w:t>
      </w:r>
    </w:p>
    <w:p w14:paraId="731ABC3D">
      <w:pPr>
        <w:spacing w:line="360" w:lineRule="auto"/>
        <w:ind w:firstLine="480" w:firstLineChars="200"/>
        <w:rPr>
          <w:rFonts w:hint="eastAsia" w:ascii="仿宋_GB2312" w:hAnsi="宋体" w:eastAsia="仿宋_GB2312" w:cs="宋体"/>
          <w:color w:val="auto"/>
          <w:sz w:val="24"/>
          <w:highlight w:val="none"/>
        </w:rPr>
      </w:pPr>
      <w:r>
        <w:rPr>
          <w:rFonts w:hint="eastAsia" w:ascii="仿宋_GB2312" w:hAnsi="宋体" w:eastAsia="仿宋_GB2312" w:cs="宋体"/>
          <w:color w:val="auto"/>
          <w:sz w:val="24"/>
          <w:highlight w:val="none"/>
          <w:u w:val="single"/>
        </w:rPr>
        <w:t>（供应商名称）</w:t>
      </w:r>
      <w:r>
        <w:rPr>
          <w:rFonts w:hint="eastAsia" w:ascii="仿宋_GB2312" w:hAnsi="宋体" w:eastAsia="仿宋_GB2312" w:cs="宋体"/>
          <w:color w:val="auto"/>
          <w:sz w:val="24"/>
          <w:highlight w:val="none"/>
        </w:rPr>
        <w:t>系中华人民共和国合法供应商，经营地址</w:t>
      </w:r>
      <w:r>
        <w:rPr>
          <w:rFonts w:hint="eastAsia" w:ascii="仿宋_GB2312" w:hAnsi="宋体" w:eastAsia="仿宋_GB2312" w:cs="宋体"/>
          <w:color w:val="auto"/>
          <w:sz w:val="24"/>
          <w:highlight w:val="none"/>
          <w:u w:val="single"/>
        </w:rPr>
        <w:t xml:space="preserve">                              </w:t>
      </w:r>
      <w:r>
        <w:rPr>
          <w:rFonts w:hint="eastAsia" w:ascii="仿宋_GB2312" w:hAnsi="宋体" w:eastAsia="仿宋_GB2312" w:cs="宋体"/>
          <w:color w:val="auto"/>
          <w:sz w:val="24"/>
          <w:highlight w:val="none"/>
        </w:rPr>
        <w:t>。</w:t>
      </w:r>
    </w:p>
    <w:p w14:paraId="42E6A170">
      <w:pPr>
        <w:spacing w:line="360" w:lineRule="auto"/>
        <w:ind w:firstLine="480" w:firstLineChars="200"/>
        <w:rPr>
          <w:rFonts w:hint="eastAsia" w:ascii="仿宋_GB2312" w:hAnsi="宋体" w:eastAsia="仿宋_GB2312" w:cs="宋体"/>
          <w:color w:val="auto"/>
          <w:sz w:val="24"/>
          <w:highlight w:val="none"/>
        </w:rPr>
      </w:pPr>
      <w:r>
        <w:rPr>
          <w:rFonts w:hint="eastAsia" w:ascii="仿宋_GB2312" w:hAnsi="宋体" w:eastAsia="仿宋_GB2312" w:cs="宋体"/>
          <w:color w:val="auto"/>
          <w:sz w:val="24"/>
          <w:highlight w:val="none"/>
        </w:rPr>
        <w:t>我方愿意参加贵方组织的</w:t>
      </w:r>
      <w:r>
        <w:rPr>
          <w:rFonts w:hint="eastAsia" w:ascii="仿宋_GB2312" w:hAnsi="宋体" w:eastAsia="仿宋_GB2312" w:cs="宋体"/>
          <w:color w:val="auto"/>
          <w:sz w:val="24"/>
          <w:highlight w:val="none"/>
          <w:u w:val="single"/>
          <w:lang w:eastAsia="zh-CN"/>
        </w:rPr>
        <w:t>邕宁区蒲庙电灌站灌区续建配套与节水改造工程项目立项建议报告编制技术服务项目</w:t>
      </w:r>
      <w:r>
        <w:rPr>
          <w:rFonts w:hint="eastAsia" w:ascii="仿宋_GB2312" w:hAnsi="宋体" w:eastAsia="仿宋_GB2312" w:cs="宋体"/>
          <w:color w:val="auto"/>
          <w:sz w:val="24"/>
          <w:highlight w:val="none"/>
          <w:u w:val="single"/>
        </w:rPr>
        <w:t>）</w:t>
      </w:r>
      <w:r>
        <w:rPr>
          <w:rFonts w:hint="eastAsia" w:ascii="仿宋_GB2312" w:hAnsi="宋体" w:eastAsia="仿宋_GB2312" w:cs="宋体"/>
          <w:color w:val="auto"/>
          <w:sz w:val="24"/>
          <w:highlight w:val="none"/>
        </w:rPr>
        <w:t>项目的竞标，为便于贵方公正、择优地确定成交供应商及其竞标产品和服务，我方就本次竞标有关事项郑重声明如下：</w:t>
      </w:r>
    </w:p>
    <w:p w14:paraId="5F3A9E45">
      <w:pPr>
        <w:spacing w:line="360" w:lineRule="auto"/>
        <w:ind w:firstLine="480" w:firstLineChars="200"/>
        <w:rPr>
          <w:rFonts w:hint="eastAsia" w:ascii="仿宋_GB2312" w:hAnsi="宋体" w:eastAsia="仿宋_GB2312" w:cs="宋体"/>
          <w:color w:val="auto"/>
          <w:sz w:val="24"/>
          <w:highlight w:val="none"/>
        </w:rPr>
      </w:pPr>
      <w:r>
        <w:rPr>
          <w:rFonts w:hint="eastAsia" w:ascii="仿宋_GB2312" w:hAnsi="宋体" w:eastAsia="仿宋_GB2312" w:cs="宋体"/>
          <w:color w:val="auto"/>
          <w:sz w:val="24"/>
          <w:highlight w:val="none"/>
        </w:rPr>
        <w:t>1.我方向贵方提交的所有响应文件、资料都是准确的和真实的。</w:t>
      </w:r>
    </w:p>
    <w:p w14:paraId="4B6C2F5F">
      <w:pPr>
        <w:spacing w:line="360" w:lineRule="auto"/>
        <w:ind w:firstLine="480" w:firstLineChars="200"/>
        <w:rPr>
          <w:rFonts w:hint="eastAsia" w:ascii="仿宋_GB2312" w:hAnsi="宋体" w:eastAsia="仿宋_GB2312" w:cs="宋体"/>
          <w:color w:val="auto"/>
          <w:sz w:val="24"/>
          <w:highlight w:val="none"/>
        </w:rPr>
      </w:pPr>
      <w:r>
        <w:rPr>
          <w:rFonts w:hint="eastAsia" w:ascii="仿宋_GB2312" w:hAnsi="宋体" w:eastAsia="仿宋_GB2312" w:cs="宋体"/>
          <w:color w:val="auto"/>
          <w:sz w:val="24"/>
          <w:highlight w:val="none"/>
        </w:rPr>
        <w:t>2.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6D04C91E">
      <w:pPr>
        <w:spacing w:line="360" w:lineRule="auto"/>
        <w:ind w:firstLine="480" w:firstLineChars="200"/>
        <w:rPr>
          <w:rFonts w:hint="eastAsia" w:ascii="仿宋_GB2312" w:hAnsi="宋体" w:eastAsia="仿宋_GB2312" w:cs="宋体"/>
          <w:color w:val="auto"/>
          <w:sz w:val="24"/>
          <w:highlight w:val="none"/>
        </w:rPr>
      </w:pPr>
      <w:r>
        <w:rPr>
          <w:rFonts w:hint="eastAsia" w:ascii="仿宋_GB2312" w:hAnsi="宋体" w:eastAsia="仿宋_GB2312" w:cs="宋体"/>
          <w:color w:val="auto"/>
          <w:sz w:val="24"/>
          <w:highlight w:val="none"/>
        </w:rPr>
        <w:t>3.在此，我方宣布同意如下：</w:t>
      </w:r>
    </w:p>
    <w:p w14:paraId="74BC0122">
      <w:pPr>
        <w:spacing w:line="360" w:lineRule="auto"/>
        <w:ind w:firstLine="480" w:firstLineChars="200"/>
        <w:rPr>
          <w:rFonts w:hint="eastAsia" w:ascii="仿宋_GB2312" w:hAnsi="宋体" w:eastAsia="仿宋_GB2312" w:cs="宋体"/>
          <w:color w:val="auto"/>
          <w:sz w:val="24"/>
          <w:highlight w:val="none"/>
        </w:rPr>
      </w:pPr>
      <w:r>
        <w:rPr>
          <w:rFonts w:hint="eastAsia" w:ascii="仿宋_GB2312" w:hAnsi="宋体" w:eastAsia="仿宋_GB2312" w:cs="宋体"/>
          <w:color w:val="auto"/>
          <w:sz w:val="24"/>
          <w:highlight w:val="none"/>
        </w:rPr>
        <w:t>（1）将按磋商文件的约定履行合同责任和义务；</w:t>
      </w:r>
    </w:p>
    <w:p w14:paraId="0E8B3CCB">
      <w:pPr>
        <w:spacing w:line="360" w:lineRule="auto"/>
        <w:ind w:firstLine="480" w:firstLineChars="200"/>
        <w:rPr>
          <w:rFonts w:hint="eastAsia" w:ascii="仿宋_GB2312" w:hAnsi="宋体" w:eastAsia="仿宋_GB2312" w:cs="宋体"/>
          <w:color w:val="auto"/>
          <w:sz w:val="24"/>
          <w:highlight w:val="none"/>
        </w:rPr>
      </w:pPr>
      <w:r>
        <w:rPr>
          <w:rFonts w:hint="eastAsia" w:ascii="仿宋_GB2312" w:hAnsi="宋体" w:eastAsia="仿宋_GB2312" w:cs="宋体"/>
          <w:color w:val="auto"/>
          <w:sz w:val="24"/>
          <w:highlight w:val="none"/>
        </w:rPr>
        <w:t>（2）已详细审查全部磋商文件，包括澄清或者更正公告（如有）；</w:t>
      </w:r>
    </w:p>
    <w:p w14:paraId="3BF53A90">
      <w:pPr>
        <w:spacing w:line="360" w:lineRule="auto"/>
        <w:ind w:firstLine="480" w:firstLineChars="200"/>
        <w:rPr>
          <w:rFonts w:hint="eastAsia" w:ascii="仿宋_GB2312" w:hAnsi="宋体" w:eastAsia="仿宋_GB2312" w:cs="宋体"/>
          <w:color w:val="auto"/>
          <w:sz w:val="24"/>
          <w:highlight w:val="none"/>
        </w:rPr>
      </w:pPr>
      <w:r>
        <w:rPr>
          <w:rFonts w:hint="eastAsia" w:ascii="仿宋_GB2312" w:hAnsi="宋体" w:eastAsia="仿宋_GB2312" w:cs="宋体"/>
          <w:color w:val="auto"/>
          <w:sz w:val="24"/>
          <w:highlight w:val="none"/>
        </w:rPr>
        <w:t>（3）同意提供按照贵方可能要求的与谈判有关的一切数据或者资料；</w:t>
      </w:r>
    </w:p>
    <w:p w14:paraId="139A6275">
      <w:pPr>
        <w:spacing w:line="360" w:lineRule="auto"/>
        <w:ind w:firstLine="480" w:firstLineChars="200"/>
        <w:rPr>
          <w:rFonts w:hint="eastAsia" w:ascii="仿宋_GB2312" w:hAnsi="宋体" w:eastAsia="仿宋_GB2312" w:cs="宋体"/>
          <w:color w:val="auto"/>
          <w:sz w:val="24"/>
          <w:highlight w:val="none"/>
        </w:rPr>
      </w:pPr>
      <w:r>
        <w:rPr>
          <w:rFonts w:hint="eastAsia" w:ascii="仿宋_GB2312" w:hAnsi="宋体" w:eastAsia="仿宋_GB2312" w:cs="宋体"/>
          <w:color w:val="auto"/>
          <w:sz w:val="24"/>
          <w:highlight w:val="none"/>
        </w:rPr>
        <w:t>（4）响应磋商文件规定的竞标有效期。</w:t>
      </w:r>
    </w:p>
    <w:p w14:paraId="2995854B">
      <w:pPr>
        <w:spacing w:line="360" w:lineRule="auto"/>
        <w:ind w:firstLine="480" w:firstLineChars="200"/>
        <w:rPr>
          <w:rFonts w:hint="eastAsia" w:ascii="仿宋_GB2312" w:hAnsi="宋体" w:eastAsia="仿宋_GB2312" w:cs="宋体"/>
          <w:color w:val="auto"/>
          <w:sz w:val="24"/>
          <w:highlight w:val="none"/>
        </w:rPr>
      </w:pPr>
      <w:r>
        <w:rPr>
          <w:rFonts w:hint="eastAsia" w:ascii="仿宋_GB2312" w:hAnsi="宋体" w:eastAsia="仿宋_GB2312" w:cs="宋体"/>
          <w:color w:val="auto"/>
          <w:sz w:val="24"/>
          <w:highlight w:val="none"/>
        </w:rPr>
        <w:t>4.我方承诺已经具备《中华人民共和国政府采购法》第二十二条中规定的参加政府采购活动的供应商应当具备的条件并按本项目响应文件“第三章”“第二节供应商须知前附表”中“资格证明文件组成”完整提供证明材料。</w:t>
      </w:r>
    </w:p>
    <w:p w14:paraId="40351FF9">
      <w:pPr>
        <w:spacing w:line="360" w:lineRule="auto"/>
        <w:ind w:firstLine="480" w:firstLineChars="200"/>
        <w:rPr>
          <w:rFonts w:hint="eastAsia" w:ascii="仿宋_GB2312" w:hAnsi="宋体" w:eastAsia="仿宋_GB2312" w:cs="宋体"/>
          <w:color w:val="auto"/>
          <w:sz w:val="24"/>
          <w:highlight w:val="none"/>
        </w:rPr>
      </w:pPr>
      <w:r>
        <w:rPr>
          <w:rFonts w:hint="eastAsia" w:ascii="仿宋_GB2312" w:hAnsi="宋体" w:eastAsia="仿宋_GB2312" w:cs="宋体"/>
          <w:color w:val="auto"/>
          <w:sz w:val="24"/>
          <w:highlight w:val="none"/>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14:paraId="1CBF6372">
      <w:pPr>
        <w:spacing w:line="360" w:lineRule="auto"/>
        <w:ind w:firstLine="480" w:firstLineChars="200"/>
        <w:rPr>
          <w:rFonts w:hint="eastAsia" w:ascii="仿宋_GB2312" w:hAnsi="宋体" w:eastAsia="仿宋_GB2312" w:cs="宋体"/>
          <w:color w:val="auto"/>
          <w:sz w:val="24"/>
          <w:highlight w:val="none"/>
        </w:rPr>
      </w:pPr>
      <w:r>
        <w:rPr>
          <w:rFonts w:hint="eastAsia" w:ascii="仿宋_GB2312" w:hAnsi="宋体" w:eastAsia="仿宋_GB2312" w:cs="宋体"/>
          <w:color w:val="auto"/>
          <w:sz w:val="24"/>
          <w:highlight w:val="none"/>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3A79EB13">
      <w:pPr>
        <w:spacing w:line="360" w:lineRule="auto"/>
        <w:ind w:firstLine="480" w:firstLineChars="200"/>
        <w:rPr>
          <w:rFonts w:hint="eastAsia" w:ascii="仿宋_GB2312" w:hAnsi="宋体" w:eastAsia="仿宋_GB2312" w:cs="宋体"/>
          <w:color w:val="auto"/>
          <w:sz w:val="24"/>
          <w:highlight w:val="none"/>
        </w:rPr>
      </w:pPr>
      <w:r>
        <w:rPr>
          <w:rFonts w:hint="eastAsia" w:ascii="仿宋_GB2312" w:hAnsi="宋体" w:eastAsia="仿宋_GB2312" w:cs="宋体"/>
          <w:color w:val="auto"/>
          <w:sz w:val="24"/>
          <w:highlight w:val="none"/>
        </w:rPr>
        <w:t>□我方本次响应文件</w:t>
      </w:r>
      <w:r>
        <w:rPr>
          <w:rFonts w:hint="eastAsia" w:ascii="仿宋_GB2312" w:hAnsi="宋体" w:eastAsia="仿宋_GB2312" w:cs="宋体"/>
          <w:color w:val="auto"/>
          <w:kern w:val="0"/>
          <w:sz w:val="24"/>
          <w:highlight w:val="none"/>
        </w:rPr>
        <w:t>内容中</w:t>
      </w:r>
      <w:r>
        <w:rPr>
          <w:rFonts w:hint="eastAsia" w:ascii="仿宋_GB2312" w:hAnsi="宋体" w:eastAsia="仿宋_GB2312" w:cs="宋体"/>
          <w:color w:val="auto"/>
          <w:sz w:val="24"/>
          <w:highlight w:val="none"/>
        </w:rPr>
        <w:t>未</w:t>
      </w:r>
      <w:r>
        <w:rPr>
          <w:rFonts w:hint="eastAsia" w:ascii="仿宋_GB2312" w:hAnsi="宋体" w:eastAsia="仿宋_GB2312" w:cs="宋体"/>
          <w:color w:val="auto"/>
          <w:kern w:val="0"/>
          <w:sz w:val="24"/>
          <w:highlight w:val="none"/>
        </w:rPr>
        <w:t>涉及商业秘密；</w:t>
      </w:r>
    </w:p>
    <w:p w14:paraId="3AEDB0C8">
      <w:pPr>
        <w:spacing w:line="360" w:lineRule="auto"/>
        <w:ind w:firstLine="480" w:firstLineChars="200"/>
        <w:rPr>
          <w:rFonts w:hint="eastAsia" w:ascii="仿宋_GB2312" w:hAnsi="宋体" w:eastAsia="仿宋_GB2312" w:cs="宋体"/>
          <w:color w:val="auto"/>
          <w:sz w:val="24"/>
          <w:highlight w:val="none"/>
        </w:rPr>
      </w:pPr>
      <w:r>
        <w:rPr>
          <w:rFonts w:hint="eastAsia" w:ascii="仿宋_GB2312" w:hAnsi="宋体" w:eastAsia="仿宋_GB2312" w:cs="宋体"/>
          <w:color w:val="auto"/>
          <w:sz w:val="24"/>
          <w:highlight w:val="none"/>
        </w:rPr>
        <w:t>□我方本次响应文件</w:t>
      </w:r>
      <w:r>
        <w:rPr>
          <w:rFonts w:hint="eastAsia" w:ascii="仿宋_GB2312" w:hAnsi="宋体" w:eastAsia="仿宋_GB2312" w:cs="宋体"/>
          <w:color w:val="auto"/>
          <w:kern w:val="0"/>
          <w:sz w:val="24"/>
          <w:highlight w:val="none"/>
        </w:rPr>
        <w:t>涉及商业秘密的内容有：</w:t>
      </w:r>
      <w:r>
        <w:rPr>
          <w:rFonts w:hint="eastAsia" w:ascii="仿宋_GB2312" w:hAnsi="宋体" w:eastAsia="仿宋_GB2312" w:cs="宋体"/>
          <w:color w:val="auto"/>
          <w:kern w:val="0"/>
          <w:sz w:val="24"/>
          <w:highlight w:val="none"/>
          <w:u w:val="single"/>
        </w:rPr>
        <w:t xml:space="preserve">                         </w:t>
      </w:r>
      <w:r>
        <w:rPr>
          <w:rFonts w:hint="eastAsia" w:ascii="仿宋_GB2312" w:hAnsi="宋体" w:eastAsia="仿宋_GB2312" w:cs="宋体"/>
          <w:color w:val="auto"/>
          <w:kern w:val="0"/>
          <w:sz w:val="24"/>
          <w:highlight w:val="none"/>
        </w:rPr>
        <w:t>；</w:t>
      </w:r>
    </w:p>
    <w:p w14:paraId="7C85E94E">
      <w:pPr>
        <w:pStyle w:val="15"/>
        <w:spacing w:line="360" w:lineRule="auto"/>
        <w:ind w:firstLine="480" w:firstLineChars="200"/>
        <w:rPr>
          <w:rFonts w:hint="eastAsia" w:ascii="仿宋_GB2312" w:hAnsi="宋体" w:eastAsia="仿宋_GB2312" w:cs="宋体"/>
          <w:color w:val="auto"/>
          <w:sz w:val="24"/>
          <w:szCs w:val="24"/>
          <w:highlight w:val="none"/>
          <w:u w:val="single"/>
        </w:rPr>
      </w:pPr>
      <w:r>
        <w:rPr>
          <w:rFonts w:hint="eastAsia" w:ascii="仿宋_GB2312" w:hAnsi="宋体" w:eastAsia="仿宋_GB2312" w:cs="宋体"/>
          <w:color w:val="auto"/>
          <w:sz w:val="24"/>
          <w:szCs w:val="24"/>
          <w:highlight w:val="none"/>
        </w:rPr>
        <w:t>7.与本磋商有关的一切正式往来信函请寄：</w:t>
      </w:r>
      <w:r>
        <w:rPr>
          <w:rFonts w:hint="eastAsia" w:ascii="仿宋_GB2312" w:hAnsi="宋体" w:eastAsia="仿宋_GB2312" w:cs="宋体"/>
          <w:color w:val="auto"/>
          <w:sz w:val="24"/>
          <w:szCs w:val="24"/>
          <w:highlight w:val="none"/>
          <w:u w:val="single"/>
        </w:rPr>
        <w:t xml:space="preserve">                  </w:t>
      </w:r>
      <w:r>
        <w:rPr>
          <w:rFonts w:hint="eastAsia" w:ascii="仿宋_GB2312" w:hAnsi="宋体" w:eastAsia="仿宋_GB2312" w:cs="宋体"/>
          <w:color w:val="auto"/>
          <w:sz w:val="24"/>
          <w:szCs w:val="24"/>
          <w:highlight w:val="none"/>
        </w:rPr>
        <w:t>邮政编号：</w:t>
      </w:r>
      <w:r>
        <w:rPr>
          <w:rFonts w:hint="eastAsia" w:ascii="仿宋_GB2312" w:hAnsi="宋体" w:eastAsia="仿宋_GB2312" w:cs="宋体"/>
          <w:color w:val="auto"/>
          <w:sz w:val="24"/>
          <w:szCs w:val="24"/>
          <w:highlight w:val="none"/>
          <w:u w:val="single"/>
        </w:rPr>
        <w:t xml:space="preserve">        </w:t>
      </w:r>
    </w:p>
    <w:p w14:paraId="5F89A4F7">
      <w:pPr>
        <w:pStyle w:val="15"/>
        <w:spacing w:line="360" w:lineRule="auto"/>
        <w:ind w:firstLine="480" w:firstLineChars="200"/>
        <w:rPr>
          <w:rFonts w:hint="eastAsia" w:ascii="仿宋_GB2312" w:hAnsi="宋体" w:eastAsia="仿宋_GB2312" w:cs="宋体"/>
          <w:color w:val="auto"/>
          <w:sz w:val="24"/>
          <w:szCs w:val="24"/>
          <w:highlight w:val="none"/>
        </w:rPr>
      </w:pPr>
      <w:r>
        <w:rPr>
          <w:rFonts w:hint="eastAsia" w:ascii="仿宋_GB2312" w:hAnsi="宋体" w:eastAsia="仿宋_GB2312" w:cs="宋体"/>
          <w:color w:val="auto"/>
          <w:sz w:val="24"/>
          <w:szCs w:val="24"/>
          <w:highlight w:val="none"/>
        </w:rPr>
        <w:t>电话/传真：</w:t>
      </w:r>
      <w:r>
        <w:rPr>
          <w:rFonts w:hint="eastAsia" w:ascii="仿宋_GB2312" w:hAnsi="宋体" w:eastAsia="仿宋_GB2312" w:cs="宋体"/>
          <w:color w:val="auto"/>
          <w:sz w:val="24"/>
          <w:szCs w:val="24"/>
          <w:highlight w:val="none"/>
          <w:u w:val="single"/>
        </w:rPr>
        <w:t xml:space="preserve">                        </w:t>
      </w:r>
      <w:r>
        <w:rPr>
          <w:rFonts w:hint="eastAsia" w:ascii="仿宋_GB2312" w:hAnsi="宋体" w:eastAsia="仿宋_GB2312" w:cs="宋体"/>
          <w:color w:val="auto"/>
          <w:sz w:val="24"/>
          <w:szCs w:val="24"/>
          <w:highlight w:val="none"/>
        </w:rPr>
        <w:t xml:space="preserve"> 电子函件：</w:t>
      </w:r>
      <w:r>
        <w:rPr>
          <w:rFonts w:hint="eastAsia" w:ascii="仿宋_GB2312" w:hAnsi="宋体" w:eastAsia="仿宋_GB2312" w:cs="宋体"/>
          <w:color w:val="auto"/>
          <w:sz w:val="24"/>
          <w:szCs w:val="24"/>
          <w:highlight w:val="none"/>
          <w:u w:val="single"/>
        </w:rPr>
        <w:t xml:space="preserve">                            </w:t>
      </w:r>
      <w:r>
        <w:rPr>
          <w:rFonts w:hint="eastAsia" w:ascii="仿宋_GB2312" w:hAnsi="宋体" w:eastAsia="仿宋_GB2312" w:cs="宋体"/>
          <w:color w:val="auto"/>
          <w:sz w:val="24"/>
          <w:szCs w:val="24"/>
          <w:highlight w:val="none"/>
        </w:rPr>
        <w:t xml:space="preserve">    </w:t>
      </w:r>
    </w:p>
    <w:p w14:paraId="13355C40">
      <w:pPr>
        <w:pStyle w:val="13"/>
        <w:tabs>
          <w:tab w:val="left" w:pos="939"/>
        </w:tabs>
        <w:spacing w:line="360" w:lineRule="auto"/>
        <w:ind w:left="141" w:leftChars="67" w:firstLine="360" w:firstLineChars="150"/>
        <w:rPr>
          <w:rFonts w:hint="eastAsia" w:ascii="仿宋_GB2312" w:hAnsi="宋体" w:eastAsia="仿宋_GB2312" w:cs="宋体"/>
          <w:color w:val="auto"/>
          <w:sz w:val="24"/>
          <w:highlight w:val="none"/>
        </w:rPr>
      </w:pPr>
      <w:r>
        <w:rPr>
          <w:rFonts w:hint="eastAsia" w:ascii="仿宋_GB2312" w:hAnsi="宋体" w:eastAsia="仿宋_GB2312" w:cs="宋体"/>
          <w:color w:val="auto"/>
          <w:sz w:val="24"/>
          <w:highlight w:val="none"/>
        </w:rPr>
        <w:t>开户银行：</w:t>
      </w:r>
      <w:r>
        <w:rPr>
          <w:rFonts w:hint="eastAsia" w:ascii="仿宋_GB2312" w:hAnsi="宋体" w:eastAsia="仿宋_GB2312" w:cs="宋体"/>
          <w:color w:val="auto"/>
          <w:sz w:val="24"/>
          <w:highlight w:val="none"/>
          <w:u w:val="single"/>
        </w:rPr>
        <w:t xml:space="preserve">                         </w:t>
      </w:r>
      <w:r>
        <w:rPr>
          <w:rFonts w:hint="eastAsia" w:ascii="仿宋_GB2312" w:hAnsi="宋体" w:eastAsia="仿宋_GB2312" w:cs="宋体"/>
          <w:color w:val="auto"/>
          <w:sz w:val="24"/>
          <w:highlight w:val="none"/>
        </w:rPr>
        <w:t xml:space="preserve">  帐号：</w:t>
      </w:r>
      <w:r>
        <w:rPr>
          <w:rFonts w:hint="eastAsia" w:ascii="仿宋_GB2312" w:hAnsi="宋体" w:eastAsia="仿宋_GB2312" w:cs="宋体"/>
          <w:color w:val="auto"/>
          <w:sz w:val="24"/>
          <w:highlight w:val="none"/>
          <w:u w:val="single"/>
        </w:rPr>
        <w:t xml:space="preserve">                               </w:t>
      </w:r>
    </w:p>
    <w:p w14:paraId="0D87F7A0">
      <w:pPr>
        <w:pStyle w:val="13"/>
        <w:tabs>
          <w:tab w:val="left" w:pos="939"/>
        </w:tabs>
        <w:spacing w:line="360" w:lineRule="auto"/>
        <w:ind w:left="0" w:leftChars="0" w:firstLine="480" w:firstLineChars="200"/>
        <w:rPr>
          <w:rFonts w:hint="eastAsia" w:ascii="仿宋_GB2312" w:hAnsi="宋体" w:eastAsia="仿宋_GB2312" w:cs="宋体"/>
          <w:color w:val="auto"/>
          <w:sz w:val="24"/>
          <w:highlight w:val="none"/>
        </w:rPr>
      </w:pPr>
      <w:r>
        <w:rPr>
          <w:rFonts w:hint="eastAsia" w:ascii="仿宋_GB2312" w:hAnsi="宋体" w:eastAsia="仿宋_GB2312" w:cs="宋体"/>
          <w:color w:val="auto"/>
          <w:sz w:val="24"/>
          <w:highlight w:val="none"/>
        </w:rPr>
        <w:t>8.以上事项如有虚假或者隐瞒，我方愿意承担一切后果，并不再寻求任何旨在减轻或者免除法律责任的辩解。</w:t>
      </w:r>
    </w:p>
    <w:p w14:paraId="512775A3">
      <w:pPr>
        <w:pStyle w:val="13"/>
        <w:tabs>
          <w:tab w:val="left" w:pos="939"/>
        </w:tabs>
        <w:spacing w:line="360" w:lineRule="auto"/>
        <w:ind w:left="141" w:leftChars="67" w:firstLine="360" w:firstLineChars="150"/>
        <w:rPr>
          <w:rFonts w:hint="eastAsia" w:ascii="仿宋_GB2312" w:hAnsi="宋体" w:eastAsia="仿宋_GB2312" w:cs="宋体"/>
          <w:color w:val="auto"/>
          <w:sz w:val="24"/>
          <w:highlight w:val="none"/>
        </w:rPr>
      </w:pPr>
      <w:r>
        <w:rPr>
          <w:rFonts w:hint="eastAsia" w:ascii="仿宋_GB2312" w:hAnsi="宋体" w:eastAsia="仿宋_GB2312" w:cs="宋体"/>
          <w:color w:val="auto"/>
          <w:sz w:val="24"/>
          <w:highlight w:val="none"/>
        </w:rPr>
        <w:t>特此承诺。</w:t>
      </w:r>
    </w:p>
    <w:p w14:paraId="409F6A82">
      <w:pPr>
        <w:pStyle w:val="13"/>
        <w:tabs>
          <w:tab w:val="left" w:pos="939"/>
        </w:tabs>
        <w:spacing w:line="360" w:lineRule="auto"/>
        <w:ind w:left="0" w:leftChars="0" w:firstLine="480" w:firstLineChars="200"/>
        <w:rPr>
          <w:rFonts w:hint="eastAsia" w:ascii="宋体" w:hAnsi="宋体" w:cs="宋体"/>
          <w:color w:val="auto"/>
          <w:sz w:val="24"/>
          <w:highlight w:val="none"/>
        </w:rPr>
      </w:pPr>
      <w:r>
        <w:rPr>
          <w:rFonts w:hint="eastAsia" w:ascii="仿宋_GB2312" w:hAnsi="宋体" w:eastAsia="仿宋_GB2312" w:cs="宋体"/>
          <w:color w:val="auto"/>
          <w:sz w:val="24"/>
          <w:highlight w:val="none"/>
        </w:rPr>
        <w:t>注：如为联合体竞标，盖章处须加盖联合体各方公章并由联合体各方法定代表人签署，否则其响应文件按无效响应处理。</w:t>
      </w:r>
    </w:p>
    <w:p w14:paraId="22C2F198">
      <w:pPr>
        <w:pStyle w:val="13"/>
        <w:tabs>
          <w:tab w:val="left" w:pos="939"/>
        </w:tabs>
        <w:spacing w:line="360" w:lineRule="auto"/>
        <w:ind w:left="0" w:leftChars="0" w:firstLine="480" w:firstLineChars="200"/>
        <w:rPr>
          <w:rFonts w:hint="eastAsia" w:ascii="宋体" w:hAnsi="宋体" w:cs="宋体"/>
          <w:color w:val="auto"/>
          <w:sz w:val="24"/>
          <w:highlight w:val="none"/>
        </w:rPr>
      </w:pPr>
    </w:p>
    <w:p w14:paraId="008AA9AA">
      <w:pPr>
        <w:autoSpaceDE w:val="0"/>
        <w:autoSpaceDN w:val="0"/>
        <w:spacing w:line="360" w:lineRule="auto"/>
        <w:ind w:left="4365" w:leftChars="1850" w:hanging="480" w:hangingChars="20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5B1EA9CA">
      <w:pPr>
        <w:autoSpaceDE w:val="0"/>
        <w:autoSpaceDN w:val="0"/>
        <w:spacing w:line="360" w:lineRule="auto"/>
        <w:ind w:firstLine="6120" w:firstLineChars="2550"/>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  年  月   日</w:t>
      </w:r>
    </w:p>
    <w:p w14:paraId="64C1105A">
      <w:pPr>
        <w:widowControl/>
        <w:spacing w:line="360" w:lineRule="auto"/>
        <w:jc w:val="left"/>
        <w:rPr>
          <w:rFonts w:ascii="仿宋_GB2312" w:hAnsi="仿宋" w:eastAsia="仿宋_GB2312" w:cs="仿宋_GB2312"/>
          <w:color w:val="auto"/>
          <w:kern w:val="0"/>
          <w:sz w:val="24"/>
          <w:highlight w:val="none"/>
          <w:lang w:val="zh-CN"/>
        </w:rPr>
        <w:sectPr>
          <w:pgSz w:w="11910" w:h="16840"/>
          <w:pgMar w:top="1340" w:right="1500" w:bottom="280" w:left="1680" w:header="720" w:footer="720" w:gutter="0"/>
          <w:cols w:space="720" w:num="1"/>
        </w:sectPr>
      </w:pPr>
    </w:p>
    <w:p w14:paraId="523FCF3A">
      <w:pPr>
        <w:pStyle w:val="6"/>
        <w:overflowPunct w:val="0"/>
        <w:spacing w:line="520" w:lineRule="exact"/>
        <w:ind w:firstLine="0"/>
        <w:rPr>
          <w:rFonts w:hint="eastAsia" w:ascii="宋体" w:hAnsi="宋体"/>
          <w:b/>
          <w:bCs/>
          <w:color w:val="auto"/>
          <w:sz w:val="32"/>
          <w:szCs w:val="32"/>
          <w:highlight w:val="none"/>
        </w:rPr>
      </w:pPr>
      <w:r>
        <w:rPr>
          <w:rFonts w:hint="eastAsia" w:ascii="仿宋" w:hAnsi="仿宋" w:eastAsia="仿宋" w:cs="仿宋_GB2312"/>
          <w:b/>
          <w:color w:val="auto"/>
          <w:kern w:val="0"/>
          <w:sz w:val="30"/>
          <w:szCs w:val="30"/>
          <w:highlight w:val="none"/>
        </w:rPr>
        <w:t>七、联合体协议书（如有）</w:t>
      </w:r>
    </w:p>
    <w:p w14:paraId="28F5D36D">
      <w:pPr>
        <w:pStyle w:val="15"/>
        <w:spacing w:line="600" w:lineRule="exact"/>
        <w:jc w:val="center"/>
        <w:rPr>
          <w:rFonts w:hint="eastAsia" w:ascii="方正小标宋简体" w:hAnsi="方正小标宋简体" w:eastAsia="方正小标宋简体" w:cs="方正小标宋简体"/>
          <w:color w:val="auto"/>
          <w:kern w:val="2"/>
          <w:sz w:val="44"/>
          <w:szCs w:val="44"/>
          <w:highlight w:val="none"/>
        </w:rPr>
      </w:pPr>
    </w:p>
    <w:p w14:paraId="65A65F3E">
      <w:pPr>
        <w:pStyle w:val="15"/>
        <w:spacing w:line="600" w:lineRule="exact"/>
        <w:jc w:val="center"/>
        <w:rPr>
          <w:rFonts w:hint="eastAsia" w:ascii="方正小标宋简体" w:hAnsi="方正小标宋简体" w:eastAsia="方正小标宋简体" w:cs="方正小标宋简体"/>
          <w:color w:val="auto"/>
          <w:kern w:val="2"/>
          <w:sz w:val="44"/>
          <w:szCs w:val="44"/>
          <w:highlight w:val="none"/>
        </w:rPr>
      </w:pPr>
      <w:r>
        <w:rPr>
          <w:rFonts w:hint="eastAsia" w:ascii="方正小标宋简体" w:hAnsi="方正小标宋简体" w:eastAsia="方正小标宋简体" w:cs="方正小标宋简体"/>
          <w:color w:val="auto"/>
          <w:kern w:val="2"/>
          <w:sz w:val="44"/>
          <w:szCs w:val="44"/>
          <w:highlight w:val="none"/>
        </w:rPr>
        <w:t>联合体竞标协议书（格式）</w:t>
      </w:r>
    </w:p>
    <w:p w14:paraId="7189735A">
      <w:pPr>
        <w:autoSpaceDE w:val="0"/>
        <w:autoSpaceDN w:val="0"/>
        <w:adjustRightInd w:val="0"/>
        <w:spacing w:line="360" w:lineRule="auto"/>
        <w:jc w:val="left"/>
        <w:rPr>
          <w:rFonts w:hint="eastAsia" w:ascii="宋体" w:cs="宋体"/>
          <w:color w:val="auto"/>
          <w:kern w:val="0"/>
          <w:szCs w:val="21"/>
          <w:highlight w:val="none"/>
          <w:u w:val="single"/>
        </w:rPr>
      </w:pPr>
    </w:p>
    <w:p w14:paraId="2B686FC8">
      <w:pPr>
        <w:autoSpaceDE w:val="0"/>
        <w:autoSpaceDN w:val="0"/>
        <w:adjustRightInd w:val="0"/>
        <w:spacing w:line="360" w:lineRule="auto"/>
        <w:jc w:val="left"/>
        <w:rPr>
          <w:rFonts w:hint="eastAsia" w:ascii="仿宋_GB2312" w:hAnsi="仿宋_GB2312" w:eastAsia="仿宋_GB2312" w:cs="宋体"/>
          <w:color w:val="auto"/>
          <w:kern w:val="0"/>
          <w:sz w:val="24"/>
          <w:highlight w:val="none"/>
        </w:rPr>
      </w:pPr>
      <w:r>
        <w:rPr>
          <w:rFonts w:hint="eastAsia" w:ascii="仿宋_GB2312" w:hAnsi="仿宋_GB2312" w:eastAsia="仿宋_GB2312" w:cs="宋体"/>
          <w:color w:val="auto"/>
          <w:kern w:val="0"/>
          <w:sz w:val="24"/>
          <w:highlight w:val="none"/>
          <w:u w:val="single"/>
        </w:rPr>
        <w:t xml:space="preserve">                                                  </w:t>
      </w:r>
      <w:r>
        <w:rPr>
          <w:rFonts w:hint="eastAsia" w:ascii="仿宋_GB2312" w:hAnsi="仿宋_GB2312" w:eastAsia="仿宋_GB2312" w:cs="宋体"/>
          <w:color w:val="auto"/>
          <w:kern w:val="0"/>
          <w:sz w:val="24"/>
          <w:highlight w:val="none"/>
        </w:rPr>
        <w:t>（所有成员单位名称）自愿组成联合体，共同参加</w:t>
      </w:r>
      <w:r>
        <w:rPr>
          <w:rFonts w:hint="eastAsia" w:ascii="仿宋_GB2312" w:hAnsi="仿宋_GB2312" w:eastAsia="仿宋_GB2312" w:cs="宋体"/>
          <w:color w:val="auto"/>
          <w:kern w:val="0"/>
          <w:sz w:val="24"/>
          <w:highlight w:val="none"/>
          <w:u w:val="single"/>
        </w:rPr>
        <w:t xml:space="preserve">    </w:t>
      </w:r>
      <w:bookmarkStart w:id="83" w:name="PO_3000001868_PM031"/>
      <w:r>
        <w:rPr>
          <w:rFonts w:hint="eastAsia" w:ascii="仿宋_GB2312" w:hAnsi="仿宋_GB2312" w:eastAsia="仿宋_GB2312" w:cs="宋体"/>
          <w:color w:val="auto"/>
          <w:kern w:val="0"/>
          <w:sz w:val="24"/>
          <w:highlight w:val="none"/>
          <w:u w:val="single"/>
        </w:rPr>
        <w:t>广西科文招标有限公司</w:t>
      </w:r>
      <w:bookmarkEnd w:id="83"/>
      <w:r>
        <w:rPr>
          <w:rFonts w:hint="eastAsia" w:ascii="仿宋_GB2312" w:hAnsi="仿宋_GB2312" w:eastAsia="仿宋_GB2312" w:cs="宋体"/>
          <w:color w:val="auto"/>
          <w:kern w:val="0"/>
          <w:sz w:val="24"/>
          <w:highlight w:val="none"/>
          <w:u w:val="single"/>
        </w:rPr>
        <w:t xml:space="preserve">   </w:t>
      </w:r>
      <w:r>
        <w:rPr>
          <w:rFonts w:hint="eastAsia" w:ascii="仿宋_GB2312" w:hAnsi="仿宋_GB2312" w:eastAsia="仿宋_GB2312" w:cs="宋体"/>
          <w:color w:val="auto"/>
          <w:kern w:val="0"/>
          <w:sz w:val="24"/>
          <w:highlight w:val="none"/>
        </w:rPr>
        <w:t>组织的</w:t>
      </w:r>
      <w:r>
        <w:rPr>
          <w:rFonts w:hint="eastAsia" w:ascii="仿宋_GB2312" w:hAnsi="仿宋_GB2312" w:eastAsia="仿宋_GB2312" w:cs="宋体"/>
          <w:color w:val="auto"/>
          <w:kern w:val="0"/>
          <w:sz w:val="24"/>
          <w:highlight w:val="none"/>
          <w:u w:val="single"/>
        </w:rPr>
        <w:t xml:space="preserve">       </w:t>
      </w:r>
      <w:r>
        <w:rPr>
          <w:rFonts w:hint="eastAsia" w:ascii="仿宋_GB2312" w:hAnsi="仿宋_GB2312" w:eastAsia="仿宋_GB2312" w:cs="宋体"/>
          <w:color w:val="auto"/>
          <w:kern w:val="0"/>
          <w:sz w:val="24"/>
          <w:highlight w:val="none"/>
          <w:u w:val="single"/>
          <w:lang w:eastAsia="zh-CN"/>
        </w:rPr>
        <w:t>邕宁区蒲庙电灌站灌区续建配套与节水改造工程项目立项建议报告编制技术服务项目</w:t>
      </w:r>
      <w:r>
        <w:rPr>
          <w:rFonts w:hint="eastAsia" w:ascii="仿宋_GB2312" w:hAnsi="仿宋_GB2312" w:eastAsia="仿宋_GB2312" w:cs="宋体"/>
          <w:color w:val="auto"/>
          <w:kern w:val="0"/>
          <w:sz w:val="24"/>
          <w:highlight w:val="none"/>
          <w:u w:val="single"/>
        </w:rPr>
        <w:t xml:space="preserve">  </w:t>
      </w:r>
      <w:r>
        <w:rPr>
          <w:rFonts w:hint="eastAsia" w:ascii="仿宋_GB2312" w:hAnsi="仿宋_GB2312" w:eastAsia="仿宋_GB2312" w:cs="宋体"/>
          <w:color w:val="auto"/>
          <w:kern w:val="0"/>
          <w:sz w:val="24"/>
          <w:highlight w:val="none"/>
        </w:rPr>
        <w:t>（项目编号：</w:t>
      </w:r>
      <w:r>
        <w:rPr>
          <w:rFonts w:hint="eastAsia" w:ascii="仿宋_GB2312" w:hAnsi="仿宋_GB2312" w:eastAsia="仿宋_GB2312" w:cs="宋体"/>
          <w:color w:val="auto"/>
          <w:kern w:val="0"/>
          <w:sz w:val="24"/>
          <w:highlight w:val="none"/>
          <w:u w:val="single"/>
        </w:rPr>
        <w:t xml:space="preserve">  </w:t>
      </w:r>
      <w:r>
        <w:rPr>
          <w:rFonts w:hint="eastAsia" w:ascii="仿宋_GB2312" w:hAnsi="仿宋_GB2312" w:eastAsia="仿宋_GB2312" w:cs="宋体"/>
          <w:color w:val="auto"/>
          <w:kern w:val="0"/>
          <w:sz w:val="24"/>
          <w:highlight w:val="none"/>
          <w:u w:val="single"/>
          <w:lang w:eastAsia="zh-CN"/>
        </w:rPr>
        <w:t>NNZC2026-C3-090018-KWZB</w:t>
      </w:r>
      <w:r>
        <w:rPr>
          <w:rFonts w:hint="eastAsia" w:ascii="仿宋_GB2312" w:hAnsi="仿宋_GB2312" w:eastAsia="仿宋_GB2312" w:cs="宋体"/>
          <w:color w:val="auto"/>
          <w:kern w:val="0"/>
          <w:sz w:val="24"/>
          <w:highlight w:val="none"/>
          <w:u w:val="single"/>
        </w:rPr>
        <w:t xml:space="preserve"> </w:t>
      </w:r>
      <w:r>
        <w:rPr>
          <w:rFonts w:hint="eastAsia" w:ascii="仿宋_GB2312" w:hAnsi="仿宋_GB2312" w:eastAsia="仿宋_GB2312" w:cs="宋体"/>
          <w:color w:val="auto"/>
          <w:kern w:val="0"/>
          <w:sz w:val="24"/>
          <w:highlight w:val="none"/>
        </w:rPr>
        <w:t>）竞争性磋商采购。现就联合体竞标事宜订立如下协议：</w:t>
      </w:r>
    </w:p>
    <w:p w14:paraId="629CA82F">
      <w:pPr>
        <w:autoSpaceDE w:val="0"/>
        <w:autoSpaceDN w:val="0"/>
        <w:adjustRightInd w:val="0"/>
        <w:spacing w:line="360" w:lineRule="auto"/>
        <w:ind w:firstLine="420"/>
        <w:jc w:val="left"/>
        <w:rPr>
          <w:rFonts w:hint="eastAsia" w:ascii="仿宋_GB2312" w:hAnsi="宋体" w:eastAsia="仿宋_GB2312" w:cs="宋体"/>
          <w:color w:val="auto"/>
          <w:kern w:val="0"/>
          <w:sz w:val="24"/>
          <w:highlight w:val="none"/>
        </w:rPr>
      </w:pPr>
      <w:r>
        <w:rPr>
          <w:rFonts w:hint="eastAsia" w:ascii="仿宋_GB2312" w:hAnsi="宋体" w:eastAsia="仿宋_GB2312" w:cs="TimesNewRomanPSMT"/>
          <w:color w:val="auto"/>
          <w:kern w:val="0"/>
          <w:sz w:val="24"/>
          <w:highlight w:val="none"/>
        </w:rPr>
        <w:t>1</w:t>
      </w:r>
      <w:r>
        <w:rPr>
          <w:rFonts w:hint="eastAsia" w:ascii="仿宋_GB2312" w:hAnsi="宋体" w:eastAsia="仿宋_GB2312" w:cs="宋体"/>
          <w:color w:val="auto"/>
          <w:kern w:val="0"/>
          <w:sz w:val="24"/>
          <w:highlight w:val="none"/>
        </w:rPr>
        <w:t>、</w:t>
      </w:r>
      <w:r>
        <w:rPr>
          <w:rFonts w:hint="eastAsia" w:ascii="仿宋_GB2312" w:hAnsi="仿宋_GB2312" w:eastAsia="仿宋_GB2312"/>
          <w:color w:val="auto"/>
          <w:sz w:val="24"/>
          <w:highlight w:val="none"/>
        </w:rPr>
        <w:t>________________________</w:t>
      </w:r>
      <w:r>
        <w:rPr>
          <w:rFonts w:hint="eastAsia" w:ascii="仿宋_GB2312" w:hAnsi="宋体" w:eastAsia="仿宋_GB2312" w:cs="宋体"/>
          <w:color w:val="auto"/>
          <w:kern w:val="0"/>
          <w:sz w:val="24"/>
          <w:highlight w:val="none"/>
        </w:rPr>
        <w:t>（某成员单位名称）为联合体名称牵头人。</w:t>
      </w:r>
    </w:p>
    <w:p w14:paraId="40F39573">
      <w:pPr>
        <w:autoSpaceDE w:val="0"/>
        <w:autoSpaceDN w:val="0"/>
        <w:adjustRightInd w:val="0"/>
        <w:spacing w:line="360" w:lineRule="auto"/>
        <w:ind w:firstLine="420"/>
        <w:jc w:val="left"/>
        <w:rPr>
          <w:rFonts w:hint="eastAsia" w:ascii="仿宋_GB2312" w:hAnsi="宋体" w:eastAsia="仿宋_GB2312" w:cs="宋体"/>
          <w:color w:val="auto"/>
          <w:kern w:val="0"/>
          <w:sz w:val="24"/>
          <w:highlight w:val="none"/>
        </w:rPr>
      </w:pPr>
      <w:r>
        <w:rPr>
          <w:rFonts w:hint="eastAsia" w:ascii="仿宋_GB2312" w:hAnsi="宋体" w:eastAsia="仿宋_GB2312" w:cs="TimesNewRomanPSMT"/>
          <w:color w:val="auto"/>
          <w:kern w:val="0"/>
          <w:sz w:val="24"/>
          <w:highlight w:val="none"/>
        </w:rPr>
        <w:t>2</w:t>
      </w:r>
      <w:r>
        <w:rPr>
          <w:rFonts w:hint="eastAsia" w:ascii="仿宋_GB2312" w:hAnsi="宋体" w:eastAsia="仿宋_GB2312" w:cs="宋体"/>
          <w:color w:val="auto"/>
          <w:kern w:val="0"/>
          <w:sz w:val="24"/>
          <w:highlight w:val="none"/>
        </w:rPr>
        <w:t>、联合体牵头人合法代表联合体各成员负责本磋商项目响应文件编制和合同谈判活动，并代表联合体提交和接收相关的资料、信息及指示，并处理与之有关的一切事务，负责合同实施阶段的主办、组织和协调工作。</w:t>
      </w:r>
    </w:p>
    <w:p w14:paraId="7D937317">
      <w:pPr>
        <w:autoSpaceDE w:val="0"/>
        <w:autoSpaceDN w:val="0"/>
        <w:adjustRightInd w:val="0"/>
        <w:spacing w:line="360" w:lineRule="auto"/>
        <w:ind w:firstLine="420"/>
        <w:jc w:val="left"/>
        <w:rPr>
          <w:rFonts w:hint="eastAsia"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3、联合体牵头人在本项目中签署和盖章的一切文件和处理的一切事宜，联合体各成员均予以承认。 联合体各成员将严格按照磋商文件、响应文件和合同的要求全面履行义务，并向采购人承担连带责任。</w:t>
      </w:r>
    </w:p>
    <w:p w14:paraId="4B7AF2CE">
      <w:pPr>
        <w:autoSpaceDE w:val="0"/>
        <w:autoSpaceDN w:val="0"/>
        <w:adjustRightInd w:val="0"/>
        <w:spacing w:line="360" w:lineRule="auto"/>
        <w:ind w:firstLine="420"/>
        <w:jc w:val="left"/>
        <w:rPr>
          <w:rFonts w:hint="eastAsia" w:ascii="仿宋_GB2312" w:hAnsi="宋体" w:eastAsia="仿宋_GB2312" w:cs="宋体"/>
          <w:color w:val="auto"/>
          <w:kern w:val="0"/>
          <w:sz w:val="24"/>
          <w:highlight w:val="none"/>
        </w:rPr>
      </w:pPr>
      <w:r>
        <w:rPr>
          <w:rFonts w:hint="eastAsia" w:ascii="仿宋_GB2312" w:hAnsi="宋体" w:eastAsia="仿宋_GB2312" w:cs="TimesNewRomanPSMT"/>
          <w:color w:val="auto"/>
          <w:kern w:val="0"/>
          <w:sz w:val="24"/>
          <w:highlight w:val="none"/>
        </w:rPr>
        <w:t>4</w:t>
      </w:r>
      <w:r>
        <w:rPr>
          <w:rFonts w:hint="eastAsia" w:ascii="仿宋_GB2312" w:hAnsi="宋体" w:eastAsia="仿宋_GB2312" w:cs="宋体"/>
          <w:color w:val="auto"/>
          <w:kern w:val="0"/>
          <w:sz w:val="24"/>
          <w:highlight w:val="none"/>
        </w:rPr>
        <w:t>、联合体各成员单位内部的职责分工如下</w:t>
      </w:r>
      <w:r>
        <w:rPr>
          <w:rFonts w:hint="eastAsia" w:ascii="仿宋_GB2312" w:hAnsi="宋体" w:eastAsia="仿宋_GB2312" w:cs="宋体"/>
          <w:color w:val="auto"/>
          <w:kern w:val="0"/>
          <w:sz w:val="24"/>
          <w:highlight w:val="none"/>
          <w:u w:val="single"/>
        </w:rPr>
        <w:t>：</w:t>
      </w:r>
      <w:r>
        <w:rPr>
          <w:rFonts w:hint="eastAsia" w:ascii="仿宋_GB2312" w:hAnsi="仿宋_GB2312" w:eastAsia="仿宋_GB2312"/>
          <w:color w:val="auto"/>
          <w:sz w:val="24"/>
          <w:highlight w:val="none"/>
          <w:u w:val="single"/>
        </w:rPr>
        <w:t>________________________________________________</w:t>
      </w:r>
      <w:r>
        <w:rPr>
          <w:rFonts w:hint="eastAsia" w:ascii="仿宋_GB2312" w:hAnsi="宋体" w:eastAsia="仿宋_GB2312" w:cs="宋体"/>
          <w:color w:val="auto"/>
          <w:kern w:val="0"/>
          <w:sz w:val="24"/>
          <w:highlight w:val="none"/>
        </w:rPr>
        <w:t>。</w:t>
      </w:r>
    </w:p>
    <w:p w14:paraId="2572F099">
      <w:pPr>
        <w:pStyle w:val="15"/>
        <w:spacing w:line="360" w:lineRule="auto"/>
        <w:ind w:firstLine="480" w:firstLineChars="200"/>
        <w:rPr>
          <w:rFonts w:hint="eastAsia" w:ascii="仿宋_GB2312" w:hAnsi="Times New Roman" w:eastAsia="仿宋_GB2312"/>
          <w:color w:val="auto"/>
          <w:sz w:val="24"/>
          <w:szCs w:val="24"/>
          <w:highlight w:val="none"/>
        </w:rPr>
      </w:pPr>
      <w:r>
        <w:rPr>
          <w:rFonts w:hint="eastAsia" w:ascii="仿宋_GB2312" w:hAnsi="宋体" w:eastAsia="仿宋_GB2312" w:cs="宋体"/>
          <w:color w:val="auto"/>
          <w:sz w:val="24"/>
          <w:szCs w:val="24"/>
          <w:highlight w:val="none"/>
        </w:rPr>
        <w:t>5、本联合体中</w:t>
      </w:r>
      <w:r>
        <w:rPr>
          <w:rFonts w:hint="eastAsia" w:ascii="仿宋_GB2312" w:hAnsi="宋体" w:eastAsia="仿宋_GB2312" w:cs="宋体"/>
          <w:color w:val="auto"/>
          <w:sz w:val="24"/>
          <w:szCs w:val="24"/>
          <w:highlight w:val="none"/>
          <w:u w:val="single"/>
        </w:rPr>
        <w:t>，</w:t>
      </w:r>
      <w:r>
        <w:rPr>
          <w:rFonts w:hint="eastAsia" w:ascii="仿宋_GB2312" w:hAnsi="仿宋_GB2312" w:eastAsia="仿宋_GB2312"/>
          <w:color w:val="auto"/>
          <w:sz w:val="24"/>
          <w:szCs w:val="24"/>
          <w:highlight w:val="none"/>
          <w:u w:val="single"/>
        </w:rPr>
        <w:t>________________________</w:t>
      </w:r>
      <w:r>
        <w:rPr>
          <w:rFonts w:hint="eastAsia" w:ascii="仿宋_GB2312" w:hAnsi="宋体" w:eastAsia="仿宋_GB2312" w:cs="宋体"/>
          <w:color w:val="auto"/>
          <w:sz w:val="24"/>
          <w:szCs w:val="24"/>
          <w:highlight w:val="none"/>
          <w:u w:val="single"/>
        </w:rPr>
        <w:t>（某成员单位名称）为</w:t>
      </w:r>
      <w:r>
        <w:rPr>
          <w:rFonts w:hint="eastAsia" w:ascii="仿宋_GB2312" w:hAnsi="仿宋_GB2312" w:eastAsia="仿宋_GB2312"/>
          <w:color w:val="auto"/>
          <w:sz w:val="24"/>
          <w:szCs w:val="24"/>
          <w:highlight w:val="none"/>
          <w:u w:val="single"/>
        </w:rPr>
        <w:t>______</w:t>
      </w:r>
      <w:r>
        <w:rPr>
          <w:rFonts w:hint="eastAsia" w:ascii="仿宋_GB2312" w:hAnsi="仿宋_GB2312" w:eastAsia="仿宋_GB2312"/>
          <w:color w:val="auto"/>
          <w:sz w:val="24"/>
          <w:szCs w:val="24"/>
          <w:highlight w:val="none"/>
        </w:rPr>
        <w:t>（请填写：中型、小型、微型）企业，其协议合同金额占联合体协议合同总金额的</w:t>
      </w:r>
      <w:r>
        <w:rPr>
          <w:rFonts w:hint="eastAsia" w:ascii="仿宋_GB2312" w:hAnsi="仿宋_GB2312" w:eastAsia="仿宋_GB2312"/>
          <w:color w:val="auto"/>
          <w:sz w:val="24"/>
          <w:szCs w:val="24"/>
          <w:highlight w:val="none"/>
          <w:u w:val="single"/>
        </w:rPr>
        <w:t>______</w:t>
      </w:r>
      <w:r>
        <w:rPr>
          <w:rFonts w:hint="eastAsia" w:ascii="仿宋_GB2312" w:hAnsi="仿宋_GB2312" w:eastAsia="仿宋_GB2312"/>
          <w:color w:val="auto"/>
          <w:sz w:val="24"/>
          <w:szCs w:val="24"/>
          <w:highlight w:val="none"/>
        </w:rPr>
        <w:t>%。【如联合体成员中有小型、微型企业的，请填写此条，否则无需填写；如联合体成员中有多个小型、微型企业的，请逐一列出。】</w:t>
      </w:r>
    </w:p>
    <w:p w14:paraId="627F19FC">
      <w:pPr>
        <w:autoSpaceDE w:val="0"/>
        <w:autoSpaceDN w:val="0"/>
        <w:adjustRightInd w:val="0"/>
        <w:spacing w:line="360" w:lineRule="auto"/>
        <w:ind w:firstLine="420"/>
        <w:jc w:val="left"/>
        <w:rPr>
          <w:rFonts w:hint="eastAsia" w:ascii="仿宋_GB2312" w:hAnsi="宋体" w:eastAsia="仿宋_GB2312" w:cs="宋体"/>
          <w:color w:val="auto"/>
          <w:kern w:val="0"/>
          <w:sz w:val="24"/>
          <w:highlight w:val="none"/>
        </w:rPr>
      </w:pPr>
      <w:r>
        <w:rPr>
          <w:rFonts w:hint="eastAsia" w:ascii="仿宋_GB2312" w:hAnsi="宋体" w:eastAsia="仿宋_GB2312" w:cs="TimesNewRomanPSMT"/>
          <w:color w:val="auto"/>
          <w:kern w:val="0"/>
          <w:sz w:val="24"/>
          <w:highlight w:val="none"/>
        </w:rPr>
        <w:t>6</w:t>
      </w:r>
      <w:r>
        <w:rPr>
          <w:rFonts w:hint="eastAsia" w:ascii="仿宋_GB2312" w:hAnsi="宋体" w:eastAsia="仿宋_GB2312" w:cs="宋体"/>
          <w:color w:val="auto"/>
          <w:kern w:val="0"/>
          <w:sz w:val="24"/>
          <w:highlight w:val="none"/>
        </w:rPr>
        <w:t>、本协议书自签署之日起生效，合同履行完毕后自动失效。</w:t>
      </w:r>
    </w:p>
    <w:p w14:paraId="51341E81">
      <w:pPr>
        <w:autoSpaceDE w:val="0"/>
        <w:autoSpaceDN w:val="0"/>
        <w:adjustRightInd w:val="0"/>
        <w:spacing w:line="360" w:lineRule="auto"/>
        <w:ind w:firstLine="420"/>
        <w:jc w:val="left"/>
        <w:rPr>
          <w:rFonts w:hint="eastAsia" w:ascii="仿宋_GB2312" w:hAnsi="宋体" w:eastAsia="仿宋_GB2312" w:cs="宋体"/>
          <w:color w:val="auto"/>
          <w:kern w:val="0"/>
          <w:sz w:val="24"/>
          <w:highlight w:val="none"/>
        </w:rPr>
      </w:pPr>
      <w:r>
        <w:rPr>
          <w:rFonts w:hint="eastAsia" w:ascii="仿宋_GB2312" w:hAnsi="宋体" w:eastAsia="仿宋_GB2312" w:cs="TimesNewRomanPSMT"/>
          <w:color w:val="auto"/>
          <w:kern w:val="0"/>
          <w:sz w:val="24"/>
          <w:highlight w:val="none"/>
        </w:rPr>
        <w:t>7</w:t>
      </w:r>
      <w:r>
        <w:rPr>
          <w:rFonts w:hint="eastAsia" w:ascii="仿宋_GB2312" w:hAnsi="宋体" w:eastAsia="仿宋_GB2312" w:cs="宋体"/>
          <w:color w:val="auto"/>
          <w:kern w:val="0"/>
          <w:sz w:val="24"/>
          <w:highlight w:val="none"/>
        </w:rPr>
        <w:t>、本协议书一式</w:t>
      </w:r>
      <w:r>
        <w:rPr>
          <w:rFonts w:hint="eastAsia" w:ascii="仿宋_GB2312" w:hAnsi="宋体" w:eastAsia="仿宋_GB2312" w:cs="宋体"/>
          <w:color w:val="auto"/>
          <w:kern w:val="0"/>
          <w:sz w:val="24"/>
          <w:highlight w:val="none"/>
          <w:u w:val="single"/>
        </w:rPr>
        <w:t xml:space="preserve">    </w:t>
      </w:r>
      <w:r>
        <w:rPr>
          <w:rFonts w:hint="eastAsia" w:ascii="仿宋_GB2312" w:hAnsi="宋体" w:eastAsia="仿宋_GB2312" w:cs="宋体"/>
          <w:color w:val="auto"/>
          <w:kern w:val="0"/>
          <w:sz w:val="24"/>
          <w:highlight w:val="none"/>
        </w:rPr>
        <w:t>份，联合体成员和采购代理机构各执一份。</w:t>
      </w:r>
    </w:p>
    <w:p w14:paraId="7982AA4F">
      <w:pPr>
        <w:autoSpaceDE w:val="0"/>
        <w:autoSpaceDN w:val="0"/>
        <w:adjustRightInd w:val="0"/>
        <w:spacing w:line="360" w:lineRule="auto"/>
        <w:ind w:firstLine="420"/>
        <w:jc w:val="left"/>
        <w:rPr>
          <w:rFonts w:hint="eastAsia" w:ascii="仿宋_GB2312" w:hAnsi="仿宋_GB2312" w:eastAsia="仿宋_GB2312" w:cs="宋体"/>
          <w:color w:val="auto"/>
          <w:kern w:val="0"/>
          <w:sz w:val="24"/>
          <w:highlight w:val="none"/>
        </w:rPr>
      </w:pPr>
      <w:r>
        <w:rPr>
          <w:rFonts w:hint="eastAsia" w:ascii="仿宋_GB2312" w:hAnsi="仿宋_GB2312" w:eastAsia="仿宋_GB2312" w:cs="宋体"/>
          <w:color w:val="auto"/>
          <w:kern w:val="0"/>
          <w:sz w:val="24"/>
          <w:highlight w:val="none"/>
        </w:rPr>
        <w:t>注：本协议书由法定代表人签字的，应附法定代表人身份证明；本协议书由委托代理人签字的，应附法定代表人授权委托书。</w:t>
      </w:r>
    </w:p>
    <w:p w14:paraId="3E54BFA5">
      <w:pPr>
        <w:autoSpaceDE w:val="0"/>
        <w:autoSpaceDN w:val="0"/>
        <w:adjustRightInd w:val="0"/>
        <w:spacing w:line="360" w:lineRule="auto"/>
        <w:jc w:val="left"/>
        <w:rPr>
          <w:rFonts w:hint="eastAsia" w:ascii="仿宋_GB2312" w:hAnsi="仿宋_GB2312" w:eastAsia="仿宋_GB2312" w:cs="宋体"/>
          <w:color w:val="auto"/>
          <w:kern w:val="0"/>
          <w:sz w:val="24"/>
          <w:highlight w:val="none"/>
        </w:rPr>
      </w:pPr>
      <w:r>
        <w:rPr>
          <w:rFonts w:hint="eastAsia" w:ascii="仿宋_GB2312" w:hAnsi="仿宋_GB2312" w:eastAsia="仿宋_GB2312" w:cs="宋体"/>
          <w:color w:val="auto"/>
          <w:kern w:val="0"/>
          <w:sz w:val="24"/>
          <w:highlight w:val="none"/>
        </w:rPr>
        <w:t>牵头人名称：</w:t>
      </w:r>
      <w:r>
        <w:rPr>
          <w:rFonts w:hint="eastAsia" w:ascii="仿宋_GB2312" w:hAnsi="仿宋_GB2312" w:eastAsia="仿宋_GB2312" w:cs="宋体"/>
          <w:color w:val="auto"/>
          <w:kern w:val="0"/>
          <w:sz w:val="24"/>
          <w:highlight w:val="none"/>
          <w:u w:val="single"/>
        </w:rPr>
        <w:t xml:space="preserve">                                       </w:t>
      </w:r>
      <w:r>
        <w:rPr>
          <w:rFonts w:hint="eastAsia" w:ascii="仿宋_GB2312" w:hAnsi="仿宋_GB2312" w:eastAsia="仿宋_GB2312" w:cs="宋体"/>
          <w:color w:val="auto"/>
          <w:kern w:val="0"/>
          <w:sz w:val="24"/>
          <w:highlight w:val="none"/>
        </w:rPr>
        <w:t>（盖单位公章）</w:t>
      </w:r>
    </w:p>
    <w:p w14:paraId="1D746F6C">
      <w:pPr>
        <w:autoSpaceDE w:val="0"/>
        <w:autoSpaceDN w:val="0"/>
        <w:adjustRightInd w:val="0"/>
        <w:spacing w:line="360" w:lineRule="auto"/>
        <w:jc w:val="left"/>
        <w:rPr>
          <w:rFonts w:hint="eastAsia" w:ascii="仿宋_GB2312" w:hAnsi="仿宋_GB2312" w:eastAsia="仿宋_GB2312" w:cs="宋体"/>
          <w:color w:val="auto"/>
          <w:kern w:val="0"/>
          <w:sz w:val="24"/>
          <w:highlight w:val="none"/>
        </w:rPr>
      </w:pPr>
      <w:r>
        <w:rPr>
          <w:rFonts w:hint="eastAsia" w:ascii="仿宋_GB2312" w:hAnsi="仿宋_GB2312" w:eastAsia="仿宋_GB2312" w:cs="宋体"/>
          <w:color w:val="auto"/>
          <w:kern w:val="0"/>
          <w:sz w:val="24"/>
          <w:highlight w:val="none"/>
        </w:rPr>
        <w:t>法定代表人或其委托代理人：</w:t>
      </w:r>
      <w:r>
        <w:rPr>
          <w:rFonts w:hint="eastAsia" w:ascii="仿宋_GB2312" w:hAnsi="仿宋_GB2312" w:eastAsia="仿宋_GB2312" w:cs="宋体"/>
          <w:color w:val="auto"/>
          <w:kern w:val="0"/>
          <w:sz w:val="24"/>
          <w:highlight w:val="none"/>
          <w:u w:val="single"/>
        </w:rPr>
        <w:t xml:space="preserve">                         </w:t>
      </w:r>
      <w:r>
        <w:rPr>
          <w:rFonts w:hint="eastAsia" w:ascii="仿宋_GB2312" w:hAnsi="仿宋_GB2312" w:eastAsia="仿宋_GB2312" w:cs="宋体"/>
          <w:color w:val="auto"/>
          <w:kern w:val="0"/>
          <w:sz w:val="24"/>
          <w:highlight w:val="none"/>
        </w:rPr>
        <w:t>（签字或盖章）</w:t>
      </w:r>
    </w:p>
    <w:p w14:paraId="7EAEDD7C">
      <w:pPr>
        <w:autoSpaceDE w:val="0"/>
        <w:autoSpaceDN w:val="0"/>
        <w:adjustRightInd w:val="0"/>
        <w:spacing w:line="360" w:lineRule="auto"/>
        <w:jc w:val="left"/>
        <w:rPr>
          <w:rFonts w:hint="eastAsia" w:ascii="仿宋_GB2312" w:hAnsi="仿宋_GB2312" w:eastAsia="仿宋_GB2312" w:cs="宋体"/>
          <w:color w:val="auto"/>
          <w:kern w:val="0"/>
          <w:sz w:val="24"/>
          <w:highlight w:val="none"/>
        </w:rPr>
      </w:pPr>
    </w:p>
    <w:p w14:paraId="402AB10F">
      <w:pPr>
        <w:autoSpaceDE w:val="0"/>
        <w:autoSpaceDN w:val="0"/>
        <w:adjustRightInd w:val="0"/>
        <w:spacing w:line="360" w:lineRule="auto"/>
        <w:jc w:val="left"/>
        <w:rPr>
          <w:rFonts w:hint="eastAsia" w:ascii="仿宋_GB2312" w:hAnsi="仿宋_GB2312" w:eastAsia="仿宋_GB2312" w:cs="宋体"/>
          <w:color w:val="auto"/>
          <w:kern w:val="0"/>
          <w:sz w:val="24"/>
          <w:highlight w:val="none"/>
        </w:rPr>
      </w:pPr>
      <w:r>
        <w:rPr>
          <w:rFonts w:hint="eastAsia" w:ascii="仿宋_GB2312" w:hAnsi="仿宋_GB2312" w:eastAsia="仿宋_GB2312" w:cs="宋体"/>
          <w:color w:val="auto"/>
          <w:kern w:val="0"/>
          <w:sz w:val="24"/>
          <w:highlight w:val="none"/>
        </w:rPr>
        <w:t>成员一名称：</w:t>
      </w:r>
      <w:r>
        <w:rPr>
          <w:rFonts w:hint="eastAsia" w:ascii="仿宋_GB2312" w:hAnsi="仿宋_GB2312" w:eastAsia="仿宋_GB2312" w:cs="宋体"/>
          <w:color w:val="auto"/>
          <w:kern w:val="0"/>
          <w:sz w:val="24"/>
          <w:highlight w:val="none"/>
          <w:u w:val="single"/>
        </w:rPr>
        <w:t xml:space="preserve">                                       </w:t>
      </w:r>
      <w:r>
        <w:rPr>
          <w:rFonts w:hint="eastAsia" w:ascii="仿宋_GB2312" w:hAnsi="仿宋_GB2312" w:eastAsia="仿宋_GB2312" w:cs="宋体"/>
          <w:color w:val="auto"/>
          <w:kern w:val="0"/>
          <w:sz w:val="24"/>
          <w:highlight w:val="none"/>
        </w:rPr>
        <w:t>（盖单位公章）</w:t>
      </w:r>
    </w:p>
    <w:p w14:paraId="78F2E7F2">
      <w:pPr>
        <w:autoSpaceDE w:val="0"/>
        <w:autoSpaceDN w:val="0"/>
        <w:adjustRightInd w:val="0"/>
        <w:spacing w:line="360" w:lineRule="auto"/>
        <w:jc w:val="left"/>
        <w:rPr>
          <w:rFonts w:hint="eastAsia" w:ascii="仿宋_GB2312" w:hAnsi="仿宋_GB2312" w:eastAsia="仿宋_GB2312" w:cs="宋体"/>
          <w:color w:val="auto"/>
          <w:kern w:val="0"/>
          <w:sz w:val="24"/>
          <w:highlight w:val="none"/>
        </w:rPr>
      </w:pPr>
      <w:r>
        <w:rPr>
          <w:rFonts w:hint="eastAsia" w:ascii="仿宋_GB2312" w:hAnsi="仿宋_GB2312" w:eastAsia="仿宋_GB2312" w:cs="宋体"/>
          <w:color w:val="auto"/>
          <w:kern w:val="0"/>
          <w:sz w:val="24"/>
          <w:highlight w:val="none"/>
        </w:rPr>
        <w:t>法定代表人或其委托代理人：</w:t>
      </w:r>
      <w:r>
        <w:rPr>
          <w:rFonts w:hint="eastAsia" w:ascii="仿宋_GB2312" w:hAnsi="仿宋_GB2312" w:eastAsia="仿宋_GB2312" w:cs="宋体"/>
          <w:color w:val="auto"/>
          <w:kern w:val="0"/>
          <w:sz w:val="24"/>
          <w:highlight w:val="none"/>
          <w:u w:val="single"/>
        </w:rPr>
        <w:t xml:space="preserve">                         </w:t>
      </w:r>
      <w:r>
        <w:rPr>
          <w:rFonts w:hint="eastAsia" w:ascii="仿宋_GB2312" w:hAnsi="仿宋_GB2312" w:eastAsia="仿宋_GB2312" w:cs="宋体"/>
          <w:color w:val="auto"/>
          <w:kern w:val="0"/>
          <w:sz w:val="24"/>
          <w:highlight w:val="none"/>
        </w:rPr>
        <w:t>（签字或盖章）</w:t>
      </w:r>
    </w:p>
    <w:p w14:paraId="1F058AB9">
      <w:pPr>
        <w:autoSpaceDE w:val="0"/>
        <w:autoSpaceDN w:val="0"/>
        <w:adjustRightInd w:val="0"/>
        <w:spacing w:line="360" w:lineRule="auto"/>
        <w:jc w:val="left"/>
        <w:rPr>
          <w:rFonts w:hint="eastAsia" w:ascii="宋体" w:cs="宋体"/>
          <w:color w:val="auto"/>
          <w:kern w:val="0"/>
          <w:szCs w:val="21"/>
          <w:highlight w:val="none"/>
        </w:rPr>
      </w:pPr>
    </w:p>
    <w:p w14:paraId="6D9F0244">
      <w:pPr>
        <w:autoSpaceDE w:val="0"/>
        <w:autoSpaceDN w:val="0"/>
        <w:adjustRightInd w:val="0"/>
        <w:spacing w:line="360" w:lineRule="auto"/>
        <w:jc w:val="left"/>
        <w:rPr>
          <w:rFonts w:hint="eastAsia" w:ascii="仿宋_GB2312" w:hAnsi="仿宋_GB2312" w:eastAsia="仿宋_GB2312" w:cs="宋体"/>
          <w:color w:val="auto"/>
          <w:kern w:val="0"/>
          <w:sz w:val="24"/>
          <w:highlight w:val="none"/>
        </w:rPr>
      </w:pPr>
      <w:r>
        <w:rPr>
          <w:rFonts w:hint="eastAsia" w:ascii="仿宋_GB2312" w:hAnsi="仿宋_GB2312" w:eastAsia="仿宋_GB2312" w:cs="宋体"/>
          <w:color w:val="auto"/>
          <w:kern w:val="0"/>
          <w:sz w:val="24"/>
          <w:highlight w:val="none"/>
        </w:rPr>
        <w:t>成员二名称：</w:t>
      </w:r>
      <w:r>
        <w:rPr>
          <w:rFonts w:hint="eastAsia" w:ascii="仿宋_GB2312" w:hAnsi="仿宋_GB2312" w:eastAsia="仿宋_GB2312" w:cs="宋体"/>
          <w:color w:val="auto"/>
          <w:kern w:val="0"/>
          <w:sz w:val="24"/>
          <w:highlight w:val="none"/>
          <w:u w:val="single"/>
        </w:rPr>
        <w:t xml:space="preserve">                                       </w:t>
      </w:r>
      <w:r>
        <w:rPr>
          <w:rFonts w:hint="eastAsia" w:ascii="仿宋_GB2312" w:hAnsi="仿宋_GB2312" w:eastAsia="仿宋_GB2312" w:cs="宋体"/>
          <w:color w:val="auto"/>
          <w:kern w:val="0"/>
          <w:sz w:val="24"/>
          <w:highlight w:val="none"/>
        </w:rPr>
        <w:t>（盖单位公章）</w:t>
      </w:r>
    </w:p>
    <w:p w14:paraId="7829C4CA">
      <w:pPr>
        <w:autoSpaceDE w:val="0"/>
        <w:autoSpaceDN w:val="0"/>
        <w:adjustRightInd w:val="0"/>
        <w:spacing w:line="360" w:lineRule="auto"/>
        <w:jc w:val="left"/>
        <w:rPr>
          <w:rFonts w:hint="eastAsia" w:ascii="仿宋_GB2312" w:hAnsi="仿宋_GB2312" w:eastAsia="仿宋_GB2312" w:cs="宋体"/>
          <w:color w:val="auto"/>
          <w:kern w:val="0"/>
          <w:sz w:val="24"/>
          <w:highlight w:val="none"/>
        </w:rPr>
      </w:pPr>
      <w:r>
        <w:rPr>
          <w:rFonts w:hint="eastAsia" w:ascii="仿宋_GB2312" w:hAnsi="仿宋_GB2312" w:eastAsia="仿宋_GB2312" w:cs="宋体"/>
          <w:color w:val="auto"/>
          <w:kern w:val="0"/>
          <w:sz w:val="24"/>
          <w:highlight w:val="none"/>
        </w:rPr>
        <w:t>法定代表人或其委托代理人：                         （签字或盖章）</w:t>
      </w:r>
    </w:p>
    <w:p w14:paraId="260A28E1">
      <w:pPr>
        <w:autoSpaceDE w:val="0"/>
        <w:autoSpaceDN w:val="0"/>
        <w:adjustRightInd w:val="0"/>
        <w:spacing w:line="360" w:lineRule="auto"/>
        <w:jc w:val="left"/>
        <w:rPr>
          <w:rFonts w:hint="eastAsia" w:ascii="仿宋_GB2312" w:hAnsi="仿宋_GB2312" w:eastAsia="仿宋_GB2312" w:cs="宋体"/>
          <w:color w:val="auto"/>
          <w:kern w:val="0"/>
          <w:sz w:val="24"/>
          <w:highlight w:val="none"/>
        </w:rPr>
      </w:pPr>
    </w:p>
    <w:p w14:paraId="3BAF4447">
      <w:pPr>
        <w:autoSpaceDE w:val="0"/>
        <w:autoSpaceDN w:val="0"/>
        <w:adjustRightInd w:val="0"/>
        <w:spacing w:line="360" w:lineRule="auto"/>
        <w:jc w:val="left"/>
        <w:rPr>
          <w:rFonts w:hint="eastAsia" w:ascii="仿宋_GB2312" w:hAnsi="仿宋_GB2312" w:eastAsia="仿宋_GB2312" w:cs="宋体"/>
          <w:color w:val="auto"/>
          <w:kern w:val="0"/>
          <w:sz w:val="24"/>
          <w:highlight w:val="none"/>
        </w:rPr>
      </w:pPr>
    </w:p>
    <w:p w14:paraId="1997A313">
      <w:pPr>
        <w:autoSpaceDE w:val="0"/>
        <w:autoSpaceDN w:val="0"/>
        <w:spacing w:line="360" w:lineRule="auto"/>
        <w:ind w:left="4365" w:leftChars="1850" w:hanging="480" w:hangingChars="20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40AFFDF3">
      <w:pPr>
        <w:autoSpaceDE w:val="0"/>
        <w:autoSpaceDN w:val="0"/>
        <w:spacing w:line="360" w:lineRule="auto"/>
        <w:ind w:firstLine="6120" w:firstLineChars="2550"/>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  年  月   日</w:t>
      </w:r>
    </w:p>
    <w:p w14:paraId="13D4DB0B">
      <w:pPr>
        <w:autoSpaceDE w:val="0"/>
        <w:autoSpaceDN w:val="0"/>
        <w:spacing w:line="360" w:lineRule="auto"/>
        <w:ind w:firstLine="6120" w:firstLineChars="2550"/>
        <w:rPr>
          <w:rFonts w:hint="eastAsia" w:ascii="仿宋_GB2312" w:hAnsi="仿宋" w:eastAsia="仿宋_GB2312" w:cs="仿宋_GB2312"/>
          <w:color w:val="auto"/>
          <w:kern w:val="0"/>
          <w:sz w:val="24"/>
          <w:highlight w:val="none"/>
          <w:lang w:val="zh-CN"/>
        </w:rPr>
      </w:pPr>
    </w:p>
    <w:p w14:paraId="2DD4E081">
      <w:pPr>
        <w:autoSpaceDE w:val="0"/>
        <w:autoSpaceDN w:val="0"/>
        <w:spacing w:line="360" w:lineRule="auto"/>
        <w:ind w:firstLine="6120" w:firstLineChars="2550"/>
        <w:rPr>
          <w:rFonts w:hint="eastAsia" w:ascii="仿宋_GB2312" w:hAnsi="仿宋" w:eastAsia="仿宋_GB2312" w:cs="仿宋_GB2312"/>
          <w:color w:val="auto"/>
          <w:kern w:val="0"/>
          <w:sz w:val="24"/>
          <w:highlight w:val="none"/>
          <w:lang w:val="zh-CN"/>
        </w:rPr>
      </w:pPr>
    </w:p>
    <w:p w14:paraId="39FCE8B4">
      <w:pPr>
        <w:autoSpaceDE w:val="0"/>
        <w:autoSpaceDN w:val="0"/>
        <w:spacing w:line="360" w:lineRule="auto"/>
        <w:ind w:firstLine="6120" w:firstLineChars="2550"/>
        <w:rPr>
          <w:rFonts w:hint="eastAsia" w:ascii="仿宋_GB2312" w:hAnsi="仿宋" w:eastAsia="仿宋_GB2312" w:cs="仿宋_GB2312"/>
          <w:color w:val="auto"/>
          <w:kern w:val="0"/>
          <w:sz w:val="24"/>
          <w:highlight w:val="none"/>
          <w:lang w:val="zh-CN"/>
        </w:rPr>
      </w:pPr>
    </w:p>
    <w:p w14:paraId="6AFFEEB8">
      <w:pPr>
        <w:snapToGrid w:val="0"/>
        <w:spacing w:line="360" w:lineRule="auto"/>
        <w:ind w:firstLine="602" w:firstLineChars="200"/>
        <w:rPr>
          <w:rFonts w:hint="eastAsia" w:ascii="仿宋" w:hAnsi="仿宋" w:eastAsia="仿宋" w:cs="仿宋_GB2312"/>
          <w:b/>
          <w:color w:val="auto"/>
          <w:sz w:val="30"/>
          <w:szCs w:val="30"/>
          <w:highlight w:val="none"/>
        </w:rPr>
      </w:pPr>
      <w:r>
        <w:rPr>
          <w:rFonts w:hint="eastAsia" w:ascii="仿宋" w:hAnsi="仿宋" w:eastAsia="仿宋" w:cs="仿宋_GB2312"/>
          <w:b/>
          <w:color w:val="auto"/>
          <w:sz w:val="30"/>
          <w:szCs w:val="30"/>
          <w:highlight w:val="none"/>
        </w:rPr>
        <w:t>八、符合特定资格条件（如果项目要求）的有关证明材料（复印件）</w:t>
      </w:r>
    </w:p>
    <w:p w14:paraId="23231967">
      <w:pPr>
        <w:snapToGrid w:val="0"/>
        <w:spacing w:line="360" w:lineRule="auto"/>
        <w:ind w:firstLine="602" w:firstLineChars="200"/>
        <w:rPr>
          <w:rFonts w:hint="eastAsia" w:ascii="仿宋" w:hAnsi="仿宋" w:eastAsia="仿宋" w:cs="仿宋_GB2312"/>
          <w:b/>
          <w:color w:val="auto"/>
          <w:sz w:val="30"/>
          <w:szCs w:val="30"/>
          <w:highlight w:val="none"/>
        </w:rPr>
      </w:pPr>
    </w:p>
    <w:p w14:paraId="54BF088E">
      <w:pPr>
        <w:autoSpaceDE w:val="0"/>
        <w:autoSpaceDN w:val="0"/>
        <w:spacing w:line="360" w:lineRule="auto"/>
        <w:ind w:left="4335" w:leftChars="1950" w:hanging="240" w:hangingChars="10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5596DC3C">
      <w:pPr>
        <w:autoSpaceDE w:val="0"/>
        <w:autoSpaceDN w:val="0"/>
        <w:spacing w:line="360" w:lineRule="auto"/>
        <w:ind w:firstLine="6480" w:firstLineChars="2700"/>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 xml:space="preserve">日期：  年  月   </w:t>
      </w:r>
    </w:p>
    <w:p w14:paraId="5FFDF95E">
      <w:pPr>
        <w:pStyle w:val="15"/>
        <w:spacing w:line="500" w:lineRule="exact"/>
        <w:ind w:firstLine="602" w:firstLineChars="200"/>
        <w:rPr>
          <w:rFonts w:hint="eastAsia" w:ascii="仿宋" w:hAnsi="仿宋" w:eastAsia="仿宋" w:cs="仿宋_GB2312"/>
          <w:b/>
          <w:color w:val="auto"/>
          <w:kern w:val="2"/>
          <w:sz w:val="30"/>
          <w:szCs w:val="30"/>
          <w:highlight w:val="none"/>
        </w:rPr>
      </w:pPr>
      <w:r>
        <w:rPr>
          <w:rFonts w:ascii="仿宋" w:hAnsi="仿宋" w:eastAsia="仿宋" w:cs="仿宋_GB2312"/>
          <w:b/>
          <w:color w:val="auto"/>
          <w:kern w:val="2"/>
          <w:sz w:val="30"/>
          <w:szCs w:val="30"/>
          <w:highlight w:val="none"/>
        </w:rPr>
        <w:br w:type="page"/>
      </w:r>
      <w:r>
        <w:rPr>
          <w:rFonts w:hint="eastAsia" w:ascii="仿宋" w:hAnsi="仿宋" w:eastAsia="仿宋" w:cs="仿宋_GB2312"/>
          <w:b/>
          <w:color w:val="auto"/>
          <w:kern w:val="2"/>
          <w:sz w:val="30"/>
          <w:szCs w:val="30"/>
          <w:highlight w:val="none"/>
        </w:rPr>
        <w:t>九、中小企业声明函</w:t>
      </w:r>
    </w:p>
    <w:p w14:paraId="3F94C29E">
      <w:pPr>
        <w:spacing w:line="300" w:lineRule="auto"/>
        <w:ind w:firstLine="2200" w:firstLineChars="500"/>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中小企业声明函（服务）</w:t>
      </w:r>
    </w:p>
    <w:p w14:paraId="6DF1428B">
      <w:pPr>
        <w:pStyle w:val="11"/>
        <w:spacing w:line="500" w:lineRule="exact"/>
        <w:ind w:right="142" w:firstLine="480" w:firstLineChars="200"/>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本公司（联合体）郑重声明，根据《政府采购促进中小企业发展管理办法》（财库</w:t>
      </w:r>
      <w:r>
        <w:rPr>
          <w:rFonts w:hint="eastAsia" w:ascii="仿宋_GB2312" w:hAnsi="宋体"/>
          <w:color w:val="auto"/>
          <w:sz w:val="24"/>
          <w:highlight w:val="none"/>
        </w:rPr>
        <w:t>﹝</w:t>
      </w:r>
      <w:r>
        <w:rPr>
          <w:rFonts w:hint="eastAsia" w:ascii="仿宋_GB2312" w:hAnsi="宋体" w:eastAsia="仿宋_GB2312"/>
          <w:color w:val="auto"/>
          <w:sz w:val="24"/>
          <w:highlight w:val="none"/>
        </w:rPr>
        <w:t>2020</w:t>
      </w:r>
      <w:r>
        <w:rPr>
          <w:rFonts w:hint="eastAsia" w:ascii="仿宋_GB2312" w:hAnsi="宋体"/>
          <w:color w:val="auto"/>
          <w:sz w:val="24"/>
          <w:highlight w:val="none"/>
        </w:rPr>
        <w:t>﹞</w:t>
      </w:r>
      <w:r>
        <w:rPr>
          <w:rFonts w:hint="eastAsia" w:ascii="仿宋_GB2312" w:hAnsi="宋体" w:eastAsia="仿宋_GB2312"/>
          <w:color w:val="auto"/>
          <w:sz w:val="24"/>
          <w:highlight w:val="none"/>
        </w:rPr>
        <w:t>46号）的规定，本公司（联合体）参加</w:t>
      </w:r>
      <w:r>
        <w:rPr>
          <w:rFonts w:hint="eastAsia" w:ascii="仿宋_GB2312" w:hAnsi="宋体" w:eastAsia="仿宋_GB2312"/>
          <w:color w:val="auto"/>
          <w:sz w:val="24"/>
          <w:highlight w:val="none"/>
          <w:u w:val="single"/>
          <w:lang w:eastAsia="zh-CN"/>
        </w:rPr>
        <w:t>南宁市邕宁区农业农村局</w:t>
      </w:r>
      <w:r>
        <w:rPr>
          <w:rFonts w:hint="eastAsia" w:ascii="仿宋_GB2312" w:hAnsi="宋体" w:eastAsia="仿宋_GB2312"/>
          <w:color w:val="auto"/>
          <w:sz w:val="24"/>
          <w:highlight w:val="none"/>
        </w:rPr>
        <w:t>的</w:t>
      </w:r>
      <w:r>
        <w:rPr>
          <w:rFonts w:hint="eastAsia" w:ascii="仿宋_GB2312" w:hAnsi="宋体" w:eastAsia="仿宋_GB2312"/>
          <w:color w:val="auto"/>
          <w:sz w:val="24"/>
          <w:highlight w:val="none"/>
          <w:u w:val="single"/>
          <w:lang w:eastAsia="zh-CN"/>
        </w:rPr>
        <w:t>邕宁区蒲庙电灌站灌区续建配套与节水改造工程项目立项建议报告编制技术服务项目</w:t>
      </w:r>
      <w:r>
        <w:rPr>
          <w:rFonts w:hint="eastAsia" w:ascii="仿宋_GB2312" w:hAnsi="宋体" w:eastAsia="仿宋_GB2312"/>
          <w:color w:val="auto"/>
          <w:sz w:val="24"/>
          <w:highlight w:val="none"/>
        </w:rPr>
        <w:t>采购活动，服务全部由符合政策要求的中小企业承接。相关企业（含联合体中的中小企业、签订分包意向协议的中小企业）的具体情况如下：</w:t>
      </w:r>
    </w:p>
    <w:p w14:paraId="4965CFB4">
      <w:pPr>
        <w:pStyle w:val="11"/>
        <w:spacing w:line="500" w:lineRule="exact"/>
        <w:ind w:right="142" w:firstLine="480" w:firstLineChars="200"/>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1.</w:t>
      </w:r>
      <w:r>
        <w:rPr>
          <w:rFonts w:hint="eastAsia" w:ascii="仿宋_GB2312" w:hAnsi="宋体" w:eastAsia="仿宋_GB2312"/>
          <w:color w:val="auto"/>
          <w:sz w:val="24"/>
          <w:highlight w:val="none"/>
          <w:u w:val="single"/>
        </w:rPr>
        <w:t>（标的名称）</w:t>
      </w:r>
      <w:r>
        <w:rPr>
          <w:rFonts w:hint="eastAsia" w:ascii="仿宋_GB2312" w:hAnsi="宋体" w:eastAsia="仿宋_GB2312"/>
          <w:color w:val="auto"/>
          <w:sz w:val="24"/>
          <w:highlight w:val="none"/>
        </w:rPr>
        <w:t>，属于</w:t>
      </w:r>
      <w:r>
        <w:rPr>
          <w:rFonts w:hint="eastAsia" w:ascii="仿宋_GB2312" w:hAnsi="宋体" w:eastAsia="仿宋_GB2312"/>
          <w:color w:val="auto"/>
          <w:sz w:val="24"/>
          <w:highlight w:val="none"/>
          <w:u w:val="single"/>
        </w:rPr>
        <w:t>（采购文件中明确的所属行业）</w:t>
      </w:r>
      <w:r>
        <w:rPr>
          <w:rFonts w:hint="eastAsia" w:ascii="仿宋_GB2312" w:hAnsi="宋体" w:eastAsia="仿宋_GB2312"/>
          <w:color w:val="auto"/>
          <w:sz w:val="24"/>
          <w:highlight w:val="none"/>
        </w:rPr>
        <w:t>；承接企业为</w:t>
      </w:r>
      <w:r>
        <w:rPr>
          <w:rFonts w:hint="eastAsia" w:ascii="仿宋_GB2312" w:hAnsi="宋体" w:eastAsia="仿宋_GB2312"/>
          <w:color w:val="auto"/>
          <w:sz w:val="24"/>
          <w:highlight w:val="none"/>
          <w:u w:val="single"/>
        </w:rPr>
        <w:t>（企业名称）</w:t>
      </w:r>
      <w:r>
        <w:rPr>
          <w:rFonts w:hint="eastAsia" w:ascii="仿宋_GB2312" w:hAnsi="宋体" w:eastAsia="仿宋_GB2312"/>
          <w:color w:val="auto"/>
          <w:sz w:val="24"/>
          <w:highlight w:val="none"/>
        </w:rPr>
        <w:t>，从业人员</w:t>
      </w:r>
      <w:r>
        <w:rPr>
          <w:rFonts w:hint="eastAsia" w:ascii="仿宋_GB2312" w:hAnsi="宋体" w:eastAsia="仿宋_GB2312"/>
          <w:color w:val="auto"/>
          <w:sz w:val="24"/>
          <w:highlight w:val="none"/>
          <w:u w:val="single"/>
        </w:rPr>
        <w:t xml:space="preserve">      </w:t>
      </w:r>
      <w:r>
        <w:rPr>
          <w:rFonts w:hint="eastAsia" w:ascii="仿宋_GB2312" w:hAnsi="宋体" w:eastAsia="仿宋_GB2312"/>
          <w:color w:val="auto"/>
          <w:sz w:val="24"/>
          <w:highlight w:val="none"/>
        </w:rPr>
        <w:t>人，营业收入为</w:t>
      </w:r>
      <w:r>
        <w:rPr>
          <w:rFonts w:hint="eastAsia" w:ascii="仿宋_GB2312" w:hAnsi="宋体" w:eastAsia="仿宋_GB2312"/>
          <w:color w:val="auto"/>
          <w:sz w:val="24"/>
          <w:highlight w:val="none"/>
          <w:u w:val="single"/>
        </w:rPr>
        <w:t xml:space="preserve">     </w:t>
      </w:r>
      <w:r>
        <w:rPr>
          <w:rFonts w:hint="eastAsia" w:ascii="仿宋_GB2312" w:hAnsi="宋体" w:eastAsia="仿宋_GB2312"/>
          <w:color w:val="auto"/>
          <w:sz w:val="24"/>
          <w:highlight w:val="none"/>
        </w:rPr>
        <w:t xml:space="preserve"> 万元，资产总额为</w:t>
      </w:r>
      <w:r>
        <w:rPr>
          <w:rFonts w:hint="eastAsia" w:ascii="仿宋_GB2312" w:hAnsi="宋体" w:eastAsia="仿宋_GB2312"/>
          <w:color w:val="auto"/>
          <w:sz w:val="24"/>
          <w:highlight w:val="none"/>
          <w:u w:val="single"/>
        </w:rPr>
        <w:t xml:space="preserve">     </w:t>
      </w:r>
      <w:r>
        <w:rPr>
          <w:rFonts w:hint="eastAsia" w:ascii="仿宋_GB2312" w:hAnsi="宋体" w:eastAsia="仿宋_GB2312"/>
          <w:color w:val="auto"/>
          <w:sz w:val="24"/>
          <w:highlight w:val="none"/>
        </w:rPr>
        <w:t xml:space="preserve"> 万元，属于</w:t>
      </w:r>
      <w:r>
        <w:rPr>
          <w:rFonts w:hint="eastAsia" w:ascii="仿宋_GB2312" w:hAnsi="宋体" w:eastAsia="仿宋_GB2312"/>
          <w:color w:val="auto"/>
          <w:sz w:val="24"/>
          <w:highlight w:val="none"/>
          <w:u w:val="single"/>
        </w:rPr>
        <w:t>（中型企业、小型企业、微型企业）</w:t>
      </w:r>
      <w:r>
        <w:rPr>
          <w:rFonts w:hint="eastAsia" w:ascii="仿宋_GB2312" w:hAnsi="宋体" w:eastAsia="仿宋_GB2312"/>
          <w:color w:val="auto"/>
          <w:sz w:val="24"/>
          <w:highlight w:val="none"/>
        </w:rPr>
        <w:t>；</w:t>
      </w:r>
    </w:p>
    <w:p w14:paraId="785D8DB3">
      <w:pPr>
        <w:pStyle w:val="11"/>
        <w:spacing w:line="500" w:lineRule="exact"/>
        <w:ind w:right="142" w:firstLine="480" w:firstLineChars="200"/>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2.</w:t>
      </w:r>
      <w:r>
        <w:rPr>
          <w:rFonts w:hint="eastAsia" w:ascii="仿宋_GB2312" w:hAnsi="宋体" w:eastAsia="仿宋_GB2312"/>
          <w:color w:val="auto"/>
          <w:sz w:val="24"/>
          <w:highlight w:val="none"/>
          <w:u w:val="single"/>
        </w:rPr>
        <w:t>（标的名称）</w:t>
      </w:r>
      <w:r>
        <w:rPr>
          <w:rFonts w:hint="eastAsia" w:ascii="仿宋_GB2312" w:hAnsi="宋体" w:eastAsia="仿宋_GB2312"/>
          <w:color w:val="auto"/>
          <w:sz w:val="24"/>
          <w:highlight w:val="none"/>
        </w:rPr>
        <w:t>，属于</w:t>
      </w:r>
      <w:r>
        <w:rPr>
          <w:rFonts w:hint="eastAsia" w:ascii="仿宋_GB2312" w:hAnsi="宋体" w:eastAsia="仿宋_GB2312"/>
          <w:color w:val="auto"/>
          <w:sz w:val="24"/>
          <w:highlight w:val="none"/>
          <w:u w:val="single"/>
        </w:rPr>
        <w:t>（采购文件中明确的所属行业）</w:t>
      </w:r>
      <w:r>
        <w:rPr>
          <w:rFonts w:hint="eastAsia" w:ascii="仿宋_GB2312" w:hAnsi="宋体" w:eastAsia="仿宋_GB2312"/>
          <w:color w:val="auto"/>
          <w:sz w:val="24"/>
          <w:highlight w:val="none"/>
        </w:rPr>
        <w:t>；承接企业为</w:t>
      </w:r>
      <w:r>
        <w:rPr>
          <w:rFonts w:hint="eastAsia" w:ascii="仿宋_GB2312" w:hAnsi="宋体" w:eastAsia="仿宋_GB2312"/>
          <w:color w:val="auto"/>
          <w:sz w:val="24"/>
          <w:highlight w:val="none"/>
          <w:u w:val="single"/>
        </w:rPr>
        <w:t>（企业名称）</w:t>
      </w:r>
      <w:r>
        <w:rPr>
          <w:rFonts w:hint="eastAsia" w:ascii="仿宋_GB2312" w:hAnsi="宋体" w:eastAsia="仿宋_GB2312"/>
          <w:color w:val="auto"/>
          <w:sz w:val="24"/>
          <w:highlight w:val="none"/>
        </w:rPr>
        <w:t>，从业人员</w:t>
      </w:r>
      <w:r>
        <w:rPr>
          <w:rFonts w:hint="eastAsia" w:ascii="仿宋_GB2312" w:hAnsi="宋体" w:eastAsia="仿宋_GB2312"/>
          <w:color w:val="auto"/>
          <w:sz w:val="24"/>
          <w:highlight w:val="none"/>
          <w:u w:val="single"/>
        </w:rPr>
        <w:t xml:space="preserve">      </w:t>
      </w:r>
      <w:r>
        <w:rPr>
          <w:rFonts w:hint="eastAsia" w:ascii="仿宋_GB2312" w:hAnsi="宋体" w:eastAsia="仿宋_GB2312"/>
          <w:color w:val="auto"/>
          <w:sz w:val="24"/>
          <w:highlight w:val="none"/>
        </w:rPr>
        <w:t>人，营业收入为</w:t>
      </w:r>
      <w:r>
        <w:rPr>
          <w:rFonts w:hint="eastAsia" w:ascii="仿宋_GB2312" w:hAnsi="宋体" w:eastAsia="仿宋_GB2312"/>
          <w:color w:val="auto"/>
          <w:sz w:val="24"/>
          <w:highlight w:val="none"/>
          <w:u w:val="single"/>
        </w:rPr>
        <w:t xml:space="preserve">      </w:t>
      </w:r>
      <w:r>
        <w:rPr>
          <w:rFonts w:hint="eastAsia" w:ascii="仿宋_GB2312" w:hAnsi="宋体" w:eastAsia="仿宋_GB2312"/>
          <w:color w:val="auto"/>
          <w:sz w:val="24"/>
          <w:highlight w:val="none"/>
        </w:rPr>
        <w:t>万元，资产总额为</w:t>
      </w:r>
      <w:r>
        <w:rPr>
          <w:rFonts w:hint="eastAsia" w:ascii="仿宋_GB2312" w:hAnsi="宋体" w:eastAsia="仿宋_GB2312"/>
          <w:color w:val="auto"/>
          <w:sz w:val="24"/>
          <w:highlight w:val="none"/>
          <w:u w:val="single"/>
        </w:rPr>
        <w:t xml:space="preserve">      </w:t>
      </w:r>
      <w:r>
        <w:rPr>
          <w:rFonts w:hint="eastAsia" w:ascii="仿宋_GB2312" w:hAnsi="宋体" w:eastAsia="仿宋_GB2312"/>
          <w:color w:val="auto"/>
          <w:sz w:val="24"/>
          <w:highlight w:val="none"/>
        </w:rPr>
        <w:t>万元，属于</w:t>
      </w:r>
      <w:r>
        <w:rPr>
          <w:rFonts w:hint="eastAsia" w:ascii="仿宋_GB2312" w:hAnsi="宋体" w:eastAsia="仿宋_GB2312"/>
          <w:color w:val="auto"/>
          <w:sz w:val="24"/>
          <w:highlight w:val="none"/>
          <w:u w:val="single"/>
        </w:rPr>
        <w:t>（中型企业、小型企业、微型企业）</w:t>
      </w:r>
      <w:r>
        <w:rPr>
          <w:rFonts w:hint="eastAsia" w:ascii="仿宋_GB2312" w:hAnsi="宋体" w:eastAsia="仿宋_GB2312"/>
          <w:color w:val="auto"/>
          <w:sz w:val="24"/>
          <w:highlight w:val="none"/>
        </w:rPr>
        <w:t>；</w:t>
      </w:r>
    </w:p>
    <w:p w14:paraId="6A05F8AD">
      <w:pPr>
        <w:pStyle w:val="11"/>
        <w:spacing w:line="500" w:lineRule="exact"/>
        <w:ind w:right="142" w:firstLine="480" w:firstLineChars="200"/>
        <w:rPr>
          <w:rFonts w:hint="eastAsia" w:ascii="仿宋_GB2312" w:hAnsi="宋体" w:eastAsia="仿宋_GB2312"/>
          <w:color w:val="auto"/>
          <w:sz w:val="24"/>
          <w:highlight w:val="none"/>
        </w:rPr>
      </w:pPr>
    </w:p>
    <w:p w14:paraId="316CBECA">
      <w:pPr>
        <w:pStyle w:val="11"/>
        <w:spacing w:after="0" w:line="360" w:lineRule="auto"/>
        <w:ind w:left="-405" w:leftChars="-193" w:right="142" w:firstLine="453" w:firstLineChars="189"/>
        <w:contextualSpacing/>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以上企业，不属于大企业的分支机构，不存在控股股东为大企业的情形，也不存在与大企业的负责人为同一人的情形。</w:t>
      </w:r>
    </w:p>
    <w:p w14:paraId="6C344339">
      <w:pPr>
        <w:pStyle w:val="11"/>
        <w:spacing w:after="0" w:line="360" w:lineRule="auto"/>
        <w:ind w:left="-426" w:right="142" w:firstLine="567"/>
        <w:contextualSpacing/>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本企业对上述声明内容的真实性负责。如有虚假，将依法承担相应责任。</w:t>
      </w:r>
    </w:p>
    <w:p w14:paraId="2433BB81">
      <w:pPr>
        <w:pStyle w:val="11"/>
        <w:spacing w:after="0" w:line="360" w:lineRule="auto"/>
        <w:ind w:left="3960" w:right="1808"/>
        <w:contextualSpacing/>
        <w:rPr>
          <w:rFonts w:hint="eastAsia" w:ascii="宋体" w:hAnsi="宋体"/>
          <w:color w:val="auto"/>
          <w:sz w:val="24"/>
          <w:highlight w:val="none"/>
        </w:rPr>
      </w:pPr>
    </w:p>
    <w:p w14:paraId="0AC83D96">
      <w:pPr>
        <w:autoSpaceDE w:val="0"/>
        <w:autoSpaceDN w:val="0"/>
        <w:spacing w:line="360" w:lineRule="auto"/>
        <w:ind w:left="4335" w:leftChars="1950" w:hanging="240" w:hangingChars="10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10E8B21E">
      <w:pPr>
        <w:autoSpaceDE w:val="0"/>
        <w:autoSpaceDN w:val="0"/>
        <w:spacing w:line="360" w:lineRule="auto"/>
        <w:ind w:firstLine="5040" w:firstLineChars="2100"/>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  年  月   日</w:t>
      </w:r>
    </w:p>
    <w:p w14:paraId="2490E74C">
      <w:pPr>
        <w:pStyle w:val="11"/>
        <w:spacing w:after="0" w:line="360" w:lineRule="auto"/>
        <w:ind w:left="3960" w:right="1808"/>
        <w:contextualSpacing/>
        <w:rPr>
          <w:rFonts w:hint="eastAsia"/>
          <w:color w:val="auto"/>
          <w:highlight w:val="none"/>
        </w:rPr>
      </w:pPr>
    </w:p>
    <w:p w14:paraId="0B33964F">
      <w:pPr>
        <w:spacing w:line="360" w:lineRule="auto"/>
        <w:jc w:val="left"/>
        <w:rPr>
          <w:rFonts w:hint="eastAsia" w:ascii="宋体" w:hAnsi="宋体" w:cs="仿宋_GB2312"/>
          <w:color w:val="auto"/>
          <w:sz w:val="24"/>
          <w:highlight w:val="none"/>
        </w:rPr>
      </w:pPr>
      <w:r>
        <w:rPr>
          <w:rFonts w:hint="eastAsia" w:ascii="宋体" w:hAnsi="宋体" w:cs="仿宋_GB2312"/>
          <w:color w:val="auto"/>
          <w:sz w:val="24"/>
          <w:highlight w:val="none"/>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14:paraId="74ADA458">
      <w:pPr>
        <w:spacing w:line="360" w:lineRule="auto"/>
        <w:jc w:val="left"/>
        <w:rPr>
          <w:rFonts w:hint="eastAsia" w:ascii="宋体" w:hAnsi="宋体" w:cs="仿宋_GB2312"/>
          <w:color w:val="auto"/>
          <w:sz w:val="24"/>
          <w:highlight w:val="none"/>
        </w:rPr>
      </w:pPr>
    </w:p>
    <w:p w14:paraId="3DFEFD1A">
      <w:pPr>
        <w:spacing w:line="520" w:lineRule="exact"/>
        <w:rPr>
          <w:rFonts w:hint="eastAsia" w:ascii="宋体" w:hAnsi="宋体" w:cs="仿宋_GB2312"/>
          <w:color w:val="auto"/>
          <w:sz w:val="24"/>
          <w:highlight w:val="none"/>
        </w:rPr>
      </w:pPr>
    </w:p>
    <w:p w14:paraId="761C06B9">
      <w:pPr>
        <w:spacing w:line="520" w:lineRule="exact"/>
        <w:jc w:val="center"/>
        <w:rPr>
          <w:rFonts w:hint="eastAsia" w:ascii="仿宋_GB2312" w:hAnsi="仿宋_GB2312" w:eastAsia="仿宋_GB2312" w:cs="仿宋_GB2312"/>
          <w:color w:val="auto"/>
          <w:sz w:val="32"/>
          <w:szCs w:val="32"/>
          <w:highlight w:val="none"/>
        </w:rPr>
      </w:pPr>
      <w:r>
        <w:rPr>
          <w:rFonts w:ascii="方正小标宋简体" w:hAnsi="方正小标宋简体" w:eastAsia="方正小标宋简体" w:cs="方正小标宋简体"/>
          <w:color w:val="auto"/>
          <w:sz w:val="44"/>
          <w:szCs w:val="44"/>
          <w:highlight w:val="none"/>
        </w:rPr>
        <w:br w:type="page"/>
      </w:r>
      <w:r>
        <w:rPr>
          <w:rFonts w:hint="eastAsia" w:ascii="方正小标宋简体" w:hAnsi="方正小标宋简体" w:eastAsia="方正小标宋简体" w:cs="方正小标宋简体"/>
          <w:color w:val="auto"/>
          <w:sz w:val="44"/>
          <w:szCs w:val="44"/>
          <w:highlight w:val="none"/>
        </w:rPr>
        <w:t>残疾人福利性单位声明函</w:t>
      </w:r>
    </w:p>
    <w:p w14:paraId="03D2ACB4">
      <w:pPr>
        <w:spacing w:line="520" w:lineRule="exact"/>
        <w:rPr>
          <w:rFonts w:hint="eastAsia" w:ascii="仿宋_GB2312" w:hAnsi="仿宋_GB2312" w:eastAsia="仿宋_GB2312" w:cs="仿宋_GB2312"/>
          <w:color w:val="auto"/>
          <w:sz w:val="32"/>
          <w:szCs w:val="32"/>
          <w:highlight w:val="none"/>
        </w:rPr>
      </w:pPr>
    </w:p>
    <w:p w14:paraId="07B5F9CE">
      <w:pPr>
        <w:spacing w:line="360" w:lineRule="auto"/>
        <w:ind w:firstLine="480" w:firstLineChars="200"/>
        <w:rPr>
          <w:rFonts w:hint="eastAsia" w:ascii="仿宋_GB2312" w:hAnsi="宋体" w:eastAsia="仿宋_GB2312" w:cs="仿宋_GB2312"/>
          <w:color w:val="auto"/>
          <w:sz w:val="24"/>
          <w:highlight w:val="none"/>
        </w:rPr>
      </w:pPr>
      <w:r>
        <w:rPr>
          <w:rFonts w:hint="eastAsia" w:ascii="仿宋_GB2312" w:hAnsi="宋体" w:eastAsia="仿宋_GB2312" w:cs="仿宋_GB2312"/>
          <w:color w:val="auto"/>
          <w:sz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仿宋_GB2312" w:hAnsi="宋体" w:eastAsia="仿宋_GB2312" w:cs="仿宋_GB2312"/>
          <w:color w:val="auto"/>
          <w:sz w:val="24"/>
          <w:highlight w:val="none"/>
          <w:u w:val="single"/>
        </w:rPr>
        <w:t xml:space="preserve"> </w:t>
      </w:r>
      <w:r>
        <w:rPr>
          <w:rFonts w:hint="eastAsia" w:ascii="仿宋_GB2312" w:hAnsi="宋体" w:eastAsia="仿宋_GB2312" w:cs="仿宋_GB2312"/>
          <w:color w:val="auto"/>
          <w:sz w:val="24"/>
          <w:highlight w:val="none"/>
          <w:u w:val="single"/>
          <w:lang w:eastAsia="zh-CN"/>
        </w:rPr>
        <w:t>南宁市邕宁区农业农村局</w:t>
      </w:r>
      <w:r>
        <w:rPr>
          <w:rFonts w:hint="eastAsia" w:ascii="仿宋_GB2312" w:hAnsi="宋体" w:eastAsia="仿宋_GB2312" w:cs="仿宋_GB2312"/>
          <w:color w:val="auto"/>
          <w:sz w:val="24"/>
          <w:highlight w:val="none"/>
          <w:u w:val="single"/>
        </w:rPr>
        <w:t xml:space="preserve"> </w:t>
      </w:r>
      <w:r>
        <w:rPr>
          <w:rFonts w:hint="eastAsia" w:ascii="仿宋_GB2312" w:hAnsi="宋体" w:eastAsia="仿宋_GB2312" w:cs="仿宋_GB2312"/>
          <w:color w:val="auto"/>
          <w:sz w:val="24"/>
          <w:highlight w:val="none"/>
        </w:rPr>
        <w:t>单位的</w:t>
      </w:r>
      <w:r>
        <w:rPr>
          <w:rFonts w:hint="eastAsia" w:ascii="仿宋_GB2312" w:hAnsi="宋体" w:eastAsia="仿宋_GB2312" w:cs="仿宋_GB2312"/>
          <w:color w:val="auto"/>
          <w:sz w:val="24"/>
          <w:highlight w:val="none"/>
          <w:u w:val="single"/>
        </w:rPr>
        <w:t xml:space="preserve"> </w:t>
      </w:r>
      <w:r>
        <w:rPr>
          <w:rFonts w:hint="eastAsia" w:ascii="仿宋_GB2312" w:hAnsi="宋体" w:eastAsia="仿宋_GB2312" w:cs="仿宋_GB2312"/>
          <w:color w:val="auto"/>
          <w:sz w:val="24"/>
          <w:highlight w:val="none"/>
          <w:u w:val="single"/>
          <w:lang w:eastAsia="zh-CN"/>
        </w:rPr>
        <w:t>邕宁区蒲庙电灌站灌区续建配套与节水改造工程项目立项建议报告编制技术服务项目</w:t>
      </w:r>
      <w:r>
        <w:rPr>
          <w:rFonts w:hint="eastAsia" w:ascii="仿宋_GB2312" w:hAnsi="宋体" w:eastAsia="仿宋_GB2312" w:cs="仿宋_GB2312"/>
          <w:color w:val="auto"/>
          <w:sz w:val="24"/>
          <w:highlight w:val="none"/>
        </w:rPr>
        <w:t>采购活动由本单位提供服务。</w:t>
      </w:r>
    </w:p>
    <w:p w14:paraId="1A0BE625">
      <w:pPr>
        <w:spacing w:line="360" w:lineRule="auto"/>
        <w:ind w:firstLine="480" w:firstLineChars="200"/>
        <w:rPr>
          <w:rFonts w:hint="eastAsia" w:ascii="仿宋_GB2312" w:hAnsi="宋体" w:eastAsia="仿宋_GB2312" w:cs="仿宋_GB2312"/>
          <w:color w:val="auto"/>
          <w:sz w:val="24"/>
          <w:highlight w:val="none"/>
        </w:rPr>
      </w:pPr>
      <w:r>
        <w:rPr>
          <w:rFonts w:hint="eastAsia" w:ascii="仿宋_GB2312" w:hAnsi="宋体" w:eastAsia="仿宋_GB2312" w:cs="仿宋_GB2312"/>
          <w:color w:val="auto"/>
          <w:sz w:val="24"/>
          <w:highlight w:val="none"/>
        </w:rPr>
        <w:t>本单位对上述声明的真实性负责。如有虚假，将依法承担相应责任。</w:t>
      </w:r>
    </w:p>
    <w:p w14:paraId="2778DE51">
      <w:pPr>
        <w:spacing w:line="360" w:lineRule="auto"/>
        <w:rPr>
          <w:rFonts w:hint="eastAsia" w:ascii="宋体" w:hAnsi="宋体" w:cs="仿宋_GB2312"/>
          <w:color w:val="auto"/>
          <w:sz w:val="24"/>
          <w:highlight w:val="none"/>
        </w:rPr>
      </w:pPr>
    </w:p>
    <w:p w14:paraId="34CD7F3A">
      <w:pPr>
        <w:spacing w:line="360" w:lineRule="auto"/>
        <w:rPr>
          <w:rFonts w:hint="eastAsia" w:ascii="宋体" w:hAnsi="宋体" w:cs="仿宋_GB2312"/>
          <w:color w:val="auto"/>
          <w:sz w:val="24"/>
          <w:highlight w:val="none"/>
        </w:rPr>
      </w:pPr>
    </w:p>
    <w:p w14:paraId="235CFFFD">
      <w:pPr>
        <w:spacing w:line="360" w:lineRule="auto"/>
        <w:rPr>
          <w:rFonts w:hint="eastAsia" w:ascii="宋体" w:hAnsi="宋体" w:cs="仿宋_GB2312"/>
          <w:color w:val="auto"/>
          <w:sz w:val="24"/>
          <w:highlight w:val="none"/>
        </w:rPr>
      </w:pPr>
    </w:p>
    <w:p w14:paraId="5115FC53">
      <w:pPr>
        <w:spacing w:line="360" w:lineRule="auto"/>
        <w:ind w:firstLine="2400" w:firstLineChars="1000"/>
        <w:rPr>
          <w:rFonts w:hint="eastAsia" w:ascii="宋体" w:hAnsi="宋体" w:cs="仿宋_GB2312"/>
          <w:color w:val="auto"/>
          <w:sz w:val="24"/>
          <w:highlight w:val="none"/>
        </w:rPr>
      </w:pPr>
      <w:r>
        <w:rPr>
          <w:rFonts w:hint="eastAsia" w:ascii="宋体" w:hAnsi="宋体" w:cs="仿宋_GB2312"/>
          <w:color w:val="auto"/>
          <w:sz w:val="24"/>
          <w:highlight w:val="none"/>
        </w:rPr>
        <w:t>供应商名称（电子签章）：</w:t>
      </w:r>
    </w:p>
    <w:p w14:paraId="2F7EC5A3">
      <w:pPr>
        <w:spacing w:line="360" w:lineRule="auto"/>
        <w:ind w:firstLine="4320" w:firstLineChars="1800"/>
        <w:rPr>
          <w:rFonts w:hint="eastAsia" w:ascii="宋体" w:hAnsi="宋体" w:cs="仿宋_GB2312"/>
          <w:color w:val="auto"/>
          <w:sz w:val="24"/>
          <w:highlight w:val="none"/>
        </w:rPr>
      </w:pPr>
      <w:r>
        <w:rPr>
          <w:rFonts w:hint="eastAsia" w:ascii="宋体" w:hAnsi="宋体" w:cs="仿宋_GB2312"/>
          <w:color w:val="auto"/>
          <w:sz w:val="24"/>
          <w:highlight w:val="none"/>
        </w:rPr>
        <w:t>日  期：     年   月   日</w:t>
      </w:r>
    </w:p>
    <w:p w14:paraId="60C3E064">
      <w:pPr>
        <w:spacing w:line="360" w:lineRule="auto"/>
        <w:rPr>
          <w:rFonts w:hint="eastAsia" w:ascii="宋体" w:hAnsi="宋体" w:cs="仿宋_GB2312"/>
          <w:color w:val="auto"/>
          <w:sz w:val="24"/>
          <w:highlight w:val="none"/>
        </w:rPr>
      </w:pPr>
    </w:p>
    <w:p w14:paraId="2B5AEE82">
      <w:pPr>
        <w:spacing w:line="360" w:lineRule="auto"/>
        <w:rPr>
          <w:rFonts w:hint="eastAsia" w:ascii="宋体" w:hAnsi="宋体" w:cs="仿宋_GB2312"/>
          <w:color w:val="auto"/>
          <w:sz w:val="24"/>
          <w:highlight w:val="none"/>
        </w:rPr>
      </w:pPr>
    </w:p>
    <w:p w14:paraId="37C4EDA1">
      <w:pPr>
        <w:spacing w:line="360" w:lineRule="auto"/>
        <w:rPr>
          <w:rFonts w:hint="eastAsia" w:ascii="宋体" w:hAnsi="宋体" w:cs="仿宋_GB2312"/>
          <w:color w:val="auto"/>
          <w:sz w:val="24"/>
          <w:highlight w:val="none"/>
        </w:rPr>
      </w:pPr>
    </w:p>
    <w:p w14:paraId="214E0DF3">
      <w:pPr>
        <w:spacing w:line="360" w:lineRule="auto"/>
        <w:rPr>
          <w:rFonts w:hint="eastAsia" w:ascii="宋体" w:hAnsi="宋体" w:cs="仿宋_GB2312"/>
          <w:color w:val="auto"/>
          <w:sz w:val="24"/>
          <w:highlight w:val="none"/>
        </w:rPr>
      </w:pPr>
      <w:r>
        <w:rPr>
          <w:rFonts w:hint="eastAsia" w:ascii="宋体" w:hAnsi="宋体" w:cs="仿宋_GB2312"/>
          <w:color w:val="auto"/>
          <w:sz w:val="24"/>
          <w:highlight w:val="none"/>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[2014]68号）的规定，投标人提供由省级以上监狱管理局、戒毒管理局（含新疆生产建设兵团）出具的属于监狱企业证明文件的，视同为小型和微型企业。</w:t>
      </w:r>
    </w:p>
    <w:p w14:paraId="026C657D">
      <w:pPr>
        <w:spacing w:line="520" w:lineRule="exact"/>
        <w:jc w:val="center"/>
        <w:rPr>
          <w:rFonts w:hint="eastAsia" w:ascii="宋体" w:hAnsi="宋体"/>
          <w:color w:val="auto"/>
          <w:sz w:val="24"/>
          <w:highlight w:val="none"/>
        </w:rPr>
      </w:pPr>
    </w:p>
    <w:p w14:paraId="4AB7BA11">
      <w:pPr>
        <w:spacing w:line="360" w:lineRule="auto"/>
        <w:jc w:val="left"/>
        <w:rPr>
          <w:rFonts w:ascii="仿宋_GB2312" w:hAnsi="仿宋" w:eastAsia="仿宋_GB2312" w:cs="仿宋_GB2312"/>
          <w:color w:val="auto"/>
          <w:kern w:val="0"/>
          <w:sz w:val="24"/>
          <w:highlight w:val="none"/>
        </w:rPr>
      </w:pPr>
    </w:p>
    <w:p w14:paraId="5CD7ECAB">
      <w:pPr>
        <w:autoSpaceDE w:val="0"/>
        <w:autoSpaceDN w:val="0"/>
        <w:spacing w:line="360" w:lineRule="auto"/>
        <w:ind w:firstLine="6480" w:firstLineChars="2700"/>
        <w:rPr>
          <w:rFonts w:hint="eastAsia" w:ascii="仿宋_GB2312" w:hAnsi="仿宋" w:eastAsia="仿宋_GB2312" w:cs="仿宋_GB2312"/>
          <w:color w:val="auto"/>
          <w:kern w:val="0"/>
          <w:sz w:val="24"/>
          <w:highlight w:val="none"/>
          <w:lang w:val="zh-CN"/>
        </w:rPr>
      </w:pPr>
    </w:p>
    <w:p w14:paraId="3367749B">
      <w:pPr>
        <w:widowControl/>
        <w:spacing w:line="360" w:lineRule="auto"/>
        <w:jc w:val="left"/>
        <w:rPr>
          <w:rFonts w:ascii="仿宋_GB2312" w:hAnsi="仿宋" w:eastAsia="仿宋_GB2312" w:cs="仿宋_GB2312"/>
          <w:color w:val="auto"/>
          <w:kern w:val="0"/>
          <w:sz w:val="24"/>
          <w:highlight w:val="none"/>
          <w:lang w:val="zh-CN"/>
        </w:rPr>
        <w:sectPr>
          <w:pgSz w:w="11910" w:h="16840"/>
          <w:pgMar w:top="1340" w:right="1500" w:bottom="280" w:left="1680" w:header="720" w:footer="720" w:gutter="0"/>
          <w:cols w:space="720" w:num="1"/>
        </w:sectPr>
      </w:pPr>
    </w:p>
    <w:p w14:paraId="5ADDBA16">
      <w:pPr>
        <w:pStyle w:val="3"/>
        <w:jc w:val="center"/>
        <w:rPr>
          <w:rFonts w:hint="eastAsia" w:ascii="宋体" w:hAnsi="宋体" w:cs="宋体"/>
          <w:b w:val="0"/>
          <w:color w:val="auto"/>
          <w:highlight w:val="none"/>
        </w:rPr>
      </w:pPr>
      <w:bookmarkStart w:id="84" w:name="_Toc16804"/>
      <w:bookmarkStart w:id="85" w:name="_Toc80205940"/>
      <w:r>
        <w:rPr>
          <w:rFonts w:hint="eastAsia" w:ascii="宋体" w:hAnsi="宋体"/>
          <w:b w:val="0"/>
          <w:bCs w:val="0"/>
          <w:color w:val="auto"/>
          <w:highlight w:val="none"/>
        </w:rPr>
        <w:t xml:space="preserve">第三节 </w:t>
      </w:r>
      <w:r>
        <w:rPr>
          <w:rFonts w:hint="eastAsia" w:ascii="宋体" w:hAnsi="宋体"/>
          <w:b w:val="0"/>
          <w:color w:val="auto"/>
          <w:highlight w:val="none"/>
        </w:rPr>
        <w:t>商务技术文件格式</w:t>
      </w:r>
      <w:bookmarkEnd w:id="84"/>
      <w:bookmarkEnd w:id="85"/>
    </w:p>
    <w:p w14:paraId="3AF1B641">
      <w:pPr>
        <w:snapToGrid w:val="0"/>
        <w:spacing w:before="120" w:beforeLines="50" w:after="50"/>
        <w:rPr>
          <w:rFonts w:hint="eastAsia" w:ascii="宋体" w:hAnsi="宋体"/>
          <w:bCs/>
          <w:color w:val="auto"/>
          <w:sz w:val="32"/>
          <w:szCs w:val="20"/>
          <w:highlight w:val="none"/>
        </w:rPr>
      </w:pPr>
      <w:r>
        <w:rPr>
          <w:rFonts w:hint="eastAsia" w:ascii="宋体" w:hAnsi="宋体"/>
          <w:color w:val="auto"/>
          <w:sz w:val="24"/>
          <w:highlight w:val="none"/>
        </w:rPr>
        <w:t xml:space="preserve">                                                    </w:t>
      </w:r>
      <w:r>
        <w:rPr>
          <w:rFonts w:hint="eastAsia" w:ascii="宋体" w:hAnsi="宋体"/>
          <w:bCs/>
          <w:color w:val="auto"/>
          <w:highlight w:val="none"/>
        </w:rPr>
        <w:t>全流程电子文件</w:t>
      </w:r>
    </w:p>
    <w:p w14:paraId="224EB768">
      <w:pPr>
        <w:snapToGrid w:val="0"/>
        <w:spacing w:before="120" w:beforeLines="50" w:after="50"/>
        <w:rPr>
          <w:rFonts w:hint="eastAsia" w:ascii="宋体" w:hAnsi="宋体"/>
          <w:color w:val="auto"/>
          <w:sz w:val="24"/>
          <w:szCs w:val="20"/>
          <w:highlight w:val="none"/>
        </w:rPr>
      </w:pPr>
    </w:p>
    <w:p w14:paraId="4CECEB14">
      <w:pPr>
        <w:snapToGrid w:val="0"/>
        <w:spacing w:before="120" w:beforeLines="50" w:after="50"/>
        <w:rPr>
          <w:rFonts w:hint="eastAsia" w:ascii="宋体" w:hAnsi="宋体"/>
          <w:color w:val="auto"/>
          <w:sz w:val="24"/>
          <w:szCs w:val="20"/>
          <w:highlight w:val="none"/>
        </w:rPr>
      </w:pPr>
    </w:p>
    <w:p w14:paraId="202B90BA">
      <w:pPr>
        <w:snapToGrid w:val="0"/>
        <w:spacing w:before="120" w:beforeLines="50" w:after="50"/>
        <w:rPr>
          <w:rFonts w:hint="eastAsia" w:ascii="宋体" w:hAnsi="宋体"/>
          <w:color w:val="auto"/>
          <w:sz w:val="24"/>
          <w:szCs w:val="20"/>
          <w:highlight w:val="none"/>
        </w:rPr>
      </w:pPr>
    </w:p>
    <w:p w14:paraId="679A527F">
      <w:pPr>
        <w:snapToGrid w:val="0"/>
        <w:spacing w:before="120"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商  务  技  术  文  件（封面）</w:t>
      </w:r>
    </w:p>
    <w:p w14:paraId="3F2323F3">
      <w:pPr>
        <w:snapToGrid w:val="0"/>
        <w:spacing w:before="120" w:beforeLines="50" w:after="50"/>
        <w:rPr>
          <w:rFonts w:hint="eastAsia" w:ascii="宋体" w:hAnsi="宋体"/>
          <w:bCs/>
          <w:color w:val="auto"/>
          <w:sz w:val="24"/>
          <w:szCs w:val="20"/>
          <w:highlight w:val="none"/>
        </w:rPr>
      </w:pPr>
    </w:p>
    <w:p w14:paraId="41DD14FE">
      <w:pPr>
        <w:snapToGrid w:val="0"/>
        <w:spacing w:before="120" w:beforeLines="50" w:after="50"/>
        <w:rPr>
          <w:rFonts w:hint="eastAsia" w:ascii="宋体" w:hAnsi="宋体"/>
          <w:bCs/>
          <w:color w:val="auto"/>
          <w:sz w:val="24"/>
          <w:szCs w:val="20"/>
          <w:highlight w:val="none"/>
        </w:rPr>
      </w:pPr>
    </w:p>
    <w:p w14:paraId="56745DE9">
      <w:pPr>
        <w:snapToGrid w:val="0"/>
        <w:spacing w:before="120" w:beforeLines="50" w:after="50"/>
        <w:rPr>
          <w:rFonts w:hint="eastAsia" w:ascii="宋体" w:hAnsi="宋体"/>
          <w:bCs/>
          <w:color w:val="auto"/>
          <w:sz w:val="24"/>
          <w:szCs w:val="20"/>
          <w:highlight w:val="none"/>
        </w:rPr>
      </w:pPr>
    </w:p>
    <w:p w14:paraId="60720C11">
      <w:pPr>
        <w:snapToGrid w:val="0"/>
        <w:spacing w:before="120" w:beforeLines="50" w:after="50"/>
        <w:rPr>
          <w:rFonts w:hint="eastAsia" w:ascii="宋体" w:hAnsi="宋体"/>
          <w:bCs/>
          <w:color w:val="auto"/>
          <w:sz w:val="24"/>
          <w:szCs w:val="20"/>
          <w:highlight w:val="none"/>
        </w:rPr>
      </w:pPr>
    </w:p>
    <w:p w14:paraId="20C4BDCB">
      <w:pPr>
        <w:snapToGrid w:val="0"/>
        <w:spacing w:before="120" w:beforeLines="50" w:after="50"/>
        <w:rPr>
          <w:rFonts w:hint="eastAsia" w:ascii="宋体" w:hAnsi="宋体"/>
          <w:bCs/>
          <w:color w:val="auto"/>
          <w:sz w:val="24"/>
          <w:szCs w:val="20"/>
          <w:highlight w:val="none"/>
        </w:rPr>
      </w:pPr>
    </w:p>
    <w:p w14:paraId="46A657EE">
      <w:pPr>
        <w:snapToGrid w:val="0"/>
        <w:spacing w:before="120" w:beforeLines="50" w:after="50"/>
        <w:ind w:firstLine="640" w:firstLineChars="200"/>
        <w:rPr>
          <w:rFonts w:hint="eastAsia" w:ascii="宋体" w:hAnsi="宋体" w:eastAsia="宋体" w:cs="仿宋_GB2312"/>
          <w:bCs/>
          <w:color w:val="auto"/>
          <w:sz w:val="32"/>
          <w:szCs w:val="32"/>
          <w:highlight w:val="none"/>
          <w:lang w:eastAsia="zh-CN"/>
        </w:rPr>
      </w:pPr>
      <w:r>
        <w:rPr>
          <w:rFonts w:hint="eastAsia" w:ascii="宋体" w:hAnsi="宋体" w:cs="仿宋_GB2312"/>
          <w:bCs/>
          <w:color w:val="auto"/>
          <w:sz w:val="32"/>
          <w:szCs w:val="32"/>
          <w:highlight w:val="none"/>
        </w:rPr>
        <w:t>项目名称：</w:t>
      </w:r>
      <w:r>
        <w:rPr>
          <w:rFonts w:hint="eastAsia" w:ascii="宋体" w:hAnsi="宋体" w:cs="仿宋_GB2312"/>
          <w:bCs/>
          <w:color w:val="auto"/>
          <w:sz w:val="32"/>
          <w:szCs w:val="32"/>
          <w:highlight w:val="none"/>
          <w:lang w:eastAsia="zh-CN"/>
        </w:rPr>
        <w:t>邕宁区蒲庙电灌站灌区续建配套与节水改造工程项目立项建议报告编制技术服务项目</w:t>
      </w:r>
    </w:p>
    <w:p w14:paraId="2FE4E860">
      <w:pPr>
        <w:snapToGrid w:val="0"/>
        <w:spacing w:before="120" w:beforeLines="50" w:after="50"/>
        <w:ind w:firstLine="720" w:firstLineChars="225"/>
        <w:rPr>
          <w:rFonts w:hint="eastAsia" w:ascii="宋体" w:hAnsi="宋体" w:cs="仿宋_GB2312"/>
          <w:bCs/>
          <w:color w:val="auto"/>
          <w:sz w:val="32"/>
          <w:szCs w:val="32"/>
          <w:highlight w:val="none"/>
        </w:rPr>
      </w:pPr>
    </w:p>
    <w:p w14:paraId="56C29E40">
      <w:pPr>
        <w:snapToGrid w:val="0"/>
        <w:spacing w:before="120" w:beforeLines="50" w:after="50"/>
        <w:ind w:firstLine="640" w:firstLineChars="200"/>
        <w:rPr>
          <w:rFonts w:hint="eastAsia" w:ascii="宋体" w:hAnsi="宋体" w:eastAsia="宋体" w:cs="仿宋_GB2312"/>
          <w:bCs/>
          <w:color w:val="auto"/>
          <w:sz w:val="32"/>
          <w:szCs w:val="32"/>
          <w:highlight w:val="none"/>
          <w:lang w:eastAsia="zh-CN"/>
        </w:rPr>
      </w:pPr>
      <w:r>
        <w:rPr>
          <w:rFonts w:hint="eastAsia" w:ascii="宋体" w:hAnsi="宋体" w:cs="仿宋_GB2312"/>
          <w:bCs/>
          <w:color w:val="auto"/>
          <w:sz w:val="32"/>
          <w:szCs w:val="32"/>
          <w:highlight w:val="none"/>
        </w:rPr>
        <w:t>项目编号：</w:t>
      </w:r>
      <w:r>
        <w:rPr>
          <w:rFonts w:hint="eastAsia" w:ascii="宋体" w:hAnsi="宋体" w:cs="仿宋_GB2312"/>
          <w:bCs/>
          <w:color w:val="auto"/>
          <w:sz w:val="32"/>
          <w:szCs w:val="32"/>
          <w:highlight w:val="none"/>
          <w:lang w:eastAsia="zh-CN"/>
        </w:rPr>
        <w:t>NNZC2026-C3-090018-KWZB</w:t>
      </w:r>
    </w:p>
    <w:p w14:paraId="6E621EE3">
      <w:pPr>
        <w:snapToGrid w:val="0"/>
        <w:spacing w:before="120" w:beforeLines="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24491829">
      <w:pPr>
        <w:snapToGrid w:val="0"/>
        <w:spacing w:before="120"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67D817AF">
      <w:pPr>
        <w:snapToGrid w:val="0"/>
        <w:spacing w:before="120" w:beforeLines="50" w:after="50"/>
        <w:ind w:firstLine="720" w:firstLineChars="225"/>
        <w:rPr>
          <w:rFonts w:hint="eastAsia" w:ascii="宋体" w:hAnsi="宋体" w:cs="仿宋_GB2312"/>
          <w:bCs/>
          <w:color w:val="auto"/>
          <w:sz w:val="32"/>
          <w:szCs w:val="32"/>
          <w:highlight w:val="none"/>
        </w:rPr>
      </w:pPr>
    </w:p>
    <w:p w14:paraId="67C29642">
      <w:pPr>
        <w:pStyle w:val="6"/>
        <w:snapToGrid w:val="0"/>
        <w:spacing w:before="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15259128">
      <w:pPr>
        <w:pStyle w:val="6"/>
        <w:snapToGrid w:val="0"/>
        <w:spacing w:before="50" w:after="50"/>
        <w:ind w:firstLine="720" w:firstLineChars="225"/>
        <w:rPr>
          <w:rFonts w:hint="eastAsia" w:ascii="宋体" w:hAnsi="宋体" w:cs="仿宋_GB2312"/>
          <w:bCs/>
          <w:color w:val="auto"/>
          <w:sz w:val="32"/>
          <w:szCs w:val="32"/>
          <w:highlight w:val="none"/>
        </w:rPr>
      </w:pPr>
    </w:p>
    <w:p w14:paraId="51379C0C">
      <w:pPr>
        <w:pStyle w:val="6"/>
        <w:snapToGrid w:val="0"/>
        <w:spacing w:before="50" w:after="50"/>
        <w:ind w:firstLine="720" w:firstLineChars="225"/>
        <w:rPr>
          <w:rFonts w:hint="eastAsia" w:ascii="宋体" w:hAnsi="宋体" w:cs="仿宋_GB2312"/>
          <w:bCs/>
          <w:color w:val="auto"/>
          <w:sz w:val="32"/>
          <w:szCs w:val="32"/>
          <w:highlight w:val="none"/>
        </w:rPr>
      </w:pPr>
    </w:p>
    <w:p w14:paraId="02C3D200">
      <w:pPr>
        <w:pStyle w:val="6"/>
        <w:snapToGrid w:val="0"/>
        <w:spacing w:before="50" w:after="50"/>
        <w:ind w:firstLine="1280" w:firstLineChars="400"/>
        <w:rPr>
          <w:rFonts w:hint="eastAsia" w:ascii="宋体" w:hAnsi="宋体" w:cs="仿宋_GB2312"/>
          <w:bCs/>
          <w:color w:val="auto"/>
          <w:sz w:val="32"/>
          <w:szCs w:val="32"/>
          <w:highlight w:val="none"/>
        </w:rPr>
      </w:pPr>
    </w:p>
    <w:p w14:paraId="5BF5F4A6">
      <w:pPr>
        <w:snapToGrid w:val="0"/>
        <w:spacing w:before="120" w:beforeLines="50" w:after="50"/>
        <w:jc w:val="center"/>
        <w:rPr>
          <w:rFonts w:hint="eastAsia"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132F183C">
      <w:pPr>
        <w:widowControl/>
        <w:spacing w:line="360" w:lineRule="auto"/>
        <w:jc w:val="left"/>
        <w:rPr>
          <w:rFonts w:ascii="宋体" w:hAnsi="宋体"/>
          <w:b/>
          <w:bCs/>
          <w:color w:val="auto"/>
          <w:sz w:val="32"/>
          <w:szCs w:val="32"/>
          <w:highlight w:val="none"/>
        </w:rPr>
        <w:sectPr>
          <w:pgSz w:w="11910" w:h="16840"/>
          <w:pgMar w:top="1340" w:right="1500" w:bottom="280" w:left="1680" w:header="720" w:footer="720" w:gutter="0"/>
          <w:cols w:space="720" w:num="1"/>
        </w:sectPr>
      </w:pPr>
    </w:p>
    <w:p w14:paraId="0B1A2344">
      <w:pPr>
        <w:jc w:val="center"/>
        <w:rPr>
          <w:rFonts w:hint="eastAsia" w:ascii="仿宋_GB2312" w:hAnsi="仿宋" w:eastAsia="仿宋_GB2312" w:cs="仿宋_GB2312"/>
          <w:b/>
          <w:color w:val="auto"/>
          <w:kern w:val="0"/>
          <w:sz w:val="28"/>
          <w:szCs w:val="28"/>
          <w:highlight w:val="none"/>
        </w:rPr>
      </w:pPr>
      <w:r>
        <w:rPr>
          <w:rFonts w:hint="eastAsia" w:ascii="仿宋_GB2312" w:hAnsi="仿宋" w:eastAsia="仿宋_GB2312" w:cs="仿宋_GB2312"/>
          <w:b/>
          <w:color w:val="auto"/>
          <w:kern w:val="0"/>
          <w:sz w:val="28"/>
          <w:szCs w:val="28"/>
          <w:highlight w:val="none"/>
        </w:rPr>
        <w:t>商务技术文件目录</w:t>
      </w:r>
    </w:p>
    <w:p w14:paraId="6613666D">
      <w:pPr>
        <w:jc w:val="center"/>
        <w:rPr>
          <w:rFonts w:hint="eastAsia" w:ascii="仿宋_GB2312" w:hAnsi="仿宋" w:eastAsia="仿宋_GB2312" w:cs="仿宋_GB2312"/>
          <w:b/>
          <w:color w:val="auto"/>
          <w:kern w:val="0"/>
          <w:sz w:val="28"/>
          <w:szCs w:val="28"/>
          <w:highlight w:val="none"/>
        </w:rPr>
      </w:pPr>
    </w:p>
    <w:p w14:paraId="728957EE">
      <w:pPr>
        <w:pStyle w:val="72"/>
        <w:spacing w:line="360" w:lineRule="auto"/>
        <w:rPr>
          <w:rFonts w:hint="eastAsia" w:cs="仿宋_GB2312"/>
          <w:color w:val="auto"/>
          <w:highlight w:val="none"/>
        </w:rPr>
      </w:pPr>
      <w:r>
        <w:rPr>
          <w:rFonts w:hint="eastAsia" w:cs="仿宋_GB2312"/>
          <w:color w:val="auto"/>
          <w:highlight w:val="none"/>
        </w:rPr>
        <w:t>一、无串标行为承诺函……………………………………………………（页码）</w:t>
      </w:r>
    </w:p>
    <w:p w14:paraId="14441037">
      <w:pPr>
        <w:pStyle w:val="72"/>
        <w:spacing w:line="360" w:lineRule="auto"/>
        <w:rPr>
          <w:rFonts w:hint="eastAsia" w:cs="仿宋_GB2312"/>
          <w:color w:val="auto"/>
          <w:highlight w:val="none"/>
        </w:rPr>
      </w:pPr>
      <w:r>
        <w:rPr>
          <w:rFonts w:hint="eastAsia" w:cs="仿宋_GB2312"/>
          <w:color w:val="auto"/>
          <w:highlight w:val="none"/>
        </w:rPr>
        <w:t>二、法定代表人身份证明及法定代表人有效身份证正反面复印件……（页码）</w:t>
      </w:r>
    </w:p>
    <w:p w14:paraId="28590CC1">
      <w:pPr>
        <w:pStyle w:val="72"/>
        <w:spacing w:line="360" w:lineRule="auto"/>
        <w:rPr>
          <w:rFonts w:hint="eastAsia" w:cs="仿宋_GB2312"/>
          <w:color w:val="auto"/>
          <w:highlight w:val="none"/>
        </w:rPr>
      </w:pPr>
      <w:r>
        <w:rPr>
          <w:rFonts w:hint="eastAsia" w:cs="仿宋_GB2312"/>
          <w:color w:val="auto"/>
          <w:highlight w:val="none"/>
        </w:rPr>
        <w:t>三、法定代表人授权委托书（如有委托时）……………………………（页码）</w:t>
      </w:r>
    </w:p>
    <w:p w14:paraId="4AE309BD">
      <w:pPr>
        <w:pStyle w:val="72"/>
        <w:spacing w:line="360" w:lineRule="auto"/>
        <w:rPr>
          <w:rFonts w:hint="eastAsia" w:cs="仿宋_GB2312"/>
          <w:color w:val="auto"/>
          <w:highlight w:val="none"/>
        </w:rPr>
      </w:pPr>
      <w:r>
        <w:rPr>
          <w:rFonts w:hint="eastAsia" w:cs="仿宋_GB2312"/>
          <w:color w:val="auto"/>
          <w:highlight w:val="none"/>
        </w:rPr>
        <w:t>四、</w:t>
      </w:r>
      <w:r>
        <w:rPr>
          <w:rFonts w:hint="eastAsia" w:cs="仿宋_GB2312"/>
          <w:color w:val="auto"/>
          <w:highlight w:val="none"/>
          <w:lang w:val="zh-CN"/>
        </w:rPr>
        <w:t>商务条款偏离表………………………………</w:t>
      </w:r>
      <w:r>
        <w:rPr>
          <w:rFonts w:hint="eastAsia" w:cs="仿宋_GB2312"/>
          <w:color w:val="auto"/>
          <w:highlight w:val="none"/>
        </w:rPr>
        <w:t>………………………（页码）</w:t>
      </w:r>
    </w:p>
    <w:p w14:paraId="485FE614">
      <w:pPr>
        <w:pStyle w:val="72"/>
        <w:spacing w:line="360" w:lineRule="auto"/>
        <w:rPr>
          <w:rFonts w:hint="eastAsia" w:cs="仿宋_GB2312"/>
          <w:color w:val="auto"/>
          <w:highlight w:val="none"/>
        </w:rPr>
      </w:pPr>
      <w:bookmarkStart w:id="86" w:name="OLE_LINK7"/>
      <w:bookmarkStart w:id="87" w:name="OLE_LINK6"/>
      <w:bookmarkStart w:id="88" w:name="OLE_LINK5"/>
      <w:r>
        <w:rPr>
          <w:rFonts w:hint="eastAsia" w:cs="仿宋_GB2312"/>
          <w:color w:val="auto"/>
          <w:highlight w:val="none"/>
        </w:rPr>
        <w:t>五、竞标人情况介绍</w:t>
      </w:r>
      <w:r>
        <w:rPr>
          <w:rFonts w:hint="eastAsia" w:cs="仿宋_GB2312"/>
          <w:color w:val="auto"/>
          <w:highlight w:val="none"/>
          <w:lang w:val="zh-CN"/>
        </w:rPr>
        <w:t>………………………………</w:t>
      </w:r>
      <w:r>
        <w:rPr>
          <w:rFonts w:hint="eastAsia" w:cs="仿宋_GB2312"/>
          <w:color w:val="auto"/>
          <w:highlight w:val="none"/>
        </w:rPr>
        <w:t>………………………（页码）</w:t>
      </w:r>
    </w:p>
    <w:p w14:paraId="224116C3">
      <w:pPr>
        <w:pStyle w:val="72"/>
        <w:spacing w:line="360" w:lineRule="auto"/>
        <w:rPr>
          <w:rFonts w:hint="eastAsia" w:cs="仿宋_GB2312"/>
          <w:color w:val="auto"/>
          <w:highlight w:val="none"/>
        </w:rPr>
      </w:pPr>
      <w:r>
        <w:rPr>
          <w:rFonts w:hint="eastAsia" w:cs="仿宋_GB2312"/>
          <w:color w:val="auto"/>
          <w:highlight w:val="none"/>
        </w:rPr>
        <w:t>六、供应商类似业绩的证明文件（如有要求）</w:t>
      </w:r>
      <w:r>
        <w:rPr>
          <w:rFonts w:hint="eastAsia" w:cs="仿宋_GB2312"/>
          <w:color w:val="auto"/>
          <w:highlight w:val="none"/>
          <w:lang w:val="zh-CN"/>
        </w:rPr>
        <w:t>…………………………</w:t>
      </w:r>
      <w:r>
        <w:rPr>
          <w:rFonts w:hint="eastAsia" w:cs="仿宋_GB2312"/>
          <w:color w:val="auto"/>
          <w:highlight w:val="none"/>
        </w:rPr>
        <w:t>（页码）</w:t>
      </w:r>
      <w:bookmarkEnd w:id="86"/>
      <w:bookmarkEnd w:id="87"/>
    </w:p>
    <w:bookmarkEnd w:id="88"/>
    <w:p w14:paraId="42A8811C">
      <w:pPr>
        <w:pStyle w:val="72"/>
        <w:spacing w:line="360" w:lineRule="auto"/>
        <w:rPr>
          <w:rFonts w:hint="eastAsia" w:cs="仿宋_GB2312"/>
          <w:color w:val="auto"/>
          <w:highlight w:val="none"/>
        </w:rPr>
      </w:pPr>
      <w:r>
        <w:rPr>
          <w:rFonts w:hint="eastAsia" w:cs="仿宋_GB2312"/>
          <w:color w:val="auto"/>
          <w:highlight w:val="none"/>
        </w:rPr>
        <w:t>七、服务需求偏离表………………………………………………………（页码）</w:t>
      </w:r>
    </w:p>
    <w:p w14:paraId="366D651E">
      <w:pPr>
        <w:pStyle w:val="72"/>
        <w:spacing w:line="360" w:lineRule="auto"/>
        <w:rPr>
          <w:rFonts w:hint="eastAsia" w:cs="仿宋_GB2312"/>
          <w:color w:val="auto"/>
          <w:highlight w:val="none"/>
        </w:rPr>
      </w:pPr>
      <w:r>
        <w:rPr>
          <w:rFonts w:hint="eastAsia" w:cs="仿宋_GB2312"/>
          <w:color w:val="auto"/>
          <w:highlight w:val="none"/>
        </w:rPr>
        <w:t>八、</w:t>
      </w:r>
      <w:r>
        <w:rPr>
          <w:rFonts w:hint="eastAsia" w:cs="仿宋_GB2312"/>
          <w:color w:val="auto"/>
          <w:highlight w:val="none"/>
          <w:lang w:val="en-US" w:eastAsia="zh-CN"/>
        </w:rPr>
        <w:t>项目实施</w:t>
      </w:r>
      <w:r>
        <w:rPr>
          <w:rFonts w:hint="eastAsia" w:cs="仿宋_GB2312"/>
          <w:color w:val="auto"/>
          <w:highlight w:val="none"/>
        </w:rPr>
        <w:t>方案…………………………………………………………（页码）</w:t>
      </w:r>
    </w:p>
    <w:p w14:paraId="778DB5BA">
      <w:pPr>
        <w:pStyle w:val="72"/>
        <w:spacing w:line="360" w:lineRule="auto"/>
        <w:rPr>
          <w:rFonts w:hint="eastAsia" w:cs="仿宋_GB2312"/>
          <w:color w:val="auto"/>
          <w:highlight w:val="none"/>
        </w:rPr>
      </w:pPr>
      <w:r>
        <w:rPr>
          <w:rFonts w:hint="eastAsia" w:cs="仿宋_GB2312"/>
          <w:color w:val="auto"/>
          <w:highlight w:val="none"/>
        </w:rPr>
        <w:t>九、服务方案………………………………</w:t>
      </w:r>
      <w:r>
        <w:rPr>
          <w:rFonts w:hint="eastAsia" w:cs="仿宋_GB2312"/>
          <w:color w:val="auto"/>
          <w:highlight w:val="none"/>
          <w:lang w:val="zh-CN"/>
        </w:rPr>
        <w:t>………</w:t>
      </w:r>
      <w:r>
        <w:rPr>
          <w:rFonts w:hint="eastAsia" w:cs="仿宋_GB2312"/>
          <w:color w:val="auto"/>
          <w:highlight w:val="none"/>
        </w:rPr>
        <w:t>……………………（页码）</w:t>
      </w:r>
    </w:p>
    <w:p w14:paraId="28D8E9C7">
      <w:pPr>
        <w:pStyle w:val="72"/>
        <w:spacing w:line="360" w:lineRule="auto"/>
        <w:rPr>
          <w:rFonts w:hint="eastAsia" w:cs="仿宋_GB2312"/>
          <w:color w:val="auto"/>
          <w:highlight w:val="none"/>
        </w:rPr>
      </w:pPr>
      <w:r>
        <w:rPr>
          <w:rFonts w:hint="eastAsia" w:cs="仿宋_GB2312"/>
          <w:color w:val="auto"/>
          <w:highlight w:val="none"/>
        </w:rPr>
        <w:t>十、</w:t>
      </w:r>
      <w:r>
        <w:rPr>
          <w:rFonts w:hint="eastAsia" w:cs="仿宋_GB2312"/>
          <w:color w:val="auto"/>
          <w:highlight w:val="none"/>
          <w:lang w:val="zh-CN"/>
        </w:rPr>
        <w:t>项目实施人员一览表………………………………</w:t>
      </w:r>
      <w:r>
        <w:rPr>
          <w:rFonts w:hint="eastAsia" w:cs="仿宋_GB2312"/>
          <w:color w:val="auto"/>
          <w:highlight w:val="none"/>
        </w:rPr>
        <w:t>…………………（页码）</w:t>
      </w:r>
    </w:p>
    <w:p w14:paraId="512CC69C">
      <w:pPr>
        <w:pStyle w:val="72"/>
        <w:spacing w:line="360" w:lineRule="auto"/>
        <w:rPr>
          <w:rFonts w:hint="eastAsia" w:cs="仿宋_GB2312"/>
          <w:color w:val="auto"/>
          <w:highlight w:val="none"/>
        </w:rPr>
      </w:pPr>
      <w:r>
        <w:rPr>
          <w:rFonts w:hint="eastAsia" w:cs="仿宋_GB2312"/>
          <w:color w:val="auto"/>
          <w:highlight w:val="none"/>
        </w:rPr>
        <w:t>十一、服务需求、商务条款要求提供的其他材料</w:t>
      </w:r>
      <w:r>
        <w:rPr>
          <w:rFonts w:hint="eastAsia" w:cs="仿宋_GB2312"/>
          <w:color w:val="auto"/>
          <w:highlight w:val="none"/>
          <w:lang w:val="zh-CN"/>
        </w:rPr>
        <w:t>…………………</w:t>
      </w:r>
      <w:r>
        <w:rPr>
          <w:rFonts w:hint="eastAsia" w:cs="仿宋_GB2312"/>
          <w:color w:val="auto"/>
          <w:highlight w:val="none"/>
        </w:rPr>
        <w:t>……（页码）</w:t>
      </w:r>
    </w:p>
    <w:p w14:paraId="52C49955">
      <w:pPr>
        <w:spacing w:line="360" w:lineRule="auto"/>
        <w:rPr>
          <w:rFonts w:hint="eastAsia" w:ascii="仿宋_GB2312" w:hAnsi="仿宋" w:eastAsia="仿宋_GB2312" w:cs="仿宋_GB2312"/>
          <w:b/>
          <w:bCs/>
          <w:color w:val="auto"/>
          <w:sz w:val="24"/>
          <w:highlight w:val="none"/>
        </w:rPr>
      </w:pPr>
      <w:r>
        <w:rPr>
          <w:rFonts w:hint="eastAsia" w:ascii="仿宋_GB2312" w:hAnsi="仿宋" w:eastAsia="仿宋_GB2312" w:cs="仿宋_GB2312"/>
          <w:b/>
          <w:bCs/>
          <w:color w:val="auto"/>
          <w:sz w:val="24"/>
          <w:highlight w:val="none"/>
        </w:rPr>
        <w:t>注：以上目录是基本格式要求，各供应商可根据自身情况进一步向下增加内容或细化。</w:t>
      </w:r>
    </w:p>
    <w:p w14:paraId="51408AA2">
      <w:pPr>
        <w:spacing w:line="400" w:lineRule="exact"/>
        <w:rPr>
          <w:rFonts w:hint="eastAsia" w:ascii="仿宋_GB2312" w:hAnsi="仿宋_GB2312" w:eastAsia="仿宋_GB2312" w:cs="仿宋_GB2312"/>
          <w:color w:val="auto"/>
          <w:sz w:val="32"/>
          <w:szCs w:val="32"/>
          <w:highlight w:val="none"/>
        </w:rPr>
      </w:pPr>
    </w:p>
    <w:p w14:paraId="12431AD6">
      <w:pPr>
        <w:spacing w:line="520" w:lineRule="exact"/>
        <w:ind w:firstLine="880" w:firstLineChars="200"/>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br w:type="page"/>
      </w:r>
      <w:r>
        <w:rPr>
          <w:rFonts w:hint="eastAsia" w:ascii="仿宋" w:hAnsi="仿宋" w:eastAsia="仿宋" w:cs="仿宋_GB2312"/>
          <w:b/>
          <w:color w:val="auto"/>
          <w:sz w:val="30"/>
          <w:szCs w:val="30"/>
          <w:highlight w:val="none"/>
        </w:rPr>
        <w:t>一、无串标行为承诺函</w:t>
      </w:r>
    </w:p>
    <w:p w14:paraId="36C5967E">
      <w:pPr>
        <w:spacing w:line="520" w:lineRule="exact"/>
        <w:jc w:val="center"/>
        <w:rPr>
          <w:rFonts w:hint="eastAsia" w:ascii="方正小标宋简体" w:hAnsi="方正小标宋简体" w:eastAsia="方正小标宋简体" w:cs="方正小标宋简体"/>
          <w:color w:val="auto"/>
          <w:sz w:val="44"/>
          <w:szCs w:val="44"/>
          <w:highlight w:val="none"/>
        </w:rPr>
      </w:pPr>
    </w:p>
    <w:p w14:paraId="26322776">
      <w:pPr>
        <w:spacing w:line="520" w:lineRule="exact"/>
        <w:jc w:val="center"/>
        <w:rPr>
          <w:rFonts w:hint="eastAsia" w:ascii="仿宋_GB2312" w:hAnsi="仿宋_GB2312" w:eastAsia="仿宋_GB2312" w:cs="仿宋_GB2312"/>
          <w:color w:val="auto"/>
          <w:sz w:val="32"/>
          <w:szCs w:val="32"/>
          <w:highlight w:val="none"/>
        </w:rPr>
      </w:pPr>
      <w:r>
        <w:rPr>
          <w:rFonts w:hint="eastAsia" w:ascii="方正小标宋简体" w:hAnsi="方正小标宋简体" w:eastAsia="方正小标宋简体" w:cs="方正小标宋简体"/>
          <w:color w:val="auto"/>
          <w:sz w:val="44"/>
          <w:szCs w:val="44"/>
          <w:highlight w:val="none"/>
        </w:rPr>
        <w:t>无串通竞标行为的承诺函</w:t>
      </w:r>
    </w:p>
    <w:p w14:paraId="2FA79920">
      <w:pPr>
        <w:spacing w:line="520" w:lineRule="exact"/>
        <w:ind w:firstLine="640" w:firstLineChars="200"/>
        <w:rPr>
          <w:rFonts w:hint="eastAsia" w:ascii="仿宋_GB2312" w:hAnsi="仿宋_GB2312" w:eastAsia="仿宋_GB2312" w:cs="仿宋_GB2312"/>
          <w:color w:val="auto"/>
          <w:sz w:val="32"/>
          <w:szCs w:val="32"/>
          <w:highlight w:val="none"/>
        </w:rPr>
      </w:pPr>
    </w:p>
    <w:p w14:paraId="66B5FCDD">
      <w:pPr>
        <w:spacing w:line="360" w:lineRule="auto"/>
        <w:ind w:firstLine="482" w:firstLineChars="200"/>
        <w:rPr>
          <w:rFonts w:hint="eastAsia" w:ascii="宋体" w:hAnsi="宋体" w:cs="仿宋_GB2312"/>
          <w:b/>
          <w:bCs/>
          <w:color w:val="auto"/>
          <w:sz w:val="24"/>
          <w:highlight w:val="none"/>
        </w:rPr>
      </w:pPr>
      <w:r>
        <w:rPr>
          <w:rFonts w:hint="eastAsia" w:ascii="宋体" w:hAnsi="宋体" w:cs="仿宋_GB2312"/>
          <w:b/>
          <w:bCs/>
          <w:color w:val="auto"/>
          <w:sz w:val="24"/>
          <w:highlight w:val="none"/>
        </w:rPr>
        <w:t>一、我方承诺无下列相互串通竞标的情形：</w:t>
      </w:r>
    </w:p>
    <w:p w14:paraId="117D27E7">
      <w:pPr>
        <w:spacing w:line="360" w:lineRule="auto"/>
        <w:ind w:firstLine="480" w:firstLineChars="200"/>
        <w:rPr>
          <w:rFonts w:hint="eastAsia" w:ascii="宋体" w:hAnsi="宋体" w:cs="仿宋_GB2312"/>
          <w:color w:val="auto"/>
          <w:sz w:val="24"/>
          <w:highlight w:val="none"/>
        </w:rPr>
      </w:pPr>
      <w:r>
        <w:rPr>
          <w:rFonts w:hint="eastAsia" w:ascii="宋体" w:hAnsi="宋体" w:cs="仿宋_GB2312"/>
          <w:color w:val="auto"/>
          <w:sz w:val="24"/>
          <w:highlight w:val="none"/>
        </w:rPr>
        <w:t>1.不同供应商的响应文件由同一单位或者个人编制；</w:t>
      </w:r>
      <w:r>
        <w:rPr>
          <w:rFonts w:hint="eastAsia" w:ascii="宋体" w:hAnsi="宋体"/>
          <w:color w:val="auto"/>
          <w:sz w:val="24"/>
          <w:highlight w:val="none"/>
        </w:rPr>
        <w:t>或者不同供应商报名的IP地址一致的；或者编制响应文件硬件设备CPU编号、硬盘编号、网卡地址一致的情况。</w:t>
      </w:r>
      <w:r>
        <w:rPr>
          <w:rFonts w:hint="eastAsia" w:ascii="宋体" w:hAnsi="宋体" w:cs="仿宋_GB2312"/>
          <w:color w:val="auto"/>
          <w:sz w:val="24"/>
          <w:highlight w:val="none"/>
        </w:rPr>
        <w:t xml:space="preserve">  </w:t>
      </w:r>
    </w:p>
    <w:p w14:paraId="5C142343">
      <w:pPr>
        <w:spacing w:line="360" w:lineRule="auto"/>
        <w:ind w:firstLine="480" w:firstLineChars="200"/>
        <w:rPr>
          <w:rFonts w:hint="eastAsia" w:ascii="宋体" w:hAnsi="宋体" w:cs="仿宋_GB2312"/>
          <w:color w:val="auto"/>
          <w:sz w:val="24"/>
          <w:highlight w:val="none"/>
        </w:rPr>
      </w:pPr>
      <w:r>
        <w:rPr>
          <w:rFonts w:hint="eastAsia" w:ascii="宋体" w:hAnsi="宋体" w:cs="仿宋_GB2312"/>
          <w:color w:val="auto"/>
          <w:sz w:val="24"/>
          <w:highlight w:val="none"/>
        </w:rPr>
        <w:t>2.不同供应商委托同一单位或者个人办理竞标事宜；</w:t>
      </w:r>
    </w:p>
    <w:p w14:paraId="09C1A7AD">
      <w:pPr>
        <w:spacing w:line="360" w:lineRule="auto"/>
        <w:ind w:firstLine="480" w:firstLineChars="200"/>
        <w:rPr>
          <w:rFonts w:hint="eastAsia" w:ascii="宋体" w:hAnsi="宋体" w:cs="仿宋_GB2312"/>
          <w:color w:val="auto"/>
          <w:sz w:val="24"/>
          <w:highlight w:val="none"/>
        </w:rPr>
      </w:pPr>
      <w:r>
        <w:rPr>
          <w:rFonts w:hint="eastAsia" w:ascii="宋体" w:hAnsi="宋体" w:cs="仿宋_GB2312"/>
          <w:color w:val="auto"/>
          <w:sz w:val="24"/>
          <w:highlight w:val="none"/>
        </w:rPr>
        <w:t>3.不同供应商的响应文件载明的项目管理员为同一个人；</w:t>
      </w:r>
    </w:p>
    <w:p w14:paraId="11EF8C70">
      <w:pPr>
        <w:spacing w:line="360" w:lineRule="auto"/>
        <w:ind w:firstLine="480" w:firstLineChars="200"/>
        <w:rPr>
          <w:rFonts w:hint="eastAsia" w:ascii="宋体" w:hAnsi="宋体" w:cs="仿宋_GB2312"/>
          <w:color w:val="auto"/>
          <w:sz w:val="24"/>
          <w:highlight w:val="none"/>
        </w:rPr>
      </w:pPr>
      <w:r>
        <w:rPr>
          <w:rFonts w:hint="eastAsia" w:ascii="宋体" w:hAnsi="宋体" w:cs="仿宋_GB2312"/>
          <w:color w:val="auto"/>
          <w:sz w:val="24"/>
          <w:highlight w:val="none"/>
        </w:rPr>
        <w:t>4.不</w:t>
      </w:r>
      <w:r>
        <w:rPr>
          <w:rFonts w:hint="eastAsia" w:ascii="宋体" w:hAnsi="宋体" w:cs="仿宋_GB2312"/>
          <w:color w:val="auto"/>
          <w:spacing w:val="-6"/>
          <w:sz w:val="24"/>
          <w:highlight w:val="none"/>
        </w:rPr>
        <w:t>同供应商的响应文件异常一致或者响应报价呈规律性差异；</w:t>
      </w:r>
    </w:p>
    <w:p w14:paraId="79925C27">
      <w:pPr>
        <w:spacing w:line="360" w:lineRule="auto"/>
        <w:ind w:firstLine="480" w:firstLineChars="200"/>
        <w:rPr>
          <w:rFonts w:hint="eastAsia" w:ascii="宋体" w:hAnsi="宋体" w:cs="仿宋_GB2312"/>
          <w:color w:val="auto"/>
          <w:sz w:val="24"/>
          <w:highlight w:val="none"/>
        </w:rPr>
      </w:pPr>
      <w:r>
        <w:rPr>
          <w:rFonts w:hint="eastAsia" w:ascii="宋体" w:hAnsi="宋体" w:cs="仿宋_GB2312"/>
          <w:color w:val="auto"/>
          <w:sz w:val="24"/>
          <w:highlight w:val="none"/>
        </w:rPr>
        <w:t>5.不同供应商的响应文件相互混装；</w:t>
      </w:r>
    </w:p>
    <w:p w14:paraId="4CA4AA2F">
      <w:pPr>
        <w:spacing w:line="360" w:lineRule="auto"/>
        <w:ind w:firstLine="480" w:firstLineChars="200"/>
        <w:rPr>
          <w:rFonts w:hint="eastAsia" w:ascii="宋体" w:hAnsi="宋体" w:cs="仿宋_GB2312"/>
          <w:color w:val="auto"/>
          <w:sz w:val="24"/>
          <w:highlight w:val="none"/>
        </w:rPr>
      </w:pPr>
      <w:r>
        <w:rPr>
          <w:rFonts w:hint="eastAsia" w:ascii="宋体" w:hAnsi="宋体" w:cs="仿宋_GB2312"/>
          <w:color w:val="auto"/>
          <w:sz w:val="24"/>
          <w:highlight w:val="none"/>
        </w:rPr>
        <w:t>6.不同供应商的磋商保证金从同一单位或者个人账户转出。</w:t>
      </w:r>
    </w:p>
    <w:p w14:paraId="2E127297">
      <w:pPr>
        <w:spacing w:line="360" w:lineRule="auto"/>
        <w:ind w:firstLine="482" w:firstLineChars="200"/>
        <w:rPr>
          <w:rFonts w:hint="eastAsia" w:ascii="宋体" w:hAnsi="宋体" w:cs="仿宋_GB2312"/>
          <w:b/>
          <w:bCs/>
          <w:color w:val="auto"/>
          <w:sz w:val="24"/>
          <w:highlight w:val="none"/>
        </w:rPr>
      </w:pPr>
      <w:r>
        <w:rPr>
          <w:rFonts w:hint="eastAsia" w:ascii="宋体" w:hAnsi="宋体" w:cs="仿宋_GB2312"/>
          <w:b/>
          <w:bCs/>
          <w:color w:val="auto"/>
          <w:sz w:val="24"/>
          <w:highlight w:val="none"/>
        </w:rPr>
        <w:t>二、我方承诺无下列恶意串通的情形：</w:t>
      </w:r>
    </w:p>
    <w:p w14:paraId="2D87CAE2">
      <w:pPr>
        <w:spacing w:line="360" w:lineRule="auto"/>
        <w:ind w:firstLine="480" w:firstLineChars="200"/>
        <w:rPr>
          <w:rFonts w:hint="eastAsia" w:ascii="宋体" w:hAnsi="宋体" w:cs="仿宋_GB2312"/>
          <w:color w:val="auto"/>
          <w:sz w:val="24"/>
          <w:highlight w:val="none"/>
        </w:rPr>
      </w:pPr>
      <w:r>
        <w:rPr>
          <w:rFonts w:hint="eastAsia" w:ascii="宋体" w:hAnsi="宋体" w:cs="仿宋_GB2312"/>
          <w:color w:val="auto"/>
          <w:sz w:val="24"/>
          <w:highlight w:val="none"/>
        </w:rPr>
        <w:t>1.供应商直接或者间接从采购人或者采购代理机构处获得其他供应商的相关信息并修改其响应文件；</w:t>
      </w:r>
    </w:p>
    <w:p w14:paraId="3B7B1EBD">
      <w:pPr>
        <w:spacing w:line="360" w:lineRule="auto"/>
        <w:ind w:firstLine="480" w:firstLineChars="200"/>
        <w:rPr>
          <w:rFonts w:hint="eastAsia" w:ascii="宋体" w:hAnsi="宋体" w:cs="仿宋_GB2312"/>
          <w:color w:val="auto"/>
          <w:sz w:val="24"/>
          <w:highlight w:val="none"/>
        </w:rPr>
      </w:pPr>
      <w:r>
        <w:rPr>
          <w:rFonts w:hint="eastAsia" w:ascii="宋体" w:hAnsi="宋体" w:cs="仿宋_GB2312"/>
          <w:color w:val="auto"/>
          <w:sz w:val="24"/>
          <w:highlight w:val="none"/>
        </w:rPr>
        <w:t>2.供应商按照采购人或者采购代理机构的授意撤换、修改响应文件；</w:t>
      </w:r>
    </w:p>
    <w:p w14:paraId="78C2EAC0">
      <w:pPr>
        <w:spacing w:line="360" w:lineRule="auto"/>
        <w:ind w:firstLine="480" w:firstLineChars="200"/>
        <w:rPr>
          <w:rFonts w:hint="eastAsia" w:ascii="宋体" w:hAnsi="宋体" w:cs="仿宋_GB2312"/>
          <w:color w:val="auto"/>
          <w:sz w:val="24"/>
          <w:highlight w:val="none"/>
        </w:rPr>
      </w:pPr>
      <w:r>
        <w:rPr>
          <w:rFonts w:hint="eastAsia" w:ascii="宋体" w:hAnsi="宋体" w:cs="仿宋_GB2312"/>
          <w:color w:val="auto"/>
          <w:sz w:val="24"/>
          <w:highlight w:val="none"/>
        </w:rPr>
        <w:t>3.供</w:t>
      </w:r>
      <w:r>
        <w:rPr>
          <w:rFonts w:hint="eastAsia" w:ascii="宋体" w:hAnsi="宋体" w:cs="仿宋_GB2312"/>
          <w:color w:val="auto"/>
          <w:spacing w:val="-6"/>
          <w:sz w:val="24"/>
          <w:highlight w:val="none"/>
        </w:rPr>
        <w:t>应商之间协商报价、技术方案等响应文件的实质性内容；</w:t>
      </w:r>
    </w:p>
    <w:p w14:paraId="04F6D8EA">
      <w:pPr>
        <w:spacing w:line="360" w:lineRule="auto"/>
        <w:ind w:firstLine="480" w:firstLineChars="200"/>
        <w:rPr>
          <w:rFonts w:hint="eastAsia" w:ascii="宋体" w:hAnsi="宋体" w:cs="仿宋_GB2312"/>
          <w:color w:val="auto"/>
          <w:sz w:val="24"/>
          <w:highlight w:val="none"/>
        </w:rPr>
      </w:pPr>
      <w:r>
        <w:rPr>
          <w:rFonts w:hint="eastAsia" w:ascii="宋体" w:hAnsi="宋体" w:cs="仿宋_GB2312"/>
          <w:color w:val="auto"/>
          <w:sz w:val="24"/>
          <w:highlight w:val="none"/>
        </w:rPr>
        <w:t>4.属于同一集团、协会、商会等组织成员的供应商按照该组织要求协同参加政府采购活动；</w:t>
      </w:r>
    </w:p>
    <w:p w14:paraId="0F70982D">
      <w:pPr>
        <w:spacing w:line="360" w:lineRule="auto"/>
        <w:ind w:firstLine="480" w:firstLineChars="200"/>
        <w:rPr>
          <w:rFonts w:hint="eastAsia" w:ascii="宋体" w:hAnsi="宋体" w:cs="仿宋_GB2312"/>
          <w:color w:val="auto"/>
          <w:sz w:val="24"/>
          <w:highlight w:val="none"/>
        </w:rPr>
      </w:pPr>
      <w:r>
        <w:rPr>
          <w:rFonts w:hint="eastAsia" w:ascii="宋体" w:hAnsi="宋体" w:cs="仿宋_GB2312"/>
          <w:color w:val="auto"/>
          <w:sz w:val="24"/>
          <w:highlight w:val="none"/>
        </w:rPr>
        <w:t>5.供应商之间事先约定一致抬高或者压低响应报价，或者在竞争性磋商项目中事先约定轮流以高价位或者低价位成交，或者事先约定由某一特定供应商成交，然后再参加竞标；</w:t>
      </w:r>
    </w:p>
    <w:p w14:paraId="4450F6C2">
      <w:pPr>
        <w:spacing w:line="360" w:lineRule="auto"/>
        <w:ind w:firstLine="480" w:firstLineChars="200"/>
        <w:rPr>
          <w:rFonts w:hint="eastAsia" w:ascii="宋体" w:hAnsi="宋体" w:cs="仿宋_GB2312"/>
          <w:color w:val="auto"/>
          <w:sz w:val="24"/>
          <w:highlight w:val="none"/>
        </w:rPr>
      </w:pPr>
      <w:r>
        <w:rPr>
          <w:rFonts w:hint="eastAsia" w:ascii="宋体" w:hAnsi="宋体" w:cs="仿宋_GB2312"/>
          <w:color w:val="auto"/>
          <w:sz w:val="24"/>
          <w:highlight w:val="none"/>
        </w:rPr>
        <w:t>6.供应商之间商定部分供应商放弃参加政府采购活动或者放弃成交；</w:t>
      </w:r>
    </w:p>
    <w:p w14:paraId="59D57262">
      <w:pPr>
        <w:spacing w:line="360" w:lineRule="auto"/>
        <w:ind w:firstLine="480" w:firstLineChars="200"/>
        <w:rPr>
          <w:rFonts w:hint="eastAsia" w:ascii="宋体" w:hAnsi="宋体" w:cs="仿宋_GB2312"/>
          <w:color w:val="auto"/>
          <w:sz w:val="24"/>
          <w:highlight w:val="none"/>
        </w:rPr>
      </w:pPr>
      <w:r>
        <w:rPr>
          <w:rFonts w:hint="eastAsia" w:ascii="宋体" w:hAnsi="宋体" w:cs="仿宋_GB2312"/>
          <w:color w:val="auto"/>
          <w:sz w:val="24"/>
          <w:highlight w:val="none"/>
        </w:rPr>
        <w:t>7.供应商与采购人或者采购代理机构之间、供应商相互之间，为</w:t>
      </w:r>
      <w:r>
        <w:rPr>
          <w:rFonts w:hint="eastAsia" w:ascii="宋体" w:hAnsi="宋体" w:cs="仿宋_GB2312"/>
          <w:color w:val="auto"/>
          <w:spacing w:val="-6"/>
          <w:sz w:val="24"/>
          <w:highlight w:val="none"/>
        </w:rPr>
        <w:t>谋求特定供应商成交或者排斥其他供应商的其他串通行为。</w:t>
      </w:r>
    </w:p>
    <w:p w14:paraId="7B922A0B">
      <w:pPr>
        <w:spacing w:line="360" w:lineRule="auto"/>
        <w:ind w:firstLine="482" w:firstLineChars="200"/>
        <w:rPr>
          <w:rFonts w:hint="eastAsia" w:ascii="宋体" w:hAnsi="宋体" w:cs="仿宋_GB2312"/>
          <w:b/>
          <w:bCs/>
          <w:color w:val="auto"/>
          <w:sz w:val="24"/>
          <w:highlight w:val="none"/>
        </w:rPr>
      </w:pPr>
      <w:r>
        <w:rPr>
          <w:rFonts w:hint="eastAsia" w:ascii="宋体" w:hAnsi="宋体" w:cs="仿宋_GB2312"/>
          <w:b/>
          <w:bCs/>
          <w:color w:val="auto"/>
          <w:sz w:val="24"/>
          <w:highlight w:val="none"/>
        </w:rPr>
        <w:t>以上情形一经核查属实，接受政府采购监管部门对我方认定存在围标串标行为，我方愿意承担一切后果，并不再寻求任何旨在减轻或者免除法律责任的辩解。</w:t>
      </w:r>
    </w:p>
    <w:p w14:paraId="74597542">
      <w:pPr>
        <w:autoSpaceDE w:val="0"/>
        <w:autoSpaceDN w:val="0"/>
        <w:spacing w:line="360" w:lineRule="auto"/>
        <w:ind w:left="4335" w:leftChars="1950" w:hanging="240" w:hangingChars="10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7A0D9822">
      <w:pPr>
        <w:spacing w:line="520" w:lineRule="exact"/>
        <w:ind w:left="239" w:leftChars="114" w:firstLine="6120" w:firstLineChars="2550"/>
        <w:jc w:val="left"/>
        <w:rPr>
          <w:rFonts w:hint="eastAsia" w:ascii="方正小标宋简体" w:hAnsi="方正小标宋简体" w:eastAsia="方正小标宋简体" w:cs="方正小标宋简体"/>
          <w:bCs/>
          <w:color w:val="auto"/>
          <w:sz w:val="44"/>
          <w:szCs w:val="44"/>
          <w:highlight w:val="none"/>
        </w:rPr>
      </w:pPr>
      <w:r>
        <w:rPr>
          <w:rFonts w:hint="eastAsia" w:ascii="仿宋_GB2312" w:hAnsi="仿宋" w:eastAsia="仿宋_GB2312" w:cs="仿宋_GB2312"/>
          <w:color w:val="auto"/>
          <w:kern w:val="0"/>
          <w:sz w:val="24"/>
          <w:highlight w:val="none"/>
          <w:lang w:val="zh-CN"/>
        </w:rPr>
        <w:t xml:space="preserve">日期：  年  月   日   </w:t>
      </w:r>
      <w:r>
        <w:rPr>
          <w:rFonts w:hint="eastAsia" w:ascii="宋体" w:hAnsi="宋体"/>
          <w:b/>
          <w:bCs/>
          <w:color w:val="auto"/>
          <w:sz w:val="32"/>
          <w:szCs w:val="32"/>
          <w:highlight w:val="none"/>
        </w:rPr>
        <w:br w:type="page"/>
      </w:r>
      <w:r>
        <w:rPr>
          <w:rFonts w:hint="eastAsia" w:ascii="仿宋" w:hAnsi="仿宋" w:eastAsia="仿宋" w:cs="仿宋_GB2312"/>
          <w:b/>
          <w:color w:val="auto"/>
          <w:sz w:val="30"/>
          <w:szCs w:val="30"/>
          <w:highlight w:val="none"/>
        </w:rPr>
        <w:t>二、法定代表人身份证明及法定代表人有效身份证正反面复印件</w:t>
      </w:r>
    </w:p>
    <w:p w14:paraId="56068C1B">
      <w:pPr>
        <w:spacing w:line="520" w:lineRule="exact"/>
        <w:jc w:val="center"/>
        <w:rPr>
          <w:rFonts w:hint="eastAsia" w:ascii="仿宋_GB2312" w:hAnsi="仿宋_GB2312" w:eastAsia="仿宋_GB2312" w:cs="仿宋_GB2312"/>
          <w:color w:val="auto"/>
          <w:sz w:val="32"/>
          <w:szCs w:val="32"/>
          <w:highlight w:val="none"/>
        </w:rPr>
      </w:pPr>
      <w:r>
        <w:rPr>
          <w:rFonts w:hint="eastAsia" w:ascii="方正小标宋简体" w:hAnsi="方正小标宋简体" w:eastAsia="方正小标宋简体" w:cs="方正小标宋简体"/>
          <w:bCs/>
          <w:color w:val="auto"/>
          <w:sz w:val="44"/>
          <w:szCs w:val="44"/>
          <w:highlight w:val="none"/>
        </w:rPr>
        <w:t>法定代表人证明书</w:t>
      </w:r>
    </w:p>
    <w:p w14:paraId="5FE3AD0D">
      <w:pPr>
        <w:spacing w:line="360" w:lineRule="auto"/>
        <w:ind w:left="540"/>
        <w:contextualSpacing/>
        <w:rPr>
          <w:rFonts w:hint="eastAsia" w:ascii="仿宋_GB2312" w:hAnsi="仿宋_GB2312" w:eastAsia="仿宋_GB2312" w:cs="仿宋_GB2312"/>
          <w:color w:val="auto"/>
          <w:sz w:val="32"/>
          <w:szCs w:val="32"/>
          <w:highlight w:val="none"/>
        </w:rPr>
      </w:pPr>
    </w:p>
    <w:p w14:paraId="3F7994E0">
      <w:pPr>
        <w:spacing w:line="360" w:lineRule="auto"/>
        <w:ind w:left="540"/>
        <w:contextualSpacing/>
        <w:rPr>
          <w:rFonts w:hint="eastAsia" w:ascii="宋体" w:hAnsi="宋体" w:cs="仿宋_GB2312"/>
          <w:color w:val="auto"/>
          <w:sz w:val="24"/>
          <w:highlight w:val="none"/>
        </w:rPr>
      </w:pPr>
      <w:r>
        <w:rPr>
          <w:rFonts w:hint="eastAsia" w:ascii="宋体" w:hAnsi="宋体" w:cs="仿宋_GB2312"/>
          <w:color w:val="auto"/>
          <w:sz w:val="24"/>
          <w:highlight w:val="none"/>
        </w:rPr>
        <w:t>供应商名称：</w:t>
      </w:r>
      <w:r>
        <w:rPr>
          <w:rFonts w:hint="eastAsia" w:ascii="宋体" w:hAnsi="宋体" w:cs="仿宋_GB2312"/>
          <w:color w:val="auto"/>
          <w:sz w:val="24"/>
          <w:highlight w:val="none"/>
          <w:u w:val="single"/>
        </w:rPr>
        <w:t xml:space="preserve">                                                        </w:t>
      </w:r>
    </w:p>
    <w:p w14:paraId="0B10E0C7">
      <w:pPr>
        <w:spacing w:line="360" w:lineRule="auto"/>
        <w:ind w:left="540"/>
        <w:contextualSpacing/>
        <w:rPr>
          <w:rFonts w:hint="eastAsia" w:ascii="宋体" w:hAnsi="宋体" w:cs="仿宋_GB2312"/>
          <w:color w:val="auto"/>
          <w:sz w:val="24"/>
          <w:highlight w:val="none"/>
        </w:rPr>
      </w:pPr>
      <w:r>
        <w:rPr>
          <w:rFonts w:hint="eastAsia" w:ascii="宋体" w:hAnsi="宋体" w:cs="仿宋_GB2312"/>
          <w:color w:val="auto"/>
          <w:sz w:val="24"/>
          <w:highlight w:val="none"/>
        </w:rPr>
        <w:t>地    址：</w:t>
      </w:r>
      <w:r>
        <w:rPr>
          <w:rFonts w:hint="eastAsia" w:ascii="宋体" w:hAnsi="宋体" w:cs="仿宋_GB2312"/>
          <w:color w:val="auto"/>
          <w:sz w:val="24"/>
          <w:highlight w:val="none"/>
          <w:u w:val="single"/>
        </w:rPr>
        <w:t xml:space="preserve">                                                        </w:t>
      </w:r>
    </w:p>
    <w:p w14:paraId="0CFA3A23">
      <w:pPr>
        <w:spacing w:line="360" w:lineRule="auto"/>
        <w:ind w:left="540"/>
        <w:contextualSpacing/>
        <w:rPr>
          <w:rFonts w:hint="eastAsia" w:ascii="宋体" w:hAnsi="宋体" w:cs="仿宋_GB2312"/>
          <w:color w:val="auto"/>
          <w:sz w:val="24"/>
          <w:highlight w:val="none"/>
        </w:rPr>
      </w:pPr>
      <w:r>
        <w:rPr>
          <w:rFonts w:hint="eastAsia" w:ascii="宋体" w:hAnsi="宋体" w:cs="仿宋_GB2312"/>
          <w:color w:val="auto"/>
          <w:sz w:val="24"/>
          <w:highlight w:val="none"/>
        </w:rPr>
        <w:t>姓    名：</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性     别：</w:t>
      </w:r>
      <w:r>
        <w:rPr>
          <w:rFonts w:hint="eastAsia" w:ascii="宋体" w:hAnsi="宋体" w:cs="仿宋_GB2312"/>
          <w:color w:val="auto"/>
          <w:sz w:val="24"/>
          <w:highlight w:val="none"/>
          <w:u w:val="single"/>
        </w:rPr>
        <w:t xml:space="preserve">                </w:t>
      </w:r>
    </w:p>
    <w:p w14:paraId="02DB6EC8">
      <w:pPr>
        <w:spacing w:line="360" w:lineRule="auto"/>
        <w:ind w:left="540"/>
        <w:contextualSpacing/>
        <w:rPr>
          <w:rFonts w:hint="eastAsia" w:ascii="宋体" w:hAnsi="宋体" w:cs="仿宋_GB2312"/>
          <w:color w:val="auto"/>
          <w:sz w:val="24"/>
          <w:highlight w:val="none"/>
          <w:u w:val="single"/>
        </w:rPr>
      </w:pPr>
      <w:r>
        <w:rPr>
          <w:rFonts w:hint="eastAsia" w:ascii="宋体" w:hAnsi="宋体" w:cs="仿宋_GB2312"/>
          <w:color w:val="auto"/>
          <w:sz w:val="24"/>
          <w:highlight w:val="none"/>
        </w:rPr>
        <w:t>年    龄：</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职     务：</w:t>
      </w:r>
      <w:r>
        <w:rPr>
          <w:rFonts w:hint="eastAsia" w:ascii="宋体" w:hAnsi="宋体" w:cs="仿宋_GB2312"/>
          <w:color w:val="auto"/>
          <w:sz w:val="24"/>
          <w:highlight w:val="none"/>
          <w:u w:val="single"/>
        </w:rPr>
        <w:t xml:space="preserve">                </w:t>
      </w:r>
    </w:p>
    <w:p w14:paraId="11902153">
      <w:pPr>
        <w:spacing w:line="360" w:lineRule="auto"/>
        <w:ind w:left="540"/>
        <w:contextualSpacing/>
        <w:rPr>
          <w:rFonts w:hint="eastAsia" w:ascii="宋体" w:hAnsi="宋体" w:cs="仿宋_GB2312"/>
          <w:color w:val="auto"/>
          <w:sz w:val="24"/>
          <w:highlight w:val="none"/>
        </w:rPr>
      </w:pPr>
      <w:r>
        <w:rPr>
          <w:rFonts w:hint="eastAsia" w:ascii="宋体" w:hAnsi="宋体" w:cs="仿宋_GB2312"/>
          <w:color w:val="auto"/>
          <w:sz w:val="24"/>
          <w:highlight w:val="none"/>
        </w:rPr>
        <w:t>身份证号码：</w:t>
      </w:r>
      <w:r>
        <w:rPr>
          <w:rFonts w:hint="eastAsia" w:ascii="宋体" w:hAnsi="宋体" w:cs="仿宋_GB2312"/>
          <w:color w:val="auto"/>
          <w:sz w:val="24"/>
          <w:highlight w:val="none"/>
          <w:u w:val="single"/>
        </w:rPr>
        <w:t xml:space="preserve">                                        </w:t>
      </w:r>
    </w:p>
    <w:p w14:paraId="40E63EE9">
      <w:pPr>
        <w:spacing w:line="360" w:lineRule="auto"/>
        <w:ind w:firstLine="480" w:firstLineChars="200"/>
        <w:rPr>
          <w:rFonts w:hint="eastAsia" w:ascii="宋体" w:hAnsi="宋体" w:cs="仿宋_GB2312"/>
          <w:color w:val="auto"/>
          <w:sz w:val="24"/>
          <w:highlight w:val="none"/>
        </w:rPr>
      </w:pPr>
      <w:r>
        <w:rPr>
          <w:rFonts w:hint="eastAsia" w:ascii="宋体" w:hAnsi="宋体" w:cs="仿宋_GB2312"/>
          <w:color w:val="auto"/>
          <w:sz w:val="24"/>
          <w:highlight w:val="none"/>
        </w:rPr>
        <w:t>系</w:t>
      </w:r>
      <w:r>
        <w:rPr>
          <w:rFonts w:hint="eastAsia" w:ascii="宋体" w:hAnsi="宋体" w:cs="仿宋_GB2312"/>
          <w:color w:val="auto"/>
          <w:sz w:val="24"/>
          <w:highlight w:val="none"/>
          <w:u w:val="single"/>
        </w:rPr>
        <w:t>（供应商名称）</w:t>
      </w:r>
      <w:r>
        <w:rPr>
          <w:rFonts w:hint="eastAsia" w:ascii="宋体" w:hAnsi="宋体" w:cs="仿宋_GB2312"/>
          <w:color w:val="auto"/>
          <w:sz w:val="24"/>
          <w:highlight w:val="none"/>
        </w:rPr>
        <w:t>的法定代表人。</w:t>
      </w:r>
    </w:p>
    <w:p w14:paraId="6418D688">
      <w:pPr>
        <w:spacing w:line="360" w:lineRule="auto"/>
        <w:ind w:left="540"/>
        <w:contextualSpacing/>
        <w:rPr>
          <w:rFonts w:hint="eastAsia" w:ascii="宋体" w:hAnsi="宋体" w:cs="仿宋_GB2312"/>
          <w:color w:val="auto"/>
          <w:sz w:val="24"/>
          <w:highlight w:val="none"/>
        </w:rPr>
      </w:pPr>
      <w:r>
        <w:rPr>
          <w:rFonts w:hint="eastAsia" w:ascii="宋体" w:hAnsi="宋体" w:cs="仿宋_GB2312"/>
          <w:color w:val="auto"/>
          <w:sz w:val="24"/>
          <w:highlight w:val="none"/>
        </w:rPr>
        <w:t>特此证明。</w:t>
      </w:r>
    </w:p>
    <w:p w14:paraId="0D5D39FF">
      <w:pPr>
        <w:spacing w:line="360" w:lineRule="auto"/>
        <w:ind w:left="540"/>
        <w:contextualSpacing/>
        <w:rPr>
          <w:rFonts w:hint="eastAsia" w:ascii="宋体" w:hAnsi="宋体" w:cs="仿宋_GB2312"/>
          <w:color w:val="auto"/>
          <w:sz w:val="24"/>
          <w:highlight w:val="none"/>
        </w:rPr>
      </w:pPr>
    </w:p>
    <w:p w14:paraId="4476B0B5">
      <w:pPr>
        <w:spacing w:line="360" w:lineRule="auto"/>
        <w:ind w:left="540"/>
        <w:contextualSpacing/>
        <w:rPr>
          <w:rFonts w:hint="eastAsia" w:ascii="宋体" w:hAnsi="宋体" w:cs="仿宋_GB2312"/>
          <w:color w:val="auto"/>
          <w:sz w:val="24"/>
          <w:highlight w:val="none"/>
        </w:rPr>
      </w:pPr>
    </w:p>
    <w:p w14:paraId="127E5F73">
      <w:pPr>
        <w:spacing w:line="360" w:lineRule="auto"/>
        <w:ind w:left="540"/>
        <w:contextualSpacing/>
        <w:rPr>
          <w:rFonts w:hint="eastAsia" w:ascii="宋体" w:hAnsi="宋体" w:cs="仿宋_GB2312"/>
          <w:color w:val="auto"/>
          <w:sz w:val="24"/>
          <w:highlight w:val="none"/>
        </w:rPr>
      </w:pPr>
    </w:p>
    <w:p w14:paraId="0A34ED0B">
      <w:pPr>
        <w:spacing w:line="360" w:lineRule="auto"/>
        <w:ind w:left="540"/>
        <w:contextualSpacing/>
        <w:rPr>
          <w:rFonts w:hint="eastAsia" w:ascii="宋体" w:hAnsi="宋体" w:cs="仿宋_GB2312"/>
          <w:color w:val="auto"/>
          <w:sz w:val="24"/>
          <w:highlight w:val="none"/>
        </w:rPr>
      </w:pPr>
      <w:r>
        <w:rPr>
          <w:rFonts w:hint="eastAsia" w:ascii="宋体" w:hAnsi="宋体" w:cs="仿宋_GB2312"/>
          <w:color w:val="auto"/>
          <w:sz w:val="24"/>
          <w:highlight w:val="none"/>
        </w:rPr>
        <w:t>附件：法定代表人有效身份证正反面复印件</w:t>
      </w:r>
    </w:p>
    <w:p w14:paraId="08AC7A29">
      <w:pPr>
        <w:spacing w:line="360" w:lineRule="auto"/>
        <w:ind w:left="540"/>
        <w:contextualSpacing/>
        <w:rPr>
          <w:rFonts w:hint="eastAsia" w:ascii="宋体" w:hAnsi="宋体" w:cs="仿宋_GB2312"/>
          <w:color w:val="auto"/>
          <w:sz w:val="24"/>
          <w:highlight w:val="none"/>
        </w:rPr>
      </w:pPr>
    </w:p>
    <w:p w14:paraId="3C89AD00">
      <w:pPr>
        <w:autoSpaceDE w:val="0"/>
        <w:autoSpaceDN w:val="0"/>
        <w:spacing w:line="360" w:lineRule="auto"/>
        <w:ind w:left="4335" w:leftChars="1950" w:hanging="240" w:hangingChars="10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5F91363D">
      <w:pPr>
        <w:spacing w:line="360" w:lineRule="auto"/>
        <w:jc w:val="center"/>
        <w:rPr>
          <w:rFonts w:hint="eastAsia" w:ascii="宋体" w:hAnsi="宋体" w:cs="仿宋_GB2312"/>
          <w:b/>
          <w:color w:val="auto"/>
          <w:sz w:val="24"/>
          <w:highlight w:val="none"/>
        </w:rPr>
      </w:pPr>
      <w:r>
        <w:rPr>
          <w:rFonts w:hint="eastAsia" w:ascii="仿宋_GB2312" w:hAnsi="仿宋" w:eastAsia="仿宋_GB2312" w:cs="仿宋_GB2312"/>
          <w:color w:val="auto"/>
          <w:kern w:val="0"/>
          <w:sz w:val="24"/>
          <w:highlight w:val="none"/>
          <w:lang w:val="zh-CN"/>
        </w:rPr>
        <w:t xml:space="preserve">                                                   日期：  年  月   日</w:t>
      </w:r>
    </w:p>
    <w:p w14:paraId="4C2A53A2">
      <w:pPr>
        <w:spacing w:line="360" w:lineRule="auto"/>
        <w:jc w:val="left"/>
        <w:rPr>
          <w:rFonts w:hint="eastAsia" w:ascii="宋体" w:hAnsi="宋体" w:cs="仿宋_GB2312"/>
          <w:color w:val="auto"/>
          <w:sz w:val="24"/>
          <w:highlight w:val="none"/>
        </w:rPr>
      </w:pPr>
    </w:p>
    <w:p w14:paraId="45B3CB04">
      <w:pPr>
        <w:spacing w:line="360" w:lineRule="auto"/>
        <w:jc w:val="left"/>
        <w:rPr>
          <w:rFonts w:hint="eastAsia" w:ascii="宋体" w:hAnsi="宋体" w:cs="仿宋_GB2312"/>
          <w:color w:val="auto"/>
          <w:sz w:val="24"/>
          <w:highlight w:val="none"/>
        </w:rPr>
      </w:pPr>
      <w:r>
        <w:rPr>
          <w:rFonts w:hint="eastAsia" w:ascii="宋体" w:hAnsi="宋体" w:cs="仿宋_GB2312"/>
          <w:color w:val="auto"/>
          <w:sz w:val="24"/>
          <w:highlight w:val="none"/>
        </w:rPr>
        <w:t>注：1.自然人竞标的无需提供，联合体竞标的只需牵头人出具。</w:t>
      </w:r>
    </w:p>
    <w:p w14:paraId="42D3ADF2">
      <w:pPr>
        <w:spacing w:line="360" w:lineRule="auto"/>
        <w:ind w:firstLine="480" w:firstLineChars="200"/>
        <w:jc w:val="left"/>
        <w:rPr>
          <w:rFonts w:hint="eastAsia" w:ascii="宋体" w:hAnsi="宋体" w:cs="仿宋_GB2312"/>
          <w:color w:val="auto"/>
          <w:sz w:val="24"/>
          <w:highlight w:val="none"/>
        </w:rPr>
      </w:pPr>
      <w:r>
        <w:rPr>
          <w:rFonts w:hint="eastAsia" w:ascii="宋体" w:hAnsi="宋体" w:cs="仿宋_GB2312"/>
          <w:color w:val="auto"/>
          <w:sz w:val="24"/>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54C98F9E">
      <w:pPr>
        <w:widowControl/>
        <w:spacing w:line="360" w:lineRule="auto"/>
        <w:jc w:val="left"/>
        <w:rPr>
          <w:rFonts w:ascii="宋体" w:hAnsi="宋体" w:cs="仿宋_GB2312"/>
          <w:color w:val="auto"/>
          <w:sz w:val="24"/>
          <w:highlight w:val="none"/>
        </w:rPr>
        <w:sectPr>
          <w:pgSz w:w="11910" w:h="16840"/>
          <w:pgMar w:top="1340" w:right="1500" w:bottom="280" w:left="1680" w:header="720" w:footer="720" w:gutter="0"/>
          <w:cols w:space="720" w:num="1"/>
        </w:sectPr>
      </w:pPr>
    </w:p>
    <w:tbl>
      <w:tblPr>
        <w:tblStyle w:val="25"/>
        <w:tblpPr w:leftFromText="180" w:rightFromText="180" w:vertAnchor="text" w:horzAnchor="margin" w:tblpY="1169"/>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0"/>
      </w:tblGrid>
      <w:tr w14:paraId="66A46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trPr>
        <w:tc>
          <w:tcPr>
            <w:tcW w:w="8461" w:type="dxa"/>
            <w:tcBorders>
              <w:top w:val="single" w:color="auto" w:sz="4" w:space="0"/>
              <w:left w:val="single" w:color="auto" w:sz="4" w:space="0"/>
              <w:bottom w:val="single" w:color="auto" w:sz="4" w:space="0"/>
              <w:right w:val="single" w:color="auto" w:sz="4" w:space="0"/>
            </w:tcBorders>
            <w:noWrap w:val="0"/>
            <w:vAlign w:val="top"/>
          </w:tcPr>
          <w:p w14:paraId="567450FC">
            <w:pPr>
              <w:spacing w:line="360" w:lineRule="auto"/>
              <w:rPr>
                <w:rFonts w:hint="eastAsia" w:ascii="宋体"/>
                <w:b/>
                <w:color w:val="auto"/>
                <w:sz w:val="24"/>
                <w:highlight w:val="none"/>
              </w:rPr>
            </w:pPr>
          </w:p>
          <w:p w14:paraId="6596580F">
            <w:pPr>
              <w:spacing w:line="360" w:lineRule="auto"/>
              <w:rPr>
                <w:rFonts w:hint="eastAsia" w:ascii="宋体"/>
                <w:b/>
                <w:color w:val="auto"/>
                <w:sz w:val="24"/>
                <w:highlight w:val="none"/>
              </w:rPr>
            </w:pPr>
            <w:r>
              <w:rPr>
                <w:rFonts w:hint="eastAsia" w:ascii="宋体"/>
                <w:b/>
                <w:color w:val="auto"/>
                <w:sz w:val="24"/>
                <w:highlight w:val="none"/>
              </w:rPr>
              <w:t>法定代表身份证复印件粘帖处（正、反面）</w:t>
            </w:r>
          </w:p>
        </w:tc>
      </w:tr>
    </w:tbl>
    <w:p w14:paraId="0A4BA952">
      <w:pPr>
        <w:spacing w:line="360" w:lineRule="auto"/>
        <w:ind w:firstLine="482" w:firstLineChars="200"/>
        <w:jc w:val="left"/>
        <w:rPr>
          <w:rFonts w:hint="eastAsia" w:ascii="仿宋_GB2312" w:hAnsi="仿宋_GB2312" w:eastAsia="仿宋_GB2312" w:cs="仿宋_GB2312"/>
          <w:b/>
          <w:color w:val="auto"/>
          <w:sz w:val="32"/>
          <w:szCs w:val="32"/>
          <w:highlight w:val="none"/>
        </w:rPr>
      </w:pPr>
      <w:r>
        <w:rPr>
          <w:rFonts w:hint="eastAsia" w:hAnsi="宋体"/>
          <w:b/>
          <w:color w:val="auto"/>
          <w:sz w:val="24"/>
          <w:highlight w:val="none"/>
        </w:rPr>
        <w:t>附件：</w:t>
      </w:r>
    </w:p>
    <w:p w14:paraId="7CFDD4B7">
      <w:pPr>
        <w:adjustRightInd w:val="0"/>
        <w:snapToGrid w:val="0"/>
        <w:spacing w:line="300" w:lineRule="auto"/>
        <w:jc w:val="left"/>
        <w:rPr>
          <w:rFonts w:hint="eastAsia" w:ascii="宋体" w:hAnsi="宋体"/>
          <w:b/>
          <w:color w:val="auto"/>
          <w:szCs w:val="21"/>
          <w:highlight w:val="none"/>
        </w:rPr>
      </w:pPr>
    </w:p>
    <w:p w14:paraId="2D1660AD">
      <w:pPr>
        <w:spacing w:line="520" w:lineRule="exact"/>
        <w:ind w:firstLine="880"/>
        <w:jc w:val="left"/>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color w:val="auto"/>
          <w:sz w:val="44"/>
          <w:szCs w:val="44"/>
          <w:highlight w:val="none"/>
        </w:rPr>
        <w:br w:type="page"/>
      </w:r>
      <w:r>
        <w:rPr>
          <w:rFonts w:hint="eastAsia" w:ascii="仿宋" w:hAnsi="仿宋" w:eastAsia="仿宋" w:cs="仿宋_GB2312"/>
          <w:b/>
          <w:color w:val="auto"/>
          <w:sz w:val="30"/>
          <w:szCs w:val="30"/>
          <w:highlight w:val="none"/>
        </w:rPr>
        <w:t>三、法定代表人授权委托书</w:t>
      </w:r>
    </w:p>
    <w:p w14:paraId="197A1D39">
      <w:pPr>
        <w:spacing w:line="500" w:lineRule="exact"/>
        <w:jc w:val="center"/>
        <w:rPr>
          <w:rFonts w:hint="eastAsia" w:ascii="方正小标宋简体" w:hAnsi="方正小标宋简体" w:eastAsia="方正小标宋简体" w:cs="方正小标宋简体"/>
          <w:color w:val="auto"/>
          <w:sz w:val="44"/>
          <w:szCs w:val="44"/>
          <w:highlight w:val="none"/>
        </w:rPr>
      </w:pPr>
    </w:p>
    <w:p w14:paraId="035E2574">
      <w:pPr>
        <w:spacing w:line="520" w:lineRule="exact"/>
        <w:jc w:val="center"/>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授权委托书（非联合体竞标格式）</w:t>
      </w:r>
    </w:p>
    <w:p w14:paraId="1BA35C0D">
      <w:pPr>
        <w:spacing w:line="520" w:lineRule="exact"/>
        <w:jc w:val="center"/>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（如有委托时）</w:t>
      </w:r>
    </w:p>
    <w:p w14:paraId="2CC47B6A">
      <w:pPr>
        <w:spacing w:line="520" w:lineRule="exact"/>
        <w:rPr>
          <w:rFonts w:hint="eastAsia" w:ascii="仿宋_GB2312" w:hAnsi="仿宋_GB2312" w:eastAsia="仿宋_GB2312" w:cs="仿宋_GB2312"/>
          <w:color w:val="auto"/>
          <w:sz w:val="32"/>
          <w:szCs w:val="32"/>
          <w:highlight w:val="none"/>
        </w:rPr>
      </w:pPr>
    </w:p>
    <w:p w14:paraId="31056DC1">
      <w:pPr>
        <w:spacing w:line="360" w:lineRule="auto"/>
        <w:rPr>
          <w:rFonts w:hint="eastAsia" w:ascii="宋体" w:hAnsi="宋体" w:cs="仿宋_GB2312"/>
          <w:color w:val="auto"/>
          <w:sz w:val="24"/>
          <w:highlight w:val="none"/>
        </w:rPr>
      </w:pPr>
      <w:r>
        <w:rPr>
          <w:rFonts w:hint="eastAsia" w:ascii="宋体" w:hAnsi="宋体" w:cs="仿宋_GB2312"/>
          <w:color w:val="auto"/>
          <w:sz w:val="24"/>
          <w:highlight w:val="none"/>
        </w:rPr>
        <w:t>致：</w:t>
      </w:r>
      <w:bookmarkStart w:id="89" w:name="PO_3000001868_PM031_7"/>
      <w:r>
        <w:rPr>
          <w:rFonts w:hint="eastAsia" w:ascii="宋体" w:hAnsi="宋体" w:cs="仿宋_GB2312"/>
          <w:color w:val="auto"/>
          <w:sz w:val="24"/>
          <w:highlight w:val="none"/>
          <w:u w:val="single"/>
        </w:rPr>
        <w:t>广西科文招标有限公司</w:t>
      </w:r>
      <w:bookmarkEnd w:id="89"/>
      <w:r>
        <w:rPr>
          <w:rFonts w:hint="eastAsia" w:ascii="宋体" w:hAnsi="宋体" w:cs="仿宋_GB2312"/>
          <w:color w:val="auto"/>
          <w:sz w:val="24"/>
          <w:highlight w:val="none"/>
        </w:rPr>
        <w:t>：</w:t>
      </w:r>
    </w:p>
    <w:p w14:paraId="79FBDF3D">
      <w:pPr>
        <w:spacing w:line="360" w:lineRule="auto"/>
        <w:ind w:firstLine="480" w:firstLineChars="200"/>
        <w:rPr>
          <w:rFonts w:hint="eastAsia" w:ascii="宋体" w:hAnsi="宋体" w:cs="仿宋_GB2312"/>
          <w:color w:val="auto"/>
          <w:sz w:val="24"/>
          <w:highlight w:val="none"/>
        </w:rPr>
      </w:pPr>
      <w:r>
        <w:rPr>
          <w:rFonts w:hint="eastAsia" w:ascii="宋体" w:hAnsi="宋体" w:cs="仿宋_GB2312"/>
          <w:color w:val="auto"/>
          <w:sz w:val="24"/>
          <w:highlight w:val="none"/>
        </w:rPr>
        <w:t>我</w:t>
      </w:r>
      <w:r>
        <w:rPr>
          <w:rFonts w:hint="eastAsia" w:ascii="宋体" w:hAnsi="宋体" w:cs="仿宋_GB2312"/>
          <w:color w:val="auto"/>
          <w:sz w:val="24"/>
          <w:highlight w:val="none"/>
          <w:u w:val="single"/>
        </w:rPr>
        <w:t xml:space="preserve">  （姓名）  </w:t>
      </w:r>
      <w:r>
        <w:rPr>
          <w:rFonts w:hint="eastAsia" w:ascii="宋体" w:hAnsi="宋体" w:cs="仿宋_GB2312"/>
          <w:color w:val="auto"/>
          <w:sz w:val="24"/>
          <w:highlight w:val="none"/>
        </w:rPr>
        <w:t>系</w:t>
      </w:r>
      <w:r>
        <w:rPr>
          <w:rFonts w:hint="eastAsia" w:ascii="宋体" w:hAnsi="宋体" w:cs="仿宋_GB2312"/>
          <w:color w:val="auto"/>
          <w:sz w:val="24"/>
          <w:highlight w:val="none"/>
          <w:u w:val="single"/>
        </w:rPr>
        <w:t xml:space="preserve">  （供应商名称）  </w:t>
      </w:r>
      <w:r>
        <w:rPr>
          <w:rFonts w:hint="eastAsia" w:ascii="宋体" w:hAnsi="宋体" w:cs="仿宋_GB2312"/>
          <w:color w:val="auto"/>
          <w:sz w:val="24"/>
          <w:highlight w:val="none"/>
        </w:rPr>
        <w:t>的（</w:t>
      </w:r>
      <w:r>
        <w:rPr>
          <w:rFonts w:hint="eastAsia" w:ascii="宋体" w:hAnsi="宋体" w:cs="仿宋_GB2312"/>
          <w:color w:val="auto"/>
          <w:sz w:val="24"/>
          <w:highlight w:val="none"/>
          <w:u w:val="single"/>
        </w:rPr>
        <w:t>□法定代表人/□负责人/□自然人本人</w:t>
      </w:r>
      <w:r>
        <w:rPr>
          <w:rFonts w:hint="eastAsia" w:ascii="宋体" w:hAnsi="宋体" w:cs="仿宋_GB2312"/>
          <w:color w:val="auto"/>
          <w:sz w:val="24"/>
          <w:highlight w:val="none"/>
        </w:rPr>
        <w:t>），现授权</w:t>
      </w:r>
      <w:r>
        <w:rPr>
          <w:rFonts w:hint="eastAsia" w:ascii="宋体" w:hAnsi="宋体" w:cs="仿宋_GB2312"/>
          <w:color w:val="auto"/>
          <w:sz w:val="24"/>
          <w:highlight w:val="none"/>
          <w:u w:val="single"/>
        </w:rPr>
        <w:t xml:space="preserve"> （姓名） </w:t>
      </w:r>
      <w:r>
        <w:rPr>
          <w:rFonts w:hint="eastAsia" w:ascii="宋体" w:hAnsi="宋体" w:cs="仿宋_GB2312"/>
          <w:color w:val="auto"/>
          <w:sz w:val="24"/>
          <w:highlight w:val="none"/>
        </w:rPr>
        <w:t>以我方的名义参加</w:t>
      </w:r>
      <w:r>
        <w:rPr>
          <w:rFonts w:hint="eastAsia" w:ascii="宋体" w:hAnsi="宋体" w:cs="仿宋_GB2312"/>
          <w:color w:val="auto"/>
          <w:sz w:val="24"/>
          <w:highlight w:val="none"/>
          <w:u w:val="single"/>
          <w:lang w:eastAsia="zh-CN"/>
        </w:rPr>
        <w:t>邕宁区蒲庙电灌站灌区续建配套与节水改造工程项目立项建议报告编制技术服务项目</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项目的竞标活动，并代表我方全权办理针对上述项目的所有采购程序和环节的具体事务和签署相关文件。</w:t>
      </w:r>
    </w:p>
    <w:p w14:paraId="39E41AAA">
      <w:pPr>
        <w:spacing w:line="360" w:lineRule="auto"/>
        <w:rPr>
          <w:rFonts w:hint="eastAsia" w:ascii="宋体" w:hAnsi="宋体" w:cs="仿宋_GB2312"/>
          <w:color w:val="auto"/>
          <w:sz w:val="24"/>
          <w:highlight w:val="none"/>
        </w:rPr>
      </w:pPr>
      <w:r>
        <w:rPr>
          <w:rFonts w:hint="eastAsia" w:ascii="宋体" w:hAnsi="宋体" w:cs="仿宋_GB2312"/>
          <w:color w:val="auto"/>
          <w:sz w:val="24"/>
          <w:highlight w:val="none"/>
        </w:rPr>
        <w:t xml:space="preserve">    我方对委托代理人的签字事项负全部责任。</w:t>
      </w:r>
    </w:p>
    <w:p w14:paraId="6A2346FB">
      <w:pPr>
        <w:spacing w:line="360" w:lineRule="auto"/>
        <w:ind w:firstLine="480" w:firstLineChars="200"/>
        <w:rPr>
          <w:rFonts w:hint="eastAsia" w:ascii="宋体" w:hAnsi="宋体" w:cs="仿宋_GB2312"/>
          <w:color w:val="auto"/>
          <w:sz w:val="24"/>
          <w:highlight w:val="none"/>
        </w:rPr>
      </w:pPr>
      <w:r>
        <w:rPr>
          <w:rFonts w:hint="eastAsia" w:ascii="宋体" w:hAnsi="宋体" w:cs="仿宋_GB2312"/>
          <w:color w:val="auto"/>
          <w:sz w:val="24"/>
          <w:highlight w:val="none"/>
        </w:rPr>
        <w:t>本授权书自签署之日起生效，在撤销授权的书面通知以前，本授权书一直有效。委托代理人在授权书有效期内签署的所有文件不因授权的撤销而失效。</w:t>
      </w:r>
    </w:p>
    <w:p w14:paraId="1AF12BC6">
      <w:pPr>
        <w:spacing w:line="360" w:lineRule="auto"/>
        <w:ind w:firstLine="480" w:firstLineChars="200"/>
        <w:rPr>
          <w:rFonts w:hint="eastAsia" w:ascii="宋体" w:hAnsi="宋体" w:cs="仿宋_GB2312"/>
          <w:color w:val="auto"/>
          <w:sz w:val="24"/>
          <w:highlight w:val="none"/>
        </w:rPr>
      </w:pPr>
      <w:r>
        <w:rPr>
          <w:rFonts w:hint="eastAsia" w:ascii="宋体" w:hAnsi="宋体" w:cs="仿宋_GB2312"/>
          <w:color w:val="auto"/>
          <w:sz w:val="24"/>
          <w:highlight w:val="none"/>
        </w:rPr>
        <w:t>委托代理人无转委托权，特此委托。</w:t>
      </w:r>
    </w:p>
    <w:p w14:paraId="79FF94B5">
      <w:pPr>
        <w:spacing w:line="360" w:lineRule="auto"/>
        <w:ind w:firstLine="480" w:firstLineChars="200"/>
        <w:rPr>
          <w:rFonts w:hint="eastAsia" w:ascii="宋体" w:hAnsi="宋体" w:cs="仿宋_GB2312"/>
          <w:color w:val="auto"/>
          <w:sz w:val="24"/>
          <w:highlight w:val="none"/>
        </w:rPr>
      </w:pPr>
      <w:r>
        <w:rPr>
          <w:rFonts w:hint="eastAsia" w:ascii="宋体" w:hAnsi="宋体" w:cs="仿宋_GB2312"/>
          <w:color w:val="auto"/>
          <w:sz w:val="24"/>
          <w:highlight w:val="none"/>
        </w:rPr>
        <w:t>附：法定代表人身份证明书及委托代理人有效身份证正反面复印件</w:t>
      </w:r>
    </w:p>
    <w:p w14:paraId="41CCE8C8">
      <w:pPr>
        <w:spacing w:line="360" w:lineRule="auto"/>
        <w:rPr>
          <w:rFonts w:hint="eastAsia" w:ascii="宋体" w:hAnsi="宋体" w:cs="仿宋_GB2312"/>
          <w:color w:val="auto"/>
          <w:sz w:val="24"/>
          <w:highlight w:val="none"/>
        </w:rPr>
      </w:pPr>
    </w:p>
    <w:p w14:paraId="0A52095E">
      <w:pPr>
        <w:spacing w:line="360" w:lineRule="auto"/>
        <w:rPr>
          <w:rFonts w:hint="eastAsia" w:ascii="宋体" w:hAnsi="宋体" w:cs="仿宋_GB2312"/>
          <w:color w:val="auto"/>
          <w:sz w:val="24"/>
          <w:highlight w:val="none"/>
        </w:rPr>
      </w:pPr>
      <w:r>
        <w:rPr>
          <w:rFonts w:hint="eastAsia" w:ascii="宋体" w:hAnsi="宋体" w:cs="仿宋_GB2312"/>
          <w:color w:val="auto"/>
          <w:sz w:val="24"/>
          <w:highlight w:val="none"/>
        </w:rPr>
        <w:t xml:space="preserve">委托代理人（签字）：         法定代表人（签字或盖章）：                    </w:t>
      </w:r>
    </w:p>
    <w:p w14:paraId="30E6EF2E">
      <w:pPr>
        <w:spacing w:line="360" w:lineRule="auto"/>
        <w:rPr>
          <w:rFonts w:hint="eastAsia" w:ascii="宋体" w:hAnsi="宋体" w:cs="仿宋_GB2312"/>
          <w:color w:val="auto"/>
          <w:sz w:val="24"/>
          <w:highlight w:val="none"/>
        </w:rPr>
      </w:pPr>
      <w:r>
        <w:rPr>
          <w:rFonts w:hint="eastAsia" w:ascii="宋体" w:hAnsi="宋体" w:cs="仿宋_GB2312"/>
          <w:color w:val="auto"/>
          <w:sz w:val="24"/>
          <w:highlight w:val="none"/>
        </w:rPr>
        <w:t xml:space="preserve">委托代理人身份证号码：                              </w:t>
      </w:r>
    </w:p>
    <w:p w14:paraId="4756FAB4">
      <w:pPr>
        <w:spacing w:line="360" w:lineRule="auto"/>
        <w:rPr>
          <w:rFonts w:hint="eastAsia" w:ascii="宋体" w:hAnsi="宋体" w:cs="仿宋_GB2312"/>
          <w:color w:val="auto"/>
          <w:sz w:val="24"/>
          <w:highlight w:val="none"/>
        </w:rPr>
      </w:pPr>
      <w:r>
        <w:rPr>
          <w:rFonts w:hint="eastAsia" w:ascii="宋体" w:hAnsi="宋体" w:cs="仿宋_GB2312"/>
          <w:color w:val="auto"/>
          <w:sz w:val="24"/>
          <w:highlight w:val="none"/>
        </w:rPr>
        <w:t xml:space="preserve">                                </w:t>
      </w:r>
    </w:p>
    <w:p w14:paraId="2E13A615">
      <w:pPr>
        <w:spacing w:line="360" w:lineRule="auto"/>
        <w:rPr>
          <w:rFonts w:hint="eastAsia" w:ascii="宋体" w:hAnsi="宋体" w:cs="仿宋_GB2312"/>
          <w:color w:val="auto"/>
          <w:sz w:val="24"/>
          <w:highlight w:val="none"/>
        </w:rPr>
      </w:pPr>
      <w:r>
        <w:rPr>
          <w:rFonts w:hint="eastAsia" w:ascii="宋体" w:hAnsi="宋体" w:cs="仿宋_GB2312"/>
          <w:color w:val="auto"/>
          <w:sz w:val="24"/>
          <w:highlight w:val="none"/>
        </w:rPr>
        <w:t xml:space="preserve">                         </w:t>
      </w:r>
      <w:r>
        <w:rPr>
          <w:rFonts w:hint="eastAsia" w:ascii="仿宋_GB2312" w:hAnsi="仿宋" w:eastAsia="仿宋_GB2312" w:cs="仿宋_GB2312"/>
          <w:color w:val="auto"/>
          <w:kern w:val="0"/>
          <w:sz w:val="24"/>
          <w:highlight w:val="none"/>
        </w:rPr>
        <w:t>供应商名称（电子签章）：</w:t>
      </w:r>
    </w:p>
    <w:p w14:paraId="16CF47FA">
      <w:pPr>
        <w:spacing w:line="360" w:lineRule="auto"/>
        <w:jc w:val="center"/>
        <w:rPr>
          <w:rFonts w:hint="eastAsia" w:ascii="宋体" w:hAnsi="宋体" w:cs="仿宋_GB2312"/>
          <w:b/>
          <w:color w:val="auto"/>
          <w:sz w:val="24"/>
          <w:highlight w:val="none"/>
        </w:rPr>
      </w:pPr>
      <w:r>
        <w:rPr>
          <w:rFonts w:hint="eastAsia" w:ascii="仿宋_GB2312" w:hAnsi="仿宋" w:eastAsia="仿宋_GB2312" w:cs="仿宋_GB2312"/>
          <w:color w:val="auto"/>
          <w:kern w:val="0"/>
          <w:sz w:val="24"/>
          <w:highlight w:val="none"/>
          <w:lang w:val="zh-CN"/>
        </w:rPr>
        <w:t xml:space="preserve">                                                   日期：  年  月   日</w:t>
      </w:r>
    </w:p>
    <w:p w14:paraId="4392A986">
      <w:pPr>
        <w:spacing w:line="360" w:lineRule="auto"/>
        <w:rPr>
          <w:rFonts w:hint="eastAsia" w:ascii="宋体" w:hAnsi="宋体" w:cs="仿宋_GB2312"/>
          <w:color w:val="auto"/>
          <w:sz w:val="24"/>
          <w:highlight w:val="none"/>
        </w:rPr>
      </w:pPr>
    </w:p>
    <w:p w14:paraId="4B6AF2B7">
      <w:pPr>
        <w:spacing w:line="360" w:lineRule="auto"/>
        <w:rPr>
          <w:rFonts w:hint="eastAsia" w:ascii="宋体" w:hAnsi="宋体" w:cs="仿宋_GB2312"/>
          <w:color w:val="auto"/>
          <w:sz w:val="24"/>
          <w:highlight w:val="none"/>
        </w:rPr>
      </w:pPr>
      <w:r>
        <w:rPr>
          <w:rFonts w:hint="eastAsia" w:ascii="宋体" w:hAnsi="宋体" w:cs="仿宋_GB2312"/>
          <w:color w:val="auto"/>
          <w:sz w:val="24"/>
          <w:highlight w:val="none"/>
        </w:rPr>
        <w:t>注：1. 法定代表人必须在授权委托书上亲笔签字或盖章，委托代理人必须在授权委托书上亲笔签字，</w:t>
      </w:r>
      <w:r>
        <w:rPr>
          <w:rFonts w:hint="eastAsia" w:ascii="宋体" w:hAnsi="宋体" w:cs="仿宋_GB2312"/>
          <w:b/>
          <w:color w:val="auto"/>
          <w:sz w:val="24"/>
          <w:highlight w:val="none"/>
        </w:rPr>
        <w:t>否则其响应文件按无效响应处理。</w:t>
      </w:r>
    </w:p>
    <w:p w14:paraId="4ACDF78A">
      <w:pPr>
        <w:spacing w:line="360" w:lineRule="auto"/>
        <w:ind w:firstLine="480" w:firstLineChars="200"/>
        <w:jc w:val="left"/>
        <w:rPr>
          <w:rFonts w:hint="eastAsia" w:ascii="宋体" w:hAnsi="宋体" w:cs="仿宋_GB2312"/>
          <w:color w:val="auto"/>
          <w:sz w:val="24"/>
          <w:highlight w:val="none"/>
        </w:rPr>
      </w:pPr>
      <w:r>
        <w:rPr>
          <w:rFonts w:hint="eastAsia" w:ascii="宋体" w:hAnsi="宋体" w:cs="仿宋_GB2312"/>
          <w:color w:val="auto"/>
          <w:sz w:val="24"/>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6FDFC6C5">
      <w:pPr>
        <w:spacing w:line="360" w:lineRule="auto"/>
        <w:ind w:firstLine="480" w:firstLineChars="200"/>
        <w:jc w:val="left"/>
        <w:rPr>
          <w:rFonts w:hint="eastAsia" w:ascii="仿宋_GB2312" w:hAnsi="仿宋_GB2312" w:eastAsia="仿宋_GB2312" w:cs="仿宋_GB2312"/>
          <w:color w:val="auto"/>
          <w:szCs w:val="21"/>
          <w:highlight w:val="none"/>
        </w:rPr>
      </w:pPr>
      <w:r>
        <w:rPr>
          <w:rFonts w:hint="eastAsia" w:ascii="宋体" w:hAnsi="宋体" w:cs="仿宋_GB2312"/>
          <w:color w:val="auto"/>
          <w:sz w:val="24"/>
          <w:highlight w:val="none"/>
        </w:rPr>
        <w:t>3. 法人、其他组织竞标时“我方”是指“我单位”，自然人竞标时“我方”是指“本人”。</w:t>
      </w:r>
    </w:p>
    <w:p w14:paraId="49F2740C">
      <w:pPr>
        <w:spacing w:line="500" w:lineRule="exact"/>
        <w:jc w:val="center"/>
        <w:rPr>
          <w:rFonts w:hint="eastAsia" w:ascii="方正小标宋简体" w:hAnsi="方正小标宋简体" w:eastAsia="方正小标宋简体" w:cs="方正小标宋简体"/>
          <w:color w:val="auto"/>
          <w:sz w:val="44"/>
          <w:szCs w:val="44"/>
          <w:highlight w:val="none"/>
        </w:rPr>
      </w:pPr>
      <w:r>
        <w:rPr>
          <w:rFonts w:hint="eastAsia" w:ascii="仿宋_GB2312" w:hAnsi="仿宋_GB2312" w:eastAsia="仿宋_GB2312" w:cs="仿宋_GB2312"/>
          <w:color w:val="auto"/>
          <w:szCs w:val="21"/>
          <w:highlight w:val="none"/>
        </w:rPr>
        <w:br w:type="page"/>
      </w:r>
      <w:r>
        <w:rPr>
          <w:rFonts w:hint="eastAsia" w:ascii="方正小标宋简体" w:hAnsi="方正小标宋简体" w:eastAsia="方正小标宋简体" w:cs="方正小标宋简体"/>
          <w:color w:val="auto"/>
          <w:sz w:val="44"/>
          <w:szCs w:val="44"/>
          <w:highlight w:val="none"/>
        </w:rPr>
        <w:t>授权委托书（联合体竞标格式）</w:t>
      </w:r>
    </w:p>
    <w:p w14:paraId="1B3EBF95">
      <w:pPr>
        <w:spacing w:line="500" w:lineRule="exact"/>
        <w:jc w:val="center"/>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（如有委托时）</w:t>
      </w:r>
    </w:p>
    <w:p w14:paraId="59975C97">
      <w:pPr>
        <w:spacing w:line="500" w:lineRule="exact"/>
        <w:jc w:val="center"/>
        <w:rPr>
          <w:rFonts w:hint="eastAsia" w:ascii="方正小标宋简体" w:hAnsi="方正小标宋简体" w:eastAsia="方正小标宋简体" w:cs="方正小标宋简体"/>
          <w:color w:val="auto"/>
          <w:sz w:val="44"/>
          <w:szCs w:val="44"/>
          <w:highlight w:val="none"/>
        </w:rPr>
      </w:pPr>
    </w:p>
    <w:p w14:paraId="31D8C3B9">
      <w:pPr>
        <w:spacing w:line="500" w:lineRule="exact"/>
        <w:jc w:val="center"/>
        <w:rPr>
          <w:rFonts w:hint="eastAsia" w:ascii="仿宋_GB2312" w:hAnsi="仿宋_GB2312" w:eastAsia="仿宋_GB2312" w:cs="仿宋_GB2312"/>
          <w:color w:val="auto"/>
          <w:sz w:val="32"/>
          <w:szCs w:val="32"/>
          <w:highlight w:val="none"/>
        </w:rPr>
      </w:pPr>
    </w:p>
    <w:p w14:paraId="3D8FD3C1">
      <w:pPr>
        <w:spacing w:line="360" w:lineRule="auto"/>
        <w:ind w:firstLine="480" w:firstLineChars="200"/>
        <w:jc w:val="left"/>
        <w:rPr>
          <w:rFonts w:hint="eastAsia" w:ascii="宋体" w:hAnsi="宋体" w:cs="仿宋_GB2312"/>
          <w:color w:val="auto"/>
          <w:sz w:val="24"/>
          <w:highlight w:val="none"/>
        </w:rPr>
      </w:pPr>
      <w:r>
        <w:rPr>
          <w:rFonts w:hint="eastAsia" w:ascii="宋体" w:hAnsi="宋体" w:cs="仿宋_GB2312"/>
          <w:color w:val="auto"/>
          <w:sz w:val="24"/>
          <w:highlight w:val="none"/>
        </w:rPr>
        <w:t>本授权委托书声明：根据</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（牵头人名称）与</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（联合体其他成员名称）签订的《联合体竞标协议书》的内容，</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（牵头人名称）的法定代表人</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（姓名）现授权</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（姓名）为联合委托代理人，并代表我方全权办理针对上述项目的所有采购程序和环节的具体事务和签署相关文件。</w:t>
      </w:r>
    </w:p>
    <w:p w14:paraId="323E19FB">
      <w:pPr>
        <w:spacing w:line="360" w:lineRule="auto"/>
        <w:ind w:firstLine="480" w:firstLineChars="200"/>
        <w:rPr>
          <w:rFonts w:hint="eastAsia" w:ascii="宋体" w:hAnsi="宋体" w:cs="仿宋_GB2312"/>
          <w:color w:val="auto"/>
          <w:sz w:val="24"/>
          <w:highlight w:val="none"/>
        </w:rPr>
      </w:pPr>
      <w:r>
        <w:rPr>
          <w:rFonts w:hint="eastAsia" w:ascii="宋体" w:hAnsi="宋体" w:cs="仿宋_GB2312"/>
          <w:color w:val="auto"/>
          <w:sz w:val="24"/>
          <w:highlight w:val="none"/>
        </w:rPr>
        <w:t>我方对委托代理人的签字事项负全部责任。</w:t>
      </w:r>
    </w:p>
    <w:p w14:paraId="58D44247">
      <w:pPr>
        <w:spacing w:line="360" w:lineRule="auto"/>
        <w:ind w:firstLine="480" w:firstLineChars="200"/>
        <w:rPr>
          <w:rFonts w:hint="eastAsia" w:ascii="宋体" w:hAnsi="宋体" w:cs="仿宋_GB2312"/>
          <w:color w:val="auto"/>
          <w:sz w:val="24"/>
          <w:highlight w:val="none"/>
        </w:rPr>
      </w:pPr>
      <w:r>
        <w:rPr>
          <w:rFonts w:hint="eastAsia" w:ascii="宋体" w:hAnsi="宋体" w:cs="仿宋_GB2312"/>
          <w:color w:val="auto"/>
          <w:sz w:val="24"/>
          <w:highlight w:val="none"/>
        </w:rPr>
        <w:t>本授权书自签署之日起生效，在撤销授权的书面通知以前，本授权书一直有效。委托代理人在授权书有效期内签署的所有文件不因授权的撤销而失效。</w:t>
      </w:r>
    </w:p>
    <w:p w14:paraId="3204123D">
      <w:pPr>
        <w:spacing w:line="360" w:lineRule="auto"/>
        <w:ind w:firstLine="480" w:firstLineChars="200"/>
        <w:rPr>
          <w:rFonts w:hint="eastAsia" w:ascii="宋体" w:hAnsi="宋体" w:cs="仿宋_GB2312"/>
          <w:color w:val="auto"/>
          <w:sz w:val="24"/>
          <w:highlight w:val="none"/>
        </w:rPr>
      </w:pPr>
      <w:r>
        <w:rPr>
          <w:rFonts w:hint="eastAsia" w:ascii="宋体" w:hAnsi="宋体" w:cs="仿宋_GB2312"/>
          <w:color w:val="auto"/>
          <w:sz w:val="24"/>
          <w:highlight w:val="none"/>
        </w:rPr>
        <w:t>委托代理人无转委托权，特此委托。</w:t>
      </w:r>
    </w:p>
    <w:p w14:paraId="4B0DE0D0">
      <w:pPr>
        <w:spacing w:line="360" w:lineRule="auto"/>
        <w:rPr>
          <w:rFonts w:hint="eastAsia" w:ascii="宋体" w:hAnsi="宋体" w:cs="仿宋_GB2312"/>
          <w:color w:val="auto"/>
          <w:sz w:val="24"/>
          <w:highlight w:val="none"/>
        </w:rPr>
      </w:pPr>
      <w:r>
        <w:rPr>
          <w:rFonts w:hint="eastAsia" w:ascii="宋体" w:hAnsi="宋体" w:cs="仿宋_GB2312"/>
          <w:color w:val="auto"/>
          <w:sz w:val="24"/>
          <w:highlight w:val="none"/>
        </w:rPr>
        <w:t xml:space="preserve">    </w:t>
      </w:r>
    </w:p>
    <w:p w14:paraId="66A1D91F">
      <w:pPr>
        <w:spacing w:line="360" w:lineRule="auto"/>
        <w:ind w:firstLine="1560" w:firstLineChars="650"/>
        <w:rPr>
          <w:rFonts w:hint="eastAsia" w:ascii="宋体" w:hAnsi="宋体" w:cs="仿宋_GB2312"/>
          <w:color w:val="auto"/>
          <w:sz w:val="24"/>
          <w:highlight w:val="none"/>
        </w:rPr>
      </w:pPr>
      <w:r>
        <w:rPr>
          <w:rFonts w:hint="eastAsia" w:ascii="宋体" w:hAnsi="宋体" w:cs="仿宋_GB2312"/>
          <w:color w:val="auto"/>
          <w:sz w:val="24"/>
          <w:highlight w:val="none"/>
        </w:rPr>
        <w:t>牵头人法定代表人（签字或盖章）：</w:t>
      </w:r>
    </w:p>
    <w:p w14:paraId="095ECE55">
      <w:pPr>
        <w:spacing w:line="360" w:lineRule="auto"/>
        <w:ind w:firstLine="3120" w:firstLineChars="1300"/>
        <w:rPr>
          <w:rFonts w:hint="eastAsia" w:ascii="宋体" w:hAnsi="宋体" w:cs="仿宋_GB2312"/>
          <w:color w:val="auto"/>
          <w:sz w:val="24"/>
          <w:highlight w:val="none"/>
        </w:rPr>
      </w:pPr>
      <w:r>
        <w:rPr>
          <w:rFonts w:hint="eastAsia" w:ascii="宋体" w:hAnsi="宋体" w:cs="仿宋_GB2312"/>
          <w:color w:val="auto"/>
          <w:sz w:val="24"/>
          <w:highlight w:val="none"/>
        </w:rPr>
        <w:t>牵头人（电子签章）：</w:t>
      </w:r>
    </w:p>
    <w:p w14:paraId="03944844">
      <w:pPr>
        <w:spacing w:line="360" w:lineRule="auto"/>
        <w:ind w:firstLine="3840" w:firstLineChars="1600"/>
        <w:rPr>
          <w:rFonts w:hint="eastAsia" w:ascii="宋体" w:hAnsi="宋体" w:cs="仿宋_GB2312"/>
          <w:color w:val="auto"/>
          <w:sz w:val="24"/>
          <w:highlight w:val="none"/>
        </w:rPr>
      </w:pPr>
      <w:r>
        <w:rPr>
          <w:rFonts w:hint="eastAsia" w:ascii="宋体" w:hAnsi="宋体" w:cs="仿宋_GB2312"/>
          <w:color w:val="auto"/>
          <w:sz w:val="24"/>
          <w:highlight w:val="none"/>
        </w:rPr>
        <w:t>日期：    年   月   日</w:t>
      </w:r>
    </w:p>
    <w:p w14:paraId="5AD2A87B">
      <w:pPr>
        <w:spacing w:line="360" w:lineRule="auto"/>
        <w:rPr>
          <w:rFonts w:hint="eastAsia" w:ascii="宋体" w:hAnsi="宋体" w:cs="仿宋_GB2312"/>
          <w:color w:val="auto"/>
          <w:sz w:val="24"/>
          <w:highlight w:val="none"/>
        </w:rPr>
      </w:pPr>
    </w:p>
    <w:p w14:paraId="12641C50">
      <w:pPr>
        <w:spacing w:line="360" w:lineRule="auto"/>
        <w:ind w:firstLine="3120" w:firstLineChars="1300"/>
        <w:rPr>
          <w:rFonts w:hint="eastAsia" w:ascii="宋体" w:hAnsi="宋体" w:cs="仿宋_GB2312"/>
          <w:color w:val="auto"/>
          <w:sz w:val="24"/>
          <w:highlight w:val="none"/>
        </w:rPr>
      </w:pPr>
      <w:r>
        <w:rPr>
          <w:rFonts w:hint="eastAsia" w:ascii="宋体" w:hAnsi="宋体" w:cs="仿宋_GB2312"/>
          <w:color w:val="auto"/>
          <w:sz w:val="24"/>
          <w:highlight w:val="none"/>
        </w:rPr>
        <w:t>被授权人（签字）：</w:t>
      </w:r>
    </w:p>
    <w:p w14:paraId="73544B23">
      <w:pPr>
        <w:spacing w:line="360" w:lineRule="auto"/>
        <w:ind w:firstLine="3840" w:firstLineChars="1600"/>
        <w:rPr>
          <w:rFonts w:hint="eastAsia" w:ascii="宋体" w:hAnsi="宋体" w:cs="仿宋_GB2312"/>
          <w:color w:val="auto"/>
          <w:sz w:val="24"/>
          <w:highlight w:val="none"/>
        </w:rPr>
      </w:pPr>
      <w:r>
        <w:rPr>
          <w:rFonts w:hint="eastAsia" w:ascii="宋体" w:hAnsi="宋体" w:cs="仿宋_GB2312"/>
          <w:color w:val="auto"/>
          <w:sz w:val="24"/>
          <w:highlight w:val="none"/>
        </w:rPr>
        <w:t>日期：    年   月   日</w:t>
      </w:r>
    </w:p>
    <w:p w14:paraId="383CE3D7">
      <w:pPr>
        <w:spacing w:line="360" w:lineRule="auto"/>
        <w:rPr>
          <w:rFonts w:hint="eastAsia" w:ascii="宋体" w:hAnsi="宋体" w:cs="仿宋_GB2312"/>
          <w:color w:val="auto"/>
          <w:sz w:val="24"/>
          <w:highlight w:val="none"/>
        </w:rPr>
      </w:pPr>
    </w:p>
    <w:p w14:paraId="080F6CBE">
      <w:pPr>
        <w:spacing w:line="360" w:lineRule="auto"/>
        <w:rPr>
          <w:rFonts w:hint="eastAsia" w:ascii="宋体" w:hAnsi="宋体" w:cs="仿宋_GB2312"/>
          <w:color w:val="auto"/>
          <w:sz w:val="24"/>
          <w:highlight w:val="none"/>
        </w:rPr>
      </w:pPr>
      <w:r>
        <w:rPr>
          <w:rFonts w:hint="eastAsia" w:ascii="宋体" w:hAnsi="宋体" w:cs="仿宋_GB2312"/>
          <w:color w:val="auto"/>
          <w:sz w:val="24"/>
          <w:highlight w:val="none"/>
        </w:rPr>
        <w:t>注：1. 法定代表人必须在授权委托书上亲笔签字或盖章，委托代理人必须在授权委托书上亲笔签字，</w:t>
      </w:r>
      <w:r>
        <w:rPr>
          <w:rFonts w:hint="eastAsia" w:ascii="宋体" w:hAnsi="宋体" w:cs="仿宋_GB2312"/>
          <w:b/>
          <w:color w:val="auto"/>
          <w:sz w:val="24"/>
          <w:highlight w:val="none"/>
        </w:rPr>
        <w:t>否则其响应文件按无效响应处理。</w:t>
      </w:r>
    </w:p>
    <w:p w14:paraId="219E816C">
      <w:pPr>
        <w:spacing w:line="360" w:lineRule="auto"/>
        <w:ind w:firstLine="480" w:firstLineChars="200"/>
        <w:jc w:val="left"/>
        <w:rPr>
          <w:rFonts w:hint="eastAsia" w:ascii="宋体" w:hAnsi="宋体" w:cs="仿宋_GB2312"/>
          <w:color w:val="auto"/>
          <w:sz w:val="24"/>
          <w:highlight w:val="none"/>
        </w:rPr>
      </w:pPr>
      <w:r>
        <w:rPr>
          <w:rFonts w:hint="eastAsia" w:ascii="宋体" w:hAnsi="宋体" w:cs="仿宋_GB2312"/>
          <w:color w:val="auto"/>
          <w:sz w:val="24"/>
          <w:highlight w:val="none"/>
        </w:rPr>
        <w:t>2.本授权委托书应由联合体牵头人的法定代表人按上述规定签署。</w:t>
      </w:r>
    </w:p>
    <w:p w14:paraId="57378F99">
      <w:pPr>
        <w:spacing w:line="360" w:lineRule="auto"/>
        <w:ind w:firstLine="480" w:firstLineChars="200"/>
        <w:jc w:val="left"/>
        <w:rPr>
          <w:rFonts w:hint="eastAsia" w:ascii="宋体" w:hAnsi="宋体" w:cs="仿宋_GB2312"/>
          <w:color w:val="auto"/>
          <w:sz w:val="24"/>
          <w:highlight w:val="none"/>
        </w:rPr>
      </w:pPr>
      <w:r>
        <w:rPr>
          <w:rFonts w:hint="eastAsia" w:ascii="宋体" w:hAnsi="宋体" w:cs="仿宋_GB2312"/>
          <w:color w:val="auto"/>
          <w:sz w:val="24"/>
          <w:highlight w:val="none"/>
        </w:rPr>
        <w:t>3.供应商为其他组织或者自然人时，本磋商文件规定的法定代表人指负责人或者自然人。本磋商文件所称负责人是指参加竞标的其他组织营业执照上的负责人，本磋商文件所称自然人指参与竞标的自然人本人。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3BC08194">
      <w:pPr>
        <w:spacing w:line="360" w:lineRule="auto"/>
        <w:ind w:firstLine="480" w:firstLineChars="200"/>
        <w:jc w:val="left"/>
        <w:rPr>
          <w:rFonts w:hint="eastAsia" w:ascii="宋体" w:hAnsi="宋体" w:cs="仿宋_GB2312"/>
          <w:color w:val="auto"/>
          <w:sz w:val="24"/>
          <w:highlight w:val="none"/>
        </w:rPr>
      </w:pPr>
      <w:r>
        <w:rPr>
          <w:rFonts w:hint="eastAsia" w:ascii="宋体" w:hAnsi="宋体" w:cs="仿宋_GB2312"/>
          <w:color w:val="auto"/>
          <w:sz w:val="24"/>
          <w:highlight w:val="none"/>
        </w:rPr>
        <w:t>4.法人、其他组织竞标时“我方”是指“我单位”，自然人竞标时“我方”是指“本人”。</w:t>
      </w:r>
    </w:p>
    <w:p w14:paraId="62BE5F75">
      <w:pPr>
        <w:spacing w:line="360" w:lineRule="auto"/>
        <w:ind w:firstLine="420" w:firstLineChars="200"/>
        <w:jc w:val="left"/>
        <w:rPr>
          <w:rFonts w:hint="eastAsia" w:ascii="仿宋_GB2312" w:hAnsi="仿宋_GB2312" w:eastAsia="仿宋_GB2312" w:cs="仿宋_GB2312"/>
          <w:color w:val="auto"/>
          <w:szCs w:val="21"/>
          <w:highlight w:val="none"/>
        </w:rPr>
      </w:pPr>
    </w:p>
    <w:p w14:paraId="1582DEC7">
      <w:pPr>
        <w:spacing w:line="520" w:lineRule="exact"/>
        <w:ind w:firstLine="640" w:firstLineChars="200"/>
        <w:jc w:val="left"/>
        <w:rPr>
          <w:rFonts w:hint="eastAsia" w:ascii="仿宋" w:hAnsi="仿宋" w:eastAsia="仿宋" w:cs="仿宋_GB2312"/>
          <w:b/>
          <w:color w:val="auto"/>
          <w:sz w:val="30"/>
          <w:szCs w:val="30"/>
          <w:highlight w:val="none"/>
        </w:rPr>
      </w:pPr>
      <w:r>
        <w:rPr>
          <w:rFonts w:hint="eastAsia" w:ascii="仿宋_GB2312" w:hAnsi="仿宋_GB2312" w:eastAsia="仿宋_GB2312" w:cs="仿宋_GB2312"/>
          <w:color w:val="auto"/>
          <w:sz w:val="32"/>
          <w:szCs w:val="32"/>
          <w:highlight w:val="none"/>
        </w:rPr>
        <w:br w:type="page"/>
      </w:r>
      <w:r>
        <w:rPr>
          <w:rFonts w:hint="eastAsia" w:ascii="仿宋" w:hAnsi="仿宋" w:eastAsia="仿宋" w:cs="仿宋_GB2312"/>
          <w:b/>
          <w:color w:val="auto"/>
          <w:sz w:val="30"/>
          <w:szCs w:val="30"/>
          <w:highlight w:val="none"/>
        </w:rPr>
        <w:t>四、商务条款偏离表</w:t>
      </w:r>
    </w:p>
    <w:p w14:paraId="45F3F072">
      <w:pPr>
        <w:spacing w:line="500" w:lineRule="exact"/>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商务条款偏离表</w:t>
      </w:r>
    </w:p>
    <w:p w14:paraId="71F811AE">
      <w:pPr>
        <w:spacing w:line="520" w:lineRule="exact"/>
        <w:rPr>
          <w:rFonts w:hint="eastAsia" w:ascii="仿宋_GB2312" w:hAnsi="仿宋_GB2312" w:eastAsia="仿宋_GB2312" w:cs="仿宋_GB2312"/>
          <w:color w:val="auto"/>
          <w:sz w:val="32"/>
          <w:szCs w:val="32"/>
          <w:highlight w:val="none"/>
        </w:rPr>
      </w:pPr>
    </w:p>
    <w:p w14:paraId="304B5BEB">
      <w:pPr>
        <w:spacing w:line="360" w:lineRule="auto"/>
        <w:rPr>
          <w:rFonts w:hint="eastAsia" w:ascii="宋体" w:hAnsi="宋体" w:cs="仿宋_GB2312"/>
          <w:color w:val="auto"/>
          <w:sz w:val="24"/>
          <w:highlight w:val="none"/>
          <w:u w:val="single"/>
        </w:rPr>
      </w:pPr>
      <w:r>
        <w:rPr>
          <w:rFonts w:hint="eastAsia" w:ascii="宋体" w:hAnsi="宋体" w:cs="仿宋_GB2312"/>
          <w:color w:val="auto"/>
          <w:sz w:val="24"/>
          <w:highlight w:val="none"/>
        </w:rPr>
        <w:t>采购项目编号：</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u w:val="single"/>
          <w:lang w:eastAsia="zh-CN"/>
        </w:rPr>
        <w:t>NNZC2026-C3-090018-KWZB</w:t>
      </w:r>
      <w:r>
        <w:rPr>
          <w:rFonts w:hint="eastAsia" w:ascii="宋体" w:hAnsi="宋体" w:cs="仿宋_GB2312"/>
          <w:color w:val="auto"/>
          <w:sz w:val="24"/>
          <w:highlight w:val="none"/>
          <w:u w:val="single"/>
        </w:rPr>
        <w:t xml:space="preserve">  </w:t>
      </w:r>
    </w:p>
    <w:p w14:paraId="13A7CCCE">
      <w:pPr>
        <w:spacing w:line="360" w:lineRule="auto"/>
        <w:rPr>
          <w:rFonts w:hint="eastAsia" w:ascii="宋体" w:hAnsi="宋体" w:cs="仿宋_GB2312"/>
          <w:color w:val="auto"/>
          <w:sz w:val="24"/>
          <w:highlight w:val="none"/>
        </w:rPr>
      </w:pPr>
      <w:r>
        <w:rPr>
          <w:rFonts w:hint="eastAsia" w:ascii="宋体" w:hAnsi="宋体" w:cs="仿宋_GB2312"/>
          <w:color w:val="auto"/>
          <w:sz w:val="24"/>
          <w:highlight w:val="none"/>
        </w:rPr>
        <w:t>采购项目名称：</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u w:val="single"/>
          <w:lang w:eastAsia="zh-CN"/>
        </w:rPr>
        <w:t>邕宁区蒲庙电灌站灌区续建配套与节水改造工程项目立项建议报告编制技术服务项目</w:t>
      </w:r>
      <w:r>
        <w:rPr>
          <w:rFonts w:hint="eastAsia" w:ascii="宋体" w:hAnsi="宋体" w:cs="仿宋_GB2312"/>
          <w:color w:val="auto"/>
          <w:sz w:val="24"/>
          <w:highlight w:val="none"/>
          <w:u w:val="single"/>
        </w:rPr>
        <w:t xml:space="preserve"> </w:t>
      </w:r>
    </w:p>
    <w:p w14:paraId="79ED0829">
      <w:pPr>
        <w:spacing w:line="360" w:lineRule="auto"/>
        <w:rPr>
          <w:rFonts w:hint="eastAsia" w:ascii="宋体" w:hAnsi="宋体" w:cs="仿宋_GB2312"/>
          <w:color w:val="auto"/>
          <w:sz w:val="24"/>
          <w:highlight w:val="none"/>
          <w:u w:val="single"/>
        </w:rPr>
      </w:pPr>
      <w:r>
        <w:rPr>
          <w:rFonts w:hint="eastAsia" w:ascii="宋体" w:hAnsi="宋体" w:cs="仿宋_GB2312"/>
          <w:color w:val="auto"/>
          <w:sz w:val="24"/>
          <w:highlight w:val="none"/>
        </w:rPr>
        <w:t>分标号</w:t>
      </w:r>
      <w:r>
        <w:rPr>
          <w:rFonts w:hint="eastAsia" w:ascii="宋体" w:hAnsi="宋体"/>
          <w:color w:val="auto"/>
          <w:szCs w:val="21"/>
          <w:highlight w:val="none"/>
        </w:rPr>
        <w:t>（此处有分标时填写具体分标号，无分标时填写“无”）</w:t>
      </w:r>
      <w:r>
        <w:rPr>
          <w:rFonts w:hint="eastAsia" w:ascii="宋体" w:hAnsi="宋体" w:cs="仿宋_GB2312"/>
          <w:color w:val="auto"/>
          <w:sz w:val="24"/>
          <w:highlight w:val="none"/>
        </w:rPr>
        <w:t>：</w:t>
      </w:r>
      <w:r>
        <w:rPr>
          <w:rFonts w:hint="eastAsia" w:ascii="宋体" w:hAnsi="宋体" w:cs="仿宋_GB2312"/>
          <w:color w:val="auto"/>
          <w:sz w:val="24"/>
          <w:highlight w:val="none"/>
          <w:u w:val="single"/>
        </w:rPr>
        <w:t xml:space="preserve">                       </w:t>
      </w:r>
    </w:p>
    <w:tbl>
      <w:tblPr>
        <w:tblStyle w:val="25"/>
        <w:tblpPr w:leftFromText="180" w:rightFromText="180" w:vertAnchor="text" w:horzAnchor="margin" w:tblpXSpec="center" w:tblpY="94"/>
        <w:tblW w:w="94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136"/>
        <w:gridCol w:w="2781"/>
        <w:gridCol w:w="2744"/>
        <w:gridCol w:w="128"/>
      </w:tblGrid>
      <w:tr w14:paraId="01452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8" w:type="dxa"/>
          <w:trHeight w:val="454" w:hRule="atLeast"/>
          <w:jc w:val="center"/>
        </w:trPr>
        <w:tc>
          <w:tcPr>
            <w:tcW w:w="691" w:type="dxa"/>
            <w:tcBorders>
              <w:top w:val="single" w:color="auto" w:sz="4" w:space="0"/>
              <w:left w:val="single" w:color="auto" w:sz="4" w:space="0"/>
              <w:right w:val="single" w:color="auto" w:sz="4" w:space="0"/>
            </w:tcBorders>
            <w:noWrap/>
            <w:vAlign w:val="top"/>
          </w:tcPr>
          <w:p w14:paraId="11C30413">
            <w:pPr>
              <w:spacing w:line="340" w:lineRule="exact"/>
              <w:jc w:val="center"/>
              <w:rPr>
                <w:rFonts w:ascii="宋体" w:hAnsi="宋体"/>
                <w:color w:val="auto"/>
                <w:szCs w:val="21"/>
                <w:highlight w:val="none"/>
              </w:rPr>
            </w:pPr>
            <w:r>
              <w:rPr>
                <w:rFonts w:hint="eastAsia" w:ascii="宋体" w:hAnsi="宋体"/>
                <w:color w:val="auto"/>
                <w:szCs w:val="21"/>
                <w:highlight w:val="none"/>
              </w:rPr>
              <w:t>项号</w:t>
            </w:r>
          </w:p>
        </w:tc>
        <w:tc>
          <w:tcPr>
            <w:tcW w:w="3136" w:type="dxa"/>
            <w:tcBorders>
              <w:top w:val="single" w:color="auto" w:sz="4" w:space="0"/>
              <w:left w:val="single" w:color="auto" w:sz="4" w:space="0"/>
              <w:bottom w:val="single" w:color="auto" w:sz="4" w:space="0"/>
              <w:right w:val="single" w:color="auto" w:sz="4" w:space="0"/>
            </w:tcBorders>
            <w:noWrap/>
            <w:vAlign w:val="top"/>
          </w:tcPr>
          <w:p w14:paraId="7DC6254C">
            <w:pPr>
              <w:spacing w:line="340" w:lineRule="exact"/>
              <w:jc w:val="center"/>
              <w:rPr>
                <w:rFonts w:ascii="宋体" w:hAnsi="宋体"/>
                <w:color w:val="auto"/>
                <w:szCs w:val="21"/>
                <w:highlight w:val="none"/>
              </w:rPr>
            </w:pPr>
            <w:r>
              <w:rPr>
                <w:rFonts w:hint="eastAsia" w:ascii="宋体" w:hAnsi="宋体"/>
                <w:color w:val="auto"/>
                <w:szCs w:val="21"/>
                <w:highlight w:val="none"/>
              </w:rPr>
              <w:t>竞争性磋商采购文件的商务需求</w:t>
            </w:r>
          </w:p>
        </w:tc>
        <w:tc>
          <w:tcPr>
            <w:tcW w:w="2781" w:type="dxa"/>
            <w:tcBorders>
              <w:top w:val="single" w:color="auto" w:sz="4" w:space="0"/>
              <w:left w:val="single" w:color="auto" w:sz="4" w:space="0"/>
              <w:right w:val="single" w:color="auto" w:sz="4" w:space="0"/>
            </w:tcBorders>
            <w:noWrap w:val="0"/>
            <w:vAlign w:val="top"/>
          </w:tcPr>
          <w:p w14:paraId="220102B4">
            <w:pPr>
              <w:spacing w:line="340" w:lineRule="exact"/>
              <w:jc w:val="center"/>
              <w:rPr>
                <w:rFonts w:ascii="宋体" w:hAnsi="宋体"/>
                <w:color w:val="auto"/>
                <w:szCs w:val="21"/>
                <w:highlight w:val="none"/>
              </w:rPr>
            </w:pPr>
            <w:r>
              <w:rPr>
                <w:rFonts w:hint="eastAsia" w:ascii="宋体" w:hAnsi="宋体"/>
                <w:color w:val="auto"/>
                <w:szCs w:val="21"/>
                <w:highlight w:val="none"/>
              </w:rPr>
              <w:t>响应文件承诺的商务条款</w:t>
            </w:r>
          </w:p>
        </w:tc>
        <w:tc>
          <w:tcPr>
            <w:tcW w:w="2744" w:type="dxa"/>
            <w:tcBorders>
              <w:top w:val="single" w:color="auto" w:sz="4" w:space="0"/>
              <w:left w:val="single" w:color="auto" w:sz="4" w:space="0"/>
              <w:right w:val="single" w:color="auto" w:sz="4" w:space="0"/>
            </w:tcBorders>
            <w:noWrap w:val="0"/>
            <w:vAlign w:val="top"/>
          </w:tcPr>
          <w:p w14:paraId="099A030C">
            <w:pPr>
              <w:spacing w:line="300" w:lineRule="exact"/>
              <w:jc w:val="center"/>
              <w:rPr>
                <w:rFonts w:ascii="宋体" w:hAnsi="宋体"/>
                <w:color w:val="auto"/>
                <w:szCs w:val="21"/>
                <w:highlight w:val="none"/>
              </w:rPr>
            </w:pPr>
            <w:r>
              <w:rPr>
                <w:rFonts w:hint="eastAsia" w:ascii="宋体" w:hAnsi="宋体"/>
                <w:color w:val="auto"/>
                <w:szCs w:val="21"/>
                <w:highlight w:val="none"/>
              </w:rPr>
              <w:t>偏离说明</w:t>
            </w:r>
          </w:p>
        </w:tc>
      </w:tr>
      <w:tr w14:paraId="768D6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8" w:type="dxa"/>
          <w:trHeight w:val="454" w:hRule="atLeast"/>
          <w:jc w:val="center"/>
        </w:trPr>
        <w:tc>
          <w:tcPr>
            <w:tcW w:w="691" w:type="dxa"/>
            <w:vMerge w:val="restart"/>
            <w:tcBorders>
              <w:top w:val="single" w:color="auto" w:sz="4" w:space="0"/>
              <w:left w:val="single" w:color="auto" w:sz="4" w:space="0"/>
              <w:right w:val="single" w:color="auto" w:sz="4" w:space="0"/>
            </w:tcBorders>
            <w:noWrap/>
            <w:vAlign w:val="top"/>
          </w:tcPr>
          <w:p w14:paraId="76F9C932">
            <w:pPr>
              <w:spacing w:line="340" w:lineRule="exact"/>
              <w:rPr>
                <w:rFonts w:ascii="宋体" w:hAnsi="宋体"/>
                <w:color w:val="auto"/>
                <w:szCs w:val="21"/>
                <w:highlight w:val="none"/>
              </w:rPr>
            </w:pPr>
            <w:r>
              <w:rPr>
                <w:rFonts w:hint="eastAsia" w:ascii="宋体" w:hAnsi="宋体"/>
                <w:color w:val="auto"/>
                <w:szCs w:val="21"/>
                <w:highlight w:val="none"/>
              </w:rPr>
              <w:t>一</w:t>
            </w:r>
          </w:p>
        </w:tc>
        <w:tc>
          <w:tcPr>
            <w:tcW w:w="3136" w:type="dxa"/>
            <w:tcBorders>
              <w:top w:val="single" w:color="auto" w:sz="4" w:space="0"/>
              <w:left w:val="single" w:color="auto" w:sz="4" w:space="0"/>
              <w:bottom w:val="single" w:color="auto" w:sz="4" w:space="0"/>
              <w:right w:val="single" w:color="auto" w:sz="4" w:space="0"/>
            </w:tcBorders>
            <w:noWrap/>
            <w:vAlign w:val="top"/>
          </w:tcPr>
          <w:p w14:paraId="0B694E82">
            <w:pPr>
              <w:rPr>
                <w:rFonts w:ascii="宋体" w:hAnsi="宋体"/>
                <w:color w:val="auto"/>
                <w:szCs w:val="21"/>
                <w:highlight w:val="none"/>
              </w:rPr>
            </w:pPr>
            <w:r>
              <w:rPr>
                <w:rFonts w:hint="eastAsia" w:ascii="宋体" w:hAnsi="宋体"/>
                <w:color w:val="auto"/>
                <w:szCs w:val="21"/>
                <w:highlight w:val="none"/>
              </w:rPr>
              <w:t>1  ……</w:t>
            </w:r>
          </w:p>
        </w:tc>
        <w:tc>
          <w:tcPr>
            <w:tcW w:w="2781" w:type="dxa"/>
            <w:tcBorders>
              <w:top w:val="single" w:color="auto" w:sz="4" w:space="0"/>
              <w:left w:val="single" w:color="auto" w:sz="4" w:space="0"/>
              <w:right w:val="single" w:color="auto" w:sz="4" w:space="0"/>
            </w:tcBorders>
            <w:noWrap w:val="0"/>
            <w:vAlign w:val="top"/>
          </w:tcPr>
          <w:p w14:paraId="308ED180">
            <w:pPr>
              <w:rPr>
                <w:rFonts w:ascii="宋体" w:hAnsi="宋体"/>
                <w:color w:val="auto"/>
                <w:szCs w:val="21"/>
                <w:highlight w:val="none"/>
              </w:rPr>
            </w:pPr>
            <w:r>
              <w:rPr>
                <w:rFonts w:hint="eastAsia" w:ascii="宋体" w:hAnsi="宋体"/>
                <w:color w:val="auto"/>
                <w:szCs w:val="21"/>
                <w:highlight w:val="none"/>
              </w:rPr>
              <w:t>1  ……</w:t>
            </w:r>
          </w:p>
        </w:tc>
        <w:tc>
          <w:tcPr>
            <w:tcW w:w="2744" w:type="dxa"/>
            <w:tcBorders>
              <w:top w:val="single" w:color="auto" w:sz="4" w:space="0"/>
              <w:left w:val="single" w:color="auto" w:sz="4" w:space="0"/>
              <w:right w:val="single" w:color="auto" w:sz="4" w:space="0"/>
            </w:tcBorders>
            <w:noWrap w:val="0"/>
            <w:vAlign w:val="top"/>
          </w:tcPr>
          <w:p w14:paraId="6EC2CF44">
            <w:pPr>
              <w:spacing w:line="300" w:lineRule="exact"/>
              <w:rPr>
                <w:rFonts w:ascii="宋体" w:hAnsi="宋体"/>
                <w:color w:val="auto"/>
                <w:szCs w:val="21"/>
                <w:highlight w:val="none"/>
              </w:rPr>
            </w:pPr>
            <w:r>
              <w:rPr>
                <w:rFonts w:hint="eastAsia" w:ascii="宋体" w:hAnsi="宋体"/>
                <w:color w:val="auto"/>
                <w:szCs w:val="21"/>
                <w:highlight w:val="none"/>
              </w:rPr>
              <w:t>正偏离（负偏离或无偏离）</w:t>
            </w:r>
          </w:p>
          <w:p w14:paraId="6677A9F8">
            <w:pPr>
              <w:spacing w:line="300" w:lineRule="exact"/>
              <w:rPr>
                <w:rFonts w:ascii="宋体" w:hAnsi="宋体"/>
                <w:color w:val="auto"/>
                <w:szCs w:val="21"/>
                <w:highlight w:val="none"/>
              </w:rPr>
            </w:pPr>
          </w:p>
        </w:tc>
      </w:tr>
      <w:tr w14:paraId="656A7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8" w:type="dxa"/>
          <w:trHeight w:val="454" w:hRule="atLeast"/>
          <w:jc w:val="center"/>
        </w:trPr>
        <w:tc>
          <w:tcPr>
            <w:tcW w:w="691" w:type="dxa"/>
            <w:vMerge w:val="continue"/>
            <w:tcBorders>
              <w:left w:val="single" w:color="auto" w:sz="4" w:space="0"/>
              <w:right w:val="single" w:color="auto" w:sz="4" w:space="0"/>
            </w:tcBorders>
            <w:noWrap/>
            <w:vAlign w:val="top"/>
          </w:tcPr>
          <w:p w14:paraId="4D799468">
            <w:pPr>
              <w:spacing w:line="340" w:lineRule="exact"/>
              <w:rPr>
                <w:rFonts w:ascii="宋体" w:hAnsi="宋体"/>
                <w:color w:val="auto"/>
                <w:szCs w:val="21"/>
                <w:highlight w:val="none"/>
              </w:rPr>
            </w:pPr>
          </w:p>
        </w:tc>
        <w:tc>
          <w:tcPr>
            <w:tcW w:w="3136" w:type="dxa"/>
            <w:tcBorders>
              <w:top w:val="single" w:color="auto" w:sz="4" w:space="0"/>
              <w:left w:val="single" w:color="auto" w:sz="4" w:space="0"/>
              <w:bottom w:val="single" w:color="auto" w:sz="4" w:space="0"/>
              <w:right w:val="single" w:color="auto" w:sz="4" w:space="0"/>
            </w:tcBorders>
            <w:noWrap/>
            <w:vAlign w:val="top"/>
          </w:tcPr>
          <w:p w14:paraId="35AB0E57">
            <w:pPr>
              <w:spacing w:line="340" w:lineRule="exact"/>
              <w:rPr>
                <w:rFonts w:ascii="宋体" w:hAnsi="宋体"/>
                <w:color w:val="auto"/>
                <w:szCs w:val="21"/>
                <w:highlight w:val="none"/>
              </w:rPr>
            </w:pPr>
            <w:r>
              <w:rPr>
                <w:rFonts w:hint="eastAsia" w:ascii="宋体" w:hAnsi="宋体"/>
                <w:color w:val="auto"/>
                <w:szCs w:val="21"/>
                <w:highlight w:val="none"/>
              </w:rPr>
              <w:t>2  ……</w:t>
            </w:r>
          </w:p>
          <w:p w14:paraId="10B29418">
            <w:pPr>
              <w:spacing w:line="340" w:lineRule="exact"/>
              <w:rPr>
                <w:rFonts w:ascii="宋体" w:hAnsi="宋体"/>
                <w:color w:val="auto"/>
                <w:szCs w:val="21"/>
                <w:highlight w:val="none"/>
              </w:rPr>
            </w:pPr>
          </w:p>
        </w:tc>
        <w:tc>
          <w:tcPr>
            <w:tcW w:w="2781" w:type="dxa"/>
            <w:tcBorders>
              <w:left w:val="single" w:color="auto" w:sz="4" w:space="0"/>
              <w:right w:val="single" w:color="auto" w:sz="4" w:space="0"/>
            </w:tcBorders>
            <w:noWrap w:val="0"/>
            <w:vAlign w:val="top"/>
          </w:tcPr>
          <w:p w14:paraId="27375D6D">
            <w:pPr>
              <w:spacing w:line="340" w:lineRule="exact"/>
              <w:rPr>
                <w:rFonts w:ascii="宋体" w:hAnsi="宋体"/>
                <w:color w:val="auto"/>
                <w:szCs w:val="21"/>
                <w:highlight w:val="none"/>
              </w:rPr>
            </w:pPr>
            <w:r>
              <w:rPr>
                <w:rFonts w:hint="eastAsia" w:ascii="宋体" w:hAnsi="宋体"/>
                <w:color w:val="auto"/>
                <w:szCs w:val="21"/>
                <w:highlight w:val="none"/>
              </w:rPr>
              <w:t>2  ……</w:t>
            </w:r>
          </w:p>
          <w:p w14:paraId="251734B6">
            <w:pPr>
              <w:spacing w:line="300" w:lineRule="exact"/>
              <w:rPr>
                <w:rFonts w:ascii="宋体" w:hAnsi="宋体"/>
                <w:color w:val="auto"/>
                <w:szCs w:val="21"/>
                <w:highlight w:val="none"/>
              </w:rPr>
            </w:pPr>
          </w:p>
        </w:tc>
        <w:tc>
          <w:tcPr>
            <w:tcW w:w="2744" w:type="dxa"/>
            <w:tcBorders>
              <w:left w:val="single" w:color="auto" w:sz="4" w:space="0"/>
              <w:right w:val="single" w:color="auto" w:sz="4" w:space="0"/>
            </w:tcBorders>
            <w:noWrap w:val="0"/>
            <w:vAlign w:val="top"/>
          </w:tcPr>
          <w:p w14:paraId="427C5012">
            <w:pPr>
              <w:spacing w:line="300" w:lineRule="exact"/>
              <w:rPr>
                <w:rFonts w:ascii="宋体" w:hAnsi="宋体"/>
                <w:color w:val="auto"/>
                <w:szCs w:val="21"/>
                <w:highlight w:val="none"/>
              </w:rPr>
            </w:pPr>
            <w:r>
              <w:rPr>
                <w:rFonts w:hint="eastAsia" w:ascii="宋体" w:hAnsi="宋体"/>
                <w:color w:val="auto"/>
                <w:szCs w:val="21"/>
                <w:highlight w:val="none"/>
              </w:rPr>
              <w:t>正偏离（负偏离或无偏离）</w:t>
            </w:r>
          </w:p>
          <w:p w14:paraId="1134C42E">
            <w:pPr>
              <w:spacing w:line="300" w:lineRule="exact"/>
              <w:rPr>
                <w:rFonts w:ascii="宋体" w:hAnsi="宋体"/>
                <w:color w:val="auto"/>
                <w:szCs w:val="21"/>
                <w:highlight w:val="none"/>
              </w:rPr>
            </w:pPr>
          </w:p>
        </w:tc>
      </w:tr>
      <w:tr w14:paraId="40273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8" w:type="dxa"/>
          <w:trHeight w:val="454" w:hRule="atLeast"/>
          <w:jc w:val="center"/>
        </w:trPr>
        <w:tc>
          <w:tcPr>
            <w:tcW w:w="691" w:type="dxa"/>
            <w:vMerge w:val="continue"/>
            <w:tcBorders>
              <w:left w:val="single" w:color="auto" w:sz="4" w:space="0"/>
              <w:right w:val="single" w:color="auto" w:sz="4" w:space="0"/>
            </w:tcBorders>
            <w:noWrap/>
            <w:vAlign w:val="top"/>
          </w:tcPr>
          <w:p w14:paraId="08B9DF8B">
            <w:pPr>
              <w:spacing w:line="340" w:lineRule="exact"/>
              <w:rPr>
                <w:rFonts w:ascii="宋体" w:hAnsi="宋体"/>
                <w:color w:val="auto"/>
                <w:szCs w:val="21"/>
                <w:highlight w:val="none"/>
              </w:rPr>
            </w:pPr>
          </w:p>
        </w:tc>
        <w:tc>
          <w:tcPr>
            <w:tcW w:w="3136" w:type="dxa"/>
            <w:tcBorders>
              <w:top w:val="single" w:color="auto" w:sz="4" w:space="0"/>
              <w:left w:val="single" w:color="auto" w:sz="4" w:space="0"/>
              <w:bottom w:val="single" w:color="auto" w:sz="4" w:space="0"/>
              <w:right w:val="single" w:color="auto" w:sz="4" w:space="0"/>
            </w:tcBorders>
            <w:noWrap/>
            <w:vAlign w:val="top"/>
          </w:tcPr>
          <w:p w14:paraId="729330A5">
            <w:pPr>
              <w:spacing w:line="340" w:lineRule="exact"/>
              <w:rPr>
                <w:rFonts w:ascii="宋体" w:hAnsi="宋体"/>
                <w:color w:val="auto"/>
                <w:szCs w:val="21"/>
                <w:highlight w:val="none"/>
              </w:rPr>
            </w:pPr>
            <w:r>
              <w:rPr>
                <w:rFonts w:hint="eastAsia" w:ascii="宋体" w:hAnsi="宋体"/>
                <w:color w:val="auto"/>
                <w:szCs w:val="21"/>
                <w:highlight w:val="none"/>
              </w:rPr>
              <w:t>3  ……</w:t>
            </w:r>
          </w:p>
          <w:p w14:paraId="2C3CB076">
            <w:pPr>
              <w:spacing w:line="340" w:lineRule="exact"/>
              <w:rPr>
                <w:rFonts w:ascii="宋体" w:hAnsi="宋体"/>
                <w:color w:val="auto"/>
                <w:szCs w:val="21"/>
                <w:highlight w:val="none"/>
              </w:rPr>
            </w:pPr>
          </w:p>
        </w:tc>
        <w:tc>
          <w:tcPr>
            <w:tcW w:w="2781" w:type="dxa"/>
            <w:tcBorders>
              <w:left w:val="single" w:color="auto" w:sz="4" w:space="0"/>
              <w:right w:val="single" w:color="auto" w:sz="4" w:space="0"/>
            </w:tcBorders>
            <w:noWrap w:val="0"/>
            <w:vAlign w:val="top"/>
          </w:tcPr>
          <w:p w14:paraId="26743B44">
            <w:pPr>
              <w:spacing w:line="340" w:lineRule="exact"/>
              <w:rPr>
                <w:rFonts w:ascii="宋体" w:hAnsi="宋体"/>
                <w:color w:val="auto"/>
                <w:szCs w:val="21"/>
                <w:highlight w:val="none"/>
              </w:rPr>
            </w:pPr>
            <w:r>
              <w:rPr>
                <w:rFonts w:hint="eastAsia" w:ascii="宋体" w:hAnsi="宋体"/>
                <w:color w:val="auto"/>
                <w:szCs w:val="21"/>
                <w:highlight w:val="none"/>
              </w:rPr>
              <w:t>3  ……</w:t>
            </w:r>
          </w:p>
          <w:p w14:paraId="21CBB313">
            <w:pPr>
              <w:spacing w:line="300" w:lineRule="exact"/>
              <w:rPr>
                <w:rFonts w:ascii="宋体" w:hAnsi="宋体"/>
                <w:color w:val="auto"/>
                <w:szCs w:val="21"/>
                <w:highlight w:val="none"/>
              </w:rPr>
            </w:pPr>
          </w:p>
        </w:tc>
        <w:tc>
          <w:tcPr>
            <w:tcW w:w="2744" w:type="dxa"/>
            <w:tcBorders>
              <w:left w:val="single" w:color="auto" w:sz="4" w:space="0"/>
              <w:right w:val="single" w:color="auto" w:sz="4" w:space="0"/>
            </w:tcBorders>
            <w:noWrap w:val="0"/>
            <w:vAlign w:val="top"/>
          </w:tcPr>
          <w:p w14:paraId="036A2736">
            <w:pPr>
              <w:spacing w:line="300" w:lineRule="exact"/>
              <w:rPr>
                <w:rFonts w:ascii="宋体" w:hAnsi="宋体"/>
                <w:color w:val="auto"/>
                <w:szCs w:val="21"/>
                <w:highlight w:val="none"/>
              </w:rPr>
            </w:pPr>
            <w:r>
              <w:rPr>
                <w:rFonts w:hint="eastAsia" w:ascii="宋体" w:hAnsi="宋体"/>
                <w:color w:val="auto"/>
                <w:szCs w:val="21"/>
                <w:highlight w:val="none"/>
              </w:rPr>
              <w:t>正偏离（负偏离或无偏离）</w:t>
            </w:r>
          </w:p>
          <w:p w14:paraId="714EA01E">
            <w:pPr>
              <w:spacing w:line="300" w:lineRule="exact"/>
              <w:rPr>
                <w:rFonts w:ascii="宋体" w:hAnsi="宋体"/>
                <w:color w:val="auto"/>
                <w:szCs w:val="21"/>
                <w:highlight w:val="none"/>
              </w:rPr>
            </w:pPr>
          </w:p>
        </w:tc>
      </w:tr>
      <w:tr w14:paraId="1B89C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8" w:type="dxa"/>
          <w:trHeight w:val="454" w:hRule="atLeast"/>
          <w:jc w:val="center"/>
        </w:trPr>
        <w:tc>
          <w:tcPr>
            <w:tcW w:w="691" w:type="dxa"/>
            <w:vMerge w:val="continue"/>
            <w:tcBorders>
              <w:left w:val="single" w:color="auto" w:sz="4" w:space="0"/>
              <w:bottom w:val="single" w:color="auto" w:sz="4" w:space="0"/>
              <w:right w:val="single" w:color="auto" w:sz="4" w:space="0"/>
            </w:tcBorders>
            <w:noWrap/>
            <w:vAlign w:val="top"/>
          </w:tcPr>
          <w:p w14:paraId="320141A1">
            <w:pPr>
              <w:spacing w:line="340" w:lineRule="exact"/>
              <w:rPr>
                <w:rFonts w:ascii="宋体" w:hAnsi="宋体"/>
                <w:color w:val="auto"/>
                <w:szCs w:val="21"/>
                <w:highlight w:val="none"/>
              </w:rPr>
            </w:pPr>
          </w:p>
        </w:tc>
        <w:tc>
          <w:tcPr>
            <w:tcW w:w="3136" w:type="dxa"/>
            <w:tcBorders>
              <w:top w:val="single" w:color="auto" w:sz="4" w:space="0"/>
              <w:left w:val="single" w:color="auto" w:sz="4" w:space="0"/>
              <w:bottom w:val="single" w:color="auto" w:sz="4" w:space="0"/>
              <w:right w:val="single" w:color="auto" w:sz="4" w:space="0"/>
            </w:tcBorders>
            <w:noWrap/>
            <w:vAlign w:val="top"/>
          </w:tcPr>
          <w:p w14:paraId="33FF145B">
            <w:pPr>
              <w:spacing w:line="340" w:lineRule="exact"/>
              <w:rPr>
                <w:rFonts w:ascii="宋体" w:hAnsi="宋体"/>
                <w:color w:val="auto"/>
                <w:szCs w:val="21"/>
                <w:highlight w:val="none"/>
              </w:rPr>
            </w:pPr>
            <w:r>
              <w:rPr>
                <w:rFonts w:hint="eastAsia" w:ascii="宋体" w:hAnsi="宋体"/>
                <w:color w:val="auto"/>
                <w:szCs w:val="21"/>
                <w:highlight w:val="none"/>
              </w:rPr>
              <w:t>……</w:t>
            </w:r>
          </w:p>
        </w:tc>
        <w:tc>
          <w:tcPr>
            <w:tcW w:w="2781" w:type="dxa"/>
            <w:tcBorders>
              <w:left w:val="single" w:color="auto" w:sz="4" w:space="0"/>
              <w:bottom w:val="single" w:color="auto" w:sz="4" w:space="0"/>
              <w:right w:val="single" w:color="auto" w:sz="4" w:space="0"/>
            </w:tcBorders>
            <w:noWrap w:val="0"/>
            <w:vAlign w:val="top"/>
          </w:tcPr>
          <w:p w14:paraId="090A9C12">
            <w:pPr>
              <w:spacing w:line="300" w:lineRule="exact"/>
              <w:rPr>
                <w:rFonts w:ascii="宋体" w:hAnsi="宋体"/>
                <w:color w:val="auto"/>
                <w:szCs w:val="21"/>
                <w:highlight w:val="none"/>
              </w:rPr>
            </w:pPr>
            <w:r>
              <w:rPr>
                <w:rFonts w:hint="eastAsia" w:ascii="宋体" w:hAnsi="宋体"/>
                <w:color w:val="auto"/>
                <w:szCs w:val="21"/>
                <w:highlight w:val="none"/>
              </w:rPr>
              <w:t>……</w:t>
            </w:r>
          </w:p>
        </w:tc>
        <w:tc>
          <w:tcPr>
            <w:tcW w:w="2744" w:type="dxa"/>
            <w:tcBorders>
              <w:left w:val="single" w:color="auto" w:sz="4" w:space="0"/>
              <w:bottom w:val="single" w:color="auto" w:sz="4" w:space="0"/>
              <w:right w:val="single" w:color="auto" w:sz="4" w:space="0"/>
            </w:tcBorders>
            <w:noWrap w:val="0"/>
            <w:vAlign w:val="top"/>
          </w:tcPr>
          <w:p w14:paraId="5E8A361D">
            <w:pPr>
              <w:spacing w:line="300" w:lineRule="exact"/>
              <w:rPr>
                <w:rFonts w:ascii="宋体" w:hAnsi="宋体"/>
                <w:color w:val="auto"/>
                <w:szCs w:val="21"/>
                <w:highlight w:val="none"/>
              </w:rPr>
            </w:pPr>
            <w:r>
              <w:rPr>
                <w:rFonts w:hint="eastAsia" w:ascii="宋体" w:hAnsi="宋体"/>
                <w:color w:val="auto"/>
                <w:szCs w:val="21"/>
                <w:highlight w:val="none"/>
              </w:rPr>
              <w:t>正偏离（负偏离或无偏离）</w:t>
            </w:r>
          </w:p>
          <w:p w14:paraId="08DE20B6">
            <w:pPr>
              <w:spacing w:line="300" w:lineRule="exact"/>
              <w:rPr>
                <w:rFonts w:ascii="宋体" w:hAnsi="宋体"/>
                <w:color w:val="auto"/>
                <w:szCs w:val="21"/>
                <w:highlight w:val="none"/>
              </w:rPr>
            </w:pPr>
          </w:p>
        </w:tc>
      </w:tr>
      <w:tr w14:paraId="318D5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8" w:type="dxa"/>
          <w:trHeight w:val="454" w:hRule="atLeast"/>
          <w:jc w:val="center"/>
        </w:trPr>
        <w:tc>
          <w:tcPr>
            <w:tcW w:w="691" w:type="dxa"/>
            <w:vMerge w:val="restart"/>
            <w:tcBorders>
              <w:top w:val="single" w:color="auto" w:sz="4" w:space="0"/>
              <w:left w:val="single" w:color="auto" w:sz="4" w:space="0"/>
              <w:right w:val="single" w:color="auto" w:sz="4" w:space="0"/>
            </w:tcBorders>
            <w:noWrap/>
            <w:vAlign w:val="top"/>
          </w:tcPr>
          <w:p w14:paraId="2673E127">
            <w:pPr>
              <w:spacing w:line="340" w:lineRule="exact"/>
              <w:rPr>
                <w:rFonts w:ascii="宋体" w:hAnsi="宋体"/>
                <w:color w:val="auto"/>
                <w:szCs w:val="21"/>
                <w:highlight w:val="none"/>
              </w:rPr>
            </w:pPr>
            <w:r>
              <w:rPr>
                <w:rFonts w:hint="eastAsia" w:ascii="宋体" w:hAnsi="宋体"/>
                <w:color w:val="auto"/>
                <w:szCs w:val="21"/>
                <w:highlight w:val="none"/>
              </w:rPr>
              <w:t>二</w:t>
            </w:r>
          </w:p>
        </w:tc>
        <w:tc>
          <w:tcPr>
            <w:tcW w:w="3136" w:type="dxa"/>
            <w:tcBorders>
              <w:top w:val="single" w:color="auto" w:sz="4" w:space="0"/>
              <w:left w:val="single" w:color="auto" w:sz="4" w:space="0"/>
              <w:bottom w:val="single" w:color="auto" w:sz="4" w:space="0"/>
              <w:right w:val="single" w:color="auto" w:sz="4" w:space="0"/>
            </w:tcBorders>
            <w:noWrap/>
            <w:vAlign w:val="top"/>
          </w:tcPr>
          <w:p w14:paraId="55FB3105">
            <w:pPr>
              <w:rPr>
                <w:rFonts w:ascii="宋体" w:hAnsi="宋体"/>
                <w:color w:val="auto"/>
                <w:szCs w:val="21"/>
                <w:highlight w:val="none"/>
              </w:rPr>
            </w:pPr>
            <w:r>
              <w:rPr>
                <w:rFonts w:hint="eastAsia" w:ascii="宋体" w:hAnsi="宋体"/>
                <w:color w:val="auto"/>
                <w:szCs w:val="21"/>
                <w:highlight w:val="none"/>
              </w:rPr>
              <w:t>1  ……</w:t>
            </w:r>
          </w:p>
        </w:tc>
        <w:tc>
          <w:tcPr>
            <w:tcW w:w="2781" w:type="dxa"/>
            <w:tcBorders>
              <w:top w:val="single" w:color="auto" w:sz="4" w:space="0"/>
              <w:left w:val="single" w:color="auto" w:sz="4" w:space="0"/>
              <w:right w:val="single" w:color="auto" w:sz="4" w:space="0"/>
            </w:tcBorders>
            <w:noWrap w:val="0"/>
            <w:vAlign w:val="top"/>
          </w:tcPr>
          <w:p w14:paraId="2462C8E4">
            <w:pPr>
              <w:rPr>
                <w:rFonts w:ascii="宋体" w:hAnsi="宋体"/>
                <w:color w:val="auto"/>
                <w:szCs w:val="21"/>
                <w:highlight w:val="none"/>
              </w:rPr>
            </w:pPr>
            <w:r>
              <w:rPr>
                <w:rFonts w:hint="eastAsia" w:ascii="宋体" w:hAnsi="宋体"/>
                <w:color w:val="auto"/>
                <w:szCs w:val="21"/>
                <w:highlight w:val="none"/>
              </w:rPr>
              <w:t>1  ……</w:t>
            </w:r>
          </w:p>
        </w:tc>
        <w:tc>
          <w:tcPr>
            <w:tcW w:w="2744" w:type="dxa"/>
            <w:tcBorders>
              <w:top w:val="single" w:color="auto" w:sz="4" w:space="0"/>
              <w:left w:val="single" w:color="auto" w:sz="4" w:space="0"/>
              <w:right w:val="single" w:color="auto" w:sz="4" w:space="0"/>
            </w:tcBorders>
            <w:noWrap w:val="0"/>
            <w:vAlign w:val="top"/>
          </w:tcPr>
          <w:p w14:paraId="4EBC1037">
            <w:pPr>
              <w:spacing w:line="300" w:lineRule="exact"/>
              <w:rPr>
                <w:rFonts w:ascii="宋体" w:hAnsi="宋体"/>
                <w:color w:val="auto"/>
                <w:szCs w:val="21"/>
                <w:highlight w:val="none"/>
              </w:rPr>
            </w:pPr>
            <w:r>
              <w:rPr>
                <w:rFonts w:hint="eastAsia" w:ascii="宋体" w:hAnsi="宋体"/>
                <w:color w:val="auto"/>
                <w:szCs w:val="21"/>
                <w:highlight w:val="none"/>
              </w:rPr>
              <w:t>正偏离（负偏离或无偏离）</w:t>
            </w:r>
          </w:p>
          <w:p w14:paraId="3529F6C5">
            <w:pPr>
              <w:spacing w:line="300" w:lineRule="exact"/>
              <w:rPr>
                <w:rFonts w:ascii="宋体" w:hAnsi="宋体"/>
                <w:color w:val="auto"/>
                <w:szCs w:val="21"/>
                <w:highlight w:val="none"/>
              </w:rPr>
            </w:pPr>
          </w:p>
        </w:tc>
      </w:tr>
      <w:tr w14:paraId="3889E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8" w:type="dxa"/>
          <w:trHeight w:val="454" w:hRule="atLeast"/>
          <w:jc w:val="center"/>
        </w:trPr>
        <w:tc>
          <w:tcPr>
            <w:tcW w:w="691" w:type="dxa"/>
            <w:vMerge w:val="continue"/>
            <w:tcBorders>
              <w:left w:val="single" w:color="auto" w:sz="4" w:space="0"/>
              <w:right w:val="single" w:color="auto" w:sz="4" w:space="0"/>
            </w:tcBorders>
            <w:noWrap/>
            <w:vAlign w:val="top"/>
          </w:tcPr>
          <w:p w14:paraId="4A125C59">
            <w:pPr>
              <w:spacing w:line="340" w:lineRule="exact"/>
              <w:rPr>
                <w:rFonts w:ascii="宋体" w:hAnsi="宋体"/>
                <w:color w:val="auto"/>
                <w:szCs w:val="21"/>
                <w:highlight w:val="none"/>
              </w:rPr>
            </w:pPr>
          </w:p>
        </w:tc>
        <w:tc>
          <w:tcPr>
            <w:tcW w:w="3136" w:type="dxa"/>
            <w:tcBorders>
              <w:top w:val="single" w:color="auto" w:sz="4" w:space="0"/>
              <w:left w:val="single" w:color="auto" w:sz="4" w:space="0"/>
              <w:bottom w:val="single" w:color="auto" w:sz="4" w:space="0"/>
              <w:right w:val="single" w:color="auto" w:sz="4" w:space="0"/>
            </w:tcBorders>
            <w:noWrap/>
            <w:vAlign w:val="top"/>
          </w:tcPr>
          <w:p w14:paraId="56720EBB">
            <w:pPr>
              <w:spacing w:line="340" w:lineRule="exact"/>
              <w:rPr>
                <w:rFonts w:ascii="宋体" w:hAnsi="宋体"/>
                <w:color w:val="auto"/>
                <w:szCs w:val="21"/>
                <w:highlight w:val="none"/>
              </w:rPr>
            </w:pPr>
            <w:r>
              <w:rPr>
                <w:rFonts w:hint="eastAsia" w:ascii="宋体" w:hAnsi="宋体"/>
                <w:color w:val="auto"/>
                <w:szCs w:val="21"/>
                <w:highlight w:val="none"/>
              </w:rPr>
              <w:t>2  ……</w:t>
            </w:r>
          </w:p>
          <w:p w14:paraId="345CE184">
            <w:pPr>
              <w:spacing w:line="340" w:lineRule="exact"/>
              <w:rPr>
                <w:rFonts w:ascii="宋体" w:hAnsi="宋体"/>
                <w:color w:val="auto"/>
                <w:szCs w:val="21"/>
                <w:highlight w:val="none"/>
              </w:rPr>
            </w:pPr>
          </w:p>
        </w:tc>
        <w:tc>
          <w:tcPr>
            <w:tcW w:w="2781" w:type="dxa"/>
            <w:tcBorders>
              <w:left w:val="single" w:color="auto" w:sz="4" w:space="0"/>
              <w:right w:val="single" w:color="auto" w:sz="4" w:space="0"/>
            </w:tcBorders>
            <w:noWrap w:val="0"/>
            <w:vAlign w:val="top"/>
          </w:tcPr>
          <w:p w14:paraId="0BFA5CB9">
            <w:pPr>
              <w:spacing w:line="340" w:lineRule="exact"/>
              <w:rPr>
                <w:rFonts w:ascii="宋体" w:hAnsi="宋体"/>
                <w:color w:val="auto"/>
                <w:szCs w:val="21"/>
                <w:highlight w:val="none"/>
              </w:rPr>
            </w:pPr>
            <w:r>
              <w:rPr>
                <w:rFonts w:hint="eastAsia" w:ascii="宋体" w:hAnsi="宋体"/>
                <w:color w:val="auto"/>
                <w:szCs w:val="21"/>
                <w:highlight w:val="none"/>
              </w:rPr>
              <w:t>2  ……</w:t>
            </w:r>
          </w:p>
          <w:p w14:paraId="1463D021">
            <w:pPr>
              <w:spacing w:line="300" w:lineRule="exact"/>
              <w:rPr>
                <w:rFonts w:ascii="宋体" w:hAnsi="宋体"/>
                <w:color w:val="auto"/>
                <w:szCs w:val="21"/>
                <w:highlight w:val="none"/>
              </w:rPr>
            </w:pPr>
          </w:p>
        </w:tc>
        <w:tc>
          <w:tcPr>
            <w:tcW w:w="2744" w:type="dxa"/>
            <w:tcBorders>
              <w:left w:val="single" w:color="auto" w:sz="4" w:space="0"/>
              <w:right w:val="single" w:color="auto" w:sz="4" w:space="0"/>
            </w:tcBorders>
            <w:noWrap w:val="0"/>
            <w:vAlign w:val="top"/>
          </w:tcPr>
          <w:p w14:paraId="3867C351">
            <w:pPr>
              <w:spacing w:line="300" w:lineRule="exact"/>
              <w:rPr>
                <w:rFonts w:ascii="宋体" w:hAnsi="宋体"/>
                <w:color w:val="auto"/>
                <w:szCs w:val="21"/>
                <w:highlight w:val="none"/>
              </w:rPr>
            </w:pPr>
            <w:r>
              <w:rPr>
                <w:rFonts w:hint="eastAsia" w:ascii="宋体" w:hAnsi="宋体"/>
                <w:color w:val="auto"/>
                <w:szCs w:val="21"/>
                <w:highlight w:val="none"/>
              </w:rPr>
              <w:t>正偏离（负偏离或无偏离）</w:t>
            </w:r>
          </w:p>
          <w:p w14:paraId="4DE1A75C">
            <w:pPr>
              <w:spacing w:line="300" w:lineRule="exact"/>
              <w:rPr>
                <w:rFonts w:ascii="宋体" w:hAnsi="宋体"/>
                <w:color w:val="auto"/>
                <w:szCs w:val="21"/>
                <w:highlight w:val="none"/>
              </w:rPr>
            </w:pPr>
          </w:p>
        </w:tc>
      </w:tr>
      <w:tr w14:paraId="160A9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8" w:type="dxa"/>
          <w:trHeight w:val="454" w:hRule="atLeast"/>
          <w:jc w:val="center"/>
        </w:trPr>
        <w:tc>
          <w:tcPr>
            <w:tcW w:w="691" w:type="dxa"/>
            <w:vMerge w:val="continue"/>
            <w:tcBorders>
              <w:left w:val="single" w:color="auto" w:sz="4" w:space="0"/>
              <w:right w:val="single" w:color="auto" w:sz="4" w:space="0"/>
            </w:tcBorders>
            <w:noWrap/>
            <w:vAlign w:val="top"/>
          </w:tcPr>
          <w:p w14:paraId="398C3E86">
            <w:pPr>
              <w:spacing w:line="340" w:lineRule="exact"/>
              <w:rPr>
                <w:rFonts w:ascii="宋体" w:hAnsi="宋体"/>
                <w:color w:val="auto"/>
                <w:szCs w:val="21"/>
                <w:highlight w:val="none"/>
              </w:rPr>
            </w:pPr>
          </w:p>
        </w:tc>
        <w:tc>
          <w:tcPr>
            <w:tcW w:w="3136" w:type="dxa"/>
            <w:tcBorders>
              <w:top w:val="single" w:color="auto" w:sz="4" w:space="0"/>
              <w:left w:val="single" w:color="auto" w:sz="4" w:space="0"/>
              <w:bottom w:val="single" w:color="auto" w:sz="4" w:space="0"/>
              <w:right w:val="single" w:color="auto" w:sz="4" w:space="0"/>
            </w:tcBorders>
            <w:noWrap/>
            <w:vAlign w:val="top"/>
          </w:tcPr>
          <w:p w14:paraId="5544DC1D">
            <w:pPr>
              <w:spacing w:line="340" w:lineRule="exact"/>
              <w:rPr>
                <w:rFonts w:ascii="宋体" w:hAnsi="宋体"/>
                <w:color w:val="auto"/>
                <w:szCs w:val="21"/>
                <w:highlight w:val="none"/>
              </w:rPr>
            </w:pPr>
            <w:r>
              <w:rPr>
                <w:rFonts w:hint="eastAsia" w:ascii="宋体" w:hAnsi="宋体"/>
                <w:color w:val="auto"/>
                <w:szCs w:val="21"/>
                <w:highlight w:val="none"/>
              </w:rPr>
              <w:t>3  ……</w:t>
            </w:r>
          </w:p>
          <w:p w14:paraId="5A6FCA87">
            <w:pPr>
              <w:spacing w:line="340" w:lineRule="exact"/>
              <w:rPr>
                <w:rFonts w:ascii="宋体" w:hAnsi="宋体"/>
                <w:color w:val="auto"/>
                <w:szCs w:val="21"/>
                <w:highlight w:val="none"/>
              </w:rPr>
            </w:pPr>
          </w:p>
        </w:tc>
        <w:tc>
          <w:tcPr>
            <w:tcW w:w="2781" w:type="dxa"/>
            <w:tcBorders>
              <w:left w:val="single" w:color="auto" w:sz="4" w:space="0"/>
              <w:right w:val="single" w:color="auto" w:sz="4" w:space="0"/>
            </w:tcBorders>
            <w:noWrap w:val="0"/>
            <w:vAlign w:val="top"/>
          </w:tcPr>
          <w:p w14:paraId="797AE456">
            <w:pPr>
              <w:spacing w:line="340" w:lineRule="exact"/>
              <w:rPr>
                <w:rFonts w:ascii="宋体" w:hAnsi="宋体"/>
                <w:color w:val="auto"/>
                <w:szCs w:val="21"/>
                <w:highlight w:val="none"/>
              </w:rPr>
            </w:pPr>
            <w:r>
              <w:rPr>
                <w:rFonts w:hint="eastAsia" w:ascii="宋体" w:hAnsi="宋体"/>
                <w:color w:val="auto"/>
                <w:szCs w:val="21"/>
                <w:highlight w:val="none"/>
              </w:rPr>
              <w:t>3  ……</w:t>
            </w:r>
          </w:p>
          <w:p w14:paraId="4BF68080">
            <w:pPr>
              <w:spacing w:line="300" w:lineRule="exact"/>
              <w:rPr>
                <w:rFonts w:ascii="宋体" w:hAnsi="宋体"/>
                <w:color w:val="auto"/>
                <w:szCs w:val="21"/>
                <w:highlight w:val="none"/>
              </w:rPr>
            </w:pPr>
          </w:p>
        </w:tc>
        <w:tc>
          <w:tcPr>
            <w:tcW w:w="2744" w:type="dxa"/>
            <w:tcBorders>
              <w:left w:val="single" w:color="auto" w:sz="4" w:space="0"/>
              <w:right w:val="single" w:color="auto" w:sz="4" w:space="0"/>
            </w:tcBorders>
            <w:noWrap w:val="0"/>
            <w:vAlign w:val="top"/>
          </w:tcPr>
          <w:p w14:paraId="07113D3E">
            <w:pPr>
              <w:spacing w:line="300" w:lineRule="exact"/>
              <w:rPr>
                <w:rFonts w:ascii="宋体" w:hAnsi="宋体"/>
                <w:color w:val="auto"/>
                <w:szCs w:val="21"/>
                <w:highlight w:val="none"/>
              </w:rPr>
            </w:pPr>
            <w:r>
              <w:rPr>
                <w:rFonts w:hint="eastAsia" w:ascii="宋体" w:hAnsi="宋体"/>
                <w:color w:val="auto"/>
                <w:szCs w:val="21"/>
                <w:highlight w:val="none"/>
              </w:rPr>
              <w:t>正偏离（负偏离或无偏离）</w:t>
            </w:r>
          </w:p>
          <w:p w14:paraId="3FB85722">
            <w:pPr>
              <w:spacing w:line="300" w:lineRule="exact"/>
              <w:rPr>
                <w:rFonts w:ascii="宋体" w:hAnsi="宋体"/>
                <w:color w:val="auto"/>
                <w:szCs w:val="21"/>
                <w:highlight w:val="none"/>
              </w:rPr>
            </w:pPr>
          </w:p>
        </w:tc>
      </w:tr>
      <w:tr w14:paraId="15EB5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8" w:type="dxa"/>
          <w:trHeight w:val="454" w:hRule="atLeast"/>
          <w:jc w:val="center"/>
        </w:trPr>
        <w:tc>
          <w:tcPr>
            <w:tcW w:w="691" w:type="dxa"/>
            <w:vMerge w:val="continue"/>
            <w:tcBorders>
              <w:left w:val="single" w:color="auto" w:sz="4" w:space="0"/>
              <w:bottom w:val="single" w:color="auto" w:sz="4" w:space="0"/>
              <w:right w:val="single" w:color="auto" w:sz="4" w:space="0"/>
            </w:tcBorders>
            <w:noWrap/>
            <w:vAlign w:val="top"/>
          </w:tcPr>
          <w:p w14:paraId="0B2DCC4D">
            <w:pPr>
              <w:spacing w:line="340" w:lineRule="exact"/>
              <w:rPr>
                <w:rFonts w:ascii="宋体" w:hAnsi="宋体"/>
                <w:color w:val="auto"/>
                <w:szCs w:val="21"/>
                <w:highlight w:val="none"/>
              </w:rPr>
            </w:pPr>
          </w:p>
        </w:tc>
        <w:tc>
          <w:tcPr>
            <w:tcW w:w="3136" w:type="dxa"/>
            <w:tcBorders>
              <w:top w:val="single" w:color="auto" w:sz="4" w:space="0"/>
              <w:left w:val="single" w:color="auto" w:sz="4" w:space="0"/>
              <w:bottom w:val="single" w:color="auto" w:sz="4" w:space="0"/>
              <w:right w:val="single" w:color="auto" w:sz="4" w:space="0"/>
            </w:tcBorders>
            <w:noWrap/>
            <w:vAlign w:val="top"/>
          </w:tcPr>
          <w:p w14:paraId="35643BCC">
            <w:pPr>
              <w:spacing w:line="340" w:lineRule="exact"/>
              <w:rPr>
                <w:rFonts w:ascii="宋体" w:hAnsi="宋体"/>
                <w:color w:val="auto"/>
                <w:szCs w:val="21"/>
                <w:highlight w:val="none"/>
              </w:rPr>
            </w:pPr>
            <w:r>
              <w:rPr>
                <w:rFonts w:hint="eastAsia" w:ascii="宋体" w:hAnsi="宋体"/>
                <w:color w:val="auto"/>
                <w:szCs w:val="21"/>
                <w:highlight w:val="none"/>
              </w:rPr>
              <w:t>……</w:t>
            </w:r>
          </w:p>
        </w:tc>
        <w:tc>
          <w:tcPr>
            <w:tcW w:w="2781" w:type="dxa"/>
            <w:tcBorders>
              <w:left w:val="single" w:color="auto" w:sz="4" w:space="0"/>
              <w:bottom w:val="single" w:color="auto" w:sz="4" w:space="0"/>
              <w:right w:val="single" w:color="auto" w:sz="4" w:space="0"/>
            </w:tcBorders>
            <w:noWrap w:val="0"/>
            <w:vAlign w:val="top"/>
          </w:tcPr>
          <w:p w14:paraId="0D422BE8">
            <w:pPr>
              <w:spacing w:line="300" w:lineRule="exact"/>
              <w:rPr>
                <w:rFonts w:ascii="宋体" w:hAnsi="宋体"/>
                <w:color w:val="auto"/>
                <w:szCs w:val="21"/>
                <w:highlight w:val="none"/>
              </w:rPr>
            </w:pPr>
            <w:r>
              <w:rPr>
                <w:rFonts w:hint="eastAsia" w:ascii="宋体" w:hAnsi="宋体"/>
                <w:color w:val="auto"/>
                <w:szCs w:val="21"/>
                <w:highlight w:val="none"/>
              </w:rPr>
              <w:t>……</w:t>
            </w:r>
          </w:p>
        </w:tc>
        <w:tc>
          <w:tcPr>
            <w:tcW w:w="2744" w:type="dxa"/>
            <w:tcBorders>
              <w:left w:val="single" w:color="auto" w:sz="4" w:space="0"/>
              <w:bottom w:val="single" w:color="auto" w:sz="4" w:space="0"/>
              <w:right w:val="single" w:color="auto" w:sz="4" w:space="0"/>
            </w:tcBorders>
            <w:noWrap w:val="0"/>
            <w:vAlign w:val="top"/>
          </w:tcPr>
          <w:p w14:paraId="213E90D5">
            <w:pPr>
              <w:spacing w:line="300" w:lineRule="exact"/>
              <w:rPr>
                <w:rFonts w:ascii="宋体" w:hAnsi="宋体"/>
                <w:color w:val="auto"/>
                <w:szCs w:val="21"/>
                <w:highlight w:val="none"/>
              </w:rPr>
            </w:pPr>
            <w:r>
              <w:rPr>
                <w:rFonts w:hint="eastAsia" w:ascii="宋体" w:hAnsi="宋体"/>
                <w:color w:val="auto"/>
                <w:szCs w:val="21"/>
                <w:highlight w:val="none"/>
              </w:rPr>
              <w:t>正偏离（负偏离或无偏离）</w:t>
            </w:r>
          </w:p>
          <w:p w14:paraId="764850D9">
            <w:pPr>
              <w:spacing w:line="300" w:lineRule="exact"/>
              <w:rPr>
                <w:rFonts w:ascii="宋体" w:hAnsi="宋体"/>
                <w:color w:val="auto"/>
                <w:szCs w:val="21"/>
                <w:highlight w:val="none"/>
              </w:rPr>
            </w:pPr>
          </w:p>
        </w:tc>
      </w:tr>
      <w:tr w14:paraId="3415D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8" w:type="dxa"/>
          <w:trHeight w:val="454" w:hRule="atLeast"/>
          <w:jc w:val="center"/>
        </w:trPr>
        <w:tc>
          <w:tcPr>
            <w:tcW w:w="691" w:type="dxa"/>
            <w:vMerge w:val="restart"/>
            <w:tcBorders>
              <w:top w:val="single" w:color="auto" w:sz="4" w:space="0"/>
              <w:left w:val="single" w:color="auto" w:sz="4" w:space="0"/>
              <w:right w:val="single" w:color="auto" w:sz="4" w:space="0"/>
            </w:tcBorders>
            <w:noWrap/>
            <w:vAlign w:val="top"/>
          </w:tcPr>
          <w:p w14:paraId="6AF9E8AE">
            <w:pPr>
              <w:spacing w:line="340" w:lineRule="exact"/>
              <w:rPr>
                <w:rFonts w:ascii="宋体" w:hAnsi="宋体"/>
                <w:color w:val="auto"/>
                <w:szCs w:val="21"/>
                <w:highlight w:val="none"/>
              </w:rPr>
            </w:pPr>
            <w:r>
              <w:rPr>
                <w:rFonts w:hint="eastAsia" w:ascii="宋体" w:hAnsi="宋体"/>
                <w:color w:val="auto"/>
                <w:szCs w:val="21"/>
                <w:highlight w:val="none"/>
              </w:rPr>
              <w:t>……</w:t>
            </w:r>
          </w:p>
        </w:tc>
        <w:tc>
          <w:tcPr>
            <w:tcW w:w="3136" w:type="dxa"/>
            <w:tcBorders>
              <w:top w:val="single" w:color="auto" w:sz="4" w:space="0"/>
              <w:left w:val="single" w:color="auto" w:sz="4" w:space="0"/>
              <w:bottom w:val="single" w:color="auto" w:sz="4" w:space="0"/>
              <w:right w:val="single" w:color="auto" w:sz="4" w:space="0"/>
            </w:tcBorders>
            <w:noWrap/>
            <w:vAlign w:val="top"/>
          </w:tcPr>
          <w:p w14:paraId="20FBEE44">
            <w:pPr>
              <w:rPr>
                <w:rFonts w:ascii="宋体" w:hAnsi="宋体"/>
                <w:color w:val="auto"/>
                <w:szCs w:val="21"/>
                <w:highlight w:val="none"/>
              </w:rPr>
            </w:pPr>
            <w:r>
              <w:rPr>
                <w:rFonts w:hint="eastAsia" w:ascii="宋体" w:hAnsi="宋体"/>
                <w:color w:val="auto"/>
                <w:szCs w:val="21"/>
                <w:highlight w:val="none"/>
              </w:rPr>
              <w:t>1  ……</w:t>
            </w:r>
          </w:p>
        </w:tc>
        <w:tc>
          <w:tcPr>
            <w:tcW w:w="2781" w:type="dxa"/>
            <w:tcBorders>
              <w:top w:val="single" w:color="auto" w:sz="4" w:space="0"/>
              <w:left w:val="single" w:color="auto" w:sz="4" w:space="0"/>
              <w:right w:val="single" w:color="auto" w:sz="4" w:space="0"/>
            </w:tcBorders>
            <w:noWrap w:val="0"/>
            <w:vAlign w:val="top"/>
          </w:tcPr>
          <w:p w14:paraId="4ED88EE6">
            <w:pPr>
              <w:rPr>
                <w:rFonts w:ascii="宋体" w:hAnsi="宋体"/>
                <w:color w:val="auto"/>
                <w:szCs w:val="21"/>
                <w:highlight w:val="none"/>
              </w:rPr>
            </w:pPr>
            <w:r>
              <w:rPr>
                <w:rFonts w:hint="eastAsia" w:ascii="宋体" w:hAnsi="宋体"/>
                <w:color w:val="auto"/>
                <w:szCs w:val="21"/>
                <w:highlight w:val="none"/>
              </w:rPr>
              <w:t>1  ……</w:t>
            </w:r>
          </w:p>
        </w:tc>
        <w:tc>
          <w:tcPr>
            <w:tcW w:w="2744" w:type="dxa"/>
            <w:tcBorders>
              <w:top w:val="single" w:color="auto" w:sz="4" w:space="0"/>
              <w:left w:val="single" w:color="auto" w:sz="4" w:space="0"/>
              <w:right w:val="single" w:color="auto" w:sz="4" w:space="0"/>
            </w:tcBorders>
            <w:noWrap w:val="0"/>
            <w:vAlign w:val="top"/>
          </w:tcPr>
          <w:p w14:paraId="563984D8">
            <w:pPr>
              <w:spacing w:line="300" w:lineRule="exact"/>
              <w:rPr>
                <w:rFonts w:ascii="宋体" w:hAnsi="宋体"/>
                <w:color w:val="auto"/>
                <w:szCs w:val="21"/>
                <w:highlight w:val="none"/>
              </w:rPr>
            </w:pPr>
            <w:r>
              <w:rPr>
                <w:rFonts w:hint="eastAsia" w:ascii="宋体" w:hAnsi="宋体"/>
                <w:color w:val="auto"/>
                <w:szCs w:val="21"/>
                <w:highlight w:val="none"/>
              </w:rPr>
              <w:t>正偏离（负偏离或无偏离）</w:t>
            </w:r>
          </w:p>
          <w:p w14:paraId="501BBFCA">
            <w:pPr>
              <w:spacing w:line="300" w:lineRule="exact"/>
              <w:rPr>
                <w:rFonts w:ascii="宋体" w:hAnsi="宋体"/>
                <w:color w:val="auto"/>
                <w:szCs w:val="21"/>
                <w:highlight w:val="none"/>
              </w:rPr>
            </w:pPr>
          </w:p>
        </w:tc>
      </w:tr>
      <w:tr w14:paraId="08449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8" w:type="dxa"/>
          <w:trHeight w:val="454" w:hRule="atLeast"/>
          <w:jc w:val="center"/>
        </w:trPr>
        <w:tc>
          <w:tcPr>
            <w:tcW w:w="691" w:type="dxa"/>
            <w:vMerge w:val="continue"/>
            <w:tcBorders>
              <w:left w:val="single" w:color="auto" w:sz="4" w:space="0"/>
              <w:right w:val="single" w:color="auto" w:sz="4" w:space="0"/>
            </w:tcBorders>
            <w:noWrap/>
            <w:vAlign w:val="top"/>
          </w:tcPr>
          <w:p w14:paraId="2CC5A00B">
            <w:pPr>
              <w:spacing w:line="340" w:lineRule="exact"/>
              <w:rPr>
                <w:rFonts w:ascii="宋体" w:hAnsi="宋体"/>
                <w:color w:val="auto"/>
                <w:szCs w:val="21"/>
                <w:highlight w:val="none"/>
              </w:rPr>
            </w:pPr>
          </w:p>
        </w:tc>
        <w:tc>
          <w:tcPr>
            <w:tcW w:w="3136" w:type="dxa"/>
            <w:tcBorders>
              <w:top w:val="single" w:color="auto" w:sz="4" w:space="0"/>
              <w:left w:val="single" w:color="auto" w:sz="4" w:space="0"/>
              <w:bottom w:val="single" w:color="auto" w:sz="4" w:space="0"/>
              <w:right w:val="single" w:color="auto" w:sz="4" w:space="0"/>
            </w:tcBorders>
            <w:noWrap/>
            <w:vAlign w:val="top"/>
          </w:tcPr>
          <w:p w14:paraId="103853B0">
            <w:pPr>
              <w:spacing w:line="340" w:lineRule="exact"/>
              <w:rPr>
                <w:rFonts w:ascii="宋体" w:hAnsi="宋体"/>
                <w:color w:val="auto"/>
                <w:szCs w:val="21"/>
                <w:highlight w:val="none"/>
              </w:rPr>
            </w:pPr>
            <w:r>
              <w:rPr>
                <w:rFonts w:hint="eastAsia" w:ascii="宋体" w:hAnsi="宋体"/>
                <w:color w:val="auto"/>
                <w:szCs w:val="21"/>
                <w:highlight w:val="none"/>
              </w:rPr>
              <w:t>2  ……</w:t>
            </w:r>
          </w:p>
          <w:p w14:paraId="37098238">
            <w:pPr>
              <w:spacing w:line="340" w:lineRule="exact"/>
              <w:rPr>
                <w:rFonts w:ascii="宋体" w:hAnsi="宋体"/>
                <w:color w:val="auto"/>
                <w:szCs w:val="21"/>
                <w:highlight w:val="none"/>
              </w:rPr>
            </w:pPr>
          </w:p>
        </w:tc>
        <w:tc>
          <w:tcPr>
            <w:tcW w:w="2781" w:type="dxa"/>
            <w:tcBorders>
              <w:left w:val="single" w:color="auto" w:sz="4" w:space="0"/>
              <w:right w:val="single" w:color="auto" w:sz="4" w:space="0"/>
            </w:tcBorders>
            <w:noWrap w:val="0"/>
            <w:vAlign w:val="top"/>
          </w:tcPr>
          <w:p w14:paraId="1F623FE1">
            <w:pPr>
              <w:spacing w:line="340" w:lineRule="exact"/>
              <w:rPr>
                <w:rFonts w:ascii="宋体" w:hAnsi="宋体"/>
                <w:color w:val="auto"/>
                <w:szCs w:val="21"/>
                <w:highlight w:val="none"/>
              </w:rPr>
            </w:pPr>
            <w:r>
              <w:rPr>
                <w:rFonts w:hint="eastAsia" w:ascii="宋体" w:hAnsi="宋体"/>
                <w:color w:val="auto"/>
                <w:szCs w:val="21"/>
                <w:highlight w:val="none"/>
              </w:rPr>
              <w:t>2  ……</w:t>
            </w:r>
          </w:p>
          <w:p w14:paraId="31F26098">
            <w:pPr>
              <w:spacing w:line="300" w:lineRule="exact"/>
              <w:rPr>
                <w:rFonts w:ascii="宋体" w:hAnsi="宋体"/>
                <w:color w:val="auto"/>
                <w:szCs w:val="21"/>
                <w:highlight w:val="none"/>
              </w:rPr>
            </w:pPr>
          </w:p>
        </w:tc>
        <w:tc>
          <w:tcPr>
            <w:tcW w:w="2744" w:type="dxa"/>
            <w:tcBorders>
              <w:left w:val="single" w:color="auto" w:sz="4" w:space="0"/>
              <w:right w:val="single" w:color="auto" w:sz="4" w:space="0"/>
            </w:tcBorders>
            <w:noWrap w:val="0"/>
            <w:vAlign w:val="top"/>
          </w:tcPr>
          <w:p w14:paraId="629CF2A1">
            <w:pPr>
              <w:spacing w:line="300" w:lineRule="exact"/>
              <w:rPr>
                <w:rFonts w:ascii="宋体" w:hAnsi="宋体"/>
                <w:color w:val="auto"/>
                <w:szCs w:val="21"/>
                <w:highlight w:val="none"/>
              </w:rPr>
            </w:pPr>
            <w:r>
              <w:rPr>
                <w:rFonts w:hint="eastAsia" w:ascii="宋体" w:hAnsi="宋体"/>
                <w:color w:val="auto"/>
                <w:szCs w:val="21"/>
                <w:highlight w:val="none"/>
              </w:rPr>
              <w:t>正偏离（负偏离或无偏离）</w:t>
            </w:r>
          </w:p>
          <w:p w14:paraId="164768E9">
            <w:pPr>
              <w:spacing w:line="300" w:lineRule="exact"/>
              <w:rPr>
                <w:rFonts w:ascii="宋体" w:hAnsi="宋体"/>
                <w:color w:val="auto"/>
                <w:szCs w:val="21"/>
                <w:highlight w:val="none"/>
              </w:rPr>
            </w:pPr>
          </w:p>
        </w:tc>
      </w:tr>
      <w:tr w14:paraId="2A228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8" w:type="dxa"/>
          <w:trHeight w:val="454" w:hRule="atLeast"/>
          <w:jc w:val="center"/>
        </w:trPr>
        <w:tc>
          <w:tcPr>
            <w:tcW w:w="691" w:type="dxa"/>
            <w:vMerge w:val="continue"/>
            <w:tcBorders>
              <w:left w:val="single" w:color="auto" w:sz="4" w:space="0"/>
              <w:right w:val="single" w:color="auto" w:sz="4" w:space="0"/>
            </w:tcBorders>
            <w:noWrap/>
            <w:vAlign w:val="top"/>
          </w:tcPr>
          <w:p w14:paraId="65C95EF0">
            <w:pPr>
              <w:spacing w:line="340" w:lineRule="exact"/>
              <w:rPr>
                <w:rFonts w:ascii="宋体" w:hAnsi="宋体"/>
                <w:color w:val="auto"/>
                <w:szCs w:val="21"/>
                <w:highlight w:val="none"/>
              </w:rPr>
            </w:pPr>
          </w:p>
        </w:tc>
        <w:tc>
          <w:tcPr>
            <w:tcW w:w="3136" w:type="dxa"/>
            <w:tcBorders>
              <w:top w:val="single" w:color="auto" w:sz="4" w:space="0"/>
              <w:left w:val="single" w:color="auto" w:sz="4" w:space="0"/>
              <w:bottom w:val="single" w:color="auto" w:sz="4" w:space="0"/>
              <w:right w:val="single" w:color="auto" w:sz="4" w:space="0"/>
            </w:tcBorders>
            <w:noWrap/>
            <w:vAlign w:val="top"/>
          </w:tcPr>
          <w:p w14:paraId="7E8E1A30">
            <w:pPr>
              <w:spacing w:line="340" w:lineRule="exact"/>
              <w:rPr>
                <w:rFonts w:ascii="宋体" w:hAnsi="宋体"/>
                <w:color w:val="auto"/>
                <w:szCs w:val="21"/>
                <w:highlight w:val="none"/>
              </w:rPr>
            </w:pPr>
            <w:r>
              <w:rPr>
                <w:rFonts w:hint="eastAsia" w:ascii="宋体" w:hAnsi="宋体"/>
                <w:color w:val="auto"/>
                <w:szCs w:val="21"/>
                <w:highlight w:val="none"/>
              </w:rPr>
              <w:t>3  ……</w:t>
            </w:r>
          </w:p>
          <w:p w14:paraId="698BA75B">
            <w:pPr>
              <w:spacing w:line="340" w:lineRule="exact"/>
              <w:rPr>
                <w:rFonts w:ascii="宋体" w:hAnsi="宋体"/>
                <w:color w:val="auto"/>
                <w:szCs w:val="21"/>
                <w:highlight w:val="none"/>
              </w:rPr>
            </w:pPr>
          </w:p>
        </w:tc>
        <w:tc>
          <w:tcPr>
            <w:tcW w:w="2781" w:type="dxa"/>
            <w:tcBorders>
              <w:left w:val="single" w:color="auto" w:sz="4" w:space="0"/>
              <w:right w:val="single" w:color="auto" w:sz="4" w:space="0"/>
            </w:tcBorders>
            <w:noWrap w:val="0"/>
            <w:vAlign w:val="top"/>
          </w:tcPr>
          <w:p w14:paraId="7926368C">
            <w:pPr>
              <w:spacing w:line="340" w:lineRule="exact"/>
              <w:rPr>
                <w:rFonts w:ascii="宋体" w:hAnsi="宋体"/>
                <w:color w:val="auto"/>
                <w:szCs w:val="21"/>
                <w:highlight w:val="none"/>
              </w:rPr>
            </w:pPr>
            <w:r>
              <w:rPr>
                <w:rFonts w:hint="eastAsia" w:ascii="宋体" w:hAnsi="宋体"/>
                <w:color w:val="auto"/>
                <w:szCs w:val="21"/>
                <w:highlight w:val="none"/>
              </w:rPr>
              <w:t>3  ……</w:t>
            </w:r>
          </w:p>
          <w:p w14:paraId="5C3474BA">
            <w:pPr>
              <w:spacing w:line="300" w:lineRule="exact"/>
              <w:rPr>
                <w:rFonts w:ascii="宋体" w:hAnsi="宋体"/>
                <w:color w:val="auto"/>
                <w:szCs w:val="21"/>
                <w:highlight w:val="none"/>
              </w:rPr>
            </w:pPr>
          </w:p>
        </w:tc>
        <w:tc>
          <w:tcPr>
            <w:tcW w:w="2744" w:type="dxa"/>
            <w:tcBorders>
              <w:left w:val="single" w:color="auto" w:sz="4" w:space="0"/>
              <w:right w:val="single" w:color="auto" w:sz="4" w:space="0"/>
            </w:tcBorders>
            <w:noWrap w:val="0"/>
            <w:vAlign w:val="top"/>
          </w:tcPr>
          <w:p w14:paraId="0B0CD1A3">
            <w:pPr>
              <w:spacing w:line="300" w:lineRule="exact"/>
              <w:rPr>
                <w:rFonts w:ascii="宋体" w:hAnsi="宋体"/>
                <w:color w:val="auto"/>
                <w:szCs w:val="21"/>
                <w:highlight w:val="none"/>
              </w:rPr>
            </w:pPr>
            <w:r>
              <w:rPr>
                <w:rFonts w:hint="eastAsia" w:ascii="宋体" w:hAnsi="宋体"/>
                <w:color w:val="auto"/>
                <w:szCs w:val="21"/>
                <w:highlight w:val="none"/>
              </w:rPr>
              <w:t>正偏离（负偏离或无偏离）</w:t>
            </w:r>
          </w:p>
          <w:p w14:paraId="5B1A2560">
            <w:pPr>
              <w:spacing w:line="300" w:lineRule="exact"/>
              <w:rPr>
                <w:rFonts w:ascii="宋体" w:hAnsi="宋体"/>
                <w:color w:val="auto"/>
                <w:szCs w:val="21"/>
                <w:highlight w:val="none"/>
              </w:rPr>
            </w:pPr>
          </w:p>
        </w:tc>
      </w:tr>
      <w:tr w14:paraId="492BE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8" w:type="dxa"/>
          <w:trHeight w:val="454" w:hRule="atLeast"/>
          <w:jc w:val="center"/>
        </w:trPr>
        <w:tc>
          <w:tcPr>
            <w:tcW w:w="691" w:type="dxa"/>
            <w:vMerge w:val="continue"/>
            <w:tcBorders>
              <w:left w:val="single" w:color="auto" w:sz="4" w:space="0"/>
              <w:bottom w:val="single" w:color="auto" w:sz="4" w:space="0"/>
              <w:right w:val="single" w:color="auto" w:sz="4" w:space="0"/>
            </w:tcBorders>
            <w:noWrap/>
            <w:vAlign w:val="top"/>
          </w:tcPr>
          <w:p w14:paraId="4E129778">
            <w:pPr>
              <w:spacing w:line="340" w:lineRule="exact"/>
              <w:rPr>
                <w:rFonts w:ascii="宋体" w:hAnsi="宋体"/>
                <w:color w:val="auto"/>
                <w:szCs w:val="21"/>
                <w:highlight w:val="none"/>
              </w:rPr>
            </w:pPr>
          </w:p>
        </w:tc>
        <w:tc>
          <w:tcPr>
            <w:tcW w:w="3136" w:type="dxa"/>
            <w:tcBorders>
              <w:top w:val="single" w:color="auto" w:sz="4" w:space="0"/>
              <w:left w:val="single" w:color="auto" w:sz="4" w:space="0"/>
              <w:bottom w:val="single" w:color="auto" w:sz="4" w:space="0"/>
              <w:right w:val="single" w:color="auto" w:sz="4" w:space="0"/>
            </w:tcBorders>
            <w:noWrap/>
            <w:vAlign w:val="top"/>
          </w:tcPr>
          <w:p w14:paraId="6C8D0A1A">
            <w:pPr>
              <w:spacing w:line="340" w:lineRule="exact"/>
              <w:rPr>
                <w:rFonts w:ascii="宋体" w:hAnsi="宋体"/>
                <w:color w:val="auto"/>
                <w:szCs w:val="21"/>
                <w:highlight w:val="none"/>
              </w:rPr>
            </w:pPr>
            <w:r>
              <w:rPr>
                <w:rFonts w:hint="eastAsia" w:ascii="宋体" w:hAnsi="宋体"/>
                <w:color w:val="auto"/>
                <w:szCs w:val="21"/>
                <w:highlight w:val="none"/>
              </w:rPr>
              <w:t>……</w:t>
            </w:r>
          </w:p>
        </w:tc>
        <w:tc>
          <w:tcPr>
            <w:tcW w:w="2781" w:type="dxa"/>
            <w:tcBorders>
              <w:left w:val="single" w:color="auto" w:sz="4" w:space="0"/>
              <w:bottom w:val="single" w:color="auto" w:sz="4" w:space="0"/>
              <w:right w:val="single" w:color="auto" w:sz="4" w:space="0"/>
            </w:tcBorders>
            <w:noWrap w:val="0"/>
            <w:vAlign w:val="top"/>
          </w:tcPr>
          <w:p w14:paraId="1EA6E433">
            <w:pPr>
              <w:spacing w:line="300" w:lineRule="exact"/>
              <w:rPr>
                <w:rFonts w:ascii="宋体" w:hAnsi="宋体"/>
                <w:color w:val="auto"/>
                <w:szCs w:val="21"/>
                <w:highlight w:val="none"/>
              </w:rPr>
            </w:pPr>
            <w:r>
              <w:rPr>
                <w:rFonts w:hint="eastAsia" w:ascii="宋体" w:hAnsi="宋体"/>
                <w:color w:val="auto"/>
                <w:szCs w:val="21"/>
                <w:highlight w:val="none"/>
              </w:rPr>
              <w:t>……</w:t>
            </w:r>
          </w:p>
        </w:tc>
        <w:tc>
          <w:tcPr>
            <w:tcW w:w="2744" w:type="dxa"/>
            <w:tcBorders>
              <w:left w:val="single" w:color="auto" w:sz="4" w:space="0"/>
              <w:bottom w:val="single" w:color="auto" w:sz="4" w:space="0"/>
              <w:right w:val="single" w:color="auto" w:sz="4" w:space="0"/>
            </w:tcBorders>
            <w:noWrap w:val="0"/>
            <w:vAlign w:val="top"/>
          </w:tcPr>
          <w:p w14:paraId="1AD11F95">
            <w:pPr>
              <w:spacing w:line="300" w:lineRule="exact"/>
              <w:rPr>
                <w:rFonts w:ascii="宋体" w:hAnsi="宋体"/>
                <w:color w:val="auto"/>
                <w:szCs w:val="21"/>
                <w:highlight w:val="none"/>
              </w:rPr>
            </w:pPr>
            <w:r>
              <w:rPr>
                <w:rFonts w:hint="eastAsia" w:ascii="宋体" w:hAnsi="宋体"/>
                <w:color w:val="auto"/>
                <w:szCs w:val="21"/>
                <w:highlight w:val="none"/>
              </w:rPr>
              <w:t>正偏离（负偏离或无偏离）</w:t>
            </w:r>
          </w:p>
          <w:p w14:paraId="52CFE4C2">
            <w:pPr>
              <w:spacing w:line="300" w:lineRule="exact"/>
              <w:rPr>
                <w:rFonts w:ascii="宋体" w:hAnsi="宋体"/>
                <w:color w:val="auto"/>
                <w:szCs w:val="21"/>
                <w:highlight w:val="none"/>
              </w:rPr>
            </w:pPr>
          </w:p>
        </w:tc>
      </w:tr>
      <w:tr w14:paraId="69BF3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80" w:type="dxa"/>
            <w:gridSpan w:val="5"/>
            <w:tcBorders>
              <w:top w:val="single" w:color="auto" w:sz="4" w:space="0"/>
              <w:left w:val="single" w:color="auto" w:sz="4" w:space="0"/>
              <w:bottom w:val="single" w:color="auto" w:sz="4" w:space="0"/>
              <w:right w:val="single" w:color="auto" w:sz="4" w:space="0"/>
            </w:tcBorders>
            <w:noWrap/>
            <w:vAlign w:val="top"/>
          </w:tcPr>
          <w:p w14:paraId="553841B8">
            <w:pPr>
              <w:spacing w:line="340" w:lineRule="exact"/>
              <w:rPr>
                <w:rFonts w:ascii="宋体" w:hAnsi="宋体"/>
                <w:color w:val="auto"/>
                <w:szCs w:val="21"/>
                <w:highlight w:val="none"/>
              </w:rPr>
            </w:pPr>
            <w:r>
              <w:rPr>
                <w:rFonts w:hint="eastAsia" w:ascii="宋体" w:hAnsi="宋体"/>
                <w:color w:val="auto"/>
                <w:szCs w:val="21"/>
                <w:highlight w:val="none"/>
                <w:u w:val="single"/>
              </w:rPr>
              <w:t>　　</w:t>
            </w:r>
            <w:r>
              <w:rPr>
                <w:rFonts w:hint="eastAsia" w:ascii="宋体" w:hAnsi="宋体"/>
                <w:color w:val="auto"/>
                <w:szCs w:val="21"/>
                <w:highlight w:val="none"/>
              </w:rPr>
              <w:t>分标（此处有分标时填写具体分标号，无分标时填写“无”）</w:t>
            </w:r>
          </w:p>
        </w:tc>
      </w:tr>
    </w:tbl>
    <w:p w14:paraId="295EE42D">
      <w:pPr>
        <w:pStyle w:val="12"/>
        <w:spacing w:line="400" w:lineRule="exact"/>
        <w:ind w:firstLine="0" w:firstLineChars="0"/>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注：</w:t>
      </w:r>
    </w:p>
    <w:p w14:paraId="307D9A74">
      <w:pPr>
        <w:pStyle w:val="12"/>
        <w:spacing w:line="400" w:lineRule="exact"/>
        <w:ind w:firstLine="0" w:firstLineChars="0"/>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1.说明：应对照磋商文件“第二章 采购需求”中的商务条款逐条作出明确响应，并作出偏离说明。</w:t>
      </w:r>
    </w:p>
    <w:p w14:paraId="31CD52B9">
      <w:pPr>
        <w:pStyle w:val="12"/>
        <w:spacing w:line="400" w:lineRule="exact"/>
        <w:ind w:firstLine="0" w:firstLineChars="0"/>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2.供应商应根据自身的承诺，对照磋商文件要求，在“偏离说明”中注明“正偏离”、“负偏离”或者“无偏离”。既不属于“正偏离”也不属于“负偏离”即为“无偏离”。</w:t>
      </w:r>
      <w:r>
        <w:rPr>
          <w:rFonts w:hint="eastAsia" w:ascii="宋体" w:hAnsi="宋体" w:cs="仿宋_GB2312"/>
          <w:color w:val="auto"/>
          <w:sz w:val="24"/>
          <w:szCs w:val="24"/>
          <w:highlight w:val="none"/>
        </w:rPr>
        <w:t xml:space="preserve"> 当响应文件的</w:t>
      </w:r>
      <w:r>
        <w:rPr>
          <w:rFonts w:hint="eastAsia" w:ascii="宋体" w:hAnsi="宋体" w:eastAsia="宋体" w:cs="仿宋_GB2312"/>
          <w:color w:val="auto"/>
          <w:sz w:val="24"/>
          <w:szCs w:val="24"/>
          <w:highlight w:val="none"/>
        </w:rPr>
        <w:t>商务内容低于竞争性磋商采购文件要求时，竞标人应当如实写明“负偏离”，否则视为虚假应标</w:t>
      </w:r>
    </w:p>
    <w:p w14:paraId="30F89861">
      <w:pPr>
        <w:spacing w:line="400" w:lineRule="exact"/>
        <w:rPr>
          <w:rFonts w:hint="eastAsia" w:ascii="宋体" w:hAnsi="宋体" w:cs="仿宋_GB2312"/>
          <w:color w:val="auto"/>
          <w:kern w:val="0"/>
          <w:sz w:val="24"/>
          <w:highlight w:val="none"/>
        </w:rPr>
      </w:pPr>
      <w:r>
        <w:rPr>
          <w:rFonts w:hint="eastAsia" w:ascii="宋体" w:hAnsi="宋体" w:cs="仿宋_GB2312"/>
          <w:color w:val="auto"/>
          <w:kern w:val="0"/>
          <w:sz w:val="24"/>
          <w:highlight w:val="none"/>
        </w:rPr>
        <w:t>3.表格内容均需按要求填写，不得留空，否则按竞标无效处理。</w:t>
      </w:r>
    </w:p>
    <w:p w14:paraId="010F069E">
      <w:pPr>
        <w:pStyle w:val="15"/>
        <w:spacing w:line="400" w:lineRule="exact"/>
        <w:rPr>
          <w:rFonts w:hint="eastAsia" w:hAnsi="宋体" w:cs="仿宋_GB2312"/>
          <w:color w:val="auto"/>
          <w:sz w:val="24"/>
          <w:highlight w:val="none"/>
        </w:rPr>
      </w:pPr>
      <w:r>
        <w:rPr>
          <w:rFonts w:hint="eastAsia" w:hAnsi="宋体" w:cs="仿宋_GB2312"/>
          <w:color w:val="auto"/>
          <w:sz w:val="24"/>
          <w:szCs w:val="24"/>
          <w:highlight w:val="none"/>
        </w:rPr>
        <w:t>4.如果采购需求为小于、小于等于、大于或大于等于某个数值标准时，响应文件承诺不得直接复制采购需求，响应文件承诺内容应当写明竞标货物具体参数或商务响应承诺的具体数值，否则按竞标无效处理。如该采购需求属于不能明确具体数值的，采购人应在此采购需求的数值后标注◆号，对标注◆号的采购需求不适用上述“竞标无效”条款。</w:t>
      </w:r>
    </w:p>
    <w:p w14:paraId="4B974BCB">
      <w:pPr>
        <w:spacing w:line="360" w:lineRule="auto"/>
        <w:ind w:firstLine="3840" w:firstLineChars="1600"/>
        <w:rPr>
          <w:rFonts w:hint="eastAsia" w:ascii="宋体" w:hAnsi="宋体" w:cs="仿宋_GB2312"/>
          <w:color w:val="auto"/>
          <w:sz w:val="24"/>
          <w:highlight w:val="none"/>
        </w:rPr>
      </w:pPr>
      <w:r>
        <w:rPr>
          <w:rFonts w:hint="eastAsia" w:ascii="仿宋_GB2312" w:hAnsi="仿宋" w:eastAsia="仿宋_GB2312" w:cs="仿宋_GB2312"/>
          <w:color w:val="auto"/>
          <w:kern w:val="0"/>
          <w:sz w:val="24"/>
          <w:highlight w:val="none"/>
        </w:rPr>
        <w:t>供应商名称（电子签章）：</w:t>
      </w:r>
    </w:p>
    <w:p w14:paraId="7F967064">
      <w:pPr>
        <w:spacing w:line="360" w:lineRule="auto"/>
        <w:jc w:val="center"/>
        <w:rPr>
          <w:rFonts w:hint="eastAsia" w:ascii="宋体" w:hAnsi="宋体" w:cs="仿宋_GB2312"/>
          <w:b/>
          <w:color w:val="auto"/>
          <w:sz w:val="24"/>
          <w:highlight w:val="none"/>
        </w:rPr>
      </w:pPr>
      <w:r>
        <w:rPr>
          <w:rFonts w:hint="eastAsia" w:ascii="仿宋_GB2312" w:hAnsi="仿宋" w:eastAsia="仿宋_GB2312" w:cs="仿宋_GB2312"/>
          <w:color w:val="auto"/>
          <w:kern w:val="0"/>
          <w:sz w:val="24"/>
          <w:highlight w:val="none"/>
          <w:lang w:val="zh-CN"/>
        </w:rPr>
        <w:t xml:space="preserve">                                                   日期：  年  月   日</w:t>
      </w:r>
    </w:p>
    <w:p w14:paraId="45B2D734">
      <w:pPr>
        <w:snapToGrid w:val="0"/>
        <w:spacing w:line="360" w:lineRule="auto"/>
        <w:ind w:firstLine="602" w:firstLineChars="200"/>
        <w:rPr>
          <w:rFonts w:hint="eastAsia" w:ascii="仿宋" w:hAnsi="仿宋" w:eastAsia="仿宋" w:cs="仿宋_GB2312"/>
          <w:b/>
          <w:color w:val="auto"/>
          <w:sz w:val="30"/>
          <w:szCs w:val="30"/>
          <w:highlight w:val="none"/>
        </w:rPr>
      </w:pPr>
      <w:r>
        <w:rPr>
          <w:rFonts w:hint="eastAsia" w:ascii="仿宋" w:hAnsi="仿宋" w:eastAsia="仿宋" w:cs="仿宋_GB2312"/>
          <w:b/>
          <w:color w:val="auto"/>
          <w:sz w:val="30"/>
          <w:szCs w:val="30"/>
          <w:highlight w:val="none"/>
        </w:rPr>
        <w:t>五、竞标人情况介绍</w:t>
      </w:r>
    </w:p>
    <w:p w14:paraId="53EA9920">
      <w:pPr>
        <w:snapToGrid w:val="0"/>
        <w:spacing w:line="360" w:lineRule="auto"/>
        <w:ind w:firstLine="602" w:firstLineChars="200"/>
        <w:rPr>
          <w:rFonts w:hint="eastAsia" w:ascii="仿宋" w:hAnsi="仿宋" w:eastAsia="仿宋" w:cs="仿宋_GB2312"/>
          <w:b/>
          <w:color w:val="auto"/>
          <w:sz w:val="30"/>
          <w:szCs w:val="30"/>
          <w:highlight w:val="none"/>
        </w:rPr>
      </w:pPr>
    </w:p>
    <w:p w14:paraId="583894B1">
      <w:pPr>
        <w:autoSpaceDE w:val="0"/>
        <w:autoSpaceDN w:val="0"/>
        <w:spacing w:line="360" w:lineRule="auto"/>
        <w:ind w:left="4335" w:leftChars="1950" w:hanging="240" w:hangingChars="10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2D32CC35">
      <w:pPr>
        <w:autoSpaceDE w:val="0"/>
        <w:autoSpaceDN w:val="0"/>
        <w:spacing w:line="360" w:lineRule="auto"/>
        <w:ind w:firstLine="6480" w:firstLineChars="2700"/>
        <w:rPr>
          <w:rFonts w:hint="eastAsia" w:ascii="仿宋_GB2312" w:hAnsi="仿宋" w:eastAsia="仿宋_GB2312" w:cs="仿宋_GB2312"/>
          <w:b/>
          <w:bCs/>
          <w:color w:val="auto"/>
          <w:sz w:val="24"/>
          <w:highlight w:val="none"/>
        </w:rPr>
      </w:pPr>
      <w:r>
        <w:rPr>
          <w:rFonts w:hint="eastAsia" w:ascii="仿宋_GB2312" w:hAnsi="仿宋" w:eastAsia="仿宋_GB2312" w:cs="仿宋_GB2312"/>
          <w:color w:val="auto"/>
          <w:kern w:val="0"/>
          <w:sz w:val="24"/>
          <w:highlight w:val="none"/>
          <w:lang w:val="zh-CN"/>
        </w:rPr>
        <w:t>日期：  年  月   日</w:t>
      </w:r>
    </w:p>
    <w:p w14:paraId="04E3FBC7">
      <w:pPr>
        <w:snapToGrid w:val="0"/>
        <w:spacing w:before="120" w:beforeLines="50" w:after="50"/>
        <w:ind w:firstLine="602" w:firstLineChars="200"/>
        <w:rPr>
          <w:rFonts w:hint="eastAsia" w:ascii="仿宋" w:hAnsi="仿宋" w:eastAsia="仿宋" w:cs="仿宋_GB2312"/>
          <w:b/>
          <w:color w:val="auto"/>
          <w:sz w:val="30"/>
          <w:szCs w:val="30"/>
          <w:highlight w:val="none"/>
        </w:rPr>
      </w:pPr>
    </w:p>
    <w:p w14:paraId="5C914367">
      <w:pPr>
        <w:snapToGrid w:val="0"/>
        <w:spacing w:before="120" w:beforeLines="50" w:after="50"/>
        <w:ind w:firstLine="602" w:firstLineChars="200"/>
        <w:rPr>
          <w:rFonts w:hint="eastAsia" w:ascii="仿宋" w:hAnsi="仿宋" w:eastAsia="仿宋" w:cs="仿宋_GB2312"/>
          <w:b/>
          <w:color w:val="auto"/>
          <w:sz w:val="30"/>
          <w:szCs w:val="30"/>
          <w:highlight w:val="none"/>
        </w:rPr>
      </w:pPr>
    </w:p>
    <w:p w14:paraId="01D6262F">
      <w:pPr>
        <w:snapToGrid w:val="0"/>
        <w:spacing w:before="120" w:beforeLines="50" w:after="50"/>
        <w:ind w:firstLine="602" w:firstLineChars="200"/>
        <w:rPr>
          <w:rFonts w:hint="eastAsia" w:ascii="仿宋" w:hAnsi="仿宋" w:eastAsia="仿宋" w:cs="仿宋_GB2312"/>
          <w:b/>
          <w:color w:val="auto"/>
          <w:sz w:val="30"/>
          <w:szCs w:val="30"/>
          <w:highlight w:val="none"/>
        </w:rPr>
      </w:pPr>
    </w:p>
    <w:p w14:paraId="52238CA0">
      <w:pPr>
        <w:snapToGrid w:val="0"/>
        <w:spacing w:before="120" w:beforeLines="50" w:after="50"/>
        <w:ind w:firstLine="602" w:firstLineChars="200"/>
        <w:rPr>
          <w:rFonts w:hint="eastAsia" w:ascii="仿宋" w:hAnsi="仿宋" w:eastAsia="仿宋" w:cs="仿宋_GB2312"/>
          <w:b/>
          <w:color w:val="auto"/>
          <w:sz w:val="30"/>
          <w:szCs w:val="30"/>
          <w:highlight w:val="none"/>
        </w:rPr>
      </w:pPr>
    </w:p>
    <w:p w14:paraId="6C7AF0A4">
      <w:pPr>
        <w:snapToGrid w:val="0"/>
        <w:spacing w:before="120" w:beforeLines="50" w:after="50"/>
        <w:ind w:firstLine="602" w:firstLineChars="200"/>
        <w:rPr>
          <w:rFonts w:hint="eastAsia" w:ascii="仿宋" w:hAnsi="仿宋" w:eastAsia="仿宋" w:cs="仿宋_GB2312"/>
          <w:b/>
          <w:color w:val="auto"/>
          <w:sz w:val="30"/>
          <w:szCs w:val="30"/>
          <w:highlight w:val="none"/>
        </w:rPr>
      </w:pPr>
    </w:p>
    <w:p w14:paraId="697D91AA">
      <w:pPr>
        <w:snapToGrid w:val="0"/>
        <w:spacing w:before="120" w:beforeLines="50" w:after="50"/>
        <w:ind w:firstLine="602" w:firstLineChars="200"/>
        <w:rPr>
          <w:rFonts w:hint="eastAsia" w:ascii="仿宋" w:hAnsi="仿宋" w:eastAsia="仿宋" w:cs="仿宋_GB2312"/>
          <w:b/>
          <w:color w:val="auto"/>
          <w:sz w:val="30"/>
          <w:szCs w:val="30"/>
          <w:highlight w:val="none"/>
        </w:rPr>
      </w:pPr>
    </w:p>
    <w:p w14:paraId="6E259595">
      <w:pPr>
        <w:snapToGrid w:val="0"/>
        <w:spacing w:before="120" w:beforeLines="50" w:after="50"/>
        <w:ind w:firstLine="602" w:firstLineChars="200"/>
        <w:rPr>
          <w:rFonts w:hint="eastAsia" w:ascii="仿宋" w:hAnsi="仿宋" w:eastAsia="仿宋" w:cs="仿宋_GB2312"/>
          <w:b/>
          <w:color w:val="auto"/>
          <w:sz w:val="30"/>
          <w:szCs w:val="30"/>
          <w:highlight w:val="none"/>
        </w:rPr>
      </w:pPr>
    </w:p>
    <w:p w14:paraId="51FDA84C">
      <w:pPr>
        <w:snapToGrid w:val="0"/>
        <w:spacing w:before="120" w:beforeLines="50" w:after="50"/>
        <w:ind w:firstLine="602" w:firstLineChars="200"/>
        <w:rPr>
          <w:rFonts w:hint="eastAsia" w:ascii="仿宋" w:hAnsi="仿宋" w:eastAsia="仿宋" w:cs="仿宋_GB2312"/>
          <w:b/>
          <w:color w:val="auto"/>
          <w:sz w:val="30"/>
          <w:szCs w:val="30"/>
          <w:highlight w:val="none"/>
        </w:rPr>
      </w:pPr>
    </w:p>
    <w:p w14:paraId="46BEECF5">
      <w:pPr>
        <w:snapToGrid w:val="0"/>
        <w:spacing w:before="120" w:beforeLines="50" w:after="50"/>
        <w:ind w:firstLine="602" w:firstLineChars="200"/>
        <w:rPr>
          <w:rFonts w:hint="eastAsia" w:ascii="仿宋" w:hAnsi="仿宋" w:eastAsia="仿宋" w:cs="仿宋_GB2312"/>
          <w:b/>
          <w:color w:val="auto"/>
          <w:sz w:val="30"/>
          <w:szCs w:val="30"/>
          <w:highlight w:val="none"/>
        </w:rPr>
      </w:pPr>
    </w:p>
    <w:p w14:paraId="0DF9AF03">
      <w:pPr>
        <w:snapToGrid w:val="0"/>
        <w:spacing w:before="120" w:beforeLines="50" w:after="50"/>
        <w:ind w:firstLine="602" w:firstLineChars="200"/>
        <w:rPr>
          <w:rFonts w:hint="eastAsia" w:ascii="仿宋" w:hAnsi="仿宋" w:eastAsia="仿宋" w:cs="仿宋_GB2312"/>
          <w:b/>
          <w:color w:val="auto"/>
          <w:sz w:val="30"/>
          <w:szCs w:val="30"/>
          <w:highlight w:val="none"/>
        </w:rPr>
      </w:pPr>
      <w:r>
        <w:rPr>
          <w:rFonts w:hint="eastAsia" w:ascii="仿宋" w:hAnsi="仿宋" w:eastAsia="仿宋" w:cs="仿宋_GB2312"/>
          <w:b/>
          <w:color w:val="auto"/>
          <w:sz w:val="30"/>
          <w:szCs w:val="30"/>
          <w:highlight w:val="none"/>
        </w:rPr>
        <w:t>六、供应商类似的业绩证明文件</w:t>
      </w:r>
    </w:p>
    <w:tbl>
      <w:tblPr>
        <w:tblStyle w:val="25"/>
        <w:tblW w:w="8755"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101"/>
        <w:gridCol w:w="1417"/>
        <w:gridCol w:w="1134"/>
        <w:gridCol w:w="1134"/>
        <w:gridCol w:w="1418"/>
        <w:gridCol w:w="1276"/>
        <w:gridCol w:w="1275"/>
      </w:tblGrid>
      <w:tr w14:paraId="2B1F8F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1101" w:type="dxa"/>
            <w:vMerge w:val="restart"/>
            <w:tcBorders>
              <w:top w:val="single" w:color="auto" w:sz="4" w:space="0"/>
              <w:left w:val="single" w:color="auto" w:sz="4" w:space="0"/>
              <w:bottom w:val="single" w:color="auto" w:sz="4" w:space="0"/>
              <w:right w:val="single" w:color="auto" w:sz="4" w:space="0"/>
            </w:tcBorders>
            <w:noWrap w:val="0"/>
            <w:vAlign w:val="center"/>
          </w:tcPr>
          <w:p w14:paraId="1A51AA69">
            <w:pPr>
              <w:snapToGrid w:val="0"/>
              <w:spacing w:line="240" w:lineRule="exact"/>
              <w:jc w:val="center"/>
              <w:rPr>
                <w:rFonts w:hint="eastAsia" w:ascii="宋体" w:hAnsi="宋体"/>
                <w:color w:val="auto"/>
                <w:sz w:val="24"/>
                <w:highlight w:val="none"/>
              </w:rPr>
            </w:pPr>
            <w:r>
              <w:rPr>
                <w:rFonts w:hint="eastAsia" w:ascii="宋体" w:hAnsi="宋体"/>
                <w:color w:val="auto"/>
                <w:sz w:val="24"/>
                <w:highlight w:val="none"/>
              </w:rPr>
              <w:t>采购人名称</w:t>
            </w:r>
          </w:p>
        </w:tc>
        <w:tc>
          <w:tcPr>
            <w:tcW w:w="1417" w:type="dxa"/>
            <w:vMerge w:val="restart"/>
            <w:tcBorders>
              <w:top w:val="single" w:color="auto" w:sz="4" w:space="0"/>
              <w:left w:val="single" w:color="auto" w:sz="4" w:space="0"/>
              <w:bottom w:val="single" w:color="auto" w:sz="4" w:space="0"/>
              <w:right w:val="single" w:color="auto" w:sz="4" w:space="0"/>
            </w:tcBorders>
            <w:noWrap w:val="0"/>
            <w:vAlign w:val="center"/>
          </w:tcPr>
          <w:p w14:paraId="6FB6EC02">
            <w:pPr>
              <w:snapToGrid w:val="0"/>
              <w:spacing w:line="240" w:lineRule="exact"/>
              <w:jc w:val="center"/>
              <w:rPr>
                <w:rFonts w:hint="eastAsia" w:ascii="宋体" w:hAnsi="宋体"/>
                <w:color w:val="auto"/>
                <w:sz w:val="24"/>
                <w:highlight w:val="none"/>
              </w:rPr>
            </w:pPr>
            <w:r>
              <w:rPr>
                <w:rFonts w:hint="eastAsia" w:ascii="宋体" w:hAnsi="宋体"/>
                <w:color w:val="auto"/>
                <w:sz w:val="24"/>
                <w:highlight w:val="none"/>
              </w:rPr>
              <w:t>项目名称</w:t>
            </w:r>
          </w:p>
        </w:tc>
        <w:tc>
          <w:tcPr>
            <w:tcW w:w="1134" w:type="dxa"/>
            <w:vMerge w:val="restart"/>
            <w:tcBorders>
              <w:top w:val="single" w:color="auto" w:sz="4" w:space="0"/>
              <w:left w:val="single" w:color="auto" w:sz="4" w:space="0"/>
              <w:bottom w:val="single" w:color="auto" w:sz="4" w:space="0"/>
              <w:right w:val="single" w:color="auto" w:sz="4" w:space="0"/>
            </w:tcBorders>
            <w:noWrap w:val="0"/>
            <w:vAlign w:val="center"/>
          </w:tcPr>
          <w:p w14:paraId="78B990E4">
            <w:pPr>
              <w:snapToGrid w:val="0"/>
              <w:spacing w:line="240" w:lineRule="exact"/>
              <w:jc w:val="center"/>
              <w:rPr>
                <w:rFonts w:hint="eastAsia" w:ascii="宋体" w:hAnsi="宋体"/>
                <w:color w:val="auto"/>
                <w:sz w:val="24"/>
                <w:highlight w:val="none"/>
              </w:rPr>
            </w:pPr>
            <w:r>
              <w:rPr>
                <w:rFonts w:hint="eastAsia" w:ascii="宋体" w:hAnsi="宋体"/>
                <w:color w:val="auto"/>
                <w:sz w:val="24"/>
                <w:highlight w:val="none"/>
              </w:rPr>
              <w:t>合同</w:t>
            </w:r>
          </w:p>
          <w:p w14:paraId="65C2E412">
            <w:pPr>
              <w:snapToGrid w:val="0"/>
              <w:spacing w:line="240" w:lineRule="exact"/>
              <w:jc w:val="center"/>
              <w:rPr>
                <w:rFonts w:hint="eastAsia" w:ascii="宋体" w:hAnsi="宋体"/>
                <w:color w:val="auto"/>
                <w:sz w:val="24"/>
                <w:highlight w:val="none"/>
              </w:rPr>
            </w:pPr>
            <w:r>
              <w:rPr>
                <w:rFonts w:hint="eastAsia" w:ascii="宋体" w:hAnsi="宋体"/>
                <w:color w:val="auto"/>
                <w:sz w:val="24"/>
                <w:highlight w:val="none"/>
              </w:rPr>
              <w:t>金额</w:t>
            </w:r>
          </w:p>
          <w:p w14:paraId="68114439">
            <w:pPr>
              <w:snapToGrid w:val="0"/>
              <w:spacing w:line="240" w:lineRule="exact"/>
              <w:jc w:val="center"/>
              <w:rPr>
                <w:rFonts w:hint="eastAsia" w:ascii="宋体" w:hAnsi="宋体"/>
                <w:color w:val="auto"/>
                <w:sz w:val="24"/>
                <w:highlight w:val="none"/>
              </w:rPr>
            </w:pPr>
            <w:r>
              <w:rPr>
                <w:rFonts w:hint="eastAsia" w:ascii="宋体" w:hAnsi="宋体"/>
                <w:color w:val="auto"/>
                <w:sz w:val="24"/>
                <w:highlight w:val="none"/>
              </w:rPr>
              <w:t>（万元）</w:t>
            </w:r>
          </w:p>
        </w:tc>
        <w:tc>
          <w:tcPr>
            <w:tcW w:w="3828" w:type="dxa"/>
            <w:gridSpan w:val="3"/>
            <w:tcBorders>
              <w:top w:val="single" w:color="auto" w:sz="4" w:space="0"/>
              <w:left w:val="single" w:color="auto" w:sz="4" w:space="0"/>
              <w:bottom w:val="single" w:color="auto" w:sz="4" w:space="0"/>
              <w:right w:val="single" w:color="auto" w:sz="4" w:space="0"/>
            </w:tcBorders>
            <w:noWrap w:val="0"/>
            <w:vAlign w:val="center"/>
          </w:tcPr>
          <w:p w14:paraId="61BD85ED">
            <w:pPr>
              <w:snapToGrid w:val="0"/>
              <w:spacing w:line="240" w:lineRule="exact"/>
              <w:jc w:val="center"/>
              <w:rPr>
                <w:rFonts w:hint="eastAsia" w:ascii="宋体" w:hAnsi="宋体"/>
                <w:color w:val="auto"/>
                <w:sz w:val="24"/>
                <w:highlight w:val="none"/>
              </w:rPr>
            </w:pPr>
            <w:r>
              <w:rPr>
                <w:rFonts w:hint="eastAsia" w:ascii="宋体" w:hAnsi="宋体"/>
                <w:color w:val="auto"/>
                <w:sz w:val="24"/>
                <w:highlight w:val="none"/>
              </w:rPr>
              <w:t>附件在响应文件中页码</w:t>
            </w:r>
          </w:p>
        </w:tc>
        <w:tc>
          <w:tcPr>
            <w:tcW w:w="1275" w:type="dxa"/>
            <w:vMerge w:val="restart"/>
            <w:tcBorders>
              <w:top w:val="single" w:color="auto" w:sz="4" w:space="0"/>
              <w:left w:val="single" w:color="auto" w:sz="4" w:space="0"/>
              <w:bottom w:val="single" w:color="auto" w:sz="4" w:space="0"/>
              <w:right w:val="single" w:color="auto" w:sz="4" w:space="0"/>
            </w:tcBorders>
            <w:noWrap w:val="0"/>
            <w:vAlign w:val="center"/>
          </w:tcPr>
          <w:p w14:paraId="0947AF96">
            <w:pPr>
              <w:snapToGrid w:val="0"/>
              <w:spacing w:line="240" w:lineRule="exact"/>
              <w:jc w:val="center"/>
              <w:rPr>
                <w:rFonts w:hint="eastAsia" w:ascii="宋体" w:hAnsi="宋体"/>
                <w:color w:val="auto"/>
                <w:sz w:val="24"/>
                <w:highlight w:val="none"/>
              </w:rPr>
            </w:pPr>
            <w:r>
              <w:rPr>
                <w:rFonts w:hint="eastAsia" w:ascii="宋体" w:hAnsi="宋体"/>
                <w:color w:val="auto"/>
                <w:sz w:val="24"/>
                <w:highlight w:val="none"/>
              </w:rPr>
              <w:t>采购人联系人及联系电话</w:t>
            </w:r>
          </w:p>
        </w:tc>
      </w:tr>
      <w:tr w14:paraId="06F0AF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1101" w:type="dxa"/>
            <w:vMerge w:val="continue"/>
            <w:tcBorders>
              <w:top w:val="single" w:color="auto" w:sz="4" w:space="0"/>
              <w:left w:val="single" w:color="auto" w:sz="4" w:space="0"/>
              <w:bottom w:val="single" w:color="auto" w:sz="4" w:space="0"/>
              <w:right w:val="single" w:color="auto" w:sz="4" w:space="0"/>
            </w:tcBorders>
            <w:noWrap w:val="0"/>
            <w:vAlign w:val="center"/>
          </w:tcPr>
          <w:p w14:paraId="331D0C33">
            <w:pPr>
              <w:widowControl/>
              <w:jc w:val="left"/>
              <w:rPr>
                <w:rFonts w:ascii="宋体" w:hAnsi="宋体"/>
                <w:color w:val="auto"/>
                <w:sz w:val="24"/>
                <w:highlight w:val="none"/>
              </w:rPr>
            </w:pPr>
          </w:p>
        </w:tc>
        <w:tc>
          <w:tcPr>
            <w:tcW w:w="1417" w:type="dxa"/>
            <w:vMerge w:val="continue"/>
            <w:tcBorders>
              <w:top w:val="single" w:color="auto" w:sz="4" w:space="0"/>
              <w:left w:val="single" w:color="auto" w:sz="4" w:space="0"/>
              <w:bottom w:val="single" w:color="auto" w:sz="4" w:space="0"/>
              <w:right w:val="single" w:color="auto" w:sz="4" w:space="0"/>
            </w:tcBorders>
            <w:noWrap w:val="0"/>
            <w:vAlign w:val="center"/>
          </w:tcPr>
          <w:p w14:paraId="6A09BDDA">
            <w:pPr>
              <w:widowControl/>
              <w:jc w:val="left"/>
              <w:rPr>
                <w:rFonts w:ascii="宋体" w:hAnsi="宋体"/>
                <w:color w:val="auto"/>
                <w:sz w:val="24"/>
                <w:highlight w:val="none"/>
              </w:rPr>
            </w:pPr>
          </w:p>
        </w:tc>
        <w:tc>
          <w:tcPr>
            <w:tcW w:w="1134" w:type="dxa"/>
            <w:vMerge w:val="continue"/>
            <w:tcBorders>
              <w:top w:val="single" w:color="auto" w:sz="4" w:space="0"/>
              <w:left w:val="single" w:color="auto" w:sz="4" w:space="0"/>
              <w:bottom w:val="single" w:color="auto" w:sz="4" w:space="0"/>
              <w:right w:val="single" w:color="auto" w:sz="4" w:space="0"/>
            </w:tcBorders>
            <w:noWrap w:val="0"/>
            <w:vAlign w:val="center"/>
          </w:tcPr>
          <w:p w14:paraId="1E9DF219">
            <w:pPr>
              <w:widowControl/>
              <w:jc w:val="left"/>
              <w:rPr>
                <w:rFonts w:ascii="宋体" w:hAnsi="宋体"/>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0F992C22">
            <w:pPr>
              <w:snapToGrid w:val="0"/>
              <w:spacing w:line="240" w:lineRule="exact"/>
              <w:jc w:val="center"/>
              <w:rPr>
                <w:rFonts w:hint="eastAsia" w:ascii="宋体" w:hAnsi="宋体"/>
                <w:color w:val="auto"/>
                <w:sz w:val="24"/>
                <w:highlight w:val="none"/>
              </w:rPr>
            </w:pPr>
            <w:r>
              <w:rPr>
                <w:rFonts w:hint="eastAsia" w:ascii="宋体" w:hAnsi="宋体"/>
                <w:color w:val="auto"/>
                <w:sz w:val="24"/>
                <w:highlight w:val="none"/>
              </w:rPr>
              <w:t>合同</w:t>
            </w:r>
          </w:p>
        </w:tc>
        <w:tc>
          <w:tcPr>
            <w:tcW w:w="1418" w:type="dxa"/>
            <w:tcBorders>
              <w:top w:val="single" w:color="auto" w:sz="4" w:space="0"/>
              <w:left w:val="single" w:color="auto" w:sz="4" w:space="0"/>
              <w:bottom w:val="single" w:color="auto" w:sz="4" w:space="0"/>
              <w:right w:val="single" w:color="auto" w:sz="4" w:space="0"/>
            </w:tcBorders>
            <w:noWrap w:val="0"/>
            <w:vAlign w:val="center"/>
          </w:tcPr>
          <w:p w14:paraId="7AA40DE5">
            <w:pPr>
              <w:snapToGrid w:val="0"/>
              <w:spacing w:line="240" w:lineRule="exact"/>
              <w:jc w:val="center"/>
              <w:rPr>
                <w:rFonts w:hint="eastAsia" w:ascii="宋体" w:hAnsi="宋体"/>
                <w:color w:val="auto"/>
                <w:sz w:val="24"/>
                <w:highlight w:val="none"/>
              </w:rPr>
            </w:pPr>
            <w:r>
              <w:rPr>
                <w:rFonts w:hint="eastAsia" w:ascii="宋体" w:hAnsi="宋体"/>
                <w:color w:val="auto"/>
                <w:sz w:val="24"/>
                <w:highlight w:val="none"/>
              </w:rPr>
              <w:t>验收报告</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4348D70C">
            <w:pPr>
              <w:snapToGrid w:val="0"/>
              <w:spacing w:line="240" w:lineRule="exact"/>
              <w:jc w:val="center"/>
              <w:rPr>
                <w:rFonts w:hint="eastAsia" w:ascii="宋体" w:hAnsi="宋体"/>
                <w:color w:val="auto"/>
                <w:sz w:val="24"/>
                <w:highlight w:val="none"/>
              </w:rPr>
            </w:pPr>
            <w:r>
              <w:rPr>
                <w:rFonts w:hint="eastAsia" w:ascii="宋体" w:hAnsi="宋体"/>
                <w:color w:val="auto"/>
                <w:sz w:val="24"/>
                <w:highlight w:val="none"/>
              </w:rPr>
              <w:t>用户评价</w:t>
            </w:r>
          </w:p>
        </w:tc>
        <w:tc>
          <w:tcPr>
            <w:tcW w:w="1275" w:type="dxa"/>
            <w:vMerge w:val="continue"/>
            <w:tcBorders>
              <w:top w:val="single" w:color="auto" w:sz="4" w:space="0"/>
              <w:left w:val="single" w:color="auto" w:sz="4" w:space="0"/>
              <w:bottom w:val="single" w:color="auto" w:sz="4" w:space="0"/>
              <w:right w:val="single" w:color="auto" w:sz="4" w:space="0"/>
            </w:tcBorders>
            <w:noWrap w:val="0"/>
            <w:vAlign w:val="center"/>
          </w:tcPr>
          <w:p w14:paraId="4203BE06">
            <w:pPr>
              <w:widowControl/>
              <w:jc w:val="left"/>
              <w:rPr>
                <w:rFonts w:ascii="宋体" w:hAnsi="宋体"/>
                <w:color w:val="auto"/>
                <w:sz w:val="24"/>
                <w:highlight w:val="none"/>
              </w:rPr>
            </w:pPr>
          </w:p>
        </w:tc>
      </w:tr>
      <w:tr w14:paraId="216A4A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1101" w:type="dxa"/>
            <w:tcBorders>
              <w:top w:val="single" w:color="auto" w:sz="4" w:space="0"/>
              <w:left w:val="single" w:color="auto" w:sz="4" w:space="0"/>
              <w:bottom w:val="single" w:color="auto" w:sz="4" w:space="0"/>
              <w:right w:val="single" w:color="auto" w:sz="4" w:space="0"/>
            </w:tcBorders>
            <w:noWrap w:val="0"/>
            <w:vAlign w:val="top"/>
          </w:tcPr>
          <w:p w14:paraId="6215A922">
            <w:pPr>
              <w:snapToGrid w:val="0"/>
              <w:spacing w:line="240" w:lineRule="exact"/>
              <w:jc w:val="left"/>
              <w:rPr>
                <w:rFonts w:hint="eastAsia" w:ascii="宋体" w:hAnsi="宋体"/>
                <w:color w:val="auto"/>
                <w:sz w:val="24"/>
                <w:highlight w:val="none"/>
              </w:rPr>
            </w:pPr>
          </w:p>
        </w:tc>
        <w:tc>
          <w:tcPr>
            <w:tcW w:w="1417" w:type="dxa"/>
            <w:tcBorders>
              <w:top w:val="single" w:color="auto" w:sz="4" w:space="0"/>
              <w:left w:val="single" w:color="auto" w:sz="4" w:space="0"/>
              <w:bottom w:val="single" w:color="auto" w:sz="4" w:space="0"/>
              <w:right w:val="single" w:color="auto" w:sz="4" w:space="0"/>
            </w:tcBorders>
            <w:noWrap w:val="0"/>
            <w:vAlign w:val="top"/>
          </w:tcPr>
          <w:p w14:paraId="52AA8FAC">
            <w:pPr>
              <w:snapToGrid w:val="0"/>
              <w:spacing w:line="240" w:lineRule="exact"/>
              <w:jc w:val="left"/>
              <w:rPr>
                <w:rFonts w:hint="eastAsia" w:ascii="宋体" w:hAnsi="宋体"/>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32E23177">
            <w:pPr>
              <w:snapToGrid w:val="0"/>
              <w:spacing w:line="240" w:lineRule="exact"/>
              <w:jc w:val="left"/>
              <w:rPr>
                <w:rFonts w:hint="eastAsia" w:ascii="宋体" w:hAnsi="宋体"/>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624A4B1E">
            <w:pPr>
              <w:snapToGrid w:val="0"/>
              <w:spacing w:line="240" w:lineRule="exact"/>
              <w:jc w:val="left"/>
              <w:rPr>
                <w:rFonts w:hint="eastAsia" w:ascii="宋体" w:hAnsi="宋体"/>
                <w:color w:val="auto"/>
                <w:sz w:val="24"/>
                <w:highlight w:val="none"/>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6D2A2C5F">
            <w:pPr>
              <w:snapToGrid w:val="0"/>
              <w:spacing w:line="240" w:lineRule="exact"/>
              <w:jc w:val="left"/>
              <w:rPr>
                <w:rFonts w:hint="eastAsia" w:ascii="宋体" w:hAnsi="宋体"/>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1EDA28B7">
            <w:pPr>
              <w:snapToGrid w:val="0"/>
              <w:spacing w:line="240" w:lineRule="exact"/>
              <w:jc w:val="left"/>
              <w:rPr>
                <w:rFonts w:hint="eastAsia" w:ascii="宋体" w:hAnsi="宋体"/>
                <w:color w:val="auto"/>
                <w:sz w:val="24"/>
                <w:highlight w:val="none"/>
              </w:rPr>
            </w:pPr>
          </w:p>
        </w:tc>
        <w:tc>
          <w:tcPr>
            <w:tcW w:w="1275" w:type="dxa"/>
            <w:tcBorders>
              <w:top w:val="single" w:color="auto" w:sz="4" w:space="0"/>
              <w:left w:val="single" w:color="auto" w:sz="4" w:space="0"/>
              <w:bottom w:val="single" w:color="auto" w:sz="4" w:space="0"/>
              <w:right w:val="single" w:color="auto" w:sz="4" w:space="0"/>
            </w:tcBorders>
            <w:noWrap w:val="0"/>
            <w:vAlign w:val="top"/>
          </w:tcPr>
          <w:p w14:paraId="59326C29">
            <w:pPr>
              <w:snapToGrid w:val="0"/>
              <w:spacing w:line="240" w:lineRule="exact"/>
              <w:jc w:val="left"/>
              <w:rPr>
                <w:rFonts w:hint="eastAsia" w:ascii="宋体" w:hAnsi="宋体"/>
                <w:color w:val="auto"/>
                <w:sz w:val="24"/>
                <w:highlight w:val="none"/>
              </w:rPr>
            </w:pPr>
          </w:p>
        </w:tc>
      </w:tr>
      <w:tr w14:paraId="482862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101" w:type="dxa"/>
            <w:tcBorders>
              <w:top w:val="single" w:color="auto" w:sz="4" w:space="0"/>
              <w:left w:val="single" w:color="auto" w:sz="4" w:space="0"/>
              <w:bottom w:val="single" w:color="auto" w:sz="4" w:space="0"/>
              <w:right w:val="single" w:color="auto" w:sz="4" w:space="0"/>
            </w:tcBorders>
            <w:noWrap w:val="0"/>
            <w:vAlign w:val="top"/>
          </w:tcPr>
          <w:p w14:paraId="33FC7D91">
            <w:pPr>
              <w:snapToGrid w:val="0"/>
              <w:spacing w:before="50" w:after="120" w:afterLines="50" w:line="400" w:lineRule="exact"/>
              <w:jc w:val="left"/>
              <w:rPr>
                <w:rFonts w:hint="eastAsia" w:ascii="宋体" w:hAnsi="宋体"/>
                <w:color w:val="auto"/>
                <w:sz w:val="24"/>
                <w:highlight w:val="none"/>
              </w:rPr>
            </w:pPr>
          </w:p>
        </w:tc>
        <w:tc>
          <w:tcPr>
            <w:tcW w:w="1417" w:type="dxa"/>
            <w:tcBorders>
              <w:top w:val="single" w:color="auto" w:sz="4" w:space="0"/>
              <w:left w:val="single" w:color="auto" w:sz="4" w:space="0"/>
              <w:bottom w:val="single" w:color="auto" w:sz="4" w:space="0"/>
              <w:right w:val="single" w:color="auto" w:sz="4" w:space="0"/>
            </w:tcBorders>
            <w:noWrap w:val="0"/>
            <w:vAlign w:val="top"/>
          </w:tcPr>
          <w:p w14:paraId="4416F1B4">
            <w:pPr>
              <w:snapToGrid w:val="0"/>
              <w:spacing w:before="50" w:after="120" w:afterLines="50" w:line="400" w:lineRule="exact"/>
              <w:jc w:val="left"/>
              <w:rPr>
                <w:rFonts w:hint="eastAsia" w:ascii="宋体" w:hAnsi="宋体"/>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22A778E0">
            <w:pPr>
              <w:snapToGrid w:val="0"/>
              <w:spacing w:before="50" w:after="120" w:afterLines="50" w:line="400" w:lineRule="exact"/>
              <w:jc w:val="left"/>
              <w:rPr>
                <w:rFonts w:hint="eastAsia" w:ascii="宋体" w:hAnsi="宋体"/>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313478FE">
            <w:pPr>
              <w:snapToGrid w:val="0"/>
              <w:spacing w:before="50" w:after="120" w:afterLines="50" w:line="400" w:lineRule="exact"/>
              <w:jc w:val="left"/>
              <w:rPr>
                <w:rFonts w:hint="eastAsia" w:ascii="宋体" w:hAnsi="宋体"/>
                <w:color w:val="auto"/>
                <w:sz w:val="24"/>
                <w:highlight w:val="none"/>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48869A3B">
            <w:pPr>
              <w:snapToGrid w:val="0"/>
              <w:spacing w:before="50" w:after="120" w:afterLines="50" w:line="400" w:lineRule="exact"/>
              <w:jc w:val="left"/>
              <w:rPr>
                <w:rFonts w:hint="eastAsia" w:ascii="宋体" w:hAnsi="宋体"/>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6F60AFD9">
            <w:pPr>
              <w:snapToGrid w:val="0"/>
              <w:spacing w:before="50" w:after="120" w:afterLines="50" w:line="400" w:lineRule="exact"/>
              <w:jc w:val="left"/>
              <w:rPr>
                <w:rFonts w:hint="eastAsia" w:ascii="宋体" w:hAnsi="宋体"/>
                <w:color w:val="auto"/>
                <w:sz w:val="24"/>
                <w:highlight w:val="none"/>
              </w:rPr>
            </w:pPr>
          </w:p>
        </w:tc>
        <w:tc>
          <w:tcPr>
            <w:tcW w:w="1275" w:type="dxa"/>
            <w:tcBorders>
              <w:top w:val="single" w:color="auto" w:sz="4" w:space="0"/>
              <w:left w:val="single" w:color="auto" w:sz="4" w:space="0"/>
              <w:bottom w:val="single" w:color="auto" w:sz="4" w:space="0"/>
              <w:right w:val="single" w:color="auto" w:sz="4" w:space="0"/>
            </w:tcBorders>
            <w:noWrap w:val="0"/>
            <w:vAlign w:val="top"/>
          </w:tcPr>
          <w:p w14:paraId="04F653C3">
            <w:pPr>
              <w:snapToGrid w:val="0"/>
              <w:spacing w:before="50" w:after="120" w:afterLines="50" w:line="400" w:lineRule="exact"/>
              <w:jc w:val="left"/>
              <w:rPr>
                <w:rFonts w:hint="eastAsia" w:ascii="宋体" w:hAnsi="宋体"/>
                <w:color w:val="auto"/>
                <w:sz w:val="24"/>
                <w:highlight w:val="none"/>
              </w:rPr>
            </w:pPr>
          </w:p>
        </w:tc>
      </w:tr>
      <w:tr w14:paraId="0EF977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1101" w:type="dxa"/>
            <w:tcBorders>
              <w:top w:val="single" w:color="auto" w:sz="4" w:space="0"/>
              <w:left w:val="single" w:color="auto" w:sz="4" w:space="0"/>
              <w:bottom w:val="single" w:color="auto" w:sz="4" w:space="0"/>
              <w:right w:val="single" w:color="auto" w:sz="4" w:space="0"/>
            </w:tcBorders>
            <w:noWrap w:val="0"/>
            <w:vAlign w:val="top"/>
          </w:tcPr>
          <w:p w14:paraId="6B699E1F">
            <w:pPr>
              <w:snapToGrid w:val="0"/>
              <w:spacing w:before="50" w:after="120" w:afterLines="50" w:line="400" w:lineRule="exact"/>
              <w:jc w:val="left"/>
              <w:rPr>
                <w:rFonts w:hint="eastAsia" w:ascii="宋体" w:hAnsi="宋体"/>
                <w:color w:val="auto"/>
                <w:sz w:val="24"/>
                <w:highlight w:val="none"/>
              </w:rPr>
            </w:pPr>
          </w:p>
        </w:tc>
        <w:tc>
          <w:tcPr>
            <w:tcW w:w="1417" w:type="dxa"/>
            <w:tcBorders>
              <w:top w:val="single" w:color="auto" w:sz="4" w:space="0"/>
              <w:left w:val="single" w:color="auto" w:sz="4" w:space="0"/>
              <w:bottom w:val="single" w:color="auto" w:sz="4" w:space="0"/>
              <w:right w:val="single" w:color="auto" w:sz="4" w:space="0"/>
            </w:tcBorders>
            <w:noWrap w:val="0"/>
            <w:vAlign w:val="top"/>
          </w:tcPr>
          <w:p w14:paraId="562EF9D7">
            <w:pPr>
              <w:snapToGrid w:val="0"/>
              <w:spacing w:before="50" w:after="120" w:afterLines="50" w:line="400" w:lineRule="exact"/>
              <w:jc w:val="left"/>
              <w:rPr>
                <w:rFonts w:hint="eastAsia" w:ascii="宋体" w:hAnsi="宋体"/>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04277658">
            <w:pPr>
              <w:snapToGrid w:val="0"/>
              <w:spacing w:before="50" w:after="120" w:afterLines="50" w:line="400" w:lineRule="exact"/>
              <w:jc w:val="left"/>
              <w:rPr>
                <w:rFonts w:hint="eastAsia" w:ascii="宋体" w:hAnsi="宋体"/>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0B29E8EC">
            <w:pPr>
              <w:snapToGrid w:val="0"/>
              <w:spacing w:before="50" w:after="120" w:afterLines="50" w:line="400" w:lineRule="exact"/>
              <w:jc w:val="left"/>
              <w:rPr>
                <w:rFonts w:hint="eastAsia" w:ascii="宋体" w:hAnsi="宋体"/>
                <w:color w:val="auto"/>
                <w:sz w:val="24"/>
                <w:highlight w:val="none"/>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2391BFA5">
            <w:pPr>
              <w:snapToGrid w:val="0"/>
              <w:spacing w:before="50" w:after="120" w:afterLines="50" w:line="400" w:lineRule="exact"/>
              <w:jc w:val="left"/>
              <w:rPr>
                <w:rFonts w:hint="eastAsia" w:ascii="宋体" w:hAnsi="宋体"/>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73D37A6F">
            <w:pPr>
              <w:snapToGrid w:val="0"/>
              <w:spacing w:before="50" w:after="120" w:afterLines="50" w:line="400" w:lineRule="exact"/>
              <w:jc w:val="left"/>
              <w:rPr>
                <w:rFonts w:hint="eastAsia" w:ascii="宋体" w:hAnsi="宋体"/>
                <w:color w:val="auto"/>
                <w:sz w:val="24"/>
                <w:highlight w:val="none"/>
              </w:rPr>
            </w:pPr>
          </w:p>
        </w:tc>
        <w:tc>
          <w:tcPr>
            <w:tcW w:w="1275" w:type="dxa"/>
            <w:tcBorders>
              <w:top w:val="single" w:color="auto" w:sz="4" w:space="0"/>
              <w:left w:val="single" w:color="auto" w:sz="4" w:space="0"/>
              <w:bottom w:val="single" w:color="auto" w:sz="4" w:space="0"/>
              <w:right w:val="single" w:color="auto" w:sz="4" w:space="0"/>
            </w:tcBorders>
            <w:noWrap w:val="0"/>
            <w:vAlign w:val="top"/>
          </w:tcPr>
          <w:p w14:paraId="39412658">
            <w:pPr>
              <w:snapToGrid w:val="0"/>
              <w:spacing w:before="50" w:after="120" w:afterLines="50" w:line="400" w:lineRule="exact"/>
              <w:jc w:val="left"/>
              <w:rPr>
                <w:rFonts w:hint="eastAsia" w:ascii="宋体" w:hAnsi="宋体"/>
                <w:color w:val="auto"/>
                <w:sz w:val="24"/>
                <w:highlight w:val="none"/>
              </w:rPr>
            </w:pPr>
          </w:p>
        </w:tc>
      </w:tr>
      <w:tr w14:paraId="49859A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101" w:type="dxa"/>
            <w:tcBorders>
              <w:top w:val="single" w:color="auto" w:sz="4" w:space="0"/>
              <w:left w:val="single" w:color="auto" w:sz="4" w:space="0"/>
              <w:bottom w:val="single" w:color="auto" w:sz="4" w:space="0"/>
              <w:right w:val="single" w:color="auto" w:sz="4" w:space="0"/>
            </w:tcBorders>
            <w:noWrap w:val="0"/>
            <w:vAlign w:val="top"/>
          </w:tcPr>
          <w:p w14:paraId="6E8402B7">
            <w:pPr>
              <w:snapToGrid w:val="0"/>
              <w:spacing w:before="50" w:after="120" w:afterLines="50" w:line="400" w:lineRule="exact"/>
              <w:jc w:val="left"/>
              <w:rPr>
                <w:rFonts w:hint="eastAsia" w:ascii="宋体" w:hAnsi="宋体"/>
                <w:color w:val="auto"/>
                <w:sz w:val="24"/>
                <w:highlight w:val="none"/>
              </w:rPr>
            </w:pPr>
          </w:p>
        </w:tc>
        <w:tc>
          <w:tcPr>
            <w:tcW w:w="1417" w:type="dxa"/>
            <w:tcBorders>
              <w:top w:val="single" w:color="auto" w:sz="4" w:space="0"/>
              <w:left w:val="single" w:color="auto" w:sz="4" w:space="0"/>
              <w:bottom w:val="single" w:color="auto" w:sz="4" w:space="0"/>
              <w:right w:val="single" w:color="auto" w:sz="4" w:space="0"/>
            </w:tcBorders>
            <w:noWrap w:val="0"/>
            <w:vAlign w:val="top"/>
          </w:tcPr>
          <w:p w14:paraId="1A490E3A">
            <w:pPr>
              <w:snapToGrid w:val="0"/>
              <w:spacing w:before="50" w:after="120" w:afterLines="50" w:line="400" w:lineRule="exact"/>
              <w:jc w:val="left"/>
              <w:rPr>
                <w:rFonts w:hint="eastAsia" w:ascii="宋体" w:hAnsi="宋体"/>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52C91AC9">
            <w:pPr>
              <w:snapToGrid w:val="0"/>
              <w:spacing w:before="50" w:after="120" w:afterLines="50" w:line="400" w:lineRule="exact"/>
              <w:jc w:val="left"/>
              <w:rPr>
                <w:rFonts w:hint="eastAsia" w:ascii="宋体" w:hAnsi="宋体"/>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006B765D">
            <w:pPr>
              <w:snapToGrid w:val="0"/>
              <w:spacing w:before="50" w:after="120" w:afterLines="50" w:line="400" w:lineRule="exact"/>
              <w:jc w:val="left"/>
              <w:rPr>
                <w:rFonts w:hint="eastAsia" w:ascii="宋体" w:hAnsi="宋体"/>
                <w:color w:val="auto"/>
                <w:sz w:val="24"/>
                <w:highlight w:val="none"/>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0684ED04">
            <w:pPr>
              <w:snapToGrid w:val="0"/>
              <w:spacing w:before="50" w:after="120" w:afterLines="50" w:line="400" w:lineRule="exact"/>
              <w:jc w:val="left"/>
              <w:rPr>
                <w:rFonts w:hint="eastAsia" w:ascii="宋体" w:hAnsi="宋体"/>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1AD47524">
            <w:pPr>
              <w:snapToGrid w:val="0"/>
              <w:spacing w:before="50" w:after="120" w:afterLines="50" w:line="400" w:lineRule="exact"/>
              <w:jc w:val="left"/>
              <w:rPr>
                <w:rFonts w:hint="eastAsia" w:ascii="宋体" w:hAnsi="宋体"/>
                <w:color w:val="auto"/>
                <w:sz w:val="24"/>
                <w:highlight w:val="none"/>
              </w:rPr>
            </w:pPr>
          </w:p>
        </w:tc>
        <w:tc>
          <w:tcPr>
            <w:tcW w:w="1275" w:type="dxa"/>
            <w:tcBorders>
              <w:top w:val="single" w:color="auto" w:sz="4" w:space="0"/>
              <w:left w:val="single" w:color="auto" w:sz="4" w:space="0"/>
              <w:bottom w:val="single" w:color="auto" w:sz="4" w:space="0"/>
              <w:right w:val="single" w:color="auto" w:sz="4" w:space="0"/>
            </w:tcBorders>
            <w:noWrap w:val="0"/>
            <w:vAlign w:val="top"/>
          </w:tcPr>
          <w:p w14:paraId="796F0837">
            <w:pPr>
              <w:snapToGrid w:val="0"/>
              <w:spacing w:before="50" w:after="120" w:afterLines="50" w:line="400" w:lineRule="exact"/>
              <w:jc w:val="left"/>
              <w:rPr>
                <w:rFonts w:hint="eastAsia" w:ascii="宋体" w:hAnsi="宋体"/>
                <w:color w:val="auto"/>
                <w:sz w:val="24"/>
                <w:highlight w:val="none"/>
              </w:rPr>
            </w:pPr>
          </w:p>
        </w:tc>
      </w:tr>
      <w:tr w14:paraId="5E2C09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101" w:type="dxa"/>
            <w:tcBorders>
              <w:top w:val="single" w:color="auto" w:sz="4" w:space="0"/>
              <w:left w:val="single" w:color="auto" w:sz="4" w:space="0"/>
              <w:bottom w:val="single" w:color="auto" w:sz="4" w:space="0"/>
              <w:right w:val="single" w:color="auto" w:sz="4" w:space="0"/>
            </w:tcBorders>
            <w:noWrap w:val="0"/>
            <w:vAlign w:val="top"/>
          </w:tcPr>
          <w:p w14:paraId="1556FE8A">
            <w:pPr>
              <w:snapToGrid w:val="0"/>
              <w:spacing w:before="50" w:after="120" w:afterLines="50" w:line="400" w:lineRule="exact"/>
              <w:jc w:val="left"/>
              <w:rPr>
                <w:rFonts w:hint="eastAsia" w:ascii="宋体" w:hAnsi="宋体"/>
                <w:color w:val="auto"/>
                <w:sz w:val="24"/>
                <w:highlight w:val="none"/>
              </w:rPr>
            </w:pPr>
          </w:p>
        </w:tc>
        <w:tc>
          <w:tcPr>
            <w:tcW w:w="1417" w:type="dxa"/>
            <w:tcBorders>
              <w:top w:val="single" w:color="auto" w:sz="4" w:space="0"/>
              <w:left w:val="single" w:color="auto" w:sz="4" w:space="0"/>
              <w:bottom w:val="single" w:color="auto" w:sz="4" w:space="0"/>
              <w:right w:val="single" w:color="auto" w:sz="4" w:space="0"/>
            </w:tcBorders>
            <w:noWrap w:val="0"/>
            <w:vAlign w:val="top"/>
          </w:tcPr>
          <w:p w14:paraId="16482F45">
            <w:pPr>
              <w:snapToGrid w:val="0"/>
              <w:spacing w:before="50" w:after="120" w:afterLines="50" w:line="400" w:lineRule="exact"/>
              <w:jc w:val="left"/>
              <w:rPr>
                <w:rFonts w:hint="eastAsia" w:ascii="宋体" w:hAnsi="宋体"/>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44E30378">
            <w:pPr>
              <w:snapToGrid w:val="0"/>
              <w:spacing w:before="50" w:after="120" w:afterLines="50" w:line="400" w:lineRule="exact"/>
              <w:jc w:val="left"/>
              <w:rPr>
                <w:rFonts w:hint="eastAsia" w:ascii="宋体" w:hAnsi="宋体"/>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628D86DA">
            <w:pPr>
              <w:snapToGrid w:val="0"/>
              <w:spacing w:before="50" w:after="120" w:afterLines="50" w:line="400" w:lineRule="exact"/>
              <w:jc w:val="left"/>
              <w:rPr>
                <w:rFonts w:hint="eastAsia" w:ascii="宋体" w:hAnsi="宋体"/>
                <w:color w:val="auto"/>
                <w:sz w:val="24"/>
                <w:highlight w:val="none"/>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34D497EE">
            <w:pPr>
              <w:snapToGrid w:val="0"/>
              <w:spacing w:before="50" w:after="120" w:afterLines="50" w:line="400" w:lineRule="exact"/>
              <w:jc w:val="left"/>
              <w:rPr>
                <w:rFonts w:hint="eastAsia" w:ascii="宋体" w:hAnsi="宋体"/>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0630347A">
            <w:pPr>
              <w:snapToGrid w:val="0"/>
              <w:spacing w:before="50" w:after="120" w:afterLines="50" w:line="400" w:lineRule="exact"/>
              <w:jc w:val="left"/>
              <w:rPr>
                <w:rFonts w:hint="eastAsia" w:ascii="宋体" w:hAnsi="宋体"/>
                <w:color w:val="auto"/>
                <w:sz w:val="24"/>
                <w:highlight w:val="none"/>
              </w:rPr>
            </w:pPr>
          </w:p>
        </w:tc>
        <w:tc>
          <w:tcPr>
            <w:tcW w:w="1275" w:type="dxa"/>
            <w:tcBorders>
              <w:top w:val="single" w:color="auto" w:sz="4" w:space="0"/>
              <w:left w:val="single" w:color="auto" w:sz="4" w:space="0"/>
              <w:bottom w:val="single" w:color="auto" w:sz="4" w:space="0"/>
              <w:right w:val="single" w:color="auto" w:sz="4" w:space="0"/>
            </w:tcBorders>
            <w:noWrap w:val="0"/>
            <w:vAlign w:val="top"/>
          </w:tcPr>
          <w:p w14:paraId="56E1E776">
            <w:pPr>
              <w:snapToGrid w:val="0"/>
              <w:spacing w:before="50" w:after="120" w:afterLines="50" w:line="400" w:lineRule="exact"/>
              <w:jc w:val="left"/>
              <w:rPr>
                <w:rFonts w:hint="eastAsia" w:ascii="宋体" w:hAnsi="宋体"/>
                <w:color w:val="auto"/>
                <w:sz w:val="24"/>
                <w:highlight w:val="none"/>
              </w:rPr>
            </w:pPr>
          </w:p>
        </w:tc>
      </w:tr>
    </w:tbl>
    <w:p w14:paraId="5C0916FC">
      <w:pPr>
        <w:pStyle w:val="21"/>
        <w:snapToGrid w:val="0"/>
        <w:ind w:left="480" w:hanging="480"/>
        <w:rPr>
          <w:rFonts w:hint="eastAsia" w:ascii="宋体" w:hAnsi="宋体"/>
          <w:color w:val="auto"/>
          <w:sz w:val="24"/>
          <w:highlight w:val="none"/>
        </w:rPr>
      </w:pPr>
    </w:p>
    <w:p w14:paraId="4E62AA55">
      <w:pPr>
        <w:pStyle w:val="21"/>
        <w:snapToGrid w:val="0"/>
        <w:ind w:left="480" w:hanging="480"/>
        <w:rPr>
          <w:rFonts w:hint="eastAsia" w:ascii="宋体" w:hAnsi="宋体"/>
          <w:color w:val="auto"/>
          <w:sz w:val="24"/>
          <w:highlight w:val="none"/>
        </w:rPr>
      </w:pPr>
    </w:p>
    <w:p w14:paraId="01504C60">
      <w:pPr>
        <w:pStyle w:val="21"/>
        <w:snapToGrid w:val="0"/>
        <w:ind w:left="480" w:hanging="480"/>
        <w:rPr>
          <w:rFonts w:hint="eastAsia" w:ascii="宋体" w:hAnsi="宋体"/>
          <w:color w:val="auto"/>
          <w:sz w:val="24"/>
          <w:highlight w:val="none"/>
        </w:rPr>
      </w:pPr>
    </w:p>
    <w:p w14:paraId="30685F8C">
      <w:pPr>
        <w:autoSpaceDE w:val="0"/>
        <w:autoSpaceDN w:val="0"/>
        <w:spacing w:line="360" w:lineRule="auto"/>
        <w:ind w:firstLine="120"/>
        <w:rPr>
          <w:rFonts w:hint="eastAsia" w:ascii="宋体" w:hAnsi="宋体"/>
          <w:color w:val="auto"/>
          <w:sz w:val="24"/>
          <w:highlight w:val="none"/>
        </w:rPr>
      </w:pPr>
      <w:r>
        <w:rPr>
          <w:rFonts w:hint="eastAsia" w:ascii="仿宋_GB2312" w:hAnsi="仿宋" w:eastAsia="仿宋_GB2312" w:cs="仿宋_GB2312"/>
          <w:b/>
          <w:color w:val="auto"/>
          <w:sz w:val="24"/>
          <w:highlight w:val="none"/>
        </w:rPr>
        <w:t>附表 :相关项目业绩一览表（供应商同类项目合同复印件、用户验收报告、用户评价意见格式自拟）</w:t>
      </w:r>
    </w:p>
    <w:p w14:paraId="59E8D77D">
      <w:pPr>
        <w:pStyle w:val="15"/>
        <w:spacing w:line="360" w:lineRule="auto"/>
        <w:ind w:left="72"/>
        <w:rPr>
          <w:rFonts w:hint="eastAsia" w:ascii="Times New Roman" w:hAnsi="Times New Roman"/>
          <w:color w:val="auto"/>
          <w:highlight w:val="none"/>
        </w:rPr>
      </w:pPr>
      <w:r>
        <w:rPr>
          <w:rFonts w:hint="eastAsia" w:ascii="Times New Roman" w:hAnsi="Times New Roman"/>
          <w:color w:val="auto"/>
          <w:highlight w:val="none"/>
        </w:rPr>
        <w:t>注：供应商可按上述的格式自行编制，须随表提交相应的合同复印件和用户单位验收证明并注明所在供应商商务技术文件页码。</w:t>
      </w:r>
    </w:p>
    <w:p w14:paraId="15DFE1BE">
      <w:pPr>
        <w:snapToGrid w:val="0"/>
        <w:spacing w:line="360" w:lineRule="auto"/>
        <w:ind w:firstLine="4935" w:firstLineChars="2350"/>
        <w:rPr>
          <w:rFonts w:hAnsi="宋体"/>
          <w:color w:val="auto"/>
          <w:szCs w:val="21"/>
          <w:highlight w:val="none"/>
        </w:rPr>
      </w:pPr>
      <w:r>
        <w:rPr>
          <w:rFonts w:hAnsi="宋体"/>
          <w:color w:val="auto"/>
          <w:szCs w:val="21"/>
          <w:highlight w:val="none"/>
        </w:rPr>
        <w:t xml:space="preserve"> </w:t>
      </w:r>
    </w:p>
    <w:p w14:paraId="76A4587E">
      <w:pPr>
        <w:snapToGrid w:val="0"/>
        <w:spacing w:line="360" w:lineRule="auto"/>
        <w:ind w:firstLine="4935" w:firstLineChars="2350"/>
        <w:rPr>
          <w:rFonts w:hAnsi="宋体"/>
          <w:color w:val="auto"/>
          <w:szCs w:val="21"/>
          <w:highlight w:val="none"/>
        </w:rPr>
      </w:pPr>
    </w:p>
    <w:p w14:paraId="4E0B77F3">
      <w:pPr>
        <w:snapToGrid w:val="0"/>
        <w:spacing w:line="360" w:lineRule="auto"/>
        <w:ind w:left="4410" w:leftChars="2100" w:firstLine="5670" w:firstLineChars="2700"/>
        <w:rPr>
          <w:rFonts w:ascii="仿宋_GB2312" w:hAnsi="仿宋" w:eastAsia="仿宋_GB2312" w:cs="仿宋_GB2312"/>
          <w:color w:val="auto"/>
          <w:kern w:val="0"/>
          <w:sz w:val="24"/>
          <w:highlight w:val="none"/>
        </w:rPr>
      </w:pPr>
      <w:r>
        <w:rPr>
          <w:rFonts w:hAnsi="宋体"/>
          <w:color w:val="auto"/>
          <w:szCs w:val="21"/>
          <w:highlight w:val="none"/>
        </w:rPr>
        <w:t xml:space="preserve"> </w:t>
      </w:r>
      <w:r>
        <w:rPr>
          <w:rFonts w:hint="eastAsia" w:ascii="仿宋_GB2312" w:hAnsi="仿宋" w:eastAsia="仿宋_GB2312" w:cs="仿宋_GB2312"/>
          <w:color w:val="auto"/>
          <w:kern w:val="0"/>
          <w:sz w:val="24"/>
          <w:highlight w:val="none"/>
          <w:lang w:val="zh-CN"/>
        </w:rPr>
        <w:t>供应商名称(电子签章)：</w:t>
      </w:r>
    </w:p>
    <w:p w14:paraId="600E9F44">
      <w:pPr>
        <w:spacing w:line="500" w:lineRule="exact"/>
        <w:jc w:val="center"/>
        <w:rPr>
          <w:rFonts w:hint="eastAsia" w:ascii="仿宋_GB2312" w:hAnsi="仿宋_GB2312" w:eastAsia="仿宋_GB2312" w:cs="仿宋_GB2312"/>
          <w:color w:val="auto"/>
          <w:sz w:val="32"/>
          <w:szCs w:val="32"/>
          <w:highlight w:val="none"/>
        </w:rPr>
      </w:pPr>
      <w:r>
        <w:rPr>
          <w:rFonts w:hint="eastAsia" w:ascii="仿宋_GB2312" w:hAnsi="仿宋" w:eastAsia="仿宋_GB2312" w:cs="仿宋_GB2312"/>
          <w:color w:val="auto"/>
          <w:kern w:val="0"/>
          <w:sz w:val="24"/>
          <w:highlight w:val="none"/>
          <w:lang w:val="zh-CN"/>
        </w:rPr>
        <w:t xml:space="preserve">                                                     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w:t>
      </w:r>
      <w:r>
        <w:rPr>
          <w:rFonts w:hint="eastAsia"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w:t>
      </w:r>
    </w:p>
    <w:p w14:paraId="149D661E">
      <w:pPr>
        <w:widowControl/>
        <w:jc w:val="left"/>
        <w:rPr>
          <w:rFonts w:ascii="仿宋_GB2312" w:hAnsi="仿宋_GB2312" w:eastAsia="仿宋_GB2312" w:cs="仿宋_GB2312"/>
          <w:color w:val="auto"/>
          <w:sz w:val="32"/>
          <w:szCs w:val="32"/>
          <w:highlight w:val="none"/>
        </w:rPr>
        <w:sectPr>
          <w:pgSz w:w="11910" w:h="16840"/>
          <w:pgMar w:top="1340" w:right="1500" w:bottom="280" w:left="1680" w:header="720" w:footer="720" w:gutter="0"/>
          <w:cols w:space="720" w:num="1"/>
        </w:sectPr>
      </w:pPr>
    </w:p>
    <w:p w14:paraId="7DFE831E">
      <w:pPr>
        <w:snapToGrid w:val="0"/>
        <w:spacing w:line="360" w:lineRule="auto"/>
        <w:ind w:firstLine="602" w:firstLineChars="200"/>
        <w:rPr>
          <w:rFonts w:hint="eastAsia" w:ascii="仿宋_GB2312" w:hAnsi="仿宋_GB2312" w:eastAsia="仿宋_GB2312" w:cs="仿宋_GB2312"/>
          <w:color w:val="auto"/>
          <w:sz w:val="32"/>
          <w:szCs w:val="32"/>
          <w:highlight w:val="none"/>
        </w:rPr>
      </w:pPr>
      <w:r>
        <w:rPr>
          <w:rFonts w:hint="eastAsia" w:ascii="仿宋" w:hAnsi="仿宋" w:eastAsia="仿宋" w:cs="仿宋_GB2312"/>
          <w:b/>
          <w:color w:val="auto"/>
          <w:sz w:val="30"/>
          <w:szCs w:val="30"/>
          <w:highlight w:val="none"/>
        </w:rPr>
        <w:t>七、服务需求偏离表</w:t>
      </w:r>
    </w:p>
    <w:p w14:paraId="71CA9BB3">
      <w:pPr>
        <w:spacing w:line="500" w:lineRule="exact"/>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竞标产品服务需求偏离表</w:t>
      </w:r>
    </w:p>
    <w:p w14:paraId="22FD2981">
      <w:pPr>
        <w:spacing w:line="500" w:lineRule="exact"/>
        <w:jc w:val="center"/>
        <w:rPr>
          <w:rFonts w:hint="eastAsia" w:ascii="宋体" w:hAnsi="宋体"/>
          <w:b/>
          <w:color w:val="auto"/>
          <w:sz w:val="32"/>
          <w:szCs w:val="32"/>
          <w:highlight w:val="none"/>
        </w:rPr>
      </w:pPr>
      <w:r>
        <w:rPr>
          <w:rFonts w:hint="eastAsia" w:ascii="方正小标宋简体" w:hAnsi="方正小标宋简体" w:eastAsia="方正小标宋简体" w:cs="方正小标宋简体"/>
          <w:bCs/>
          <w:color w:val="auto"/>
          <w:sz w:val="44"/>
          <w:szCs w:val="44"/>
          <w:highlight w:val="none"/>
        </w:rPr>
        <w:t>(注：按采购需求具体条款修改)</w:t>
      </w:r>
    </w:p>
    <w:p w14:paraId="4345DA52">
      <w:pPr>
        <w:spacing w:line="360" w:lineRule="auto"/>
        <w:jc w:val="left"/>
        <w:rPr>
          <w:rFonts w:hint="eastAsia" w:ascii="宋体" w:hAnsi="宋体"/>
          <w:color w:val="auto"/>
          <w:sz w:val="24"/>
          <w:highlight w:val="none"/>
        </w:rPr>
      </w:pPr>
    </w:p>
    <w:p w14:paraId="11D83D34">
      <w:pPr>
        <w:pStyle w:val="15"/>
        <w:spacing w:line="360" w:lineRule="auto"/>
        <w:rPr>
          <w:rFonts w:hint="eastAsia" w:hAnsi="宋体" w:cs="仿宋_GB2312"/>
          <w:color w:val="auto"/>
          <w:sz w:val="24"/>
          <w:szCs w:val="24"/>
          <w:highlight w:val="none"/>
        </w:rPr>
      </w:pPr>
      <w:r>
        <w:rPr>
          <w:rFonts w:hint="eastAsia" w:hAnsi="宋体" w:cs="仿宋_GB2312"/>
          <w:color w:val="auto"/>
          <w:sz w:val="24"/>
          <w:szCs w:val="24"/>
          <w:highlight w:val="none"/>
        </w:rPr>
        <w:t>所竞分标：</w:t>
      </w:r>
      <w:r>
        <w:rPr>
          <w:rFonts w:hint="eastAsia" w:hAnsi="宋体" w:cs="仿宋_GB2312"/>
          <w:color w:val="auto"/>
          <w:sz w:val="24"/>
          <w:szCs w:val="24"/>
          <w:highlight w:val="none"/>
          <w:u w:val="single"/>
        </w:rPr>
        <w:t xml:space="preserve">              </w:t>
      </w:r>
    </w:p>
    <w:tbl>
      <w:tblPr>
        <w:tblStyle w:val="25"/>
        <w:tblW w:w="80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2"/>
        <w:gridCol w:w="1143"/>
        <w:gridCol w:w="736"/>
        <w:gridCol w:w="1577"/>
        <w:gridCol w:w="1141"/>
        <w:gridCol w:w="658"/>
        <w:gridCol w:w="1147"/>
        <w:gridCol w:w="1096"/>
      </w:tblGrid>
      <w:tr w14:paraId="0D58E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593" w:type="dxa"/>
            <w:vMerge w:val="restart"/>
            <w:tcBorders>
              <w:top w:val="single" w:color="auto" w:sz="4" w:space="0"/>
              <w:left w:val="single" w:color="auto" w:sz="4" w:space="0"/>
              <w:bottom w:val="single" w:color="auto" w:sz="4" w:space="0"/>
              <w:right w:val="single" w:color="auto" w:sz="4" w:space="0"/>
            </w:tcBorders>
            <w:noWrap w:val="0"/>
            <w:vAlign w:val="center"/>
          </w:tcPr>
          <w:p w14:paraId="7A9C39A1">
            <w:pPr>
              <w:rPr>
                <w:rFonts w:hint="eastAsia" w:ascii="宋体" w:hAnsi="宋体"/>
                <w:color w:val="auto"/>
                <w:szCs w:val="21"/>
                <w:highlight w:val="none"/>
              </w:rPr>
            </w:pPr>
            <w:r>
              <w:rPr>
                <w:rFonts w:hint="eastAsia" w:ascii="宋体" w:hAnsi="宋体"/>
                <w:color w:val="auto"/>
                <w:szCs w:val="21"/>
                <w:highlight w:val="none"/>
              </w:rPr>
              <w:t>项号</w:t>
            </w:r>
          </w:p>
        </w:tc>
        <w:tc>
          <w:tcPr>
            <w:tcW w:w="3454" w:type="dxa"/>
            <w:gridSpan w:val="3"/>
            <w:tcBorders>
              <w:top w:val="single" w:color="auto" w:sz="4" w:space="0"/>
              <w:left w:val="single" w:color="auto" w:sz="4" w:space="0"/>
              <w:bottom w:val="single" w:color="auto" w:sz="4" w:space="0"/>
              <w:right w:val="single" w:color="auto" w:sz="4" w:space="0"/>
            </w:tcBorders>
            <w:noWrap w:val="0"/>
            <w:vAlign w:val="center"/>
          </w:tcPr>
          <w:p w14:paraId="79A6061E">
            <w:pPr>
              <w:jc w:val="center"/>
              <w:rPr>
                <w:rFonts w:hint="eastAsia" w:ascii="宋体" w:hAnsi="宋体"/>
                <w:color w:val="auto"/>
                <w:szCs w:val="21"/>
                <w:highlight w:val="none"/>
              </w:rPr>
            </w:pPr>
            <w:r>
              <w:rPr>
                <w:rFonts w:hint="eastAsia" w:ascii="宋体" w:hAnsi="宋体"/>
                <w:color w:val="auto"/>
                <w:szCs w:val="21"/>
                <w:highlight w:val="none"/>
              </w:rPr>
              <w:t>竞争性磋商采购文件需求</w:t>
            </w:r>
          </w:p>
        </w:tc>
        <w:tc>
          <w:tcPr>
            <w:tcW w:w="2944" w:type="dxa"/>
            <w:gridSpan w:val="3"/>
            <w:tcBorders>
              <w:top w:val="single" w:color="auto" w:sz="4" w:space="0"/>
              <w:left w:val="single" w:color="auto" w:sz="4" w:space="0"/>
              <w:bottom w:val="single" w:color="auto" w:sz="4" w:space="0"/>
              <w:right w:val="single" w:color="auto" w:sz="4" w:space="0"/>
            </w:tcBorders>
            <w:noWrap w:val="0"/>
            <w:vAlign w:val="center"/>
          </w:tcPr>
          <w:p w14:paraId="5990E654">
            <w:pPr>
              <w:jc w:val="center"/>
              <w:rPr>
                <w:rFonts w:hint="eastAsia" w:ascii="宋体" w:hAnsi="宋体"/>
                <w:color w:val="auto"/>
                <w:szCs w:val="21"/>
                <w:highlight w:val="none"/>
              </w:rPr>
            </w:pPr>
            <w:r>
              <w:rPr>
                <w:rFonts w:hint="eastAsia" w:ascii="宋体" w:hAnsi="宋体"/>
                <w:color w:val="auto"/>
                <w:szCs w:val="21"/>
                <w:highlight w:val="none"/>
              </w:rPr>
              <w:t>响应文件承诺</w:t>
            </w:r>
          </w:p>
        </w:tc>
        <w:tc>
          <w:tcPr>
            <w:tcW w:w="1095" w:type="dxa"/>
            <w:vMerge w:val="restart"/>
            <w:tcBorders>
              <w:top w:val="single" w:color="auto" w:sz="4" w:space="0"/>
              <w:left w:val="single" w:color="auto" w:sz="4" w:space="0"/>
              <w:bottom w:val="single" w:color="auto" w:sz="4" w:space="0"/>
              <w:right w:val="single" w:color="auto" w:sz="4" w:space="0"/>
            </w:tcBorders>
            <w:noWrap w:val="0"/>
            <w:vAlign w:val="center"/>
          </w:tcPr>
          <w:p w14:paraId="3E33D811">
            <w:pPr>
              <w:rPr>
                <w:rFonts w:hint="eastAsia" w:ascii="宋体" w:hAnsi="宋体"/>
                <w:color w:val="auto"/>
                <w:szCs w:val="21"/>
                <w:highlight w:val="none"/>
              </w:rPr>
            </w:pPr>
            <w:r>
              <w:rPr>
                <w:rFonts w:hint="eastAsia" w:ascii="宋体" w:hAnsi="宋体"/>
                <w:color w:val="auto"/>
                <w:szCs w:val="21"/>
                <w:highlight w:val="none"/>
              </w:rPr>
              <w:t>偏离说明</w:t>
            </w:r>
          </w:p>
        </w:tc>
      </w:tr>
      <w:tr w14:paraId="74A08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1" w:hRule="atLeast"/>
          <w:jc w:val="center"/>
        </w:trPr>
        <w:tc>
          <w:tcPr>
            <w:tcW w:w="593" w:type="dxa"/>
            <w:vMerge w:val="continue"/>
            <w:tcBorders>
              <w:top w:val="single" w:color="auto" w:sz="4" w:space="0"/>
              <w:left w:val="single" w:color="auto" w:sz="4" w:space="0"/>
              <w:bottom w:val="single" w:color="auto" w:sz="4" w:space="0"/>
              <w:right w:val="single" w:color="auto" w:sz="4" w:space="0"/>
            </w:tcBorders>
            <w:noWrap w:val="0"/>
            <w:vAlign w:val="center"/>
          </w:tcPr>
          <w:p w14:paraId="1FC72912">
            <w:pPr>
              <w:widowControl/>
              <w:jc w:val="left"/>
              <w:rPr>
                <w:rFonts w:ascii="宋体" w:hAnsi="宋体"/>
                <w:color w:val="auto"/>
                <w:szCs w:val="21"/>
                <w:highlight w:val="none"/>
              </w:rPr>
            </w:pPr>
          </w:p>
        </w:tc>
        <w:tc>
          <w:tcPr>
            <w:tcW w:w="1142" w:type="dxa"/>
            <w:tcBorders>
              <w:top w:val="single" w:color="auto" w:sz="4" w:space="0"/>
              <w:left w:val="single" w:color="auto" w:sz="4" w:space="0"/>
              <w:bottom w:val="single" w:color="auto" w:sz="4" w:space="0"/>
              <w:right w:val="single" w:color="auto" w:sz="4" w:space="0"/>
            </w:tcBorders>
            <w:noWrap w:val="0"/>
            <w:vAlign w:val="center"/>
          </w:tcPr>
          <w:p w14:paraId="58365796">
            <w:pPr>
              <w:rPr>
                <w:rFonts w:hint="eastAsia" w:ascii="宋体" w:hAnsi="宋体"/>
                <w:color w:val="auto"/>
                <w:szCs w:val="21"/>
                <w:highlight w:val="none"/>
              </w:rPr>
            </w:pPr>
            <w:r>
              <w:rPr>
                <w:rFonts w:hint="eastAsia" w:ascii="宋体" w:hAnsi="宋体"/>
                <w:color w:val="auto"/>
                <w:szCs w:val="21"/>
                <w:highlight w:val="none"/>
              </w:rPr>
              <w:t>服务名称</w:t>
            </w:r>
          </w:p>
        </w:tc>
        <w:tc>
          <w:tcPr>
            <w:tcW w:w="736" w:type="dxa"/>
            <w:tcBorders>
              <w:top w:val="single" w:color="auto" w:sz="4" w:space="0"/>
              <w:left w:val="single" w:color="auto" w:sz="4" w:space="0"/>
              <w:bottom w:val="single" w:color="auto" w:sz="4" w:space="0"/>
              <w:right w:val="single" w:color="auto" w:sz="4" w:space="0"/>
            </w:tcBorders>
            <w:noWrap w:val="0"/>
            <w:vAlign w:val="center"/>
          </w:tcPr>
          <w:p w14:paraId="36BF5394">
            <w:pPr>
              <w:rPr>
                <w:rFonts w:hint="eastAsia" w:ascii="宋体" w:hAnsi="宋体"/>
                <w:color w:val="auto"/>
                <w:szCs w:val="21"/>
                <w:highlight w:val="none"/>
              </w:rPr>
            </w:pPr>
            <w:r>
              <w:rPr>
                <w:rFonts w:hint="eastAsia" w:ascii="宋体" w:hAnsi="宋体"/>
                <w:color w:val="auto"/>
                <w:szCs w:val="21"/>
                <w:highlight w:val="none"/>
              </w:rPr>
              <w:t>数量</w:t>
            </w:r>
          </w:p>
        </w:tc>
        <w:tc>
          <w:tcPr>
            <w:tcW w:w="1576" w:type="dxa"/>
            <w:tcBorders>
              <w:top w:val="single" w:color="auto" w:sz="4" w:space="0"/>
              <w:left w:val="single" w:color="auto" w:sz="4" w:space="0"/>
              <w:bottom w:val="single" w:color="auto" w:sz="4" w:space="0"/>
              <w:right w:val="single" w:color="auto" w:sz="4" w:space="0"/>
            </w:tcBorders>
            <w:noWrap w:val="0"/>
            <w:vAlign w:val="center"/>
          </w:tcPr>
          <w:p w14:paraId="1F5EF413">
            <w:pPr>
              <w:rPr>
                <w:rFonts w:hint="eastAsia" w:ascii="宋体" w:hAnsi="宋体"/>
                <w:color w:val="auto"/>
                <w:szCs w:val="21"/>
                <w:highlight w:val="none"/>
              </w:rPr>
            </w:pPr>
            <w:r>
              <w:rPr>
                <w:rFonts w:hint="eastAsia" w:ascii="宋体" w:hAnsi="宋体"/>
                <w:color w:val="auto"/>
                <w:szCs w:val="21"/>
                <w:highlight w:val="none"/>
              </w:rPr>
              <w:t>服务参数要求</w:t>
            </w:r>
          </w:p>
        </w:tc>
        <w:tc>
          <w:tcPr>
            <w:tcW w:w="1140" w:type="dxa"/>
            <w:tcBorders>
              <w:top w:val="single" w:color="auto" w:sz="4" w:space="0"/>
              <w:left w:val="single" w:color="auto" w:sz="4" w:space="0"/>
              <w:bottom w:val="single" w:color="auto" w:sz="4" w:space="0"/>
              <w:right w:val="single" w:color="auto" w:sz="4" w:space="0"/>
            </w:tcBorders>
            <w:noWrap w:val="0"/>
            <w:vAlign w:val="center"/>
          </w:tcPr>
          <w:p w14:paraId="106F9CD4">
            <w:pPr>
              <w:rPr>
                <w:rFonts w:hint="eastAsia" w:ascii="宋体" w:hAnsi="宋体"/>
                <w:color w:val="auto"/>
                <w:szCs w:val="21"/>
                <w:highlight w:val="none"/>
              </w:rPr>
            </w:pPr>
            <w:r>
              <w:rPr>
                <w:rFonts w:hint="eastAsia" w:ascii="宋体" w:hAnsi="宋体"/>
                <w:color w:val="auto"/>
                <w:szCs w:val="21"/>
                <w:highlight w:val="none"/>
              </w:rPr>
              <w:t>服务名称</w:t>
            </w:r>
          </w:p>
        </w:tc>
        <w:tc>
          <w:tcPr>
            <w:tcW w:w="658" w:type="dxa"/>
            <w:tcBorders>
              <w:top w:val="single" w:color="auto" w:sz="4" w:space="0"/>
              <w:left w:val="single" w:color="auto" w:sz="4" w:space="0"/>
              <w:bottom w:val="single" w:color="auto" w:sz="4" w:space="0"/>
              <w:right w:val="single" w:color="auto" w:sz="4" w:space="0"/>
            </w:tcBorders>
            <w:noWrap w:val="0"/>
            <w:vAlign w:val="center"/>
          </w:tcPr>
          <w:p w14:paraId="6E20A7F6">
            <w:pPr>
              <w:rPr>
                <w:rFonts w:hint="eastAsia" w:ascii="宋体" w:hAnsi="宋体"/>
                <w:color w:val="auto"/>
                <w:szCs w:val="21"/>
                <w:highlight w:val="none"/>
              </w:rPr>
            </w:pPr>
            <w:r>
              <w:rPr>
                <w:rFonts w:hint="eastAsia" w:ascii="宋体" w:hAnsi="宋体"/>
                <w:color w:val="auto"/>
                <w:szCs w:val="21"/>
                <w:highlight w:val="none"/>
              </w:rPr>
              <w:t>数量</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4EF7943D">
            <w:pPr>
              <w:rPr>
                <w:rFonts w:hint="eastAsia" w:ascii="宋体" w:hAnsi="宋体"/>
                <w:color w:val="auto"/>
                <w:szCs w:val="21"/>
                <w:highlight w:val="none"/>
              </w:rPr>
            </w:pPr>
            <w:r>
              <w:rPr>
                <w:rFonts w:hint="eastAsia" w:ascii="宋体" w:hAnsi="宋体"/>
                <w:color w:val="auto"/>
                <w:szCs w:val="21"/>
                <w:highlight w:val="none"/>
              </w:rPr>
              <w:t>服务参数</w:t>
            </w:r>
          </w:p>
        </w:tc>
        <w:tc>
          <w:tcPr>
            <w:tcW w:w="1095" w:type="dxa"/>
            <w:vMerge w:val="continue"/>
            <w:tcBorders>
              <w:top w:val="single" w:color="auto" w:sz="4" w:space="0"/>
              <w:left w:val="single" w:color="auto" w:sz="4" w:space="0"/>
              <w:bottom w:val="single" w:color="auto" w:sz="4" w:space="0"/>
              <w:right w:val="single" w:color="auto" w:sz="4" w:space="0"/>
            </w:tcBorders>
            <w:noWrap w:val="0"/>
            <w:vAlign w:val="center"/>
          </w:tcPr>
          <w:p w14:paraId="628164F9">
            <w:pPr>
              <w:widowControl/>
              <w:jc w:val="left"/>
              <w:rPr>
                <w:rFonts w:ascii="宋体" w:hAnsi="宋体"/>
                <w:color w:val="auto"/>
                <w:szCs w:val="21"/>
                <w:highlight w:val="none"/>
              </w:rPr>
            </w:pPr>
          </w:p>
        </w:tc>
      </w:tr>
      <w:tr w14:paraId="6BB43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jc w:val="center"/>
        </w:trPr>
        <w:tc>
          <w:tcPr>
            <w:tcW w:w="593" w:type="dxa"/>
            <w:tcBorders>
              <w:top w:val="single" w:color="auto" w:sz="4" w:space="0"/>
              <w:left w:val="single" w:color="auto" w:sz="4" w:space="0"/>
              <w:bottom w:val="single" w:color="auto" w:sz="4" w:space="0"/>
              <w:right w:val="single" w:color="auto" w:sz="4" w:space="0"/>
            </w:tcBorders>
            <w:noWrap w:val="0"/>
            <w:vAlign w:val="center"/>
          </w:tcPr>
          <w:p w14:paraId="10F7C578">
            <w:pPr>
              <w:rPr>
                <w:rFonts w:hint="eastAsia" w:ascii="宋体" w:hAnsi="宋体"/>
                <w:color w:val="auto"/>
                <w:szCs w:val="21"/>
                <w:highlight w:val="none"/>
              </w:rPr>
            </w:pPr>
            <w:r>
              <w:rPr>
                <w:rFonts w:hint="eastAsia" w:ascii="宋体" w:hAnsi="宋体"/>
                <w:color w:val="auto"/>
                <w:szCs w:val="21"/>
                <w:highlight w:val="none"/>
              </w:rPr>
              <w:t>1</w:t>
            </w:r>
          </w:p>
        </w:tc>
        <w:tc>
          <w:tcPr>
            <w:tcW w:w="1142" w:type="dxa"/>
            <w:tcBorders>
              <w:top w:val="single" w:color="auto" w:sz="4" w:space="0"/>
              <w:left w:val="single" w:color="auto" w:sz="4" w:space="0"/>
              <w:bottom w:val="single" w:color="auto" w:sz="4" w:space="0"/>
              <w:right w:val="single" w:color="auto" w:sz="4" w:space="0"/>
            </w:tcBorders>
            <w:noWrap w:val="0"/>
            <w:vAlign w:val="center"/>
          </w:tcPr>
          <w:p w14:paraId="2260E095">
            <w:pPr>
              <w:rPr>
                <w:rFonts w:hint="eastAsia" w:ascii="宋体" w:hAnsi="宋体"/>
                <w:color w:val="auto"/>
                <w:szCs w:val="21"/>
                <w:highlight w:val="none"/>
              </w:rPr>
            </w:pPr>
            <w:r>
              <w:rPr>
                <w:rFonts w:hint="eastAsia" w:ascii="宋体" w:hAnsi="宋体"/>
                <w:color w:val="auto"/>
                <w:szCs w:val="21"/>
                <w:highlight w:val="none"/>
              </w:rPr>
              <w:t>……</w:t>
            </w:r>
          </w:p>
        </w:tc>
        <w:tc>
          <w:tcPr>
            <w:tcW w:w="736" w:type="dxa"/>
            <w:tcBorders>
              <w:top w:val="single" w:color="auto" w:sz="4" w:space="0"/>
              <w:left w:val="single" w:color="auto" w:sz="4" w:space="0"/>
              <w:bottom w:val="single" w:color="auto" w:sz="4" w:space="0"/>
              <w:right w:val="single" w:color="auto" w:sz="4" w:space="0"/>
            </w:tcBorders>
            <w:noWrap w:val="0"/>
            <w:vAlign w:val="center"/>
          </w:tcPr>
          <w:p w14:paraId="1DA07FF1">
            <w:pPr>
              <w:rPr>
                <w:rFonts w:hint="eastAsia" w:ascii="宋体" w:hAnsi="宋体"/>
                <w:color w:val="auto"/>
                <w:szCs w:val="21"/>
                <w:highlight w:val="none"/>
              </w:rPr>
            </w:pPr>
            <w:r>
              <w:rPr>
                <w:rFonts w:hint="eastAsia" w:ascii="宋体" w:hAnsi="宋体"/>
                <w:color w:val="auto"/>
                <w:szCs w:val="21"/>
                <w:highlight w:val="none"/>
              </w:rPr>
              <w:t>…</w:t>
            </w:r>
          </w:p>
        </w:tc>
        <w:tc>
          <w:tcPr>
            <w:tcW w:w="1576" w:type="dxa"/>
            <w:tcBorders>
              <w:top w:val="single" w:color="auto" w:sz="4" w:space="0"/>
              <w:left w:val="single" w:color="auto" w:sz="4" w:space="0"/>
              <w:bottom w:val="single" w:color="auto" w:sz="4" w:space="0"/>
              <w:right w:val="single" w:color="auto" w:sz="4" w:space="0"/>
            </w:tcBorders>
            <w:noWrap w:val="0"/>
            <w:vAlign w:val="center"/>
          </w:tcPr>
          <w:p w14:paraId="4E942189">
            <w:pPr>
              <w:rPr>
                <w:rFonts w:hint="eastAsia" w:ascii="宋体" w:hAnsi="宋体"/>
                <w:color w:val="auto"/>
                <w:szCs w:val="21"/>
                <w:highlight w:val="none"/>
              </w:rPr>
            </w:pPr>
            <w:r>
              <w:rPr>
                <w:rFonts w:hint="eastAsia" w:ascii="宋体" w:hAnsi="宋体"/>
                <w:color w:val="auto"/>
                <w:szCs w:val="21"/>
                <w:highlight w:val="none"/>
              </w:rPr>
              <w:t>1  ……</w:t>
            </w:r>
          </w:p>
          <w:p w14:paraId="17C493A9">
            <w:pPr>
              <w:rPr>
                <w:rFonts w:hint="eastAsia" w:ascii="宋体" w:hAnsi="宋体"/>
                <w:color w:val="auto"/>
                <w:szCs w:val="21"/>
                <w:highlight w:val="none"/>
              </w:rPr>
            </w:pPr>
            <w:r>
              <w:rPr>
                <w:rFonts w:hint="eastAsia" w:ascii="宋体" w:hAnsi="宋体"/>
                <w:color w:val="auto"/>
                <w:szCs w:val="21"/>
                <w:highlight w:val="none"/>
              </w:rPr>
              <w:t>2  ……</w:t>
            </w:r>
          </w:p>
          <w:p w14:paraId="73635AF6">
            <w:pPr>
              <w:rPr>
                <w:rFonts w:hint="eastAsia" w:ascii="宋体" w:hAnsi="宋体"/>
                <w:color w:val="auto"/>
                <w:szCs w:val="21"/>
                <w:highlight w:val="none"/>
              </w:rPr>
            </w:pPr>
            <w:r>
              <w:rPr>
                <w:rFonts w:hint="eastAsia" w:ascii="宋体" w:hAnsi="宋体"/>
                <w:color w:val="auto"/>
                <w:szCs w:val="21"/>
                <w:highlight w:val="none"/>
              </w:rPr>
              <w:t>3  ……</w:t>
            </w:r>
          </w:p>
          <w:p w14:paraId="29DA9433">
            <w:pPr>
              <w:rPr>
                <w:rFonts w:hint="eastAsia" w:ascii="宋体" w:hAnsi="宋体"/>
                <w:color w:val="auto"/>
                <w:szCs w:val="21"/>
                <w:highlight w:val="none"/>
              </w:rPr>
            </w:pPr>
            <w:r>
              <w:rPr>
                <w:rFonts w:hint="eastAsia" w:ascii="宋体" w:hAnsi="宋体"/>
                <w:color w:val="auto"/>
                <w:szCs w:val="21"/>
                <w:highlight w:val="none"/>
              </w:rPr>
              <w:t>……</w:t>
            </w:r>
          </w:p>
        </w:tc>
        <w:tc>
          <w:tcPr>
            <w:tcW w:w="1140" w:type="dxa"/>
            <w:tcBorders>
              <w:top w:val="single" w:color="auto" w:sz="4" w:space="0"/>
              <w:left w:val="single" w:color="auto" w:sz="4" w:space="0"/>
              <w:bottom w:val="single" w:color="auto" w:sz="4" w:space="0"/>
              <w:right w:val="single" w:color="auto" w:sz="4" w:space="0"/>
            </w:tcBorders>
            <w:noWrap w:val="0"/>
            <w:vAlign w:val="center"/>
          </w:tcPr>
          <w:p w14:paraId="2EE008A2">
            <w:pPr>
              <w:rPr>
                <w:rFonts w:hint="eastAsia" w:ascii="宋体" w:hAnsi="宋体"/>
                <w:color w:val="auto"/>
                <w:szCs w:val="21"/>
                <w:highlight w:val="none"/>
              </w:rPr>
            </w:pPr>
            <w:r>
              <w:rPr>
                <w:rFonts w:hint="eastAsia" w:ascii="宋体" w:hAnsi="宋体"/>
                <w:color w:val="auto"/>
                <w:szCs w:val="21"/>
                <w:highlight w:val="none"/>
              </w:rPr>
              <w:t>……</w:t>
            </w:r>
          </w:p>
        </w:tc>
        <w:tc>
          <w:tcPr>
            <w:tcW w:w="658" w:type="dxa"/>
            <w:tcBorders>
              <w:top w:val="single" w:color="auto" w:sz="4" w:space="0"/>
              <w:left w:val="single" w:color="auto" w:sz="4" w:space="0"/>
              <w:bottom w:val="single" w:color="auto" w:sz="4" w:space="0"/>
              <w:right w:val="single" w:color="auto" w:sz="4" w:space="0"/>
            </w:tcBorders>
            <w:noWrap w:val="0"/>
            <w:vAlign w:val="center"/>
          </w:tcPr>
          <w:p w14:paraId="79602970">
            <w:pPr>
              <w:rPr>
                <w:rFonts w:hint="eastAsia" w:ascii="宋体" w:hAnsi="宋体"/>
                <w:color w:val="auto"/>
                <w:szCs w:val="21"/>
                <w:highlight w:val="none"/>
              </w:rPr>
            </w:pPr>
            <w:r>
              <w:rPr>
                <w:rFonts w:hint="eastAsia" w:ascii="宋体" w:hAnsi="宋体"/>
                <w:color w:val="auto"/>
                <w:szCs w:val="21"/>
                <w:highlight w:val="none"/>
              </w:rPr>
              <w:t>…</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15DBC347">
            <w:pPr>
              <w:rPr>
                <w:rFonts w:hint="eastAsia" w:ascii="宋体" w:hAnsi="宋体"/>
                <w:color w:val="auto"/>
                <w:szCs w:val="21"/>
                <w:highlight w:val="none"/>
              </w:rPr>
            </w:pPr>
            <w:r>
              <w:rPr>
                <w:rFonts w:hint="eastAsia" w:ascii="宋体" w:hAnsi="宋体"/>
                <w:color w:val="auto"/>
                <w:szCs w:val="21"/>
                <w:highlight w:val="none"/>
              </w:rPr>
              <w:t>1  ……</w:t>
            </w:r>
          </w:p>
          <w:p w14:paraId="001AAF34">
            <w:pPr>
              <w:rPr>
                <w:rFonts w:hint="eastAsia" w:ascii="宋体" w:hAnsi="宋体"/>
                <w:color w:val="auto"/>
                <w:szCs w:val="21"/>
                <w:highlight w:val="none"/>
              </w:rPr>
            </w:pPr>
            <w:r>
              <w:rPr>
                <w:rFonts w:hint="eastAsia" w:ascii="宋体" w:hAnsi="宋体"/>
                <w:color w:val="auto"/>
                <w:szCs w:val="21"/>
                <w:highlight w:val="none"/>
              </w:rPr>
              <w:t>2  ……</w:t>
            </w:r>
          </w:p>
          <w:p w14:paraId="28772442">
            <w:pPr>
              <w:rPr>
                <w:rFonts w:hint="eastAsia" w:ascii="宋体" w:hAnsi="宋体"/>
                <w:color w:val="auto"/>
                <w:szCs w:val="21"/>
                <w:highlight w:val="none"/>
              </w:rPr>
            </w:pPr>
            <w:r>
              <w:rPr>
                <w:rFonts w:hint="eastAsia" w:ascii="宋体" w:hAnsi="宋体"/>
                <w:color w:val="auto"/>
                <w:szCs w:val="21"/>
                <w:highlight w:val="none"/>
              </w:rPr>
              <w:t>3  ……</w:t>
            </w:r>
          </w:p>
          <w:p w14:paraId="0852FBD5">
            <w:pPr>
              <w:rPr>
                <w:rFonts w:hint="eastAsia" w:ascii="宋体" w:hAnsi="宋体"/>
                <w:color w:val="auto"/>
                <w:szCs w:val="21"/>
                <w:highlight w:val="none"/>
              </w:rPr>
            </w:pPr>
            <w:r>
              <w:rPr>
                <w:rFonts w:hint="eastAsia" w:ascii="宋体" w:hAnsi="宋体"/>
                <w:color w:val="auto"/>
                <w:szCs w:val="21"/>
                <w:highlight w:val="none"/>
              </w:rPr>
              <w:t>……</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7C1F0CD9">
            <w:pPr>
              <w:rPr>
                <w:rFonts w:hint="eastAsia" w:ascii="宋体" w:hAnsi="宋体"/>
                <w:color w:val="auto"/>
                <w:szCs w:val="21"/>
                <w:highlight w:val="none"/>
              </w:rPr>
            </w:pPr>
          </w:p>
        </w:tc>
      </w:tr>
      <w:tr w14:paraId="279FF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593" w:type="dxa"/>
            <w:tcBorders>
              <w:top w:val="single" w:color="auto" w:sz="4" w:space="0"/>
              <w:left w:val="single" w:color="auto" w:sz="4" w:space="0"/>
              <w:bottom w:val="single" w:color="auto" w:sz="4" w:space="0"/>
              <w:right w:val="single" w:color="auto" w:sz="4" w:space="0"/>
            </w:tcBorders>
            <w:noWrap w:val="0"/>
            <w:vAlign w:val="center"/>
          </w:tcPr>
          <w:p w14:paraId="3724B79D">
            <w:pPr>
              <w:rPr>
                <w:rFonts w:hint="eastAsia" w:ascii="宋体" w:hAnsi="宋体"/>
                <w:color w:val="auto"/>
                <w:szCs w:val="21"/>
                <w:highlight w:val="none"/>
              </w:rPr>
            </w:pPr>
            <w:r>
              <w:rPr>
                <w:rFonts w:hint="eastAsia" w:ascii="宋体" w:hAnsi="宋体"/>
                <w:color w:val="auto"/>
                <w:szCs w:val="21"/>
                <w:highlight w:val="none"/>
              </w:rPr>
              <w:t>2</w:t>
            </w:r>
          </w:p>
        </w:tc>
        <w:tc>
          <w:tcPr>
            <w:tcW w:w="1142" w:type="dxa"/>
            <w:tcBorders>
              <w:top w:val="single" w:color="auto" w:sz="4" w:space="0"/>
              <w:left w:val="single" w:color="auto" w:sz="4" w:space="0"/>
              <w:bottom w:val="single" w:color="auto" w:sz="4" w:space="0"/>
              <w:right w:val="single" w:color="auto" w:sz="4" w:space="0"/>
            </w:tcBorders>
            <w:noWrap w:val="0"/>
            <w:vAlign w:val="center"/>
          </w:tcPr>
          <w:p w14:paraId="7D93A3A5">
            <w:pPr>
              <w:rPr>
                <w:rFonts w:hint="eastAsia" w:ascii="宋体" w:hAnsi="宋体"/>
                <w:color w:val="auto"/>
                <w:szCs w:val="21"/>
                <w:highlight w:val="none"/>
              </w:rPr>
            </w:pPr>
            <w:r>
              <w:rPr>
                <w:rFonts w:hint="eastAsia" w:ascii="宋体" w:hAnsi="宋体"/>
                <w:color w:val="auto"/>
                <w:szCs w:val="21"/>
                <w:highlight w:val="none"/>
              </w:rPr>
              <w:t>……</w:t>
            </w:r>
          </w:p>
        </w:tc>
        <w:tc>
          <w:tcPr>
            <w:tcW w:w="736" w:type="dxa"/>
            <w:tcBorders>
              <w:top w:val="single" w:color="auto" w:sz="4" w:space="0"/>
              <w:left w:val="single" w:color="auto" w:sz="4" w:space="0"/>
              <w:bottom w:val="single" w:color="auto" w:sz="4" w:space="0"/>
              <w:right w:val="single" w:color="auto" w:sz="4" w:space="0"/>
            </w:tcBorders>
            <w:noWrap w:val="0"/>
            <w:vAlign w:val="center"/>
          </w:tcPr>
          <w:p w14:paraId="25F18A52">
            <w:pPr>
              <w:rPr>
                <w:rFonts w:hint="eastAsia" w:ascii="宋体" w:hAnsi="宋体"/>
                <w:color w:val="auto"/>
                <w:szCs w:val="21"/>
                <w:highlight w:val="none"/>
              </w:rPr>
            </w:pPr>
            <w:r>
              <w:rPr>
                <w:rFonts w:hint="eastAsia" w:ascii="宋体" w:hAnsi="宋体"/>
                <w:color w:val="auto"/>
                <w:szCs w:val="21"/>
                <w:highlight w:val="none"/>
              </w:rPr>
              <w:t>…</w:t>
            </w:r>
          </w:p>
        </w:tc>
        <w:tc>
          <w:tcPr>
            <w:tcW w:w="1576" w:type="dxa"/>
            <w:tcBorders>
              <w:top w:val="single" w:color="auto" w:sz="4" w:space="0"/>
              <w:left w:val="single" w:color="auto" w:sz="4" w:space="0"/>
              <w:bottom w:val="single" w:color="auto" w:sz="4" w:space="0"/>
              <w:right w:val="single" w:color="auto" w:sz="4" w:space="0"/>
            </w:tcBorders>
            <w:noWrap w:val="0"/>
            <w:vAlign w:val="center"/>
          </w:tcPr>
          <w:p w14:paraId="7A001836">
            <w:pPr>
              <w:rPr>
                <w:rFonts w:hint="eastAsia" w:ascii="宋体" w:hAnsi="宋体"/>
                <w:color w:val="auto"/>
                <w:szCs w:val="21"/>
                <w:highlight w:val="none"/>
              </w:rPr>
            </w:pPr>
            <w:r>
              <w:rPr>
                <w:rFonts w:hint="eastAsia" w:ascii="宋体" w:hAnsi="宋体"/>
                <w:color w:val="auto"/>
                <w:szCs w:val="21"/>
                <w:highlight w:val="none"/>
              </w:rPr>
              <w:t>1  ……</w:t>
            </w:r>
          </w:p>
          <w:p w14:paraId="03FD6713">
            <w:pPr>
              <w:rPr>
                <w:rFonts w:hint="eastAsia" w:ascii="宋体" w:hAnsi="宋体"/>
                <w:color w:val="auto"/>
                <w:szCs w:val="21"/>
                <w:highlight w:val="none"/>
              </w:rPr>
            </w:pPr>
            <w:r>
              <w:rPr>
                <w:rFonts w:hint="eastAsia" w:ascii="宋体" w:hAnsi="宋体"/>
                <w:color w:val="auto"/>
                <w:szCs w:val="21"/>
                <w:highlight w:val="none"/>
              </w:rPr>
              <w:t>2  ……</w:t>
            </w:r>
          </w:p>
          <w:p w14:paraId="57C34578">
            <w:pPr>
              <w:rPr>
                <w:rFonts w:hint="eastAsia" w:ascii="宋体" w:hAnsi="宋体"/>
                <w:color w:val="auto"/>
                <w:szCs w:val="21"/>
                <w:highlight w:val="none"/>
              </w:rPr>
            </w:pPr>
            <w:r>
              <w:rPr>
                <w:rFonts w:hint="eastAsia" w:ascii="宋体" w:hAnsi="宋体"/>
                <w:color w:val="auto"/>
                <w:szCs w:val="21"/>
                <w:highlight w:val="none"/>
              </w:rPr>
              <w:t>3  ……</w:t>
            </w:r>
          </w:p>
          <w:p w14:paraId="27442D80">
            <w:pPr>
              <w:rPr>
                <w:rFonts w:hint="eastAsia" w:ascii="宋体" w:hAnsi="宋体"/>
                <w:color w:val="auto"/>
                <w:szCs w:val="21"/>
                <w:highlight w:val="none"/>
              </w:rPr>
            </w:pPr>
            <w:r>
              <w:rPr>
                <w:rFonts w:hint="eastAsia" w:ascii="宋体" w:hAnsi="宋体"/>
                <w:color w:val="auto"/>
                <w:szCs w:val="21"/>
                <w:highlight w:val="none"/>
              </w:rPr>
              <w:t>……</w:t>
            </w:r>
          </w:p>
        </w:tc>
        <w:tc>
          <w:tcPr>
            <w:tcW w:w="1140" w:type="dxa"/>
            <w:tcBorders>
              <w:top w:val="single" w:color="auto" w:sz="4" w:space="0"/>
              <w:left w:val="single" w:color="auto" w:sz="4" w:space="0"/>
              <w:bottom w:val="single" w:color="auto" w:sz="4" w:space="0"/>
              <w:right w:val="single" w:color="auto" w:sz="4" w:space="0"/>
            </w:tcBorders>
            <w:noWrap w:val="0"/>
            <w:vAlign w:val="center"/>
          </w:tcPr>
          <w:p w14:paraId="1BD6874B">
            <w:pPr>
              <w:rPr>
                <w:rFonts w:hint="eastAsia" w:ascii="宋体" w:hAnsi="宋体"/>
                <w:color w:val="auto"/>
                <w:szCs w:val="21"/>
                <w:highlight w:val="none"/>
              </w:rPr>
            </w:pPr>
            <w:r>
              <w:rPr>
                <w:rFonts w:hint="eastAsia" w:ascii="宋体" w:hAnsi="宋体"/>
                <w:color w:val="auto"/>
                <w:szCs w:val="21"/>
                <w:highlight w:val="none"/>
              </w:rPr>
              <w:t>……</w:t>
            </w:r>
          </w:p>
        </w:tc>
        <w:tc>
          <w:tcPr>
            <w:tcW w:w="658" w:type="dxa"/>
            <w:tcBorders>
              <w:top w:val="single" w:color="auto" w:sz="4" w:space="0"/>
              <w:left w:val="single" w:color="auto" w:sz="4" w:space="0"/>
              <w:bottom w:val="single" w:color="auto" w:sz="4" w:space="0"/>
              <w:right w:val="single" w:color="auto" w:sz="4" w:space="0"/>
            </w:tcBorders>
            <w:noWrap w:val="0"/>
            <w:vAlign w:val="center"/>
          </w:tcPr>
          <w:p w14:paraId="05211D7C">
            <w:pPr>
              <w:rPr>
                <w:rFonts w:hint="eastAsia" w:ascii="宋体" w:hAnsi="宋体"/>
                <w:color w:val="auto"/>
                <w:szCs w:val="21"/>
                <w:highlight w:val="none"/>
              </w:rPr>
            </w:pPr>
            <w:r>
              <w:rPr>
                <w:rFonts w:hint="eastAsia" w:ascii="宋体" w:hAnsi="宋体"/>
                <w:color w:val="auto"/>
                <w:szCs w:val="21"/>
                <w:highlight w:val="none"/>
              </w:rPr>
              <w:t>…</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46B30F54">
            <w:pPr>
              <w:rPr>
                <w:rFonts w:hint="eastAsia" w:ascii="宋体" w:hAnsi="宋体"/>
                <w:color w:val="auto"/>
                <w:szCs w:val="21"/>
                <w:highlight w:val="none"/>
              </w:rPr>
            </w:pPr>
            <w:r>
              <w:rPr>
                <w:rFonts w:hint="eastAsia" w:ascii="宋体" w:hAnsi="宋体"/>
                <w:color w:val="auto"/>
                <w:szCs w:val="21"/>
                <w:highlight w:val="none"/>
              </w:rPr>
              <w:t>1  ……</w:t>
            </w:r>
          </w:p>
          <w:p w14:paraId="52061875">
            <w:pPr>
              <w:rPr>
                <w:rFonts w:hint="eastAsia" w:ascii="宋体" w:hAnsi="宋体"/>
                <w:color w:val="auto"/>
                <w:szCs w:val="21"/>
                <w:highlight w:val="none"/>
              </w:rPr>
            </w:pPr>
            <w:r>
              <w:rPr>
                <w:rFonts w:hint="eastAsia" w:ascii="宋体" w:hAnsi="宋体"/>
                <w:color w:val="auto"/>
                <w:szCs w:val="21"/>
                <w:highlight w:val="none"/>
              </w:rPr>
              <w:t>2  ……</w:t>
            </w:r>
          </w:p>
          <w:p w14:paraId="48899B9B">
            <w:pPr>
              <w:rPr>
                <w:rFonts w:hint="eastAsia" w:ascii="宋体" w:hAnsi="宋体"/>
                <w:color w:val="auto"/>
                <w:szCs w:val="21"/>
                <w:highlight w:val="none"/>
              </w:rPr>
            </w:pPr>
            <w:r>
              <w:rPr>
                <w:rFonts w:hint="eastAsia" w:ascii="宋体" w:hAnsi="宋体"/>
                <w:color w:val="auto"/>
                <w:szCs w:val="21"/>
                <w:highlight w:val="none"/>
              </w:rPr>
              <w:t>3  ……</w:t>
            </w:r>
          </w:p>
          <w:p w14:paraId="1ABBB794">
            <w:pPr>
              <w:rPr>
                <w:rFonts w:hint="eastAsia" w:ascii="宋体" w:hAnsi="宋体"/>
                <w:color w:val="auto"/>
                <w:szCs w:val="21"/>
                <w:highlight w:val="none"/>
              </w:rPr>
            </w:pPr>
            <w:r>
              <w:rPr>
                <w:rFonts w:hint="eastAsia" w:ascii="宋体" w:hAnsi="宋体"/>
                <w:color w:val="auto"/>
                <w:szCs w:val="21"/>
                <w:highlight w:val="none"/>
              </w:rPr>
              <w:t>……</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1A7E742D">
            <w:pPr>
              <w:rPr>
                <w:rFonts w:hint="eastAsia" w:ascii="宋体" w:hAnsi="宋体"/>
                <w:color w:val="auto"/>
                <w:szCs w:val="21"/>
                <w:highlight w:val="none"/>
              </w:rPr>
            </w:pPr>
          </w:p>
        </w:tc>
      </w:tr>
      <w:tr w14:paraId="30996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93" w:type="dxa"/>
            <w:tcBorders>
              <w:top w:val="single" w:color="auto" w:sz="4" w:space="0"/>
              <w:left w:val="single" w:color="auto" w:sz="4" w:space="0"/>
              <w:bottom w:val="single" w:color="auto" w:sz="4" w:space="0"/>
              <w:right w:val="single" w:color="auto" w:sz="4" w:space="0"/>
            </w:tcBorders>
            <w:noWrap w:val="0"/>
            <w:vAlign w:val="center"/>
          </w:tcPr>
          <w:p w14:paraId="43028B91">
            <w:pPr>
              <w:rPr>
                <w:rFonts w:hint="eastAsia" w:ascii="宋体" w:hAnsi="宋体"/>
                <w:color w:val="auto"/>
                <w:szCs w:val="21"/>
                <w:highlight w:val="none"/>
              </w:rPr>
            </w:pPr>
            <w:r>
              <w:rPr>
                <w:rFonts w:hint="eastAsia" w:ascii="宋体" w:hAnsi="宋体"/>
                <w:color w:val="auto"/>
                <w:szCs w:val="21"/>
                <w:highlight w:val="none"/>
              </w:rPr>
              <w:t>...</w:t>
            </w:r>
          </w:p>
        </w:tc>
        <w:tc>
          <w:tcPr>
            <w:tcW w:w="1142" w:type="dxa"/>
            <w:tcBorders>
              <w:top w:val="single" w:color="auto" w:sz="4" w:space="0"/>
              <w:left w:val="single" w:color="auto" w:sz="4" w:space="0"/>
              <w:bottom w:val="single" w:color="auto" w:sz="4" w:space="0"/>
              <w:right w:val="single" w:color="auto" w:sz="4" w:space="0"/>
            </w:tcBorders>
            <w:noWrap w:val="0"/>
            <w:vAlign w:val="center"/>
          </w:tcPr>
          <w:p w14:paraId="256E245F">
            <w:pPr>
              <w:rPr>
                <w:rFonts w:hint="eastAsia" w:ascii="宋体" w:hAnsi="宋体"/>
                <w:color w:val="auto"/>
                <w:szCs w:val="21"/>
                <w:highlight w:val="none"/>
              </w:rPr>
            </w:pPr>
          </w:p>
        </w:tc>
        <w:tc>
          <w:tcPr>
            <w:tcW w:w="736" w:type="dxa"/>
            <w:tcBorders>
              <w:top w:val="single" w:color="auto" w:sz="4" w:space="0"/>
              <w:left w:val="single" w:color="auto" w:sz="4" w:space="0"/>
              <w:bottom w:val="single" w:color="auto" w:sz="4" w:space="0"/>
              <w:right w:val="single" w:color="auto" w:sz="4" w:space="0"/>
            </w:tcBorders>
            <w:noWrap w:val="0"/>
            <w:vAlign w:val="center"/>
          </w:tcPr>
          <w:p w14:paraId="1FB87AE5">
            <w:pPr>
              <w:rPr>
                <w:rFonts w:hint="eastAsia" w:ascii="宋体" w:hAnsi="宋体"/>
                <w:color w:val="auto"/>
                <w:szCs w:val="21"/>
                <w:highlight w:val="none"/>
              </w:rPr>
            </w:pPr>
          </w:p>
        </w:tc>
        <w:tc>
          <w:tcPr>
            <w:tcW w:w="1576" w:type="dxa"/>
            <w:tcBorders>
              <w:top w:val="single" w:color="auto" w:sz="4" w:space="0"/>
              <w:left w:val="single" w:color="auto" w:sz="4" w:space="0"/>
              <w:bottom w:val="single" w:color="auto" w:sz="4" w:space="0"/>
              <w:right w:val="single" w:color="auto" w:sz="4" w:space="0"/>
            </w:tcBorders>
            <w:noWrap w:val="0"/>
            <w:vAlign w:val="center"/>
          </w:tcPr>
          <w:p w14:paraId="2846CD6A">
            <w:pPr>
              <w:rPr>
                <w:rFonts w:hint="eastAsia" w:ascii="宋体" w:hAnsi="宋体"/>
                <w:color w:val="auto"/>
                <w:szCs w:val="21"/>
                <w:highlight w:val="none"/>
              </w:rPr>
            </w:pPr>
          </w:p>
        </w:tc>
        <w:tc>
          <w:tcPr>
            <w:tcW w:w="1140" w:type="dxa"/>
            <w:tcBorders>
              <w:top w:val="single" w:color="auto" w:sz="4" w:space="0"/>
              <w:left w:val="single" w:color="auto" w:sz="4" w:space="0"/>
              <w:bottom w:val="single" w:color="auto" w:sz="4" w:space="0"/>
              <w:right w:val="single" w:color="auto" w:sz="4" w:space="0"/>
            </w:tcBorders>
            <w:noWrap w:val="0"/>
            <w:vAlign w:val="center"/>
          </w:tcPr>
          <w:p w14:paraId="3F694DC4">
            <w:pPr>
              <w:rPr>
                <w:rFonts w:hint="eastAsia" w:ascii="宋体" w:hAnsi="宋体"/>
                <w:color w:val="auto"/>
                <w:szCs w:val="21"/>
                <w:highlight w:val="none"/>
              </w:rPr>
            </w:pPr>
          </w:p>
        </w:tc>
        <w:tc>
          <w:tcPr>
            <w:tcW w:w="658" w:type="dxa"/>
            <w:tcBorders>
              <w:top w:val="single" w:color="auto" w:sz="4" w:space="0"/>
              <w:left w:val="single" w:color="auto" w:sz="4" w:space="0"/>
              <w:bottom w:val="single" w:color="auto" w:sz="4" w:space="0"/>
              <w:right w:val="single" w:color="auto" w:sz="4" w:space="0"/>
            </w:tcBorders>
            <w:noWrap w:val="0"/>
            <w:vAlign w:val="center"/>
          </w:tcPr>
          <w:p w14:paraId="2852D681">
            <w:pPr>
              <w:rPr>
                <w:rFonts w:hint="eastAsia" w:ascii="宋体" w:hAnsi="宋体"/>
                <w:color w:val="auto"/>
                <w:szCs w:val="21"/>
                <w:highlight w:val="none"/>
              </w:rPr>
            </w:pPr>
          </w:p>
        </w:tc>
        <w:tc>
          <w:tcPr>
            <w:tcW w:w="1146" w:type="dxa"/>
            <w:tcBorders>
              <w:top w:val="single" w:color="auto" w:sz="4" w:space="0"/>
              <w:left w:val="single" w:color="auto" w:sz="4" w:space="0"/>
              <w:bottom w:val="single" w:color="auto" w:sz="4" w:space="0"/>
              <w:right w:val="single" w:color="auto" w:sz="4" w:space="0"/>
            </w:tcBorders>
            <w:noWrap w:val="0"/>
            <w:vAlign w:val="center"/>
          </w:tcPr>
          <w:p w14:paraId="1477B7A6">
            <w:pPr>
              <w:rPr>
                <w:rFonts w:hint="eastAsia" w:ascii="宋体" w:hAnsi="宋体"/>
                <w:color w:val="auto"/>
                <w:szCs w:val="21"/>
                <w:highlight w:val="none"/>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3135EC4A">
            <w:pPr>
              <w:rPr>
                <w:rFonts w:hint="eastAsia" w:ascii="宋体" w:hAnsi="宋体"/>
                <w:color w:val="auto"/>
                <w:szCs w:val="21"/>
                <w:highlight w:val="none"/>
              </w:rPr>
            </w:pPr>
          </w:p>
        </w:tc>
      </w:tr>
    </w:tbl>
    <w:p w14:paraId="3A063749">
      <w:pPr>
        <w:pStyle w:val="10"/>
        <w:spacing w:after="0" w:line="360" w:lineRule="auto"/>
        <w:contextualSpacing/>
        <w:rPr>
          <w:rFonts w:hint="eastAsia" w:ascii="宋体" w:hAnsi="宋体"/>
          <w:color w:val="auto"/>
          <w:kern w:val="0"/>
          <w:sz w:val="24"/>
          <w:szCs w:val="24"/>
          <w:highlight w:val="none"/>
        </w:rPr>
      </w:pPr>
      <w:r>
        <w:rPr>
          <w:rFonts w:hint="eastAsia" w:ascii="宋体" w:hAnsi="宋体"/>
          <w:color w:val="auto"/>
          <w:kern w:val="0"/>
          <w:sz w:val="24"/>
          <w:szCs w:val="24"/>
          <w:highlight w:val="none"/>
        </w:rPr>
        <w:t>注：</w:t>
      </w:r>
    </w:p>
    <w:p w14:paraId="4835881E">
      <w:pPr>
        <w:pStyle w:val="10"/>
        <w:spacing w:after="0" w:line="360" w:lineRule="auto"/>
        <w:contextualSpacing/>
        <w:rPr>
          <w:rFonts w:hint="eastAsia" w:ascii="宋体" w:hAnsi="宋体"/>
          <w:color w:val="auto"/>
          <w:kern w:val="0"/>
          <w:sz w:val="21"/>
          <w:szCs w:val="21"/>
          <w:highlight w:val="none"/>
        </w:rPr>
      </w:pPr>
      <w:r>
        <w:rPr>
          <w:rFonts w:hint="eastAsia" w:ascii="宋体" w:hAnsi="宋体"/>
          <w:color w:val="auto"/>
          <w:kern w:val="0"/>
          <w:sz w:val="21"/>
          <w:szCs w:val="21"/>
          <w:highlight w:val="none"/>
        </w:rPr>
        <w:t>注：</w:t>
      </w:r>
    </w:p>
    <w:p w14:paraId="3A5690C8">
      <w:pPr>
        <w:pStyle w:val="10"/>
        <w:spacing w:after="0" w:line="360" w:lineRule="auto"/>
        <w:contextualSpacing/>
        <w:rPr>
          <w:rFonts w:hint="eastAsia" w:ascii="宋体" w:hAnsi="宋体" w:cs="仿宋_GB2312"/>
          <w:color w:val="auto"/>
          <w:kern w:val="0"/>
          <w:sz w:val="21"/>
          <w:szCs w:val="21"/>
          <w:highlight w:val="none"/>
        </w:rPr>
      </w:pPr>
      <w:r>
        <w:rPr>
          <w:rFonts w:hint="eastAsia" w:ascii="宋体" w:hAnsi="宋体" w:cs="仿宋_GB2312"/>
          <w:color w:val="auto"/>
          <w:kern w:val="0"/>
          <w:sz w:val="21"/>
          <w:szCs w:val="21"/>
          <w:highlight w:val="none"/>
        </w:rPr>
        <w:t>1.说明：应对照磋商文件“第二章”中“服务需求一览表”的采购清单及技术参数条款逐条作出明确响应，并作出偏离说明。</w:t>
      </w:r>
    </w:p>
    <w:p w14:paraId="5B200BBD">
      <w:pPr>
        <w:pStyle w:val="12"/>
        <w:spacing w:line="400" w:lineRule="exact"/>
        <w:ind w:firstLine="0" w:firstLineChars="0"/>
        <w:rPr>
          <w:rFonts w:hint="eastAsia" w:ascii="宋体" w:hAnsi="宋体" w:eastAsia="宋体" w:cs="仿宋_GB2312"/>
          <w:color w:val="auto"/>
          <w:sz w:val="21"/>
          <w:szCs w:val="21"/>
          <w:highlight w:val="none"/>
        </w:rPr>
      </w:pPr>
      <w:r>
        <w:rPr>
          <w:rFonts w:hint="eastAsia" w:ascii="宋体" w:hAnsi="宋体" w:eastAsia="宋体" w:cs="仿宋_GB2312"/>
          <w:color w:val="auto"/>
          <w:sz w:val="21"/>
          <w:szCs w:val="21"/>
          <w:highlight w:val="none"/>
        </w:rPr>
        <w:t>2.供应商应根据自身的承诺，对照磋商文件要求，在“偏离说明”中注明“正偏离”、“负偏离”或者“无偏离”。既不属于“正偏离”也不属于“负偏离”即为“无偏离”。 当响应文件的商务内容低于竞争性磋商采购文件要求时，竞标人应当如实写明“负偏离”，否则视为虚假应标</w:t>
      </w:r>
    </w:p>
    <w:p w14:paraId="23650CD4">
      <w:pPr>
        <w:spacing w:line="400" w:lineRule="exact"/>
        <w:rPr>
          <w:rFonts w:hint="eastAsia" w:ascii="宋体" w:hAnsi="宋体" w:cs="仿宋_GB2312"/>
          <w:color w:val="auto"/>
          <w:kern w:val="0"/>
          <w:szCs w:val="21"/>
          <w:highlight w:val="none"/>
        </w:rPr>
      </w:pPr>
      <w:r>
        <w:rPr>
          <w:rFonts w:hint="eastAsia" w:ascii="宋体" w:hAnsi="宋体" w:cs="仿宋_GB2312"/>
          <w:color w:val="auto"/>
          <w:kern w:val="0"/>
          <w:szCs w:val="21"/>
          <w:highlight w:val="none"/>
        </w:rPr>
        <w:t>3.表格内容均需按要求填写并盖章，不得留空，否则按竞标无效处理。</w:t>
      </w:r>
    </w:p>
    <w:p w14:paraId="53D29570">
      <w:pPr>
        <w:pStyle w:val="15"/>
        <w:spacing w:line="400" w:lineRule="exact"/>
        <w:rPr>
          <w:rFonts w:hint="eastAsia" w:hAnsi="宋体" w:cs="仿宋_GB2312"/>
          <w:color w:val="auto"/>
          <w:sz w:val="21"/>
          <w:highlight w:val="none"/>
        </w:rPr>
      </w:pPr>
      <w:r>
        <w:rPr>
          <w:rFonts w:hint="eastAsia" w:hAnsi="宋体" w:cs="仿宋_GB2312"/>
          <w:color w:val="auto"/>
          <w:sz w:val="21"/>
          <w:highlight w:val="none"/>
        </w:rPr>
        <w:t>4.如果采购需求为小于、小于等于、大于或大于等于某个数值标准时，响应文件承诺不得直接复制采购需求，响应文件承诺内容应当写明竞标服务具体参数或商务响应承诺的具体数值，否则按竞标无效处理。如该采购需求属于不能明确具体数值的，采购人应在此采购需求的数值后标注◆号，对标注◆号的采购需求不适用上述“竞标无效”条款。</w:t>
      </w:r>
    </w:p>
    <w:p w14:paraId="33B0BDAC">
      <w:pPr>
        <w:pStyle w:val="12"/>
        <w:spacing w:line="360" w:lineRule="auto"/>
        <w:ind w:firstLine="0" w:firstLineChars="0"/>
        <w:rPr>
          <w:rFonts w:hint="eastAsia" w:ascii="宋体" w:hAnsi="宋体" w:cs="仿宋_GB2312"/>
          <w:color w:val="auto"/>
          <w:sz w:val="24"/>
          <w:highlight w:val="none"/>
        </w:rPr>
      </w:pPr>
      <w:r>
        <w:rPr>
          <w:rFonts w:hint="eastAsia" w:ascii="宋体" w:hAnsi="宋体" w:eastAsia="宋体" w:cs="仿宋_GB2312"/>
          <w:color w:val="auto"/>
          <w:sz w:val="21"/>
          <w:szCs w:val="21"/>
          <w:highlight w:val="none"/>
        </w:rPr>
        <w:t>5. 如技术偏离表中的竞标响应与佐证材料不一致的，以佐证材料为准。</w:t>
      </w:r>
    </w:p>
    <w:p w14:paraId="14AAB81C">
      <w:pPr>
        <w:snapToGrid w:val="0"/>
        <w:spacing w:line="360" w:lineRule="auto"/>
        <w:ind w:firstLine="602" w:firstLineChars="200"/>
        <w:rPr>
          <w:rFonts w:hint="eastAsia" w:ascii="仿宋" w:hAnsi="仿宋" w:eastAsia="仿宋" w:cs="仿宋_GB2312"/>
          <w:b/>
          <w:color w:val="auto"/>
          <w:sz w:val="30"/>
          <w:szCs w:val="30"/>
          <w:highlight w:val="none"/>
        </w:rPr>
      </w:pPr>
    </w:p>
    <w:p w14:paraId="44053088">
      <w:pPr>
        <w:autoSpaceDE w:val="0"/>
        <w:autoSpaceDN w:val="0"/>
        <w:spacing w:line="360" w:lineRule="auto"/>
        <w:ind w:left="4335" w:leftChars="1950" w:hanging="240" w:hangingChars="10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2CC764A3">
      <w:pPr>
        <w:autoSpaceDE w:val="0"/>
        <w:autoSpaceDN w:val="0"/>
        <w:spacing w:line="360" w:lineRule="auto"/>
        <w:ind w:firstLine="5040" w:firstLineChars="2100"/>
        <w:rPr>
          <w:rFonts w:hint="eastAsia" w:ascii="仿宋_GB2312" w:hAnsi="仿宋" w:eastAsia="仿宋_GB2312" w:cs="仿宋_GB2312"/>
          <w:b/>
          <w:bCs/>
          <w:color w:val="auto"/>
          <w:sz w:val="24"/>
          <w:highlight w:val="none"/>
        </w:rPr>
      </w:pPr>
      <w:r>
        <w:rPr>
          <w:rFonts w:hint="eastAsia" w:ascii="仿宋_GB2312" w:hAnsi="仿宋" w:eastAsia="仿宋_GB2312" w:cs="仿宋_GB2312"/>
          <w:color w:val="auto"/>
          <w:kern w:val="0"/>
          <w:sz w:val="24"/>
          <w:highlight w:val="none"/>
          <w:lang w:val="zh-CN"/>
        </w:rPr>
        <w:t>日期：  年  月   日</w:t>
      </w:r>
    </w:p>
    <w:p w14:paraId="64F0537C">
      <w:pPr>
        <w:adjustRightInd w:val="0"/>
        <w:snapToGrid w:val="0"/>
        <w:spacing w:line="520" w:lineRule="exact"/>
        <w:jc w:val="center"/>
        <w:rPr>
          <w:rFonts w:hint="eastAsia" w:ascii="方正小标宋简体" w:hAnsi="方正小标宋简体" w:eastAsia="方正小标宋简体" w:cs="方正小标宋简体"/>
          <w:bCs/>
          <w:color w:val="auto"/>
          <w:sz w:val="44"/>
          <w:szCs w:val="44"/>
          <w:highlight w:val="none"/>
        </w:rPr>
      </w:pPr>
    </w:p>
    <w:p w14:paraId="5BEA3D73">
      <w:pPr>
        <w:adjustRightInd w:val="0"/>
        <w:snapToGrid w:val="0"/>
        <w:spacing w:line="520" w:lineRule="exact"/>
        <w:jc w:val="center"/>
        <w:rPr>
          <w:rFonts w:hint="eastAsia" w:ascii="方正小标宋简体" w:hAnsi="方正小标宋简体" w:eastAsia="方正小标宋简体" w:cs="方正小标宋简体"/>
          <w:bCs/>
          <w:color w:val="auto"/>
          <w:sz w:val="44"/>
          <w:szCs w:val="44"/>
          <w:highlight w:val="none"/>
        </w:rPr>
      </w:pPr>
    </w:p>
    <w:p w14:paraId="6942EA28">
      <w:pPr>
        <w:adjustRightInd w:val="0"/>
        <w:snapToGrid w:val="0"/>
        <w:spacing w:line="520" w:lineRule="exact"/>
        <w:jc w:val="center"/>
        <w:rPr>
          <w:rFonts w:hint="eastAsia" w:ascii="宋体" w:hAnsi="宋体"/>
          <w:b/>
          <w:color w:val="auto"/>
          <w:sz w:val="32"/>
          <w:szCs w:val="32"/>
          <w:highlight w:val="none"/>
        </w:rPr>
      </w:pPr>
      <w:r>
        <w:rPr>
          <w:rFonts w:hint="eastAsia" w:ascii="方正小标宋简体" w:hAnsi="方正小标宋简体" w:eastAsia="方正小标宋简体" w:cs="方正小标宋简体"/>
          <w:bCs/>
          <w:color w:val="auto"/>
          <w:sz w:val="44"/>
          <w:szCs w:val="44"/>
          <w:highlight w:val="none"/>
        </w:rPr>
        <w:t>服务配置清单（如有）</w:t>
      </w:r>
    </w:p>
    <w:p w14:paraId="008D9EA2">
      <w:pPr>
        <w:spacing w:line="300" w:lineRule="auto"/>
        <w:rPr>
          <w:rFonts w:hint="eastAsia" w:ascii="宋体" w:hAnsi="宋体"/>
          <w:color w:val="auto"/>
          <w:szCs w:val="21"/>
          <w:highlight w:val="none"/>
        </w:rPr>
      </w:pPr>
    </w:p>
    <w:p w14:paraId="760257D3">
      <w:pPr>
        <w:spacing w:line="360" w:lineRule="auto"/>
        <w:rPr>
          <w:rFonts w:hint="eastAsia" w:ascii="宋体" w:hAnsi="宋体" w:cs="仿宋_GB2312"/>
          <w:color w:val="auto"/>
          <w:sz w:val="24"/>
          <w:highlight w:val="none"/>
          <w:u w:val="single"/>
        </w:rPr>
      </w:pPr>
      <w:r>
        <w:rPr>
          <w:rFonts w:hint="eastAsia" w:ascii="宋体" w:hAnsi="宋体" w:cs="仿宋_GB2312"/>
          <w:color w:val="auto"/>
          <w:sz w:val="24"/>
          <w:highlight w:val="none"/>
        </w:rPr>
        <w:t>所竞分标：</w:t>
      </w:r>
      <w:r>
        <w:rPr>
          <w:rFonts w:hint="eastAsia" w:ascii="宋体" w:hAnsi="宋体" w:cs="仿宋_GB2312"/>
          <w:color w:val="auto"/>
          <w:sz w:val="24"/>
          <w:highlight w:val="none"/>
          <w:u w:val="single"/>
        </w:rPr>
        <w:t xml:space="preserve">                 </w:t>
      </w:r>
    </w:p>
    <w:tbl>
      <w:tblPr>
        <w:tblStyle w:val="25"/>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39"/>
        <w:gridCol w:w="1245"/>
        <w:gridCol w:w="803"/>
        <w:gridCol w:w="895"/>
        <w:gridCol w:w="1786"/>
        <w:gridCol w:w="1245"/>
        <w:gridCol w:w="737"/>
        <w:gridCol w:w="1496"/>
      </w:tblGrid>
      <w:tr w14:paraId="3DEEBB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413" w:type="pct"/>
            <w:tcBorders>
              <w:top w:val="single" w:color="auto" w:sz="4" w:space="0"/>
              <w:left w:val="single" w:color="auto" w:sz="4" w:space="0"/>
              <w:bottom w:val="single" w:color="auto" w:sz="4" w:space="0"/>
              <w:right w:val="single" w:color="auto" w:sz="4" w:space="0"/>
            </w:tcBorders>
            <w:noWrap w:val="0"/>
            <w:vAlign w:val="center"/>
          </w:tcPr>
          <w:p w14:paraId="19F49416">
            <w:pPr>
              <w:snapToGrid w:val="0"/>
              <w:spacing w:before="50" w:after="50"/>
              <w:jc w:val="center"/>
              <w:rPr>
                <w:rFonts w:hint="eastAsia" w:ascii="宋体" w:hAnsi="宋体"/>
                <w:color w:val="auto"/>
                <w:sz w:val="24"/>
                <w:highlight w:val="none"/>
              </w:rPr>
            </w:pPr>
            <w:r>
              <w:rPr>
                <w:rFonts w:hint="eastAsia" w:ascii="宋体" w:hAnsi="宋体"/>
                <w:color w:val="auto"/>
                <w:sz w:val="24"/>
                <w:highlight w:val="none"/>
              </w:rPr>
              <w:t>序号</w:t>
            </w:r>
          </w:p>
        </w:tc>
        <w:tc>
          <w:tcPr>
            <w:tcW w:w="696" w:type="pct"/>
            <w:tcBorders>
              <w:top w:val="single" w:color="auto" w:sz="4" w:space="0"/>
              <w:left w:val="single" w:color="auto" w:sz="4" w:space="0"/>
              <w:bottom w:val="single" w:color="auto" w:sz="4" w:space="0"/>
              <w:right w:val="single" w:color="auto" w:sz="4" w:space="0"/>
            </w:tcBorders>
            <w:noWrap w:val="0"/>
            <w:vAlign w:val="center"/>
          </w:tcPr>
          <w:p w14:paraId="430B54CF">
            <w:pPr>
              <w:snapToGrid w:val="0"/>
              <w:spacing w:before="50" w:after="50"/>
              <w:jc w:val="center"/>
              <w:rPr>
                <w:rFonts w:hint="eastAsia" w:ascii="宋体" w:hAnsi="宋体"/>
                <w:color w:val="auto"/>
                <w:sz w:val="24"/>
                <w:highlight w:val="none"/>
              </w:rPr>
            </w:pPr>
            <w:r>
              <w:rPr>
                <w:rFonts w:hint="eastAsia" w:ascii="宋体" w:hAnsi="宋体"/>
                <w:color w:val="auto"/>
                <w:sz w:val="24"/>
                <w:highlight w:val="none"/>
              </w:rPr>
              <w:t>服务名称</w:t>
            </w:r>
          </w:p>
        </w:tc>
        <w:tc>
          <w:tcPr>
            <w:tcW w:w="449" w:type="pct"/>
            <w:tcBorders>
              <w:top w:val="single" w:color="auto" w:sz="4" w:space="0"/>
              <w:left w:val="single" w:color="auto" w:sz="4" w:space="0"/>
              <w:bottom w:val="single" w:color="auto" w:sz="4" w:space="0"/>
              <w:right w:val="single" w:color="auto" w:sz="4" w:space="0"/>
            </w:tcBorders>
            <w:noWrap w:val="0"/>
            <w:vAlign w:val="center"/>
          </w:tcPr>
          <w:p w14:paraId="0C91957C">
            <w:pPr>
              <w:snapToGrid w:val="0"/>
              <w:spacing w:before="50" w:after="50"/>
              <w:jc w:val="center"/>
              <w:rPr>
                <w:rFonts w:hint="eastAsia" w:ascii="宋体" w:hAnsi="宋体"/>
                <w:color w:val="auto"/>
                <w:sz w:val="24"/>
                <w:highlight w:val="none"/>
              </w:rPr>
            </w:pPr>
            <w:r>
              <w:rPr>
                <w:rFonts w:hint="eastAsia" w:ascii="宋体" w:hAnsi="宋体"/>
                <w:color w:val="auto"/>
                <w:sz w:val="24"/>
                <w:highlight w:val="none"/>
              </w:rPr>
              <w:t>数量及单位</w:t>
            </w:r>
          </w:p>
        </w:tc>
        <w:tc>
          <w:tcPr>
            <w:tcW w:w="500" w:type="pct"/>
            <w:tcBorders>
              <w:top w:val="single" w:color="auto" w:sz="4" w:space="0"/>
              <w:left w:val="single" w:color="auto" w:sz="4" w:space="0"/>
              <w:bottom w:val="single" w:color="auto" w:sz="4" w:space="0"/>
              <w:right w:val="single" w:color="auto" w:sz="4" w:space="0"/>
            </w:tcBorders>
            <w:noWrap w:val="0"/>
            <w:vAlign w:val="center"/>
          </w:tcPr>
          <w:p w14:paraId="6492A444">
            <w:pPr>
              <w:snapToGrid w:val="0"/>
              <w:spacing w:before="50" w:after="50"/>
              <w:jc w:val="center"/>
              <w:rPr>
                <w:rFonts w:hint="eastAsia" w:ascii="宋体" w:hAnsi="宋体"/>
                <w:color w:val="auto"/>
                <w:sz w:val="24"/>
                <w:highlight w:val="none"/>
              </w:rPr>
            </w:pPr>
            <w:r>
              <w:rPr>
                <w:rFonts w:hint="eastAsia" w:ascii="宋体" w:hAnsi="宋体"/>
                <w:color w:val="auto"/>
                <w:sz w:val="24"/>
                <w:highlight w:val="none"/>
              </w:rPr>
              <w:t>品牌</w:t>
            </w:r>
          </w:p>
        </w:tc>
        <w:tc>
          <w:tcPr>
            <w:tcW w:w="998" w:type="pct"/>
            <w:tcBorders>
              <w:top w:val="single" w:color="auto" w:sz="4" w:space="0"/>
              <w:left w:val="single" w:color="auto" w:sz="4" w:space="0"/>
              <w:bottom w:val="single" w:color="auto" w:sz="4" w:space="0"/>
              <w:right w:val="single" w:color="auto" w:sz="4" w:space="0"/>
            </w:tcBorders>
            <w:noWrap w:val="0"/>
            <w:vAlign w:val="top"/>
          </w:tcPr>
          <w:p w14:paraId="43AFB8A0">
            <w:pPr>
              <w:snapToGrid w:val="0"/>
              <w:spacing w:before="50" w:after="50"/>
              <w:jc w:val="center"/>
              <w:rPr>
                <w:rFonts w:hint="eastAsia" w:ascii="宋体" w:hAnsi="宋体"/>
                <w:color w:val="auto"/>
                <w:sz w:val="24"/>
                <w:highlight w:val="none"/>
              </w:rPr>
            </w:pPr>
          </w:p>
          <w:p w14:paraId="58022064">
            <w:pPr>
              <w:snapToGrid w:val="0"/>
              <w:spacing w:before="50" w:after="50"/>
              <w:jc w:val="center"/>
              <w:rPr>
                <w:rFonts w:hint="eastAsia" w:ascii="宋体" w:hAnsi="宋体"/>
                <w:color w:val="auto"/>
                <w:sz w:val="24"/>
                <w:highlight w:val="none"/>
              </w:rPr>
            </w:pPr>
            <w:r>
              <w:rPr>
                <w:rFonts w:hint="eastAsia" w:ascii="宋体" w:hAnsi="宋体"/>
                <w:color w:val="auto"/>
                <w:sz w:val="24"/>
                <w:highlight w:val="none"/>
              </w:rPr>
              <w:t>规格型号</w:t>
            </w:r>
          </w:p>
        </w:tc>
        <w:tc>
          <w:tcPr>
            <w:tcW w:w="696" w:type="pct"/>
            <w:tcBorders>
              <w:top w:val="single" w:color="auto" w:sz="4" w:space="0"/>
              <w:left w:val="single" w:color="auto" w:sz="4" w:space="0"/>
              <w:bottom w:val="single" w:color="auto" w:sz="4" w:space="0"/>
              <w:right w:val="single" w:color="auto" w:sz="4" w:space="0"/>
            </w:tcBorders>
            <w:noWrap w:val="0"/>
            <w:vAlign w:val="center"/>
          </w:tcPr>
          <w:p w14:paraId="007A3E2E">
            <w:pPr>
              <w:snapToGrid w:val="0"/>
              <w:spacing w:before="50" w:after="50"/>
              <w:jc w:val="center"/>
              <w:rPr>
                <w:rFonts w:hint="eastAsia" w:ascii="宋体" w:hAnsi="宋体"/>
                <w:color w:val="auto"/>
                <w:sz w:val="24"/>
                <w:highlight w:val="none"/>
              </w:rPr>
            </w:pPr>
            <w:r>
              <w:rPr>
                <w:rFonts w:hint="eastAsia" w:ascii="宋体" w:hAnsi="宋体"/>
                <w:color w:val="auto"/>
                <w:sz w:val="24"/>
                <w:highlight w:val="none"/>
              </w:rPr>
              <w:t>制造商</w:t>
            </w:r>
          </w:p>
        </w:tc>
        <w:tc>
          <w:tcPr>
            <w:tcW w:w="412" w:type="pct"/>
            <w:tcBorders>
              <w:top w:val="single" w:color="auto" w:sz="4" w:space="0"/>
              <w:left w:val="single" w:color="auto" w:sz="4" w:space="0"/>
              <w:bottom w:val="single" w:color="auto" w:sz="4" w:space="0"/>
              <w:right w:val="single" w:color="auto" w:sz="4" w:space="0"/>
            </w:tcBorders>
            <w:noWrap w:val="0"/>
            <w:vAlign w:val="center"/>
          </w:tcPr>
          <w:p w14:paraId="5D0773BD">
            <w:pPr>
              <w:snapToGrid w:val="0"/>
              <w:spacing w:before="50" w:after="50"/>
              <w:jc w:val="center"/>
              <w:rPr>
                <w:rFonts w:hint="eastAsia" w:ascii="宋体" w:hAnsi="宋体"/>
                <w:color w:val="auto"/>
                <w:sz w:val="24"/>
                <w:highlight w:val="none"/>
              </w:rPr>
            </w:pPr>
            <w:r>
              <w:rPr>
                <w:rFonts w:hint="eastAsia" w:ascii="宋体" w:hAnsi="宋体"/>
                <w:color w:val="auto"/>
                <w:sz w:val="24"/>
                <w:highlight w:val="none"/>
              </w:rPr>
              <w:t>原产地</w:t>
            </w:r>
          </w:p>
        </w:tc>
        <w:tc>
          <w:tcPr>
            <w:tcW w:w="836" w:type="pct"/>
            <w:tcBorders>
              <w:top w:val="single" w:color="auto" w:sz="4" w:space="0"/>
              <w:left w:val="single" w:color="auto" w:sz="4" w:space="0"/>
              <w:bottom w:val="single" w:color="auto" w:sz="4" w:space="0"/>
              <w:right w:val="single" w:color="auto" w:sz="4" w:space="0"/>
            </w:tcBorders>
            <w:noWrap w:val="0"/>
            <w:vAlign w:val="center"/>
          </w:tcPr>
          <w:p w14:paraId="25F30D51">
            <w:pPr>
              <w:snapToGrid w:val="0"/>
              <w:spacing w:before="50" w:after="50"/>
              <w:jc w:val="center"/>
              <w:rPr>
                <w:rFonts w:hint="eastAsia" w:ascii="宋体" w:hAnsi="宋体"/>
                <w:color w:val="auto"/>
                <w:sz w:val="24"/>
                <w:highlight w:val="none"/>
              </w:rPr>
            </w:pPr>
            <w:r>
              <w:rPr>
                <w:rFonts w:hint="eastAsia" w:ascii="宋体" w:hAnsi="宋体"/>
                <w:color w:val="auto"/>
                <w:sz w:val="24"/>
                <w:highlight w:val="none"/>
              </w:rPr>
              <w:t>参数性能、指标及配置</w:t>
            </w:r>
          </w:p>
        </w:tc>
      </w:tr>
      <w:tr w14:paraId="274A91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9" w:hRule="atLeast"/>
          <w:jc w:val="center"/>
        </w:trPr>
        <w:tc>
          <w:tcPr>
            <w:tcW w:w="413" w:type="pct"/>
            <w:tcBorders>
              <w:top w:val="single" w:color="auto" w:sz="4" w:space="0"/>
              <w:left w:val="single" w:color="auto" w:sz="4" w:space="0"/>
              <w:bottom w:val="single" w:color="auto" w:sz="4" w:space="0"/>
              <w:right w:val="single" w:color="auto" w:sz="4" w:space="0"/>
            </w:tcBorders>
            <w:noWrap w:val="0"/>
            <w:vAlign w:val="center"/>
          </w:tcPr>
          <w:p w14:paraId="185B3425">
            <w:pPr>
              <w:snapToGrid w:val="0"/>
              <w:spacing w:before="50" w:after="50"/>
              <w:jc w:val="center"/>
              <w:rPr>
                <w:rFonts w:hint="eastAsia" w:ascii="宋体" w:hAnsi="宋体"/>
                <w:color w:val="auto"/>
                <w:sz w:val="24"/>
                <w:highlight w:val="none"/>
              </w:rPr>
            </w:pPr>
          </w:p>
        </w:tc>
        <w:tc>
          <w:tcPr>
            <w:tcW w:w="696" w:type="pct"/>
            <w:tcBorders>
              <w:top w:val="single" w:color="auto" w:sz="4" w:space="0"/>
              <w:left w:val="single" w:color="auto" w:sz="4" w:space="0"/>
              <w:bottom w:val="single" w:color="auto" w:sz="4" w:space="0"/>
              <w:right w:val="single" w:color="auto" w:sz="4" w:space="0"/>
            </w:tcBorders>
            <w:noWrap w:val="0"/>
            <w:vAlign w:val="center"/>
          </w:tcPr>
          <w:p w14:paraId="2F8BDE62">
            <w:pPr>
              <w:snapToGrid w:val="0"/>
              <w:spacing w:before="50" w:after="50"/>
              <w:jc w:val="center"/>
              <w:rPr>
                <w:rFonts w:hint="eastAsia" w:ascii="宋体" w:hAnsi="宋体"/>
                <w:color w:val="auto"/>
                <w:sz w:val="24"/>
                <w:highlight w:val="none"/>
              </w:rPr>
            </w:pPr>
          </w:p>
        </w:tc>
        <w:tc>
          <w:tcPr>
            <w:tcW w:w="449" w:type="pct"/>
            <w:tcBorders>
              <w:top w:val="single" w:color="auto" w:sz="4" w:space="0"/>
              <w:left w:val="single" w:color="auto" w:sz="4" w:space="0"/>
              <w:bottom w:val="single" w:color="auto" w:sz="4" w:space="0"/>
              <w:right w:val="single" w:color="auto" w:sz="4" w:space="0"/>
            </w:tcBorders>
            <w:noWrap w:val="0"/>
            <w:vAlign w:val="center"/>
          </w:tcPr>
          <w:p w14:paraId="68FA0E87">
            <w:pPr>
              <w:snapToGrid w:val="0"/>
              <w:spacing w:before="50" w:after="50"/>
              <w:jc w:val="center"/>
              <w:rPr>
                <w:rFonts w:hint="eastAsia" w:ascii="宋体" w:hAnsi="宋体"/>
                <w:color w:val="auto"/>
                <w:sz w:val="24"/>
                <w:highlight w:val="none"/>
              </w:rPr>
            </w:pPr>
          </w:p>
        </w:tc>
        <w:tc>
          <w:tcPr>
            <w:tcW w:w="500" w:type="pct"/>
            <w:tcBorders>
              <w:top w:val="single" w:color="auto" w:sz="4" w:space="0"/>
              <w:left w:val="single" w:color="auto" w:sz="4" w:space="0"/>
              <w:bottom w:val="single" w:color="auto" w:sz="4" w:space="0"/>
              <w:right w:val="single" w:color="auto" w:sz="4" w:space="0"/>
            </w:tcBorders>
            <w:noWrap w:val="0"/>
            <w:vAlign w:val="center"/>
          </w:tcPr>
          <w:p w14:paraId="0742148F">
            <w:pPr>
              <w:snapToGrid w:val="0"/>
              <w:spacing w:before="50" w:after="50"/>
              <w:jc w:val="center"/>
              <w:rPr>
                <w:rFonts w:hint="eastAsia" w:ascii="宋体" w:hAnsi="宋体"/>
                <w:color w:val="auto"/>
                <w:sz w:val="24"/>
                <w:highlight w:val="none"/>
              </w:rPr>
            </w:pPr>
          </w:p>
        </w:tc>
        <w:tc>
          <w:tcPr>
            <w:tcW w:w="998" w:type="pct"/>
            <w:tcBorders>
              <w:top w:val="single" w:color="auto" w:sz="4" w:space="0"/>
              <w:left w:val="single" w:color="auto" w:sz="4" w:space="0"/>
              <w:bottom w:val="single" w:color="auto" w:sz="4" w:space="0"/>
              <w:right w:val="single" w:color="auto" w:sz="4" w:space="0"/>
            </w:tcBorders>
            <w:noWrap w:val="0"/>
            <w:vAlign w:val="top"/>
          </w:tcPr>
          <w:p w14:paraId="6A608ABC">
            <w:pPr>
              <w:snapToGrid w:val="0"/>
              <w:spacing w:before="50" w:after="50"/>
              <w:jc w:val="center"/>
              <w:rPr>
                <w:rFonts w:hint="eastAsia" w:ascii="宋体" w:hAnsi="宋体"/>
                <w:color w:val="auto"/>
                <w:sz w:val="24"/>
                <w:highlight w:val="none"/>
              </w:rPr>
            </w:pPr>
          </w:p>
        </w:tc>
        <w:tc>
          <w:tcPr>
            <w:tcW w:w="696" w:type="pct"/>
            <w:tcBorders>
              <w:top w:val="single" w:color="auto" w:sz="4" w:space="0"/>
              <w:left w:val="single" w:color="auto" w:sz="4" w:space="0"/>
              <w:bottom w:val="single" w:color="auto" w:sz="4" w:space="0"/>
              <w:right w:val="single" w:color="auto" w:sz="4" w:space="0"/>
            </w:tcBorders>
            <w:noWrap w:val="0"/>
            <w:vAlign w:val="center"/>
          </w:tcPr>
          <w:p w14:paraId="4279A371">
            <w:pPr>
              <w:snapToGrid w:val="0"/>
              <w:spacing w:before="50" w:after="50"/>
              <w:jc w:val="center"/>
              <w:rPr>
                <w:rFonts w:hint="eastAsia" w:ascii="宋体" w:hAnsi="宋体"/>
                <w:color w:val="auto"/>
                <w:sz w:val="24"/>
                <w:highlight w:val="none"/>
              </w:rPr>
            </w:pPr>
          </w:p>
        </w:tc>
        <w:tc>
          <w:tcPr>
            <w:tcW w:w="412" w:type="pct"/>
            <w:tcBorders>
              <w:top w:val="single" w:color="auto" w:sz="4" w:space="0"/>
              <w:left w:val="single" w:color="auto" w:sz="4" w:space="0"/>
              <w:bottom w:val="single" w:color="auto" w:sz="4" w:space="0"/>
              <w:right w:val="single" w:color="auto" w:sz="4" w:space="0"/>
            </w:tcBorders>
            <w:noWrap w:val="0"/>
            <w:vAlign w:val="center"/>
          </w:tcPr>
          <w:p w14:paraId="0250333C">
            <w:pPr>
              <w:snapToGrid w:val="0"/>
              <w:spacing w:before="50" w:after="50"/>
              <w:jc w:val="center"/>
              <w:rPr>
                <w:rFonts w:hint="eastAsia" w:ascii="宋体" w:hAnsi="宋体"/>
                <w:color w:val="auto"/>
                <w:sz w:val="24"/>
                <w:highlight w:val="none"/>
              </w:rPr>
            </w:pPr>
          </w:p>
        </w:tc>
        <w:tc>
          <w:tcPr>
            <w:tcW w:w="836" w:type="pct"/>
            <w:tcBorders>
              <w:top w:val="single" w:color="auto" w:sz="4" w:space="0"/>
              <w:left w:val="single" w:color="auto" w:sz="4" w:space="0"/>
              <w:bottom w:val="single" w:color="auto" w:sz="4" w:space="0"/>
              <w:right w:val="single" w:color="auto" w:sz="4" w:space="0"/>
            </w:tcBorders>
            <w:noWrap w:val="0"/>
            <w:vAlign w:val="center"/>
          </w:tcPr>
          <w:p w14:paraId="1DAB92CA">
            <w:pPr>
              <w:snapToGrid w:val="0"/>
              <w:spacing w:before="50" w:after="50"/>
              <w:jc w:val="center"/>
              <w:rPr>
                <w:rFonts w:hint="eastAsia" w:ascii="宋体" w:hAnsi="宋体"/>
                <w:color w:val="auto"/>
                <w:sz w:val="24"/>
                <w:highlight w:val="none"/>
              </w:rPr>
            </w:pPr>
          </w:p>
        </w:tc>
      </w:tr>
      <w:tr w14:paraId="7F7716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2" w:hRule="atLeast"/>
          <w:jc w:val="center"/>
        </w:trPr>
        <w:tc>
          <w:tcPr>
            <w:tcW w:w="413" w:type="pct"/>
            <w:tcBorders>
              <w:top w:val="single" w:color="auto" w:sz="4" w:space="0"/>
              <w:left w:val="single" w:color="auto" w:sz="4" w:space="0"/>
              <w:bottom w:val="single" w:color="auto" w:sz="4" w:space="0"/>
              <w:right w:val="single" w:color="auto" w:sz="4" w:space="0"/>
            </w:tcBorders>
            <w:noWrap w:val="0"/>
            <w:vAlign w:val="center"/>
          </w:tcPr>
          <w:p w14:paraId="1B7BEA90">
            <w:pPr>
              <w:snapToGrid w:val="0"/>
              <w:spacing w:before="50" w:after="50"/>
              <w:jc w:val="center"/>
              <w:rPr>
                <w:rFonts w:hint="eastAsia" w:ascii="宋体" w:hAnsi="宋体"/>
                <w:color w:val="auto"/>
                <w:sz w:val="24"/>
                <w:highlight w:val="none"/>
              </w:rPr>
            </w:pPr>
          </w:p>
        </w:tc>
        <w:tc>
          <w:tcPr>
            <w:tcW w:w="696" w:type="pct"/>
            <w:tcBorders>
              <w:top w:val="single" w:color="auto" w:sz="4" w:space="0"/>
              <w:left w:val="single" w:color="auto" w:sz="4" w:space="0"/>
              <w:bottom w:val="single" w:color="auto" w:sz="4" w:space="0"/>
              <w:right w:val="single" w:color="auto" w:sz="4" w:space="0"/>
            </w:tcBorders>
            <w:noWrap w:val="0"/>
            <w:vAlign w:val="center"/>
          </w:tcPr>
          <w:p w14:paraId="767BE69C">
            <w:pPr>
              <w:snapToGrid w:val="0"/>
              <w:spacing w:before="50" w:after="50"/>
              <w:jc w:val="center"/>
              <w:rPr>
                <w:rFonts w:hint="eastAsia" w:ascii="宋体" w:hAnsi="宋体"/>
                <w:color w:val="auto"/>
                <w:sz w:val="24"/>
                <w:highlight w:val="none"/>
              </w:rPr>
            </w:pPr>
          </w:p>
        </w:tc>
        <w:tc>
          <w:tcPr>
            <w:tcW w:w="449" w:type="pct"/>
            <w:tcBorders>
              <w:top w:val="single" w:color="auto" w:sz="4" w:space="0"/>
              <w:left w:val="single" w:color="auto" w:sz="4" w:space="0"/>
              <w:bottom w:val="single" w:color="auto" w:sz="4" w:space="0"/>
              <w:right w:val="single" w:color="auto" w:sz="4" w:space="0"/>
            </w:tcBorders>
            <w:noWrap w:val="0"/>
            <w:vAlign w:val="center"/>
          </w:tcPr>
          <w:p w14:paraId="70A02711">
            <w:pPr>
              <w:snapToGrid w:val="0"/>
              <w:spacing w:before="50" w:after="50"/>
              <w:jc w:val="center"/>
              <w:rPr>
                <w:rFonts w:hint="eastAsia" w:ascii="宋体" w:hAnsi="宋体"/>
                <w:color w:val="auto"/>
                <w:sz w:val="24"/>
                <w:highlight w:val="none"/>
              </w:rPr>
            </w:pPr>
          </w:p>
        </w:tc>
        <w:tc>
          <w:tcPr>
            <w:tcW w:w="500" w:type="pct"/>
            <w:tcBorders>
              <w:top w:val="single" w:color="auto" w:sz="4" w:space="0"/>
              <w:left w:val="single" w:color="auto" w:sz="4" w:space="0"/>
              <w:bottom w:val="single" w:color="auto" w:sz="4" w:space="0"/>
              <w:right w:val="single" w:color="auto" w:sz="4" w:space="0"/>
            </w:tcBorders>
            <w:noWrap w:val="0"/>
            <w:vAlign w:val="center"/>
          </w:tcPr>
          <w:p w14:paraId="1CB87B75">
            <w:pPr>
              <w:snapToGrid w:val="0"/>
              <w:spacing w:before="50" w:after="50"/>
              <w:jc w:val="center"/>
              <w:rPr>
                <w:rFonts w:hint="eastAsia" w:ascii="宋体" w:hAnsi="宋体"/>
                <w:color w:val="auto"/>
                <w:sz w:val="24"/>
                <w:highlight w:val="none"/>
              </w:rPr>
            </w:pPr>
          </w:p>
        </w:tc>
        <w:tc>
          <w:tcPr>
            <w:tcW w:w="998" w:type="pct"/>
            <w:tcBorders>
              <w:top w:val="single" w:color="auto" w:sz="4" w:space="0"/>
              <w:left w:val="single" w:color="auto" w:sz="4" w:space="0"/>
              <w:bottom w:val="single" w:color="auto" w:sz="4" w:space="0"/>
              <w:right w:val="single" w:color="auto" w:sz="4" w:space="0"/>
            </w:tcBorders>
            <w:noWrap w:val="0"/>
            <w:vAlign w:val="top"/>
          </w:tcPr>
          <w:p w14:paraId="475FDB7E">
            <w:pPr>
              <w:snapToGrid w:val="0"/>
              <w:spacing w:before="50" w:after="50"/>
              <w:jc w:val="center"/>
              <w:rPr>
                <w:rFonts w:hint="eastAsia" w:ascii="宋体" w:hAnsi="宋体"/>
                <w:color w:val="auto"/>
                <w:sz w:val="24"/>
                <w:highlight w:val="none"/>
              </w:rPr>
            </w:pPr>
          </w:p>
        </w:tc>
        <w:tc>
          <w:tcPr>
            <w:tcW w:w="696" w:type="pct"/>
            <w:tcBorders>
              <w:top w:val="single" w:color="auto" w:sz="4" w:space="0"/>
              <w:left w:val="single" w:color="auto" w:sz="4" w:space="0"/>
              <w:bottom w:val="single" w:color="auto" w:sz="4" w:space="0"/>
              <w:right w:val="single" w:color="auto" w:sz="4" w:space="0"/>
            </w:tcBorders>
            <w:noWrap w:val="0"/>
            <w:vAlign w:val="center"/>
          </w:tcPr>
          <w:p w14:paraId="4E73F52D">
            <w:pPr>
              <w:snapToGrid w:val="0"/>
              <w:spacing w:before="50" w:after="50"/>
              <w:jc w:val="center"/>
              <w:rPr>
                <w:rFonts w:hint="eastAsia" w:ascii="宋体" w:hAnsi="宋体"/>
                <w:color w:val="auto"/>
                <w:sz w:val="24"/>
                <w:highlight w:val="none"/>
              </w:rPr>
            </w:pPr>
          </w:p>
        </w:tc>
        <w:tc>
          <w:tcPr>
            <w:tcW w:w="412" w:type="pct"/>
            <w:tcBorders>
              <w:top w:val="single" w:color="auto" w:sz="4" w:space="0"/>
              <w:left w:val="single" w:color="auto" w:sz="4" w:space="0"/>
              <w:bottom w:val="single" w:color="auto" w:sz="4" w:space="0"/>
              <w:right w:val="single" w:color="auto" w:sz="4" w:space="0"/>
            </w:tcBorders>
            <w:noWrap w:val="0"/>
            <w:vAlign w:val="center"/>
          </w:tcPr>
          <w:p w14:paraId="1CD038C9">
            <w:pPr>
              <w:snapToGrid w:val="0"/>
              <w:spacing w:before="50" w:after="50"/>
              <w:jc w:val="center"/>
              <w:rPr>
                <w:rFonts w:hint="eastAsia" w:ascii="宋体" w:hAnsi="宋体"/>
                <w:color w:val="auto"/>
                <w:sz w:val="24"/>
                <w:highlight w:val="none"/>
              </w:rPr>
            </w:pPr>
          </w:p>
        </w:tc>
        <w:tc>
          <w:tcPr>
            <w:tcW w:w="836" w:type="pct"/>
            <w:tcBorders>
              <w:top w:val="single" w:color="auto" w:sz="4" w:space="0"/>
              <w:left w:val="single" w:color="auto" w:sz="4" w:space="0"/>
              <w:bottom w:val="single" w:color="auto" w:sz="4" w:space="0"/>
              <w:right w:val="single" w:color="auto" w:sz="4" w:space="0"/>
            </w:tcBorders>
            <w:noWrap w:val="0"/>
            <w:vAlign w:val="center"/>
          </w:tcPr>
          <w:p w14:paraId="68740C1E">
            <w:pPr>
              <w:snapToGrid w:val="0"/>
              <w:spacing w:before="50" w:after="50"/>
              <w:jc w:val="center"/>
              <w:rPr>
                <w:rFonts w:hint="eastAsia" w:ascii="宋体" w:hAnsi="宋体"/>
                <w:color w:val="auto"/>
                <w:sz w:val="24"/>
                <w:highlight w:val="none"/>
              </w:rPr>
            </w:pPr>
          </w:p>
        </w:tc>
      </w:tr>
      <w:tr w14:paraId="0A0DDE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413" w:type="pct"/>
            <w:tcBorders>
              <w:top w:val="single" w:color="auto" w:sz="4" w:space="0"/>
              <w:left w:val="single" w:color="auto" w:sz="4" w:space="0"/>
              <w:bottom w:val="single" w:color="auto" w:sz="4" w:space="0"/>
              <w:right w:val="single" w:color="auto" w:sz="4" w:space="0"/>
            </w:tcBorders>
            <w:noWrap w:val="0"/>
            <w:vAlign w:val="center"/>
          </w:tcPr>
          <w:p w14:paraId="04E691A2">
            <w:pPr>
              <w:snapToGrid w:val="0"/>
              <w:spacing w:before="50" w:after="50"/>
              <w:jc w:val="center"/>
              <w:rPr>
                <w:rFonts w:hint="eastAsia" w:ascii="宋体" w:hAnsi="宋体"/>
                <w:color w:val="auto"/>
                <w:sz w:val="24"/>
                <w:highlight w:val="none"/>
              </w:rPr>
            </w:pPr>
          </w:p>
        </w:tc>
        <w:tc>
          <w:tcPr>
            <w:tcW w:w="696" w:type="pct"/>
            <w:tcBorders>
              <w:top w:val="single" w:color="auto" w:sz="4" w:space="0"/>
              <w:left w:val="single" w:color="auto" w:sz="4" w:space="0"/>
              <w:bottom w:val="single" w:color="auto" w:sz="4" w:space="0"/>
              <w:right w:val="single" w:color="auto" w:sz="4" w:space="0"/>
            </w:tcBorders>
            <w:noWrap w:val="0"/>
            <w:vAlign w:val="center"/>
          </w:tcPr>
          <w:p w14:paraId="1EE66E8B">
            <w:pPr>
              <w:snapToGrid w:val="0"/>
              <w:spacing w:before="50" w:after="50"/>
              <w:jc w:val="center"/>
              <w:rPr>
                <w:rFonts w:hint="eastAsia" w:ascii="宋体" w:hAnsi="宋体"/>
                <w:color w:val="auto"/>
                <w:sz w:val="24"/>
                <w:highlight w:val="none"/>
              </w:rPr>
            </w:pPr>
          </w:p>
        </w:tc>
        <w:tc>
          <w:tcPr>
            <w:tcW w:w="449" w:type="pct"/>
            <w:tcBorders>
              <w:top w:val="single" w:color="auto" w:sz="4" w:space="0"/>
              <w:left w:val="single" w:color="auto" w:sz="4" w:space="0"/>
              <w:bottom w:val="single" w:color="auto" w:sz="4" w:space="0"/>
              <w:right w:val="single" w:color="auto" w:sz="4" w:space="0"/>
            </w:tcBorders>
            <w:noWrap w:val="0"/>
            <w:vAlign w:val="center"/>
          </w:tcPr>
          <w:p w14:paraId="1C3D7B9F">
            <w:pPr>
              <w:snapToGrid w:val="0"/>
              <w:spacing w:before="50" w:after="50"/>
              <w:jc w:val="center"/>
              <w:rPr>
                <w:rFonts w:hint="eastAsia" w:ascii="宋体" w:hAnsi="宋体"/>
                <w:color w:val="auto"/>
                <w:sz w:val="24"/>
                <w:highlight w:val="none"/>
              </w:rPr>
            </w:pPr>
          </w:p>
        </w:tc>
        <w:tc>
          <w:tcPr>
            <w:tcW w:w="500" w:type="pct"/>
            <w:tcBorders>
              <w:top w:val="single" w:color="auto" w:sz="4" w:space="0"/>
              <w:left w:val="single" w:color="auto" w:sz="4" w:space="0"/>
              <w:bottom w:val="single" w:color="auto" w:sz="4" w:space="0"/>
              <w:right w:val="single" w:color="auto" w:sz="4" w:space="0"/>
            </w:tcBorders>
            <w:noWrap w:val="0"/>
            <w:vAlign w:val="center"/>
          </w:tcPr>
          <w:p w14:paraId="7B343A65">
            <w:pPr>
              <w:snapToGrid w:val="0"/>
              <w:spacing w:before="50" w:after="50"/>
              <w:jc w:val="center"/>
              <w:rPr>
                <w:rFonts w:hint="eastAsia" w:ascii="宋体" w:hAnsi="宋体"/>
                <w:color w:val="auto"/>
                <w:sz w:val="24"/>
                <w:highlight w:val="none"/>
              </w:rPr>
            </w:pPr>
          </w:p>
        </w:tc>
        <w:tc>
          <w:tcPr>
            <w:tcW w:w="998" w:type="pct"/>
            <w:tcBorders>
              <w:top w:val="single" w:color="auto" w:sz="4" w:space="0"/>
              <w:left w:val="single" w:color="auto" w:sz="4" w:space="0"/>
              <w:bottom w:val="single" w:color="auto" w:sz="4" w:space="0"/>
              <w:right w:val="single" w:color="auto" w:sz="4" w:space="0"/>
            </w:tcBorders>
            <w:noWrap w:val="0"/>
            <w:vAlign w:val="top"/>
          </w:tcPr>
          <w:p w14:paraId="0E6BE96B">
            <w:pPr>
              <w:snapToGrid w:val="0"/>
              <w:spacing w:before="50" w:after="50"/>
              <w:jc w:val="center"/>
              <w:rPr>
                <w:rFonts w:hint="eastAsia" w:ascii="宋体" w:hAnsi="宋体"/>
                <w:color w:val="auto"/>
                <w:sz w:val="24"/>
                <w:highlight w:val="none"/>
              </w:rPr>
            </w:pPr>
          </w:p>
        </w:tc>
        <w:tc>
          <w:tcPr>
            <w:tcW w:w="696" w:type="pct"/>
            <w:tcBorders>
              <w:top w:val="single" w:color="auto" w:sz="4" w:space="0"/>
              <w:left w:val="single" w:color="auto" w:sz="4" w:space="0"/>
              <w:bottom w:val="single" w:color="auto" w:sz="4" w:space="0"/>
              <w:right w:val="single" w:color="auto" w:sz="4" w:space="0"/>
            </w:tcBorders>
            <w:noWrap w:val="0"/>
            <w:vAlign w:val="center"/>
          </w:tcPr>
          <w:p w14:paraId="02DC24E0">
            <w:pPr>
              <w:snapToGrid w:val="0"/>
              <w:spacing w:before="50" w:after="50"/>
              <w:jc w:val="center"/>
              <w:rPr>
                <w:rFonts w:hint="eastAsia" w:ascii="宋体" w:hAnsi="宋体"/>
                <w:color w:val="auto"/>
                <w:sz w:val="24"/>
                <w:highlight w:val="none"/>
              </w:rPr>
            </w:pPr>
          </w:p>
        </w:tc>
        <w:tc>
          <w:tcPr>
            <w:tcW w:w="412" w:type="pct"/>
            <w:tcBorders>
              <w:top w:val="single" w:color="auto" w:sz="4" w:space="0"/>
              <w:left w:val="single" w:color="auto" w:sz="4" w:space="0"/>
              <w:bottom w:val="single" w:color="auto" w:sz="4" w:space="0"/>
              <w:right w:val="single" w:color="auto" w:sz="4" w:space="0"/>
            </w:tcBorders>
            <w:noWrap w:val="0"/>
            <w:vAlign w:val="center"/>
          </w:tcPr>
          <w:p w14:paraId="3AB1FA77">
            <w:pPr>
              <w:snapToGrid w:val="0"/>
              <w:spacing w:before="50" w:after="50"/>
              <w:jc w:val="center"/>
              <w:rPr>
                <w:rFonts w:hint="eastAsia" w:ascii="宋体" w:hAnsi="宋体"/>
                <w:color w:val="auto"/>
                <w:sz w:val="24"/>
                <w:highlight w:val="none"/>
              </w:rPr>
            </w:pPr>
          </w:p>
        </w:tc>
        <w:tc>
          <w:tcPr>
            <w:tcW w:w="836" w:type="pct"/>
            <w:tcBorders>
              <w:top w:val="single" w:color="auto" w:sz="4" w:space="0"/>
              <w:left w:val="single" w:color="auto" w:sz="4" w:space="0"/>
              <w:bottom w:val="single" w:color="auto" w:sz="4" w:space="0"/>
              <w:right w:val="single" w:color="auto" w:sz="4" w:space="0"/>
            </w:tcBorders>
            <w:noWrap w:val="0"/>
            <w:vAlign w:val="center"/>
          </w:tcPr>
          <w:p w14:paraId="2F212A2C">
            <w:pPr>
              <w:snapToGrid w:val="0"/>
              <w:spacing w:before="50" w:after="50"/>
              <w:jc w:val="center"/>
              <w:rPr>
                <w:rFonts w:hint="eastAsia" w:ascii="宋体" w:hAnsi="宋体"/>
                <w:color w:val="auto"/>
                <w:sz w:val="24"/>
                <w:highlight w:val="none"/>
              </w:rPr>
            </w:pPr>
          </w:p>
        </w:tc>
      </w:tr>
    </w:tbl>
    <w:p w14:paraId="6AF073F5">
      <w:pPr>
        <w:spacing w:line="360" w:lineRule="auto"/>
        <w:rPr>
          <w:rFonts w:hint="eastAsia" w:ascii="宋体" w:hAnsi="宋体"/>
          <w:color w:val="auto"/>
          <w:sz w:val="24"/>
          <w:highlight w:val="none"/>
        </w:rPr>
      </w:pPr>
      <w:r>
        <w:rPr>
          <w:rFonts w:hint="eastAsia" w:ascii="宋体" w:hAnsi="宋体"/>
          <w:color w:val="auto"/>
          <w:sz w:val="24"/>
          <w:highlight w:val="none"/>
        </w:rPr>
        <w:t>备注：</w:t>
      </w:r>
    </w:p>
    <w:p w14:paraId="771BF645">
      <w:pPr>
        <w:tabs>
          <w:tab w:val="left" w:pos="1065"/>
        </w:tabs>
        <w:adjustRightInd w:val="0"/>
        <w:spacing w:line="360" w:lineRule="auto"/>
        <w:rPr>
          <w:rFonts w:hint="eastAsia" w:ascii="宋体" w:hAnsi="宋体" w:cs="仿宋_GB2312"/>
          <w:color w:val="auto"/>
          <w:sz w:val="24"/>
          <w:highlight w:val="none"/>
        </w:rPr>
      </w:pPr>
      <w:r>
        <w:rPr>
          <w:rFonts w:hint="eastAsia" w:ascii="宋体" w:hAnsi="宋体"/>
          <w:b/>
          <w:bCs/>
          <w:color w:val="auto"/>
          <w:sz w:val="24"/>
          <w:highlight w:val="none"/>
        </w:rPr>
        <w:t>以上性能配置清单中“服务名称、数量及单位、品牌、规格型号、制造商、原产地、参数性能、指标及配置”必须如实填写完整，品牌、规格型号没有则填无，填写有缺漏的，响应文件作无效处理</w:t>
      </w:r>
      <w:r>
        <w:rPr>
          <w:rFonts w:hint="eastAsia" w:ascii="宋体" w:hAnsi="宋体"/>
          <w:b/>
          <w:color w:val="auto"/>
          <w:sz w:val="24"/>
          <w:highlight w:val="none"/>
        </w:rPr>
        <w:t>。</w:t>
      </w:r>
      <w:r>
        <w:rPr>
          <w:rFonts w:hint="eastAsia" w:ascii="宋体" w:hAnsi="宋体"/>
          <w:color w:val="auto"/>
          <w:sz w:val="24"/>
          <w:highlight w:val="none"/>
        </w:rPr>
        <w:t>服务名称、数量及单位、品牌必须与“服务需求一览表”一致，</w:t>
      </w:r>
      <w:r>
        <w:rPr>
          <w:rFonts w:hint="eastAsia" w:ascii="宋体" w:hAnsi="宋体"/>
          <w:bCs/>
          <w:color w:val="auto"/>
          <w:sz w:val="24"/>
          <w:highlight w:val="none"/>
        </w:rPr>
        <w:t>否则响应文件作无效处理</w:t>
      </w:r>
      <w:r>
        <w:rPr>
          <w:rFonts w:hint="eastAsia" w:ascii="宋体" w:hAnsi="宋体"/>
          <w:b/>
          <w:color w:val="auto"/>
          <w:sz w:val="24"/>
          <w:highlight w:val="none"/>
        </w:rPr>
        <w:t>。</w:t>
      </w:r>
      <w:r>
        <w:rPr>
          <w:rFonts w:hint="eastAsia" w:ascii="宋体" w:hAnsi="宋体" w:cs="仿宋_GB2312"/>
          <w:color w:val="auto"/>
          <w:sz w:val="24"/>
          <w:highlight w:val="none"/>
        </w:rPr>
        <w:tab/>
      </w:r>
    </w:p>
    <w:p w14:paraId="7B4F95E8">
      <w:pPr>
        <w:adjustRightInd w:val="0"/>
        <w:spacing w:line="360" w:lineRule="auto"/>
        <w:jc w:val="left"/>
        <w:rPr>
          <w:rFonts w:hint="eastAsia" w:ascii="宋体" w:hAnsi="宋体" w:cs="仿宋_GB2312"/>
          <w:color w:val="auto"/>
          <w:sz w:val="24"/>
          <w:highlight w:val="none"/>
        </w:rPr>
      </w:pPr>
    </w:p>
    <w:p w14:paraId="23B42C5B">
      <w:pPr>
        <w:autoSpaceDE w:val="0"/>
        <w:autoSpaceDN w:val="0"/>
        <w:spacing w:line="360" w:lineRule="auto"/>
        <w:ind w:left="4335" w:leftChars="1950" w:hanging="240" w:hangingChars="10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41D54357">
      <w:pPr>
        <w:spacing w:line="500" w:lineRule="exact"/>
        <w:jc w:val="center"/>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  年  月   日</w:t>
      </w:r>
    </w:p>
    <w:p w14:paraId="6CDF2D44">
      <w:pPr>
        <w:widowControl/>
        <w:jc w:val="left"/>
        <w:rPr>
          <w:rFonts w:ascii="仿宋_GB2312" w:hAnsi="仿宋" w:eastAsia="仿宋_GB2312" w:cs="仿宋_GB2312"/>
          <w:color w:val="auto"/>
          <w:kern w:val="0"/>
          <w:sz w:val="24"/>
          <w:highlight w:val="none"/>
          <w:lang w:val="zh-CN"/>
        </w:rPr>
        <w:sectPr>
          <w:pgSz w:w="11910" w:h="16840"/>
          <w:pgMar w:top="1340" w:right="1500" w:bottom="280" w:left="1680" w:header="720" w:footer="720" w:gutter="0"/>
          <w:cols w:space="720" w:num="1"/>
        </w:sectPr>
      </w:pPr>
    </w:p>
    <w:p w14:paraId="4506FDD5">
      <w:pPr>
        <w:snapToGrid w:val="0"/>
        <w:spacing w:line="360" w:lineRule="auto"/>
        <w:ind w:firstLine="602" w:firstLineChars="200"/>
        <w:rPr>
          <w:rFonts w:hint="eastAsia" w:ascii="仿宋" w:hAnsi="仿宋" w:eastAsia="仿宋" w:cs="仿宋_GB2312"/>
          <w:b/>
          <w:color w:val="auto"/>
          <w:sz w:val="30"/>
          <w:szCs w:val="30"/>
          <w:highlight w:val="none"/>
        </w:rPr>
      </w:pPr>
      <w:r>
        <w:rPr>
          <w:rFonts w:hint="eastAsia" w:ascii="仿宋" w:hAnsi="仿宋" w:eastAsia="仿宋" w:cs="仿宋_GB2312"/>
          <w:b/>
          <w:color w:val="auto"/>
          <w:sz w:val="30"/>
          <w:szCs w:val="30"/>
          <w:highlight w:val="none"/>
        </w:rPr>
        <w:t>八、</w:t>
      </w:r>
      <w:r>
        <w:rPr>
          <w:rFonts w:hint="eastAsia" w:ascii="仿宋" w:hAnsi="仿宋" w:eastAsia="仿宋" w:cs="仿宋_GB2312"/>
          <w:b/>
          <w:color w:val="auto"/>
          <w:sz w:val="30"/>
          <w:szCs w:val="30"/>
          <w:highlight w:val="none"/>
          <w:lang w:val="en-US" w:eastAsia="zh-CN"/>
        </w:rPr>
        <w:t>项目实施</w:t>
      </w:r>
      <w:r>
        <w:rPr>
          <w:rFonts w:hint="eastAsia" w:ascii="仿宋" w:hAnsi="仿宋" w:eastAsia="仿宋" w:cs="仿宋_GB2312"/>
          <w:b/>
          <w:color w:val="auto"/>
          <w:sz w:val="30"/>
          <w:szCs w:val="30"/>
          <w:highlight w:val="none"/>
        </w:rPr>
        <w:t>方案</w:t>
      </w:r>
    </w:p>
    <w:p w14:paraId="2BC07DEF">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（由供应商根据采购需求及采购文件要求编制）</w:t>
      </w:r>
    </w:p>
    <w:p w14:paraId="679449F5">
      <w:pPr>
        <w:rPr>
          <w:rFonts w:hint="eastAsia" w:ascii="仿宋_GB2312" w:hAnsi="仿宋" w:eastAsia="仿宋_GB2312" w:cs="仿宋_GB2312"/>
          <w:b/>
          <w:bCs/>
          <w:color w:val="auto"/>
          <w:kern w:val="0"/>
          <w:sz w:val="24"/>
          <w:highlight w:val="none"/>
          <w:lang w:val="zh-CN"/>
        </w:rPr>
      </w:pPr>
      <w:bookmarkStart w:id="90" w:name="_Toc78473822"/>
      <w:r>
        <w:rPr>
          <w:rFonts w:hint="eastAsia" w:ascii="仿宋_GB2312" w:hAnsi="仿宋" w:eastAsia="仿宋_GB2312" w:cs="仿宋_GB2312"/>
          <w:b/>
          <w:bCs/>
          <w:color w:val="auto"/>
          <w:kern w:val="0"/>
          <w:sz w:val="24"/>
          <w:highlight w:val="none"/>
          <w:lang w:val="zh-CN"/>
        </w:rPr>
        <w:t>附表:项目实施进度计划表</w:t>
      </w:r>
      <w:r>
        <w:rPr>
          <w:rFonts w:hint="eastAsia" w:ascii="仿宋_GB2312" w:hAnsi="仿宋" w:eastAsia="仿宋_GB2312" w:cs="仿宋_GB2312"/>
          <w:b/>
          <w:color w:val="auto"/>
          <w:sz w:val="24"/>
          <w:highlight w:val="none"/>
        </w:rPr>
        <w:t>(以生效日算起)</w:t>
      </w:r>
      <w:bookmarkEnd w:id="90"/>
      <w:r>
        <w:rPr>
          <w:rFonts w:hint="eastAsia" w:ascii="仿宋_GB2312" w:hAnsi="仿宋" w:eastAsia="仿宋_GB2312" w:cs="仿宋_GB2312"/>
          <w:b/>
          <w:color w:val="auto"/>
          <w:sz w:val="24"/>
          <w:highlight w:val="none"/>
        </w:rPr>
        <w:t xml:space="preserve"> </w:t>
      </w:r>
    </w:p>
    <w:tbl>
      <w:tblPr>
        <w:tblStyle w:val="25"/>
        <w:tblW w:w="0" w:type="auto"/>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701BE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trPr>
        <w:tc>
          <w:tcPr>
            <w:tcW w:w="1188" w:type="dxa"/>
            <w:tcBorders>
              <w:top w:val="single" w:color="auto" w:sz="4" w:space="0"/>
              <w:left w:val="single" w:color="auto" w:sz="4" w:space="0"/>
              <w:bottom w:val="single" w:color="auto" w:sz="4" w:space="0"/>
              <w:right w:val="single" w:color="auto" w:sz="4" w:space="0"/>
            </w:tcBorders>
            <w:noWrap w:val="0"/>
            <w:vAlign w:val="center"/>
          </w:tcPr>
          <w:p w14:paraId="44C80E26">
            <w:pPr>
              <w:spacing w:line="360" w:lineRule="auto"/>
              <w:rPr>
                <w:rFonts w:hint="eastAsia" w:ascii="仿宋_GB2312" w:hAnsi="仿宋" w:eastAsia="仿宋_GB2312" w:cs="仿宋_GB2312"/>
                <w:color w:val="auto"/>
                <w:sz w:val="24"/>
                <w:highlight w:val="none"/>
              </w:rPr>
            </w:pPr>
            <w:r>
              <w:rPr>
                <w:rFonts w:hint="eastAsia"/>
                <w:color w:val="auto"/>
                <w:highlight w:val="none"/>
              </w:rPr>
              <mc:AlternateContent>
                <mc:Choice Requires="wpg">
                  <w:drawing>
                    <wp:anchor distT="0" distB="0" distL="114300" distR="114300" simplePos="0" relativeHeight="251660288" behindDoc="0" locked="0" layoutInCell="1" allowOverlap="1">
                      <wp:simplePos x="0" y="0"/>
                      <wp:positionH relativeFrom="column">
                        <wp:posOffset>-65405</wp:posOffset>
                      </wp:positionH>
                      <wp:positionV relativeFrom="paragraph">
                        <wp:posOffset>0</wp:posOffset>
                      </wp:positionV>
                      <wp:extent cx="748030" cy="1181100"/>
                      <wp:effectExtent l="3810" t="2540" r="10160" b="16510"/>
                      <wp:wrapNone/>
                      <wp:docPr id="10" name="组合 10"/>
                      <wp:cNvGraphicFramePr/>
                      <a:graphic xmlns:a="http://schemas.openxmlformats.org/drawingml/2006/main">
                        <a:graphicData uri="http://schemas.microsoft.com/office/word/2010/wordprocessingGroup">
                          <wpg:wgp>
                            <wpg:cNvGrpSpPr/>
                            <wpg:grpSpPr>
                              <a:xfrm>
                                <a:off x="0" y="0"/>
                                <a:ext cx="748030" cy="1181100"/>
                                <a:chOff x="0" y="0"/>
                                <a:chExt cx="1178" cy="1860"/>
                              </a:xfrm>
                              <a:effectLst/>
                            </wpg:grpSpPr>
                            <wps:wsp>
                              <wps:cNvPr id="11" name="__TH_L2"/>
                              <wps:cNvCnPr/>
                              <wps:spPr bwMode="auto">
                                <a:xfrm>
                                  <a:off x="0" y="0"/>
                                  <a:ext cx="1178" cy="1860"/>
                                </a:xfrm>
                                <a:prstGeom prst="line">
                                  <a:avLst/>
                                </a:prstGeom>
                                <a:noFill/>
                                <a:ln w="6350">
                                  <a:solidFill>
                                    <a:srgbClr val="000000"/>
                                  </a:solidFill>
                                  <a:round/>
                                </a:ln>
                                <a:effectLst/>
                              </wps:spPr>
                              <wps:bodyPr/>
                            </wps:wsp>
                            <wps:wsp>
                              <wps:cNvPr id="12" name="__TH_B113"/>
                              <wps:cNvSpPr txBox="1">
                                <a:spLocks noChangeArrowheads="1"/>
                              </wps:cNvSpPr>
                              <wps:spPr bwMode="auto">
                                <a:xfrm>
                                  <a:off x="455" y="122"/>
                                  <a:ext cx="253" cy="263"/>
                                </a:xfrm>
                                <a:prstGeom prst="rect">
                                  <a:avLst/>
                                </a:prstGeom>
                                <a:noFill/>
                                <a:ln>
                                  <a:noFill/>
                                </a:ln>
                                <a:effectLst/>
                              </wps:spPr>
                              <wps:txbx>
                                <w:txbxContent>
                                  <w:p w14:paraId="5F350E34">
                                    <w:pPr>
                                      <w:snapToGrid w:val="0"/>
                                    </w:pPr>
                                    <w:r>
                                      <w:rPr>
                                        <w:rFonts w:hint="eastAsia"/>
                                      </w:rPr>
                                      <w:t>工</w:t>
                                    </w:r>
                                  </w:p>
                                </w:txbxContent>
                              </wps:txbx>
                              <wps:bodyPr rot="0" vert="horz" wrap="square" lIns="0" tIns="0" rIns="0" bIns="0" anchor="t" anchorCtr="0" upright="1">
                                <a:noAutofit/>
                              </wps:bodyPr>
                            </wps:wsp>
                            <wps:wsp>
                              <wps:cNvPr id="13" name="__TH_B124"/>
                              <wps:cNvSpPr txBox="1">
                                <a:spLocks noChangeArrowheads="1"/>
                              </wps:cNvSpPr>
                              <wps:spPr bwMode="auto">
                                <a:xfrm>
                                  <a:off x="643" y="419"/>
                                  <a:ext cx="253" cy="263"/>
                                </a:xfrm>
                                <a:prstGeom prst="rect">
                                  <a:avLst/>
                                </a:prstGeom>
                                <a:noFill/>
                                <a:ln>
                                  <a:noFill/>
                                </a:ln>
                                <a:effectLst/>
                              </wps:spPr>
                              <wps:txbx>
                                <w:txbxContent>
                                  <w:p w14:paraId="0205D527">
                                    <w:pPr>
                                      <w:snapToGrid w:val="0"/>
                                    </w:pPr>
                                    <w:r>
                                      <w:rPr>
                                        <w:rFonts w:hint="eastAsia"/>
                                      </w:rPr>
                                      <w:t>作</w:t>
                                    </w:r>
                                  </w:p>
                                </w:txbxContent>
                              </wps:txbx>
                              <wps:bodyPr rot="0" vert="horz" wrap="square" lIns="0" tIns="0" rIns="0" bIns="0" anchor="t" anchorCtr="0" upright="1">
                                <a:noAutofit/>
                              </wps:bodyPr>
                            </wps:wsp>
                            <wps:wsp>
                              <wps:cNvPr id="14" name="__TH_B135"/>
                              <wps:cNvSpPr txBox="1">
                                <a:spLocks noChangeArrowheads="1"/>
                              </wps:cNvSpPr>
                              <wps:spPr bwMode="auto">
                                <a:xfrm>
                                  <a:off x="831" y="717"/>
                                  <a:ext cx="253" cy="262"/>
                                </a:xfrm>
                                <a:prstGeom prst="rect">
                                  <a:avLst/>
                                </a:prstGeom>
                                <a:noFill/>
                                <a:ln>
                                  <a:noFill/>
                                </a:ln>
                                <a:effectLst/>
                              </wps:spPr>
                              <wps:txbx>
                                <w:txbxContent>
                                  <w:p w14:paraId="3334E831">
                                    <w:pPr>
                                      <w:snapToGrid w:val="0"/>
                                    </w:pPr>
                                    <w:r>
                                      <w:rPr>
                                        <w:rFonts w:hint="eastAsia"/>
                                      </w:rPr>
                                      <w:t>日</w:t>
                                    </w: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5.15pt;margin-top:0pt;height:93pt;width:58.9pt;z-index:251660288;mso-width-relative:page;mso-height-relative:page;" coordsize="1178,1860" o:gfxdata="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">
                      <o:lock v:ext="edit" aspectratio="f"/>
                      <v:line id="__TH_L2" o:spid="_x0000_s1026" o:spt="20" style="position:absolute;left:0;top:0;height:1860;width:1178;" filled="f" stroked="t" coordsize="21600,21600" o:gfxdata="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9fiCLgAAADbAAAA&#10;DwAAAAAAAAABACAAAAAiAAAAZHJzL2Rvd25yZXYueG1sUEsBAhQAFAAAAAgAh07iQDMvBZ47AAAA&#10;OQAAABAAAAAAAAAAAQAgAAAABwEAAGRycy9zaGFwZXhtbC54bWxQSwUGAAAAAAYABgBbAQAAsQMA&#10;AAAA&#10;">
                        <v:fill on="f" focussize="0,0"/>
                        <v:stroke weight="0.5pt" color="#000000" joinstyle="round"/>
                        <v:imagedata o:title=""/>
                        <o:lock v:ext="edit" aspectratio="f"/>
                      </v:line>
                      <v:shape id="__TH_B113" o:spid="_x0000_s1026" o:spt="202" type="#_x0000_t202" style="position:absolute;left:455;top:122;height:263;width:253;" filled="f" stroked="f" coordsize="21600,21600" o:gfxdata="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UylS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5F350E34">
                              <w:pPr>
                                <w:snapToGrid w:val="0"/>
                              </w:pPr>
                              <w:r>
                                <w:rPr>
                                  <w:rFonts w:hint="eastAsia"/>
                                </w:rPr>
                                <w:t>工</w:t>
                              </w:r>
                            </w:p>
                          </w:txbxContent>
                        </v:textbox>
                      </v:shape>
                      <v:shape id="__TH_B124" o:spid="_x0000_s1026" o:spt="202" type="#_x0000_t202" style="position:absolute;left:643;top:419;height:263;width:253;" filled="f" stroked="f" coordsize="21600,21600" o:gfxdata="UEsDBAoAAAAAAIdO4kAAAAAAAAAAAAAAAAAEAAAAZHJzL1BLAwQUAAAACACHTuJA+thvz7wAAADb&#10;AAAADwAAAGRycy9kb3ducmV2LnhtbEVP32vCMBB+F/Y/hBv4pokT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Yb8+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0205D527">
                              <w:pPr>
                                <w:snapToGrid w:val="0"/>
                              </w:pPr>
                              <w:r>
                                <w:rPr>
                                  <w:rFonts w:hint="eastAsia"/>
                                </w:rPr>
                                <w:t>作</w:t>
                              </w:r>
                            </w:p>
                          </w:txbxContent>
                        </v:textbox>
                      </v:shape>
                      <v:shape id="__TH_B135" o:spid="_x0000_s1026" o:spt="202" type="#_x0000_t202" style="position:absolute;left:831;top:717;height:262;width:253;" filled="f" stroked="f" coordsize="21600,21600" o:gfxdata="UEsDBAoAAAAAAIdO4kAAAAAAAAAAAAAAAAAEAAAAZHJzL1BLAwQUAAAACACHTuJAdTH3u7wAAADb&#10;AAAADwAAAGRycy9kb3ducmV2LnhtbEVP32vCMBB+F/Y/hBv4polD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x97u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3334E831">
                              <w:pPr>
                                <w:snapToGrid w:val="0"/>
                              </w:pPr>
                              <w:r>
                                <w:rPr>
                                  <w:rFonts w:hint="eastAsia"/>
                                </w:rPr>
                                <w:t>日</w:t>
                              </w:r>
                            </w:p>
                          </w:txbxContent>
                        </v:textbox>
                      </v:shape>
                    </v:group>
                  </w:pict>
                </mc:Fallback>
              </mc:AlternateContent>
            </w:r>
          </w:p>
          <w:p w14:paraId="3CA8F694">
            <w:pPr>
              <w:spacing w:line="360" w:lineRule="auto"/>
              <w:rPr>
                <w:rFonts w:hint="eastAsia" w:ascii="仿宋_GB2312" w:hAnsi="仿宋" w:eastAsia="仿宋_GB2312" w:cs="仿宋_GB2312"/>
                <w:color w:val="auto"/>
                <w:sz w:val="24"/>
                <w:highlight w:val="none"/>
              </w:rPr>
            </w:pPr>
          </w:p>
          <w:p w14:paraId="5F6121CD">
            <w:pPr>
              <w:spacing w:line="360" w:lineRule="auto"/>
              <w:rPr>
                <w:rFonts w:hint="eastAsia" w:ascii="仿宋_GB2312" w:hAnsi="仿宋" w:eastAsia="仿宋_GB2312" w:cs="仿宋_GB2312"/>
                <w:color w:val="auto"/>
                <w:sz w:val="24"/>
                <w:highlight w:val="none"/>
              </w:rPr>
            </w:pPr>
          </w:p>
          <w:p w14:paraId="6291F997">
            <w:pPr>
              <w:spacing w:line="360" w:lineRule="auto"/>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内容</w:t>
            </w:r>
          </w:p>
        </w:tc>
        <w:tc>
          <w:tcPr>
            <w:tcW w:w="552" w:type="dxa"/>
            <w:tcBorders>
              <w:top w:val="single" w:color="auto" w:sz="4" w:space="0"/>
              <w:left w:val="single" w:color="auto" w:sz="4" w:space="0"/>
              <w:bottom w:val="single" w:color="auto" w:sz="4" w:space="0"/>
              <w:right w:val="single" w:color="auto" w:sz="4" w:space="0"/>
            </w:tcBorders>
            <w:noWrap w:val="0"/>
            <w:vAlign w:val="center"/>
          </w:tcPr>
          <w:p w14:paraId="0C5B34B5">
            <w:pPr>
              <w:spacing w:line="360" w:lineRule="auto"/>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w:t>
            </w:r>
          </w:p>
        </w:tc>
        <w:tc>
          <w:tcPr>
            <w:tcW w:w="552" w:type="dxa"/>
            <w:tcBorders>
              <w:top w:val="single" w:color="auto" w:sz="4" w:space="0"/>
              <w:left w:val="single" w:color="auto" w:sz="4" w:space="0"/>
              <w:bottom w:val="single" w:color="auto" w:sz="4" w:space="0"/>
              <w:right w:val="single" w:color="auto" w:sz="4" w:space="0"/>
            </w:tcBorders>
            <w:noWrap w:val="0"/>
            <w:vAlign w:val="center"/>
          </w:tcPr>
          <w:p w14:paraId="140B6E70">
            <w:pPr>
              <w:spacing w:line="360" w:lineRule="auto"/>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2</w:t>
            </w:r>
          </w:p>
        </w:tc>
        <w:tc>
          <w:tcPr>
            <w:tcW w:w="552" w:type="dxa"/>
            <w:tcBorders>
              <w:top w:val="single" w:color="auto" w:sz="4" w:space="0"/>
              <w:left w:val="single" w:color="auto" w:sz="4" w:space="0"/>
              <w:bottom w:val="single" w:color="auto" w:sz="4" w:space="0"/>
              <w:right w:val="single" w:color="auto" w:sz="4" w:space="0"/>
            </w:tcBorders>
            <w:noWrap w:val="0"/>
            <w:vAlign w:val="center"/>
          </w:tcPr>
          <w:p w14:paraId="5F5676FF">
            <w:pPr>
              <w:spacing w:line="360" w:lineRule="auto"/>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3</w:t>
            </w:r>
          </w:p>
        </w:tc>
        <w:tc>
          <w:tcPr>
            <w:tcW w:w="552" w:type="dxa"/>
            <w:tcBorders>
              <w:top w:val="single" w:color="auto" w:sz="4" w:space="0"/>
              <w:left w:val="single" w:color="auto" w:sz="4" w:space="0"/>
              <w:bottom w:val="single" w:color="auto" w:sz="4" w:space="0"/>
              <w:right w:val="single" w:color="auto" w:sz="4" w:space="0"/>
            </w:tcBorders>
            <w:noWrap w:val="0"/>
            <w:vAlign w:val="center"/>
          </w:tcPr>
          <w:p w14:paraId="32AFB50F">
            <w:pPr>
              <w:spacing w:line="360" w:lineRule="auto"/>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4</w:t>
            </w:r>
          </w:p>
        </w:tc>
        <w:tc>
          <w:tcPr>
            <w:tcW w:w="552" w:type="dxa"/>
            <w:tcBorders>
              <w:top w:val="single" w:color="auto" w:sz="4" w:space="0"/>
              <w:left w:val="single" w:color="auto" w:sz="4" w:space="0"/>
              <w:bottom w:val="single" w:color="auto" w:sz="4" w:space="0"/>
              <w:right w:val="single" w:color="auto" w:sz="4" w:space="0"/>
            </w:tcBorders>
            <w:noWrap w:val="0"/>
            <w:vAlign w:val="center"/>
          </w:tcPr>
          <w:p w14:paraId="0657A205">
            <w:pPr>
              <w:spacing w:line="360" w:lineRule="auto"/>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5</w:t>
            </w:r>
          </w:p>
        </w:tc>
        <w:tc>
          <w:tcPr>
            <w:tcW w:w="552" w:type="dxa"/>
            <w:tcBorders>
              <w:top w:val="single" w:color="auto" w:sz="4" w:space="0"/>
              <w:left w:val="single" w:color="auto" w:sz="4" w:space="0"/>
              <w:bottom w:val="single" w:color="auto" w:sz="4" w:space="0"/>
              <w:right w:val="single" w:color="auto" w:sz="4" w:space="0"/>
            </w:tcBorders>
            <w:noWrap w:val="0"/>
            <w:vAlign w:val="center"/>
          </w:tcPr>
          <w:p w14:paraId="051DA373">
            <w:pPr>
              <w:spacing w:line="360" w:lineRule="auto"/>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6</w:t>
            </w:r>
          </w:p>
        </w:tc>
        <w:tc>
          <w:tcPr>
            <w:tcW w:w="553" w:type="dxa"/>
            <w:tcBorders>
              <w:top w:val="single" w:color="auto" w:sz="4" w:space="0"/>
              <w:left w:val="single" w:color="auto" w:sz="4" w:space="0"/>
              <w:bottom w:val="single" w:color="auto" w:sz="4" w:space="0"/>
              <w:right w:val="single" w:color="auto" w:sz="4" w:space="0"/>
            </w:tcBorders>
            <w:noWrap w:val="0"/>
            <w:vAlign w:val="center"/>
          </w:tcPr>
          <w:p w14:paraId="10DCB765">
            <w:pPr>
              <w:spacing w:line="360" w:lineRule="auto"/>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7</w:t>
            </w:r>
          </w:p>
        </w:tc>
        <w:tc>
          <w:tcPr>
            <w:tcW w:w="553" w:type="dxa"/>
            <w:tcBorders>
              <w:top w:val="single" w:color="auto" w:sz="4" w:space="0"/>
              <w:left w:val="single" w:color="auto" w:sz="4" w:space="0"/>
              <w:bottom w:val="single" w:color="auto" w:sz="4" w:space="0"/>
              <w:right w:val="single" w:color="auto" w:sz="4" w:space="0"/>
            </w:tcBorders>
            <w:noWrap w:val="0"/>
            <w:vAlign w:val="center"/>
          </w:tcPr>
          <w:p w14:paraId="3199355C">
            <w:pPr>
              <w:spacing w:line="360" w:lineRule="auto"/>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8</w:t>
            </w:r>
          </w:p>
        </w:tc>
        <w:tc>
          <w:tcPr>
            <w:tcW w:w="553" w:type="dxa"/>
            <w:tcBorders>
              <w:top w:val="single" w:color="auto" w:sz="4" w:space="0"/>
              <w:left w:val="single" w:color="auto" w:sz="4" w:space="0"/>
              <w:bottom w:val="single" w:color="auto" w:sz="4" w:space="0"/>
              <w:right w:val="single" w:color="auto" w:sz="4" w:space="0"/>
            </w:tcBorders>
            <w:noWrap w:val="0"/>
            <w:vAlign w:val="center"/>
          </w:tcPr>
          <w:p w14:paraId="4F49D1D6">
            <w:pPr>
              <w:spacing w:line="360" w:lineRule="auto"/>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9</w:t>
            </w:r>
          </w:p>
        </w:tc>
        <w:tc>
          <w:tcPr>
            <w:tcW w:w="553" w:type="dxa"/>
            <w:tcBorders>
              <w:top w:val="single" w:color="auto" w:sz="4" w:space="0"/>
              <w:left w:val="single" w:color="auto" w:sz="4" w:space="0"/>
              <w:bottom w:val="single" w:color="auto" w:sz="4" w:space="0"/>
              <w:right w:val="single" w:color="auto" w:sz="4" w:space="0"/>
            </w:tcBorders>
            <w:noWrap w:val="0"/>
            <w:vAlign w:val="center"/>
          </w:tcPr>
          <w:p w14:paraId="5486D4E1">
            <w:pPr>
              <w:spacing w:line="360" w:lineRule="auto"/>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10</w:t>
            </w:r>
          </w:p>
        </w:tc>
        <w:tc>
          <w:tcPr>
            <w:tcW w:w="553" w:type="dxa"/>
            <w:tcBorders>
              <w:top w:val="single" w:color="auto" w:sz="4" w:space="0"/>
              <w:left w:val="single" w:color="auto" w:sz="4" w:space="0"/>
              <w:bottom w:val="single" w:color="auto" w:sz="4" w:space="0"/>
              <w:right w:val="single" w:color="auto" w:sz="4" w:space="0"/>
            </w:tcBorders>
            <w:noWrap w:val="0"/>
            <w:vAlign w:val="center"/>
          </w:tcPr>
          <w:p w14:paraId="5B388570">
            <w:pPr>
              <w:spacing w:line="360" w:lineRule="auto"/>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11</w:t>
            </w:r>
          </w:p>
        </w:tc>
        <w:tc>
          <w:tcPr>
            <w:tcW w:w="553" w:type="dxa"/>
            <w:tcBorders>
              <w:top w:val="single" w:color="auto" w:sz="4" w:space="0"/>
              <w:left w:val="single" w:color="auto" w:sz="4" w:space="0"/>
              <w:bottom w:val="single" w:color="auto" w:sz="4" w:space="0"/>
              <w:right w:val="single" w:color="auto" w:sz="4" w:space="0"/>
            </w:tcBorders>
            <w:noWrap w:val="0"/>
            <w:vAlign w:val="center"/>
          </w:tcPr>
          <w:p w14:paraId="4CECF24A">
            <w:pPr>
              <w:spacing w:line="360" w:lineRule="auto"/>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12</w:t>
            </w:r>
          </w:p>
        </w:tc>
        <w:tc>
          <w:tcPr>
            <w:tcW w:w="553" w:type="dxa"/>
            <w:tcBorders>
              <w:top w:val="single" w:color="auto" w:sz="4" w:space="0"/>
              <w:left w:val="single" w:color="auto" w:sz="4" w:space="0"/>
              <w:bottom w:val="single" w:color="auto" w:sz="4" w:space="0"/>
              <w:right w:val="single" w:color="auto" w:sz="4" w:space="0"/>
            </w:tcBorders>
            <w:noWrap w:val="0"/>
            <w:vAlign w:val="center"/>
          </w:tcPr>
          <w:p w14:paraId="0C7CB18B">
            <w:pPr>
              <w:spacing w:line="360" w:lineRule="auto"/>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13</w:t>
            </w:r>
          </w:p>
        </w:tc>
        <w:tc>
          <w:tcPr>
            <w:tcW w:w="553" w:type="dxa"/>
            <w:tcBorders>
              <w:top w:val="single" w:color="auto" w:sz="4" w:space="0"/>
              <w:left w:val="single" w:color="auto" w:sz="4" w:space="0"/>
              <w:bottom w:val="single" w:color="auto" w:sz="4" w:space="0"/>
              <w:right w:val="single" w:color="auto" w:sz="4" w:space="0"/>
            </w:tcBorders>
            <w:noWrap w:val="0"/>
            <w:vAlign w:val="center"/>
          </w:tcPr>
          <w:p w14:paraId="7D718FA1">
            <w:pPr>
              <w:spacing w:line="360" w:lineRule="auto"/>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14</w:t>
            </w:r>
          </w:p>
        </w:tc>
        <w:tc>
          <w:tcPr>
            <w:tcW w:w="553" w:type="dxa"/>
            <w:tcBorders>
              <w:top w:val="single" w:color="auto" w:sz="4" w:space="0"/>
              <w:left w:val="single" w:color="auto" w:sz="4" w:space="0"/>
              <w:bottom w:val="single" w:color="auto" w:sz="4" w:space="0"/>
              <w:right w:val="single" w:color="auto" w:sz="4" w:space="0"/>
            </w:tcBorders>
            <w:noWrap w:val="0"/>
            <w:vAlign w:val="center"/>
          </w:tcPr>
          <w:p w14:paraId="67FA4EEF">
            <w:pPr>
              <w:spacing w:line="360" w:lineRule="auto"/>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15</w:t>
            </w:r>
          </w:p>
        </w:tc>
        <w:tc>
          <w:tcPr>
            <w:tcW w:w="553" w:type="dxa"/>
            <w:tcBorders>
              <w:top w:val="single" w:color="auto" w:sz="4" w:space="0"/>
              <w:left w:val="single" w:color="auto" w:sz="4" w:space="0"/>
              <w:bottom w:val="single" w:color="auto" w:sz="4" w:space="0"/>
              <w:right w:val="single" w:color="auto" w:sz="4" w:space="0"/>
            </w:tcBorders>
            <w:noWrap w:val="0"/>
            <w:vAlign w:val="center"/>
          </w:tcPr>
          <w:p w14:paraId="3699326B">
            <w:pPr>
              <w:spacing w:line="360" w:lineRule="auto"/>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w:t>
            </w:r>
          </w:p>
        </w:tc>
      </w:tr>
      <w:tr w14:paraId="19C99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0602C2C3">
            <w:pPr>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72CD0015">
            <w:pPr>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1CF403B3">
            <w:pPr>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2801AF11">
            <w:pPr>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2902761C">
            <w:pPr>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3651EC80">
            <w:pPr>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3A05E41C">
            <w:pPr>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5E9F4F4A">
            <w:pPr>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64920D26">
            <w:pPr>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6D6BCB40">
            <w:pPr>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4F67AE8A">
            <w:pPr>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20F4FA5A">
            <w:pPr>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3CC575DE">
            <w:pPr>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77813652">
            <w:pPr>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339BD5AE">
            <w:pPr>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53BEEC93">
            <w:pPr>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12D4D26D">
            <w:pPr>
              <w:spacing w:line="360" w:lineRule="auto"/>
              <w:rPr>
                <w:rFonts w:hint="eastAsia" w:ascii="仿宋_GB2312" w:hAnsi="仿宋" w:eastAsia="仿宋_GB2312" w:cs="仿宋_GB2312"/>
                <w:color w:val="auto"/>
                <w:sz w:val="24"/>
                <w:highlight w:val="none"/>
              </w:rPr>
            </w:pPr>
          </w:p>
        </w:tc>
      </w:tr>
      <w:tr w14:paraId="4E046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2963674C">
            <w:pPr>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0879484C">
            <w:pPr>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0D69433A">
            <w:pPr>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6715B89C">
            <w:pPr>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2EA0A6E7">
            <w:pPr>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6258798A">
            <w:pPr>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55672920">
            <w:pPr>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06C35577">
            <w:pPr>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2FC05C3B">
            <w:pPr>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68EB9506">
            <w:pPr>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47B4410B">
            <w:pPr>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4F10E616">
            <w:pPr>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7778444E">
            <w:pPr>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0D17C9E1">
            <w:pPr>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1C9C7141">
            <w:pPr>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1CFA4162">
            <w:pPr>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17A5B430">
            <w:pPr>
              <w:spacing w:line="360" w:lineRule="auto"/>
              <w:rPr>
                <w:rFonts w:hint="eastAsia" w:ascii="仿宋_GB2312" w:hAnsi="仿宋" w:eastAsia="仿宋_GB2312" w:cs="仿宋_GB2312"/>
                <w:color w:val="auto"/>
                <w:sz w:val="24"/>
                <w:highlight w:val="none"/>
              </w:rPr>
            </w:pPr>
          </w:p>
        </w:tc>
      </w:tr>
      <w:tr w14:paraId="5169E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27A1DDEC">
            <w:pPr>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57F6E217">
            <w:pPr>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5D366B35">
            <w:pPr>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71C60C17">
            <w:pPr>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1E291B3B">
            <w:pPr>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1FF41059">
            <w:pPr>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4A3E9357">
            <w:pPr>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4E480910">
            <w:pPr>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708C0F41">
            <w:pPr>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7A6BF05D">
            <w:pPr>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3AB66108">
            <w:pPr>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2BD6115D">
            <w:pPr>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38036E14">
            <w:pPr>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5C914B3E">
            <w:pPr>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1CEC4D3D">
            <w:pPr>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193B18DA">
            <w:pPr>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701CCA25">
            <w:pPr>
              <w:spacing w:line="360" w:lineRule="auto"/>
              <w:rPr>
                <w:rFonts w:hint="eastAsia" w:ascii="仿宋_GB2312" w:hAnsi="仿宋" w:eastAsia="仿宋_GB2312" w:cs="仿宋_GB2312"/>
                <w:color w:val="auto"/>
                <w:sz w:val="24"/>
                <w:highlight w:val="none"/>
              </w:rPr>
            </w:pPr>
          </w:p>
        </w:tc>
      </w:tr>
      <w:tr w14:paraId="2A76D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3DCCDF96">
            <w:pPr>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3EB81FB6">
            <w:pPr>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35C56F03">
            <w:pPr>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1FD891ED">
            <w:pPr>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0538A468">
            <w:pPr>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401FEB8C">
            <w:pPr>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6CF0C73B">
            <w:pPr>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5517DC1D">
            <w:pPr>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0C59B160">
            <w:pPr>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21C30BBA">
            <w:pPr>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1C4CD086">
            <w:pPr>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59F60B98">
            <w:pPr>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62E3C607">
            <w:pPr>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03505429">
            <w:pPr>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0D43625F">
            <w:pPr>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7E1E9989">
            <w:pPr>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0A534C20">
            <w:pPr>
              <w:spacing w:line="360" w:lineRule="auto"/>
              <w:rPr>
                <w:rFonts w:hint="eastAsia" w:ascii="仿宋_GB2312" w:hAnsi="仿宋" w:eastAsia="仿宋_GB2312" w:cs="仿宋_GB2312"/>
                <w:color w:val="auto"/>
                <w:sz w:val="24"/>
                <w:highlight w:val="none"/>
              </w:rPr>
            </w:pPr>
          </w:p>
        </w:tc>
      </w:tr>
      <w:tr w14:paraId="36466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5CC3B0C0">
            <w:pPr>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72FD51E7">
            <w:pPr>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6EA1C4DA">
            <w:pPr>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05D38E50">
            <w:pPr>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58A5B73A">
            <w:pPr>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372543F0">
            <w:pPr>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4456206E">
            <w:pPr>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11763FBB">
            <w:pPr>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3DD902BF">
            <w:pPr>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3912A2AE">
            <w:pPr>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23222F87">
            <w:pPr>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7A91E87C">
            <w:pPr>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23A2741F">
            <w:pPr>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1DB53EEC">
            <w:pPr>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7506684A">
            <w:pPr>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780BB3E2">
            <w:pPr>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46C5EB1D">
            <w:pPr>
              <w:spacing w:line="360" w:lineRule="auto"/>
              <w:rPr>
                <w:rFonts w:hint="eastAsia" w:ascii="仿宋_GB2312" w:hAnsi="仿宋" w:eastAsia="仿宋_GB2312" w:cs="仿宋_GB2312"/>
                <w:color w:val="auto"/>
                <w:sz w:val="24"/>
                <w:highlight w:val="none"/>
              </w:rPr>
            </w:pPr>
          </w:p>
        </w:tc>
      </w:tr>
      <w:tr w14:paraId="5A117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4E0755E4">
            <w:pPr>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0AA3D61A">
            <w:pPr>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64D4DA10">
            <w:pPr>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656EEF84">
            <w:pPr>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12679475">
            <w:pPr>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22646656">
            <w:pPr>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128C7D24">
            <w:pPr>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1EFD71DA">
            <w:pPr>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3850D2A8">
            <w:pPr>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4D253E3F">
            <w:pPr>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0DFC5BC7">
            <w:pPr>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481D8CF5">
            <w:pPr>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1E7D0BCE">
            <w:pPr>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4C05E2D5">
            <w:pPr>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4C54023A">
            <w:pPr>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29A65229">
            <w:pPr>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2013C15B">
            <w:pPr>
              <w:spacing w:line="360" w:lineRule="auto"/>
              <w:rPr>
                <w:rFonts w:hint="eastAsia" w:ascii="仿宋_GB2312" w:hAnsi="仿宋" w:eastAsia="仿宋_GB2312" w:cs="仿宋_GB2312"/>
                <w:color w:val="auto"/>
                <w:sz w:val="24"/>
                <w:highlight w:val="none"/>
              </w:rPr>
            </w:pPr>
          </w:p>
        </w:tc>
      </w:tr>
      <w:tr w14:paraId="77BEE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72B77653">
            <w:pPr>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7D7ADF1E">
            <w:pPr>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5099E55F">
            <w:pPr>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4F944C8E">
            <w:pPr>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39838C8F">
            <w:pPr>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35BC3E05">
            <w:pPr>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0BA73847">
            <w:pPr>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537A84A6">
            <w:pPr>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18F5B3E6">
            <w:pPr>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60F3F575">
            <w:pPr>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0E87424E">
            <w:pPr>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13969EE8">
            <w:pPr>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5173DA9F">
            <w:pPr>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0882C814">
            <w:pPr>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160A79A0">
            <w:pPr>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2B3F312A">
            <w:pPr>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2A182D22">
            <w:pPr>
              <w:spacing w:line="360" w:lineRule="auto"/>
              <w:rPr>
                <w:rFonts w:hint="eastAsia" w:ascii="仿宋_GB2312" w:hAnsi="仿宋" w:eastAsia="仿宋_GB2312" w:cs="仿宋_GB2312"/>
                <w:color w:val="auto"/>
                <w:sz w:val="24"/>
                <w:highlight w:val="none"/>
              </w:rPr>
            </w:pPr>
          </w:p>
        </w:tc>
      </w:tr>
      <w:tr w14:paraId="7F717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768E2678">
            <w:pPr>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132AC73A">
            <w:pPr>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23B548DC">
            <w:pPr>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0CC856E0">
            <w:pPr>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33191459">
            <w:pPr>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71F8F3B6">
            <w:pPr>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0304ADE3">
            <w:pPr>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03F08D17">
            <w:pPr>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351F066B">
            <w:pPr>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63848877">
            <w:pPr>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0E2612F0">
            <w:pPr>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429255C6">
            <w:pPr>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569CF1A0">
            <w:pPr>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3A98453F">
            <w:pPr>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028A6E53">
            <w:pPr>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3CB40B5D">
            <w:pPr>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67034465">
            <w:pPr>
              <w:spacing w:line="360" w:lineRule="auto"/>
              <w:rPr>
                <w:rFonts w:hint="eastAsia" w:ascii="仿宋_GB2312" w:hAnsi="仿宋" w:eastAsia="仿宋_GB2312" w:cs="仿宋_GB2312"/>
                <w:color w:val="auto"/>
                <w:sz w:val="24"/>
                <w:highlight w:val="none"/>
              </w:rPr>
            </w:pPr>
          </w:p>
        </w:tc>
      </w:tr>
      <w:tr w14:paraId="19EA2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769BE557">
            <w:pPr>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5BB82175">
            <w:pPr>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3C589BAE">
            <w:pPr>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162FE830">
            <w:pPr>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058382D8">
            <w:pPr>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5603B879">
            <w:pPr>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26E00180">
            <w:pPr>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7C633C19">
            <w:pPr>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47FBC4B6">
            <w:pPr>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0D757324">
            <w:pPr>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2CD35878">
            <w:pPr>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29EBB482">
            <w:pPr>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3651619E">
            <w:pPr>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4326E416">
            <w:pPr>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545111E3">
            <w:pPr>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2AEA778E">
            <w:pPr>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0A6EAA82">
            <w:pPr>
              <w:spacing w:line="360" w:lineRule="auto"/>
              <w:rPr>
                <w:rFonts w:hint="eastAsia" w:ascii="仿宋_GB2312" w:hAnsi="仿宋" w:eastAsia="仿宋_GB2312" w:cs="仿宋_GB2312"/>
                <w:color w:val="auto"/>
                <w:sz w:val="24"/>
                <w:highlight w:val="none"/>
              </w:rPr>
            </w:pPr>
          </w:p>
        </w:tc>
      </w:tr>
    </w:tbl>
    <w:p w14:paraId="597D0AEF">
      <w:pPr>
        <w:autoSpaceDE w:val="0"/>
        <w:autoSpaceDN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b/>
          <w:color w:val="auto"/>
          <w:sz w:val="24"/>
          <w:highlight w:val="none"/>
        </w:rPr>
        <w:t>注：供应商可按上述时间表的格式自行编制切合实际的具体时间表。</w:t>
      </w:r>
    </w:p>
    <w:p w14:paraId="59DCE2A7">
      <w:pPr>
        <w:spacing w:line="500" w:lineRule="exact"/>
        <w:rPr>
          <w:rFonts w:hint="eastAsia" w:ascii="仿宋_GB2312" w:hAnsi="仿宋_GB2312" w:eastAsia="仿宋_GB2312" w:cs="仿宋_GB2312"/>
          <w:color w:val="auto"/>
          <w:sz w:val="32"/>
          <w:szCs w:val="32"/>
          <w:highlight w:val="none"/>
        </w:rPr>
      </w:pPr>
    </w:p>
    <w:p w14:paraId="59C9870C">
      <w:pPr>
        <w:autoSpaceDE w:val="0"/>
        <w:autoSpaceDN w:val="0"/>
        <w:spacing w:line="360" w:lineRule="auto"/>
        <w:ind w:left="4335" w:leftChars="1950" w:hanging="240" w:hangingChars="10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7748B96F">
      <w:pPr>
        <w:autoSpaceDE w:val="0"/>
        <w:autoSpaceDN w:val="0"/>
        <w:spacing w:line="360" w:lineRule="auto"/>
        <w:ind w:firstLine="6480" w:firstLineChars="2700"/>
        <w:rPr>
          <w:rFonts w:hint="eastAsia" w:ascii="仿宋_GB2312" w:hAnsi="仿宋" w:eastAsia="仿宋_GB2312" w:cs="仿宋_GB2312"/>
          <w:b/>
          <w:bCs/>
          <w:color w:val="auto"/>
          <w:sz w:val="24"/>
          <w:highlight w:val="none"/>
        </w:rPr>
      </w:pPr>
      <w:r>
        <w:rPr>
          <w:rFonts w:hint="eastAsia" w:ascii="仿宋_GB2312" w:hAnsi="仿宋" w:eastAsia="仿宋_GB2312" w:cs="仿宋_GB2312"/>
          <w:color w:val="auto"/>
          <w:kern w:val="0"/>
          <w:sz w:val="24"/>
          <w:highlight w:val="none"/>
          <w:lang w:val="zh-CN"/>
        </w:rPr>
        <w:t>日期：  年 月  日</w:t>
      </w:r>
    </w:p>
    <w:p w14:paraId="5FF4AE34">
      <w:pPr>
        <w:spacing w:line="500" w:lineRule="exact"/>
        <w:rPr>
          <w:rFonts w:hint="eastAsia" w:ascii="仿宋_GB2312" w:hAnsi="仿宋_GB2312" w:eastAsia="仿宋_GB2312" w:cs="仿宋_GB2312"/>
          <w:color w:val="auto"/>
          <w:sz w:val="32"/>
          <w:szCs w:val="32"/>
          <w:highlight w:val="none"/>
        </w:rPr>
      </w:pPr>
    </w:p>
    <w:p w14:paraId="4D8CE840">
      <w:pPr>
        <w:snapToGrid w:val="0"/>
        <w:spacing w:before="120" w:beforeLines="50" w:after="50"/>
        <w:ind w:left="143" w:leftChars="68" w:firstLine="596" w:firstLineChars="198"/>
        <w:rPr>
          <w:rFonts w:hint="eastAsia" w:ascii="仿宋" w:hAnsi="仿宋" w:eastAsia="仿宋" w:cs="仿宋_GB2312"/>
          <w:b/>
          <w:color w:val="auto"/>
          <w:sz w:val="30"/>
          <w:szCs w:val="30"/>
          <w:highlight w:val="none"/>
        </w:rPr>
      </w:pPr>
      <w:r>
        <w:rPr>
          <w:rFonts w:hint="eastAsia" w:ascii="仿宋" w:hAnsi="仿宋" w:eastAsia="仿宋" w:cs="仿宋_GB2312"/>
          <w:b/>
          <w:color w:val="auto"/>
          <w:sz w:val="30"/>
          <w:szCs w:val="30"/>
          <w:highlight w:val="none"/>
        </w:rPr>
        <w:t>九、服务方案</w:t>
      </w:r>
    </w:p>
    <w:p w14:paraId="3BCE6383">
      <w:pPr>
        <w:snapToGrid w:val="0"/>
        <w:spacing w:before="120" w:beforeLines="50" w:after="50"/>
        <w:ind w:left="143" w:leftChars="68" w:firstLine="420" w:firstLineChars="200"/>
        <w:rPr>
          <w:rFonts w:hint="eastAsia" w:hAnsi="宋体"/>
          <w:color w:val="auto"/>
          <w:highlight w:val="none"/>
        </w:rPr>
      </w:pPr>
      <w:r>
        <w:rPr>
          <w:rFonts w:hint="eastAsia" w:hAnsi="宋体"/>
          <w:color w:val="auto"/>
          <w:highlight w:val="none"/>
        </w:rPr>
        <w:t>由竞标人按本项目竞争性磋商采购文件第二章“服务需求一览表”中商务条款部分的服务要求自行填写，其中要包含售后服务承诺书。</w:t>
      </w:r>
    </w:p>
    <w:p w14:paraId="2EB1F7D1">
      <w:pPr>
        <w:snapToGrid w:val="0"/>
        <w:spacing w:before="120" w:beforeLines="50" w:after="50"/>
        <w:ind w:left="142"/>
        <w:jc w:val="center"/>
        <w:rPr>
          <w:rFonts w:ascii="宋体" w:hAnsi="宋体"/>
          <w:b/>
          <w:color w:val="auto"/>
          <w:sz w:val="32"/>
          <w:szCs w:val="32"/>
          <w:highlight w:val="none"/>
        </w:rPr>
      </w:pPr>
      <w:r>
        <w:rPr>
          <w:rFonts w:hint="eastAsia" w:ascii="宋体" w:hAnsi="宋体"/>
          <w:b/>
          <w:color w:val="auto"/>
          <w:sz w:val="32"/>
          <w:szCs w:val="32"/>
          <w:highlight w:val="none"/>
        </w:rPr>
        <w:t>1、售后服务承诺</w:t>
      </w:r>
    </w:p>
    <w:p w14:paraId="48F1F1CE">
      <w:pPr>
        <w:autoSpaceDE w:val="0"/>
        <w:autoSpaceDN w:val="0"/>
        <w:spacing w:line="360" w:lineRule="auto"/>
        <w:rPr>
          <w:rFonts w:hint="eastAsia"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附表A:售后服务机构情况表</w:t>
      </w:r>
      <w:r>
        <w:rPr>
          <w:rFonts w:hint="eastAsia" w:ascii="仿宋_GB2312" w:hAnsi="仿宋" w:eastAsia="仿宋_GB2312" w:cs="仿宋_GB2312"/>
          <w:color w:val="auto"/>
          <w:sz w:val="24"/>
          <w:highlight w:val="none"/>
        </w:rPr>
        <w:t>（按此格式自制）</w:t>
      </w:r>
    </w:p>
    <w:tbl>
      <w:tblPr>
        <w:tblStyle w:val="25"/>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340"/>
        <w:gridCol w:w="1095"/>
        <w:gridCol w:w="1245"/>
        <w:gridCol w:w="1980"/>
        <w:gridCol w:w="1260"/>
      </w:tblGrid>
      <w:tr w14:paraId="60B82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noWrap w:val="0"/>
            <w:vAlign w:val="top"/>
          </w:tcPr>
          <w:p w14:paraId="5DF2C38A">
            <w:pPr>
              <w:autoSpaceDE w:val="0"/>
              <w:autoSpaceDN w:val="0"/>
              <w:spacing w:line="360" w:lineRule="auto"/>
              <w:jc w:val="center"/>
              <w:rPr>
                <w:rFonts w:hint="eastAsia"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序号</w:t>
            </w:r>
          </w:p>
        </w:tc>
        <w:tc>
          <w:tcPr>
            <w:tcW w:w="2340" w:type="dxa"/>
            <w:tcBorders>
              <w:top w:val="single" w:color="auto" w:sz="4" w:space="0"/>
              <w:left w:val="single" w:color="auto" w:sz="4" w:space="0"/>
              <w:bottom w:val="single" w:color="auto" w:sz="4" w:space="0"/>
              <w:right w:val="single" w:color="auto" w:sz="4" w:space="0"/>
            </w:tcBorders>
            <w:noWrap w:val="0"/>
            <w:vAlign w:val="top"/>
          </w:tcPr>
          <w:p w14:paraId="158CCAAD">
            <w:pPr>
              <w:autoSpaceDE w:val="0"/>
              <w:autoSpaceDN w:val="0"/>
              <w:spacing w:line="360" w:lineRule="auto"/>
              <w:jc w:val="center"/>
              <w:rPr>
                <w:rFonts w:hint="eastAsia"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机构名称</w:t>
            </w:r>
          </w:p>
        </w:tc>
        <w:tc>
          <w:tcPr>
            <w:tcW w:w="1095" w:type="dxa"/>
            <w:tcBorders>
              <w:top w:val="single" w:color="auto" w:sz="4" w:space="0"/>
              <w:left w:val="single" w:color="auto" w:sz="4" w:space="0"/>
              <w:bottom w:val="single" w:color="auto" w:sz="4" w:space="0"/>
              <w:right w:val="single" w:color="auto" w:sz="4" w:space="0"/>
            </w:tcBorders>
            <w:noWrap w:val="0"/>
            <w:vAlign w:val="top"/>
          </w:tcPr>
          <w:p w14:paraId="72996E7A">
            <w:pPr>
              <w:autoSpaceDE w:val="0"/>
              <w:autoSpaceDN w:val="0"/>
              <w:spacing w:line="360" w:lineRule="auto"/>
              <w:jc w:val="center"/>
              <w:rPr>
                <w:rFonts w:hint="eastAsia"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机构性质</w:t>
            </w:r>
          </w:p>
        </w:tc>
        <w:tc>
          <w:tcPr>
            <w:tcW w:w="1245" w:type="dxa"/>
            <w:tcBorders>
              <w:top w:val="single" w:color="auto" w:sz="4" w:space="0"/>
              <w:left w:val="single" w:color="auto" w:sz="4" w:space="0"/>
              <w:bottom w:val="single" w:color="auto" w:sz="4" w:space="0"/>
              <w:right w:val="single" w:color="auto" w:sz="4" w:space="0"/>
            </w:tcBorders>
            <w:noWrap w:val="0"/>
            <w:vAlign w:val="top"/>
          </w:tcPr>
          <w:p w14:paraId="64F56B1D">
            <w:pPr>
              <w:autoSpaceDE w:val="0"/>
              <w:autoSpaceDN w:val="0"/>
              <w:spacing w:line="360" w:lineRule="auto"/>
              <w:jc w:val="center"/>
              <w:rPr>
                <w:rFonts w:hint="eastAsia"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注册地址</w:t>
            </w:r>
          </w:p>
        </w:tc>
        <w:tc>
          <w:tcPr>
            <w:tcW w:w="1980" w:type="dxa"/>
            <w:tcBorders>
              <w:top w:val="single" w:color="auto" w:sz="4" w:space="0"/>
              <w:left w:val="single" w:color="auto" w:sz="4" w:space="0"/>
              <w:bottom w:val="single" w:color="auto" w:sz="4" w:space="0"/>
              <w:right w:val="single" w:color="auto" w:sz="4" w:space="0"/>
            </w:tcBorders>
            <w:noWrap w:val="0"/>
            <w:vAlign w:val="top"/>
          </w:tcPr>
          <w:p w14:paraId="075C3DF2">
            <w:pPr>
              <w:autoSpaceDE w:val="0"/>
              <w:autoSpaceDN w:val="0"/>
              <w:spacing w:line="360" w:lineRule="auto"/>
              <w:jc w:val="center"/>
              <w:rPr>
                <w:rFonts w:hint="eastAsia"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服务技术人员数量</w:t>
            </w:r>
          </w:p>
        </w:tc>
        <w:tc>
          <w:tcPr>
            <w:tcW w:w="1260" w:type="dxa"/>
            <w:tcBorders>
              <w:top w:val="single" w:color="auto" w:sz="4" w:space="0"/>
              <w:left w:val="single" w:color="auto" w:sz="4" w:space="0"/>
              <w:bottom w:val="single" w:color="auto" w:sz="4" w:space="0"/>
              <w:right w:val="single" w:color="auto" w:sz="4" w:space="0"/>
            </w:tcBorders>
            <w:noWrap w:val="0"/>
            <w:vAlign w:val="top"/>
          </w:tcPr>
          <w:p w14:paraId="1387E424">
            <w:pPr>
              <w:autoSpaceDE w:val="0"/>
              <w:autoSpaceDN w:val="0"/>
              <w:spacing w:line="360" w:lineRule="auto"/>
              <w:jc w:val="center"/>
              <w:rPr>
                <w:rFonts w:hint="eastAsia"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联系电话</w:t>
            </w:r>
          </w:p>
        </w:tc>
      </w:tr>
      <w:tr w14:paraId="21859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noWrap w:val="0"/>
            <w:vAlign w:val="top"/>
          </w:tcPr>
          <w:p w14:paraId="01309B1B">
            <w:pPr>
              <w:autoSpaceDE w:val="0"/>
              <w:autoSpaceDN w:val="0"/>
              <w:spacing w:line="360" w:lineRule="auto"/>
              <w:jc w:val="center"/>
              <w:rPr>
                <w:rFonts w:hint="eastAsia" w:ascii="仿宋_GB2312" w:hAnsi="仿宋" w:eastAsia="仿宋_GB2312" w:cs="仿宋_GB2312"/>
                <w:color w:val="auto"/>
                <w:sz w:val="24"/>
                <w:highlight w:val="none"/>
              </w:rPr>
            </w:pPr>
          </w:p>
        </w:tc>
        <w:tc>
          <w:tcPr>
            <w:tcW w:w="2340" w:type="dxa"/>
            <w:tcBorders>
              <w:top w:val="single" w:color="auto" w:sz="4" w:space="0"/>
              <w:left w:val="single" w:color="auto" w:sz="4" w:space="0"/>
              <w:bottom w:val="single" w:color="auto" w:sz="4" w:space="0"/>
              <w:right w:val="single" w:color="auto" w:sz="4" w:space="0"/>
            </w:tcBorders>
            <w:noWrap w:val="0"/>
            <w:vAlign w:val="top"/>
          </w:tcPr>
          <w:p w14:paraId="17D874C9">
            <w:pPr>
              <w:autoSpaceDE w:val="0"/>
              <w:autoSpaceDN w:val="0"/>
              <w:spacing w:line="360" w:lineRule="auto"/>
              <w:jc w:val="center"/>
              <w:rPr>
                <w:rFonts w:hint="eastAsia" w:ascii="仿宋_GB2312" w:hAnsi="仿宋" w:eastAsia="仿宋_GB2312" w:cs="仿宋_GB2312"/>
                <w:color w:val="auto"/>
                <w:sz w:val="24"/>
                <w:highlight w:val="none"/>
              </w:rPr>
            </w:pPr>
          </w:p>
        </w:tc>
        <w:tc>
          <w:tcPr>
            <w:tcW w:w="1095" w:type="dxa"/>
            <w:tcBorders>
              <w:top w:val="single" w:color="auto" w:sz="4" w:space="0"/>
              <w:left w:val="single" w:color="auto" w:sz="4" w:space="0"/>
              <w:bottom w:val="single" w:color="auto" w:sz="4" w:space="0"/>
              <w:right w:val="single" w:color="auto" w:sz="4" w:space="0"/>
            </w:tcBorders>
            <w:noWrap w:val="0"/>
            <w:vAlign w:val="top"/>
          </w:tcPr>
          <w:p w14:paraId="6558A353">
            <w:pPr>
              <w:autoSpaceDE w:val="0"/>
              <w:autoSpaceDN w:val="0"/>
              <w:spacing w:line="360" w:lineRule="auto"/>
              <w:jc w:val="center"/>
              <w:rPr>
                <w:rFonts w:hint="eastAsia" w:ascii="仿宋_GB2312" w:hAnsi="仿宋" w:eastAsia="仿宋_GB2312" w:cs="仿宋_GB2312"/>
                <w:color w:val="auto"/>
                <w:sz w:val="24"/>
                <w:highlight w:val="none"/>
              </w:rPr>
            </w:pPr>
          </w:p>
        </w:tc>
        <w:tc>
          <w:tcPr>
            <w:tcW w:w="1245" w:type="dxa"/>
            <w:tcBorders>
              <w:top w:val="single" w:color="auto" w:sz="4" w:space="0"/>
              <w:left w:val="single" w:color="auto" w:sz="4" w:space="0"/>
              <w:bottom w:val="single" w:color="auto" w:sz="4" w:space="0"/>
              <w:right w:val="single" w:color="auto" w:sz="4" w:space="0"/>
            </w:tcBorders>
            <w:noWrap w:val="0"/>
            <w:vAlign w:val="top"/>
          </w:tcPr>
          <w:p w14:paraId="55622077">
            <w:pPr>
              <w:autoSpaceDE w:val="0"/>
              <w:autoSpaceDN w:val="0"/>
              <w:spacing w:line="360" w:lineRule="auto"/>
              <w:jc w:val="center"/>
              <w:rPr>
                <w:rFonts w:hint="eastAsia" w:ascii="仿宋_GB2312" w:hAnsi="仿宋" w:eastAsia="仿宋_GB2312" w:cs="仿宋_GB2312"/>
                <w:color w:val="auto"/>
                <w:sz w:val="24"/>
                <w:highlight w:val="none"/>
              </w:rPr>
            </w:pPr>
          </w:p>
        </w:tc>
        <w:tc>
          <w:tcPr>
            <w:tcW w:w="1980" w:type="dxa"/>
            <w:tcBorders>
              <w:top w:val="single" w:color="auto" w:sz="4" w:space="0"/>
              <w:left w:val="single" w:color="auto" w:sz="4" w:space="0"/>
              <w:bottom w:val="single" w:color="auto" w:sz="4" w:space="0"/>
              <w:right w:val="single" w:color="auto" w:sz="4" w:space="0"/>
            </w:tcBorders>
            <w:noWrap w:val="0"/>
            <w:vAlign w:val="top"/>
          </w:tcPr>
          <w:p w14:paraId="1D204C2A">
            <w:pPr>
              <w:autoSpaceDE w:val="0"/>
              <w:autoSpaceDN w:val="0"/>
              <w:spacing w:line="360" w:lineRule="auto"/>
              <w:jc w:val="center"/>
              <w:rPr>
                <w:rFonts w:hint="eastAsia" w:ascii="仿宋_GB2312" w:hAnsi="仿宋" w:eastAsia="仿宋_GB2312" w:cs="仿宋_GB2312"/>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top"/>
          </w:tcPr>
          <w:p w14:paraId="5E4ABD9E">
            <w:pPr>
              <w:autoSpaceDE w:val="0"/>
              <w:autoSpaceDN w:val="0"/>
              <w:spacing w:line="360" w:lineRule="auto"/>
              <w:jc w:val="center"/>
              <w:rPr>
                <w:rFonts w:hint="eastAsia" w:ascii="仿宋_GB2312" w:hAnsi="仿宋" w:eastAsia="仿宋_GB2312" w:cs="仿宋_GB2312"/>
                <w:color w:val="auto"/>
                <w:sz w:val="24"/>
                <w:highlight w:val="none"/>
              </w:rPr>
            </w:pPr>
          </w:p>
        </w:tc>
      </w:tr>
      <w:tr w14:paraId="58474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noWrap w:val="0"/>
            <w:vAlign w:val="top"/>
          </w:tcPr>
          <w:p w14:paraId="703E11B4">
            <w:pPr>
              <w:autoSpaceDE w:val="0"/>
              <w:autoSpaceDN w:val="0"/>
              <w:spacing w:line="360" w:lineRule="auto"/>
              <w:jc w:val="center"/>
              <w:rPr>
                <w:rFonts w:hint="eastAsia" w:ascii="仿宋_GB2312" w:hAnsi="仿宋" w:eastAsia="仿宋_GB2312" w:cs="仿宋_GB2312"/>
                <w:color w:val="auto"/>
                <w:sz w:val="24"/>
                <w:highlight w:val="none"/>
              </w:rPr>
            </w:pPr>
          </w:p>
        </w:tc>
        <w:tc>
          <w:tcPr>
            <w:tcW w:w="2340" w:type="dxa"/>
            <w:tcBorders>
              <w:top w:val="single" w:color="auto" w:sz="4" w:space="0"/>
              <w:left w:val="single" w:color="auto" w:sz="4" w:space="0"/>
              <w:bottom w:val="single" w:color="auto" w:sz="4" w:space="0"/>
              <w:right w:val="single" w:color="auto" w:sz="4" w:space="0"/>
            </w:tcBorders>
            <w:noWrap w:val="0"/>
            <w:vAlign w:val="top"/>
          </w:tcPr>
          <w:p w14:paraId="5DA00D04">
            <w:pPr>
              <w:autoSpaceDE w:val="0"/>
              <w:autoSpaceDN w:val="0"/>
              <w:spacing w:line="360" w:lineRule="auto"/>
              <w:jc w:val="center"/>
              <w:rPr>
                <w:rFonts w:hint="eastAsia" w:ascii="仿宋_GB2312" w:hAnsi="仿宋" w:eastAsia="仿宋_GB2312" w:cs="仿宋_GB2312"/>
                <w:color w:val="auto"/>
                <w:sz w:val="24"/>
                <w:highlight w:val="none"/>
              </w:rPr>
            </w:pPr>
          </w:p>
        </w:tc>
        <w:tc>
          <w:tcPr>
            <w:tcW w:w="1095" w:type="dxa"/>
            <w:tcBorders>
              <w:top w:val="single" w:color="auto" w:sz="4" w:space="0"/>
              <w:left w:val="single" w:color="auto" w:sz="4" w:space="0"/>
              <w:bottom w:val="single" w:color="auto" w:sz="4" w:space="0"/>
              <w:right w:val="single" w:color="auto" w:sz="4" w:space="0"/>
            </w:tcBorders>
            <w:noWrap w:val="0"/>
            <w:vAlign w:val="top"/>
          </w:tcPr>
          <w:p w14:paraId="6C0E53ED">
            <w:pPr>
              <w:autoSpaceDE w:val="0"/>
              <w:autoSpaceDN w:val="0"/>
              <w:spacing w:line="360" w:lineRule="auto"/>
              <w:jc w:val="center"/>
              <w:rPr>
                <w:rFonts w:hint="eastAsia" w:ascii="仿宋_GB2312" w:hAnsi="仿宋" w:eastAsia="仿宋_GB2312" w:cs="仿宋_GB2312"/>
                <w:color w:val="auto"/>
                <w:sz w:val="24"/>
                <w:highlight w:val="none"/>
              </w:rPr>
            </w:pPr>
          </w:p>
        </w:tc>
        <w:tc>
          <w:tcPr>
            <w:tcW w:w="1245" w:type="dxa"/>
            <w:tcBorders>
              <w:top w:val="single" w:color="auto" w:sz="4" w:space="0"/>
              <w:left w:val="single" w:color="auto" w:sz="4" w:space="0"/>
              <w:bottom w:val="single" w:color="auto" w:sz="4" w:space="0"/>
              <w:right w:val="single" w:color="auto" w:sz="4" w:space="0"/>
            </w:tcBorders>
            <w:noWrap w:val="0"/>
            <w:vAlign w:val="top"/>
          </w:tcPr>
          <w:p w14:paraId="1D4F3BE1">
            <w:pPr>
              <w:autoSpaceDE w:val="0"/>
              <w:autoSpaceDN w:val="0"/>
              <w:spacing w:line="360" w:lineRule="auto"/>
              <w:jc w:val="center"/>
              <w:rPr>
                <w:rFonts w:hint="eastAsia" w:ascii="仿宋_GB2312" w:hAnsi="仿宋" w:eastAsia="仿宋_GB2312" w:cs="仿宋_GB2312"/>
                <w:color w:val="auto"/>
                <w:sz w:val="24"/>
                <w:highlight w:val="none"/>
              </w:rPr>
            </w:pPr>
          </w:p>
        </w:tc>
        <w:tc>
          <w:tcPr>
            <w:tcW w:w="1980" w:type="dxa"/>
            <w:tcBorders>
              <w:top w:val="single" w:color="auto" w:sz="4" w:space="0"/>
              <w:left w:val="single" w:color="auto" w:sz="4" w:space="0"/>
              <w:bottom w:val="single" w:color="auto" w:sz="4" w:space="0"/>
              <w:right w:val="single" w:color="auto" w:sz="4" w:space="0"/>
            </w:tcBorders>
            <w:noWrap w:val="0"/>
            <w:vAlign w:val="top"/>
          </w:tcPr>
          <w:p w14:paraId="213D231D">
            <w:pPr>
              <w:autoSpaceDE w:val="0"/>
              <w:autoSpaceDN w:val="0"/>
              <w:spacing w:line="360" w:lineRule="auto"/>
              <w:jc w:val="center"/>
              <w:rPr>
                <w:rFonts w:hint="eastAsia" w:ascii="仿宋_GB2312" w:hAnsi="仿宋" w:eastAsia="仿宋_GB2312" w:cs="仿宋_GB2312"/>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top"/>
          </w:tcPr>
          <w:p w14:paraId="5BED3A17">
            <w:pPr>
              <w:autoSpaceDE w:val="0"/>
              <w:autoSpaceDN w:val="0"/>
              <w:spacing w:line="360" w:lineRule="auto"/>
              <w:jc w:val="center"/>
              <w:rPr>
                <w:rFonts w:hint="eastAsia" w:ascii="仿宋_GB2312" w:hAnsi="仿宋" w:eastAsia="仿宋_GB2312" w:cs="仿宋_GB2312"/>
                <w:color w:val="auto"/>
                <w:sz w:val="24"/>
                <w:highlight w:val="none"/>
              </w:rPr>
            </w:pPr>
          </w:p>
        </w:tc>
      </w:tr>
      <w:tr w14:paraId="7A484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noWrap w:val="0"/>
            <w:vAlign w:val="top"/>
          </w:tcPr>
          <w:p w14:paraId="41CD3F74">
            <w:pPr>
              <w:autoSpaceDE w:val="0"/>
              <w:autoSpaceDN w:val="0"/>
              <w:spacing w:line="360" w:lineRule="auto"/>
              <w:jc w:val="center"/>
              <w:rPr>
                <w:rFonts w:hint="eastAsia" w:ascii="仿宋_GB2312" w:hAnsi="仿宋" w:eastAsia="仿宋_GB2312" w:cs="仿宋_GB2312"/>
                <w:color w:val="auto"/>
                <w:sz w:val="24"/>
                <w:highlight w:val="none"/>
              </w:rPr>
            </w:pPr>
          </w:p>
        </w:tc>
        <w:tc>
          <w:tcPr>
            <w:tcW w:w="2340" w:type="dxa"/>
            <w:tcBorders>
              <w:top w:val="single" w:color="auto" w:sz="4" w:space="0"/>
              <w:left w:val="single" w:color="auto" w:sz="4" w:space="0"/>
              <w:bottom w:val="single" w:color="auto" w:sz="4" w:space="0"/>
              <w:right w:val="single" w:color="auto" w:sz="4" w:space="0"/>
            </w:tcBorders>
            <w:noWrap w:val="0"/>
            <w:vAlign w:val="top"/>
          </w:tcPr>
          <w:p w14:paraId="7DD17398">
            <w:pPr>
              <w:autoSpaceDE w:val="0"/>
              <w:autoSpaceDN w:val="0"/>
              <w:spacing w:line="360" w:lineRule="auto"/>
              <w:jc w:val="center"/>
              <w:rPr>
                <w:rFonts w:hint="eastAsia" w:ascii="仿宋_GB2312" w:hAnsi="仿宋" w:eastAsia="仿宋_GB2312" w:cs="仿宋_GB2312"/>
                <w:color w:val="auto"/>
                <w:sz w:val="24"/>
                <w:highlight w:val="none"/>
              </w:rPr>
            </w:pPr>
          </w:p>
        </w:tc>
        <w:tc>
          <w:tcPr>
            <w:tcW w:w="1095" w:type="dxa"/>
            <w:tcBorders>
              <w:top w:val="single" w:color="auto" w:sz="4" w:space="0"/>
              <w:left w:val="single" w:color="auto" w:sz="4" w:space="0"/>
              <w:bottom w:val="single" w:color="auto" w:sz="4" w:space="0"/>
              <w:right w:val="single" w:color="auto" w:sz="4" w:space="0"/>
            </w:tcBorders>
            <w:noWrap w:val="0"/>
            <w:vAlign w:val="top"/>
          </w:tcPr>
          <w:p w14:paraId="4618497F">
            <w:pPr>
              <w:autoSpaceDE w:val="0"/>
              <w:autoSpaceDN w:val="0"/>
              <w:spacing w:line="360" w:lineRule="auto"/>
              <w:jc w:val="center"/>
              <w:rPr>
                <w:rFonts w:hint="eastAsia" w:ascii="仿宋_GB2312" w:hAnsi="仿宋" w:eastAsia="仿宋_GB2312" w:cs="仿宋_GB2312"/>
                <w:color w:val="auto"/>
                <w:sz w:val="24"/>
                <w:highlight w:val="none"/>
              </w:rPr>
            </w:pPr>
          </w:p>
        </w:tc>
        <w:tc>
          <w:tcPr>
            <w:tcW w:w="1245" w:type="dxa"/>
            <w:tcBorders>
              <w:top w:val="single" w:color="auto" w:sz="4" w:space="0"/>
              <w:left w:val="single" w:color="auto" w:sz="4" w:space="0"/>
              <w:bottom w:val="single" w:color="auto" w:sz="4" w:space="0"/>
              <w:right w:val="single" w:color="auto" w:sz="4" w:space="0"/>
            </w:tcBorders>
            <w:noWrap w:val="0"/>
            <w:vAlign w:val="top"/>
          </w:tcPr>
          <w:p w14:paraId="300F4945">
            <w:pPr>
              <w:autoSpaceDE w:val="0"/>
              <w:autoSpaceDN w:val="0"/>
              <w:spacing w:line="360" w:lineRule="auto"/>
              <w:jc w:val="center"/>
              <w:rPr>
                <w:rFonts w:hint="eastAsia" w:ascii="仿宋_GB2312" w:hAnsi="仿宋" w:eastAsia="仿宋_GB2312" w:cs="仿宋_GB2312"/>
                <w:color w:val="auto"/>
                <w:sz w:val="24"/>
                <w:highlight w:val="none"/>
              </w:rPr>
            </w:pPr>
          </w:p>
        </w:tc>
        <w:tc>
          <w:tcPr>
            <w:tcW w:w="1980" w:type="dxa"/>
            <w:tcBorders>
              <w:top w:val="single" w:color="auto" w:sz="4" w:space="0"/>
              <w:left w:val="single" w:color="auto" w:sz="4" w:space="0"/>
              <w:bottom w:val="single" w:color="auto" w:sz="4" w:space="0"/>
              <w:right w:val="single" w:color="auto" w:sz="4" w:space="0"/>
            </w:tcBorders>
            <w:noWrap w:val="0"/>
            <w:vAlign w:val="top"/>
          </w:tcPr>
          <w:p w14:paraId="1CA493BB">
            <w:pPr>
              <w:autoSpaceDE w:val="0"/>
              <w:autoSpaceDN w:val="0"/>
              <w:spacing w:line="360" w:lineRule="auto"/>
              <w:jc w:val="center"/>
              <w:rPr>
                <w:rFonts w:hint="eastAsia" w:ascii="仿宋_GB2312" w:hAnsi="仿宋" w:eastAsia="仿宋_GB2312" w:cs="仿宋_GB2312"/>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top"/>
          </w:tcPr>
          <w:p w14:paraId="033BC21B">
            <w:pPr>
              <w:autoSpaceDE w:val="0"/>
              <w:autoSpaceDN w:val="0"/>
              <w:spacing w:line="360" w:lineRule="auto"/>
              <w:jc w:val="center"/>
              <w:rPr>
                <w:rFonts w:hint="eastAsia" w:ascii="仿宋_GB2312" w:hAnsi="仿宋" w:eastAsia="仿宋_GB2312" w:cs="仿宋_GB2312"/>
                <w:color w:val="auto"/>
                <w:sz w:val="24"/>
                <w:highlight w:val="none"/>
              </w:rPr>
            </w:pPr>
          </w:p>
        </w:tc>
      </w:tr>
    </w:tbl>
    <w:p w14:paraId="3284E507">
      <w:pPr>
        <w:autoSpaceDE w:val="0"/>
        <w:autoSpaceDN w:val="0"/>
        <w:spacing w:line="360" w:lineRule="auto"/>
        <w:rPr>
          <w:rFonts w:hint="eastAsia"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注：关于项目涉及的所有售后服务机构均在本表注明，包括供应商本单位和符合条件的第三方服务机构；</w:t>
      </w:r>
    </w:p>
    <w:p w14:paraId="749C95F9">
      <w:pPr>
        <w:autoSpaceDE w:val="0"/>
        <w:autoSpaceDN w:val="0"/>
        <w:spacing w:line="360" w:lineRule="auto"/>
        <w:rPr>
          <w:rFonts w:hint="eastAsia" w:ascii="仿宋_GB2312" w:hAnsi="仿宋" w:eastAsia="仿宋_GB2312" w:cs="仿宋_GB2312"/>
          <w:color w:val="auto"/>
          <w:kern w:val="0"/>
          <w:sz w:val="24"/>
          <w:highlight w:val="none"/>
        </w:rPr>
      </w:pPr>
    </w:p>
    <w:p w14:paraId="2EB89037">
      <w:pPr>
        <w:autoSpaceDE w:val="0"/>
        <w:autoSpaceDN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b/>
          <w:color w:val="auto"/>
          <w:kern w:val="0"/>
          <w:sz w:val="24"/>
          <w:highlight w:val="none"/>
        </w:rPr>
        <w:t>附表B：售后服务人员情况表</w:t>
      </w:r>
      <w:r>
        <w:rPr>
          <w:rFonts w:hint="eastAsia" w:ascii="仿宋_GB2312" w:hAnsi="仿宋" w:eastAsia="仿宋_GB2312" w:cs="仿宋_GB2312"/>
          <w:color w:val="auto"/>
          <w:sz w:val="24"/>
          <w:highlight w:val="none"/>
        </w:rPr>
        <w:t>（按此格式自制）</w:t>
      </w:r>
    </w:p>
    <w:tbl>
      <w:tblPr>
        <w:tblStyle w:val="25"/>
        <w:tblW w:w="0" w:type="auto"/>
        <w:jc w:val="center"/>
        <w:tblLayout w:type="fixed"/>
        <w:tblCellMar>
          <w:top w:w="0" w:type="dxa"/>
          <w:left w:w="108" w:type="dxa"/>
          <w:bottom w:w="0" w:type="dxa"/>
          <w:right w:w="108" w:type="dxa"/>
        </w:tblCellMar>
      </w:tblPr>
      <w:tblGrid>
        <w:gridCol w:w="646"/>
        <w:gridCol w:w="746"/>
        <w:gridCol w:w="787"/>
        <w:gridCol w:w="412"/>
        <w:gridCol w:w="900"/>
        <w:gridCol w:w="1080"/>
        <w:gridCol w:w="1080"/>
        <w:gridCol w:w="1080"/>
        <w:gridCol w:w="1260"/>
        <w:gridCol w:w="900"/>
        <w:gridCol w:w="1111"/>
      </w:tblGrid>
      <w:tr w14:paraId="6A87134D">
        <w:tblPrEx>
          <w:tblCellMar>
            <w:top w:w="0" w:type="dxa"/>
            <w:left w:w="108" w:type="dxa"/>
            <w:bottom w:w="0" w:type="dxa"/>
            <w:right w:w="108" w:type="dxa"/>
          </w:tblCellMar>
        </w:tblPrEx>
        <w:trPr>
          <w:jc w:val="center"/>
        </w:trPr>
        <w:tc>
          <w:tcPr>
            <w:tcW w:w="646" w:type="dxa"/>
            <w:tcBorders>
              <w:top w:val="single" w:color="auto" w:sz="6" w:space="0"/>
              <w:left w:val="single" w:color="auto" w:sz="6" w:space="0"/>
              <w:bottom w:val="single" w:color="auto" w:sz="6" w:space="0"/>
              <w:right w:val="single" w:color="auto" w:sz="4" w:space="0"/>
            </w:tcBorders>
            <w:noWrap w:val="0"/>
            <w:vAlign w:val="center"/>
          </w:tcPr>
          <w:p w14:paraId="009843BC">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序号</w:t>
            </w:r>
          </w:p>
          <w:p w14:paraId="70DB1F9F">
            <w:pPr>
              <w:autoSpaceDE w:val="0"/>
              <w:autoSpaceDN w:val="0"/>
              <w:spacing w:line="360" w:lineRule="auto"/>
              <w:jc w:val="center"/>
              <w:rPr>
                <w:rFonts w:hint="eastAsia" w:ascii="仿宋_GB2312" w:hAnsi="仿宋"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center"/>
          </w:tcPr>
          <w:p w14:paraId="2270241E">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0D019B76">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1D19DCD5">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75BE607B">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5BCAFD76">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6A56916A">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60242A63">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499B3DB0">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73CE09C3">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响应时间</w:t>
            </w:r>
          </w:p>
        </w:tc>
        <w:tc>
          <w:tcPr>
            <w:tcW w:w="1111" w:type="dxa"/>
            <w:tcBorders>
              <w:top w:val="single" w:color="auto" w:sz="6" w:space="0"/>
              <w:left w:val="single" w:color="auto" w:sz="6" w:space="0"/>
              <w:bottom w:val="single" w:color="auto" w:sz="6" w:space="0"/>
              <w:right w:val="single" w:color="auto" w:sz="6" w:space="0"/>
            </w:tcBorders>
            <w:noWrap w:val="0"/>
            <w:vAlign w:val="center"/>
          </w:tcPr>
          <w:p w14:paraId="39420C66">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到达现场时间</w:t>
            </w:r>
          </w:p>
        </w:tc>
      </w:tr>
      <w:tr w14:paraId="1C8C802B">
        <w:tblPrEx>
          <w:tblCellMar>
            <w:top w:w="0" w:type="dxa"/>
            <w:left w:w="108" w:type="dxa"/>
            <w:bottom w:w="0" w:type="dxa"/>
            <w:right w:w="108" w:type="dxa"/>
          </w:tblCellMar>
        </w:tblPrEx>
        <w:trPr>
          <w:trHeight w:val="607" w:hRule="atLeast"/>
          <w:jc w:val="center"/>
        </w:trPr>
        <w:tc>
          <w:tcPr>
            <w:tcW w:w="646" w:type="dxa"/>
            <w:tcBorders>
              <w:top w:val="single" w:color="auto" w:sz="6" w:space="0"/>
              <w:left w:val="single" w:color="auto" w:sz="6" w:space="0"/>
              <w:bottom w:val="single" w:color="auto" w:sz="6" w:space="0"/>
              <w:right w:val="single" w:color="auto" w:sz="4" w:space="0"/>
            </w:tcBorders>
            <w:noWrap w:val="0"/>
            <w:vAlign w:val="top"/>
          </w:tcPr>
          <w:p w14:paraId="6992B657">
            <w:pPr>
              <w:autoSpaceDE w:val="0"/>
              <w:autoSpaceDN w:val="0"/>
              <w:spacing w:line="360" w:lineRule="auto"/>
              <w:jc w:val="center"/>
              <w:rPr>
                <w:rFonts w:hint="eastAsia" w:ascii="仿宋_GB2312" w:hAnsi="仿宋"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5143D3BB">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noWrap w:val="0"/>
            <w:vAlign w:val="top"/>
          </w:tcPr>
          <w:p w14:paraId="2890AA11">
            <w:pPr>
              <w:autoSpaceDE w:val="0"/>
              <w:autoSpaceDN w:val="0"/>
              <w:spacing w:line="360" w:lineRule="auto"/>
              <w:rPr>
                <w:rFonts w:hint="eastAsia" w:ascii="仿宋_GB2312" w:hAnsi="仿宋"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02EF4E8B">
            <w:pPr>
              <w:autoSpaceDE w:val="0"/>
              <w:autoSpaceDN w:val="0"/>
              <w:spacing w:line="360" w:lineRule="auto"/>
              <w:rPr>
                <w:rFonts w:hint="eastAsia" w:ascii="仿宋_GB2312" w:hAnsi="仿宋"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49C24AC3">
            <w:pPr>
              <w:autoSpaceDE w:val="0"/>
              <w:autoSpaceDN w:val="0"/>
              <w:spacing w:line="360" w:lineRule="auto"/>
              <w:rPr>
                <w:rFonts w:hint="eastAsia" w:ascii="仿宋_GB2312" w:hAnsi="仿宋"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06182524">
            <w:pPr>
              <w:autoSpaceDE w:val="0"/>
              <w:autoSpaceDN w:val="0"/>
              <w:spacing w:line="360" w:lineRule="auto"/>
              <w:rPr>
                <w:rFonts w:hint="eastAsia" w:ascii="仿宋_GB2312" w:hAnsi="仿宋"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6FEA04B0">
            <w:pPr>
              <w:autoSpaceDE w:val="0"/>
              <w:autoSpaceDN w:val="0"/>
              <w:spacing w:line="360" w:lineRule="auto"/>
              <w:rPr>
                <w:rFonts w:hint="eastAsia" w:ascii="仿宋_GB2312" w:hAnsi="仿宋"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38264FE8">
            <w:pPr>
              <w:autoSpaceDE w:val="0"/>
              <w:autoSpaceDN w:val="0"/>
              <w:spacing w:line="360" w:lineRule="auto"/>
              <w:rPr>
                <w:rFonts w:hint="eastAsia" w:ascii="仿宋_GB2312" w:hAnsi="仿宋"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090DB8C6">
            <w:pPr>
              <w:autoSpaceDE w:val="0"/>
              <w:autoSpaceDN w:val="0"/>
              <w:spacing w:line="360" w:lineRule="auto"/>
              <w:rPr>
                <w:rFonts w:hint="eastAsia" w:ascii="仿宋_GB2312" w:hAnsi="仿宋"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0FFC6070">
            <w:pPr>
              <w:autoSpaceDE w:val="0"/>
              <w:autoSpaceDN w:val="0"/>
              <w:spacing w:line="360" w:lineRule="auto"/>
              <w:rPr>
                <w:rFonts w:hint="eastAsia" w:ascii="仿宋_GB2312" w:hAnsi="仿宋" w:eastAsia="仿宋_GB2312" w:cs="仿宋_GB2312"/>
                <w:color w:val="auto"/>
                <w:sz w:val="24"/>
                <w:highlight w:val="none"/>
              </w:rPr>
            </w:pPr>
          </w:p>
        </w:tc>
        <w:tc>
          <w:tcPr>
            <w:tcW w:w="1111" w:type="dxa"/>
            <w:tcBorders>
              <w:top w:val="single" w:color="auto" w:sz="6" w:space="0"/>
              <w:left w:val="single" w:color="auto" w:sz="6" w:space="0"/>
              <w:bottom w:val="single" w:color="auto" w:sz="6" w:space="0"/>
              <w:right w:val="single" w:color="auto" w:sz="6" w:space="0"/>
            </w:tcBorders>
            <w:noWrap w:val="0"/>
            <w:vAlign w:val="top"/>
          </w:tcPr>
          <w:p w14:paraId="364DE782">
            <w:pPr>
              <w:autoSpaceDE w:val="0"/>
              <w:autoSpaceDN w:val="0"/>
              <w:spacing w:line="360" w:lineRule="auto"/>
              <w:rPr>
                <w:rFonts w:hint="eastAsia" w:ascii="仿宋_GB2312" w:hAnsi="仿宋" w:eastAsia="仿宋_GB2312" w:cs="仿宋_GB2312"/>
                <w:color w:val="auto"/>
                <w:sz w:val="24"/>
                <w:highlight w:val="none"/>
              </w:rPr>
            </w:pPr>
          </w:p>
        </w:tc>
      </w:tr>
      <w:tr w14:paraId="0A260AA7">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noWrap w:val="0"/>
            <w:vAlign w:val="top"/>
          </w:tcPr>
          <w:p w14:paraId="3ED8B728">
            <w:pPr>
              <w:autoSpaceDE w:val="0"/>
              <w:autoSpaceDN w:val="0"/>
              <w:spacing w:line="360" w:lineRule="auto"/>
              <w:jc w:val="center"/>
              <w:rPr>
                <w:rFonts w:hint="eastAsia" w:ascii="仿宋_GB2312" w:hAnsi="仿宋"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0A925054">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noWrap w:val="0"/>
            <w:vAlign w:val="top"/>
          </w:tcPr>
          <w:p w14:paraId="17D497A4">
            <w:pPr>
              <w:autoSpaceDE w:val="0"/>
              <w:autoSpaceDN w:val="0"/>
              <w:spacing w:line="360" w:lineRule="auto"/>
              <w:rPr>
                <w:rFonts w:hint="eastAsia" w:ascii="仿宋_GB2312" w:hAnsi="仿宋"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4C8B3CBB">
            <w:pPr>
              <w:autoSpaceDE w:val="0"/>
              <w:autoSpaceDN w:val="0"/>
              <w:spacing w:line="360" w:lineRule="auto"/>
              <w:rPr>
                <w:rFonts w:hint="eastAsia" w:ascii="仿宋_GB2312" w:hAnsi="仿宋"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62C9BC8F">
            <w:pPr>
              <w:autoSpaceDE w:val="0"/>
              <w:autoSpaceDN w:val="0"/>
              <w:spacing w:line="360" w:lineRule="auto"/>
              <w:rPr>
                <w:rFonts w:hint="eastAsia" w:ascii="仿宋_GB2312" w:hAnsi="仿宋"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35466D72">
            <w:pPr>
              <w:autoSpaceDE w:val="0"/>
              <w:autoSpaceDN w:val="0"/>
              <w:spacing w:line="360" w:lineRule="auto"/>
              <w:rPr>
                <w:rFonts w:hint="eastAsia" w:ascii="仿宋_GB2312" w:hAnsi="仿宋"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5FC24E44">
            <w:pPr>
              <w:autoSpaceDE w:val="0"/>
              <w:autoSpaceDN w:val="0"/>
              <w:spacing w:line="360" w:lineRule="auto"/>
              <w:rPr>
                <w:rFonts w:hint="eastAsia" w:ascii="仿宋_GB2312" w:hAnsi="仿宋"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7694E3B1">
            <w:pPr>
              <w:autoSpaceDE w:val="0"/>
              <w:autoSpaceDN w:val="0"/>
              <w:spacing w:line="360" w:lineRule="auto"/>
              <w:rPr>
                <w:rFonts w:hint="eastAsia" w:ascii="仿宋_GB2312" w:hAnsi="仿宋"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6D66282D">
            <w:pPr>
              <w:autoSpaceDE w:val="0"/>
              <w:autoSpaceDN w:val="0"/>
              <w:spacing w:line="360" w:lineRule="auto"/>
              <w:rPr>
                <w:rFonts w:hint="eastAsia" w:ascii="仿宋_GB2312" w:hAnsi="仿宋"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7C9CDEED">
            <w:pPr>
              <w:autoSpaceDE w:val="0"/>
              <w:autoSpaceDN w:val="0"/>
              <w:spacing w:line="360" w:lineRule="auto"/>
              <w:rPr>
                <w:rFonts w:hint="eastAsia" w:ascii="仿宋_GB2312" w:hAnsi="仿宋" w:eastAsia="仿宋_GB2312" w:cs="仿宋_GB2312"/>
                <w:color w:val="auto"/>
                <w:sz w:val="24"/>
                <w:highlight w:val="none"/>
              </w:rPr>
            </w:pPr>
          </w:p>
        </w:tc>
        <w:tc>
          <w:tcPr>
            <w:tcW w:w="1111" w:type="dxa"/>
            <w:tcBorders>
              <w:top w:val="single" w:color="auto" w:sz="6" w:space="0"/>
              <w:left w:val="single" w:color="auto" w:sz="6" w:space="0"/>
              <w:bottom w:val="single" w:color="auto" w:sz="6" w:space="0"/>
              <w:right w:val="single" w:color="auto" w:sz="6" w:space="0"/>
            </w:tcBorders>
            <w:noWrap w:val="0"/>
            <w:vAlign w:val="top"/>
          </w:tcPr>
          <w:p w14:paraId="78738B34">
            <w:pPr>
              <w:autoSpaceDE w:val="0"/>
              <w:autoSpaceDN w:val="0"/>
              <w:spacing w:line="360" w:lineRule="auto"/>
              <w:rPr>
                <w:rFonts w:hint="eastAsia" w:ascii="仿宋_GB2312" w:hAnsi="仿宋" w:eastAsia="仿宋_GB2312" w:cs="仿宋_GB2312"/>
                <w:color w:val="auto"/>
                <w:sz w:val="24"/>
                <w:highlight w:val="none"/>
              </w:rPr>
            </w:pPr>
          </w:p>
        </w:tc>
      </w:tr>
      <w:tr w14:paraId="60689AB2">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noWrap w:val="0"/>
            <w:vAlign w:val="top"/>
          </w:tcPr>
          <w:p w14:paraId="2F792E3F">
            <w:pPr>
              <w:autoSpaceDE w:val="0"/>
              <w:autoSpaceDN w:val="0"/>
              <w:spacing w:line="360" w:lineRule="auto"/>
              <w:jc w:val="center"/>
              <w:rPr>
                <w:rFonts w:hint="eastAsia" w:ascii="仿宋_GB2312" w:hAnsi="仿宋"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45A165FF">
            <w:pPr>
              <w:autoSpaceDE w:val="0"/>
              <w:autoSpaceDN w:val="0"/>
              <w:spacing w:line="360" w:lineRule="auto"/>
              <w:jc w:val="center"/>
              <w:rPr>
                <w:rFonts w:hint="eastAsia" w:ascii="仿宋_GB2312" w:hAnsi="仿宋"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25C09C02">
            <w:pPr>
              <w:autoSpaceDE w:val="0"/>
              <w:autoSpaceDN w:val="0"/>
              <w:spacing w:line="360" w:lineRule="auto"/>
              <w:rPr>
                <w:rFonts w:hint="eastAsia" w:ascii="仿宋_GB2312" w:hAnsi="仿宋"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528FDAEC">
            <w:pPr>
              <w:autoSpaceDE w:val="0"/>
              <w:autoSpaceDN w:val="0"/>
              <w:spacing w:line="360" w:lineRule="auto"/>
              <w:rPr>
                <w:rFonts w:hint="eastAsia" w:ascii="仿宋_GB2312" w:hAnsi="仿宋"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60954E02">
            <w:pPr>
              <w:autoSpaceDE w:val="0"/>
              <w:autoSpaceDN w:val="0"/>
              <w:spacing w:line="360" w:lineRule="auto"/>
              <w:rPr>
                <w:rFonts w:hint="eastAsia" w:ascii="仿宋_GB2312" w:hAnsi="仿宋"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2DE3E777">
            <w:pPr>
              <w:autoSpaceDE w:val="0"/>
              <w:autoSpaceDN w:val="0"/>
              <w:spacing w:line="360" w:lineRule="auto"/>
              <w:rPr>
                <w:rFonts w:hint="eastAsia" w:ascii="仿宋_GB2312" w:hAnsi="仿宋"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2193DBB6">
            <w:pPr>
              <w:autoSpaceDE w:val="0"/>
              <w:autoSpaceDN w:val="0"/>
              <w:spacing w:line="360" w:lineRule="auto"/>
              <w:rPr>
                <w:rFonts w:hint="eastAsia" w:ascii="仿宋_GB2312" w:hAnsi="仿宋"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1FBC382C">
            <w:pPr>
              <w:autoSpaceDE w:val="0"/>
              <w:autoSpaceDN w:val="0"/>
              <w:spacing w:line="360" w:lineRule="auto"/>
              <w:rPr>
                <w:rFonts w:hint="eastAsia" w:ascii="仿宋_GB2312" w:hAnsi="仿宋"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697320A7">
            <w:pPr>
              <w:autoSpaceDE w:val="0"/>
              <w:autoSpaceDN w:val="0"/>
              <w:spacing w:line="360" w:lineRule="auto"/>
              <w:rPr>
                <w:rFonts w:hint="eastAsia" w:ascii="仿宋_GB2312" w:hAnsi="仿宋"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27859F2E">
            <w:pPr>
              <w:autoSpaceDE w:val="0"/>
              <w:autoSpaceDN w:val="0"/>
              <w:spacing w:line="360" w:lineRule="auto"/>
              <w:rPr>
                <w:rFonts w:hint="eastAsia" w:ascii="仿宋_GB2312" w:hAnsi="仿宋" w:eastAsia="仿宋_GB2312" w:cs="仿宋_GB2312"/>
                <w:color w:val="auto"/>
                <w:sz w:val="24"/>
                <w:highlight w:val="none"/>
              </w:rPr>
            </w:pPr>
          </w:p>
        </w:tc>
        <w:tc>
          <w:tcPr>
            <w:tcW w:w="1111" w:type="dxa"/>
            <w:tcBorders>
              <w:top w:val="single" w:color="auto" w:sz="6" w:space="0"/>
              <w:left w:val="single" w:color="auto" w:sz="6" w:space="0"/>
              <w:bottom w:val="single" w:color="auto" w:sz="6" w:space="0"/>
              <w:right w:val="single" w:color="auto" w:sz="6" w:space="0"/>
            </w:tcBorders>
            <w:noWrap w:val="0"/>
            <w:vAlign w:val="top"/>
          </w:tcPr>
          <w:p w14:paraId="493FE5C0">
            <w:pPr>
              <w:autoSpaceDE w:val="0"/>
              <w:autoSpaceDN w:val="0"/>
              <w:spacing w:line="360" w:lineRule="auto"/>
              <w:rPr>
                <w:rFonts w:hint="eastAsia" w:ascii="仿宋_GB2312" w:hAnsi="仿宋" w:eastAsia="仿宋_GB2312" w:cs="仿宋_GB2312"/>
                <w:color w:val="auto"/>
                <w:sz w:val="24"/>
                <w:highlight w:val="none"/>
              </w:rPr>
            </w:pPr>
          </w:p>
        </w:tc>
      </w:tr>
      <w:tr w14:paraId="78B4DBAC">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noWrap w:val="0"/>
            <w:vAlign w:val="top"/>
          </w:tcPr>
          <w:p w14:paraId="3D4FA5FC">
            <w:pPr>
              <w:autoSpaceDE w:val="0"/>
              <w:autoSpaceDN w:val="0"/>
              <w:spacing w:line="360" w:lineRule="auto"/>
              <w:jc w:val="center"/>
              <w:rPr>
                <w:rFonts w:hint="eastAsia" w:ascii="仿宋_GB2312" w:hAnsi="仿宋"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228BFB44">
            <w:pPr>
              <w:autoSpaceDE w:val="0"/>
              <w:autoSpaceDN w:val="0"/>
              <w:spacing w:line="360" w:lineRule="auto"/>
              <w:jc w:val="center"/>
              <w:rPr>
                <w:rFonts w:hint="eastAsia" w:ascii="仿宋_GB2312" w:hAnsi="仿宋"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72760018">
            <w:pPr>
              <w:autoSpaceDE w:val="0"/>
              <w:autoSpaceDN w:val="0"/>
              <w:spacing w:line="360" w:lineRule="auto"/>
              <w:rPr>
                <w:rFonts w:hint="eastAsia" w:ascii="仿宋_GB2312" w:hAnsi="仿宋"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1426C3C1">
            <w:pPr>
              <w:autoSpaceDE w:val="0"/>
              <w:autoSpaceDN w:val="0"/>
              <w:spacing w:line="360" w:lineRule="auto"/>
              <w:rPr>
                <w:rFonts w:hint="eastAsia" w:ascii="仿宋_GB2312" w:hAnsi="仿宋"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5BAFA1D3">
            <w:pPr>
              <w:autoSpaceDE w:val="0"/>
              <w:autoSpaceDN w:val="0"/>
              <w:spacing w:line="360" w:lineRule="auto"/>
              <w:rPr>
                <w:rFonts w:hint="eastAsia" w:ascii="仿宋_GB2312" w:hAnsi="仿宋"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2D7B11E4">
            <w:pPr>
              <w:autoSpaceDE w:val="0"/>
              <w:autoSpaceDN w:val="0"/>
              <w:spacing w:line="360" w:lineRule="auto"/>
              <w:rPr>
                <w:rFonts w:hint="eastAsia" w:ascii="仿宋_GB2312" w:hAnsi="仿宋"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551B60D5">
            <w:pPr>
              <w:autoSpaceDE w:val="0"/>
              <w:autoSpaceDN w:val="0"/>
              <w:spacing w:line="360" w:lineRule="auto"/>
              <w:rPr>
                <w:rFonts w:hint="eastAsia" w:ascii="仿宋_GB2312" w:hAnsi="仿宋"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28465F1A">
            <w:pPr>
              <w:autoSpaceDE w:val="0"/>
              <w:autoSpaceDN w:val="0"/>
              <w:spacing w:line="360" w:lineRule="auto"/>
              <w:rPr>
                <w:rFonts w:hint="eastAsia" w:ascii="仿宋_GB2312" w:hAnsi="仿宋"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39F3D87A">
            <w:pPr>
              <w:autoSpaceDE w:val="0"/>
              <w:autoSpaceDN w:val="0"/>
              <w:spacing w:line="360" w:lineRule="auto"/>
              <w:rPr>
                <w:rFonts w:hint="eastAsia" w:ascii="仿宋_GB2312" w:hAnsi="仿宋"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279DFB99">
            <w:pPr>
              <w:autoSpaceDE w:val="0"/>
              <w:autoSpaceDN w:val="0"/>
              <w:spacing w:line="360" w:lineRule="auto"/>
              <w:rPr>
                <w:rFonts w:hint="eastAsia" w:ascii="仿宋_GB2312" w:hAnsi="仿宋" w:eastAsia="仿宋_GB2312" w:cs="仿宋_GB2312"/>
                <w:color w:val="auto"/>
                <w:sz w:val="24"/>
                <w:highlight w:val="none"/>
              </w:rPr>
            </w:pPr>
          </w:p>
        </w:tc>
        <w:tc>
          <w:tcPr>
            <w:tcW w:w="1111" w:type="dxa"/>
            <w:tcBorders>
              <w:top w:val="single" w:color="auto" w:sz="6" w:space="0"/>
              <w:left w:val="single" w:color="auto" w:sz="6" w:space="0"/>
              <w:bottom w:val="single" w:color="auto" w:sz="6" w:space="0"/>
              <w:right w:val="single" w:color="auto" w:sz="6" w:space="0"/>
            </w:tcBorders>
            <w:noWrap w:val="0"/>
            <w:vAlign w:val="top"/>
          </w:tcPr>
          <w:p w14:paraId="10AC107F">
            <w:pPr>
              <w:autoSpaceDE w:val="0"/>
              <w:autoSpaceDN w:val="0"/>
              <w:spacing w:line="360" w:lineRule="auto"/>
              <w:rPr>
                <w:rFonts w:hint="eastAsia" w:ascii="仿宋_GB2312" w:hAnsi="仿宋" w:eastAsia="仿宋_GB2312" w:cs="仿宋_GB2312"/>
                <w:color w:val="auto"/>
                <w:sz w:val="24"/>
                <w:highlight w:val="none"/>
              </w:rPr>
            </w:pPr>
          </w:p>
        </w:tc>
      </w:tr>
    </w:tbl>
    <w:p w14:paraId="2B5593D5">
      <w:pPr>
        <w:pStyle w:val="15"/>
        <w:spacing w:line="440" w:lineRule="exact"/>
        <w:ind w:firstLine="396" w:firstLineChars="198"/>
        <w:rPr>
          <w:rFonts w:hint="eastAsia" w:hAnsi="宋体"/>
          <w:color w:val="auto"/>
          <w:highlight w:val="none"/>
        </w:rPr>
      </w:pPr>
    </w:p>
    <w:p w14:paraId="4F7E54B1">
      <w:pPr>
        <w:spacing w:line="500" w:lineRule="exact"/>
        <w:rPr>
          <w:rFonts w:hint="eastAsia" w:ascii="仿宋_GB2312" w:hAnsi="仿宋_GB2312" w:eastAsia="仿宋_GB2312" w:cs="仿宋_GB2312"/>
          <w:color w:val="auto"/>
          <w:sz w:val="32"/>
          <w:szCs w:val="32"/>
          <w:highlight w:val="none"/>
        </w:rPr>
      </w:pPr>
    </w:p>
    <w:p w14:paraId="0B666306">
      <w:pPr>
        <w:autoSpaceDE w:val="0"/>
        <w:autoSpaceDN w:val="0"/>
        <w:spacing w:line="360" w:lineRule="auto"/>
        <w:ind w:left="4335" w:leftChars="1950" w:hanging="240" w:hangingChars="10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69ABA799">
      <w:pPr>
        <w:snapToGrid w:val="0"/>
        <w:spacing w:line="360" w:lineRule="auto"/>
        <w:ind w:firstLine="6120" w:firstLineChars="2550"/>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  年  月   日</w:t>
      </w:r>
    </w:p>
    <w:p w14:paraId="0764C6FC">
      <w:pPr>
        <w:snapToGrid w:val="0"/>
        <w:spacing w:line="360" w:lineRule="auto"/>
        <w:ind w:firstLine="602" w:firstLineChars="200"/>
        <w:rPr>
          <w:rFonts w:hint="eastAsia" w:ascii="仿宋" w:hAnsi="仿宋" w:eastAsia="仿宋" w:cs="仿宋_GB2312"/>
          <w:b/>
          <w:color w:val="auto"/>
          <w:sz w:val="30"/>
          <w:szCs w:val="30"/>
          <w:highlight w:val="none"/>
        </w:rPr>
      </w:pPr>
    </w:p>
    <w:p w14:paraId="35519A2D">
      <w:pPr>
        <w:snapToGrid w:val="0"/>
        <w:spacing w:line="360" w:lineRule="auto"/>
        <w:ind w:firstLine="602" w:firstLineChars="200"/>
        <w:rPr>
          <w:rFonts w:hint="eastAsia" w:ascii="仿宋" w:hAnsi="仿宋" w:eastAsia="仿宋" w:cs="仿宋_GB2312"/>
          <w:b/>
          <w:color w:val="auto"/>
          <w:sz w:val="30"/>
          <w:szCs w:val="30"/>
          <w:highlight w:val="none"/>
        </w:rPr>
      </w:pPr>
      <w:r>
        <w:rPr>
          <w:rFonts w:hint="eastAsia" w:ascii="仿宋" w:hAnsi="仿宋" w:eastAsia="仿宋" w:cs="仿宋_GB2312"/>
          <w:b/>
          <w:color w:val="auto"/>
          <w:sz w:val="30"/>
          <w:szCs w:val="30"/>
          <w:highlight w:val="none"/>
        </w:rPr>
        <w:t>十、项目实施人员一览表</w:t>
      </w:r>
    </w:p>
    <w:p w14:paraId="4D7E71A1">
      <w:pPr>
        <w:spacing w:line="360" w:lineRule="auto"/>
        <w:jc w:val="center"/>
        <w:rPr>
          <w:rFonts w:hint="eastAsia" w:ascii="仿宋_GB2312" w:hAnsi="仿宋" w:eastAsia="仿宋_GB2312" w:cs="仿宋_GB2312"/>
          <w:b/>
          <w:bCs/>
          <w:color w:val="auto"/>
          <w:sz w:val="24"/>
          <w:highlight w:val="none"/>
        </w:rPr>
      </w:pPr>
      <w:r>
        <w:rPr>
          <w:rFonts w:hint="eastAsia" w:ascii="仿宋_GB2312" w:hAnsi="仿宋" w:eastAsia="仿宋_GB2312" w:cs="仿宋_GB2312"/>
          <w:color w:val="auto"/>
          <w:sz w:val="24"/>
          <w:highlight w:val="none"/>
        </w:rPr>
        <w:t>（由供应商根据采购需求及采购文件要求编制）</w:t>
      </w:r>
    </w:p>
    <w:p w14:paraId="6CE24C7A">
      <w:pPr>
        <w:pStyle w:val="15"/>
        <w:rPr>
          <w:rFonts w:hint="eastAsia"/>
          <w:color w:val="auto"/>
          <w:sz w:val="24"/>
          <w:szCs w:val="24"/>
          <w:highlight w:val="none"/>
        </w:rPr>
      </w:pPr>
      <w:r>
        <w:rPr>
          <w:rFonts w:hint="eastAsia"/>
          <w:color w:val="auto"/>
          <w:sz w:val="24"/>
          <w:szCs w:val="24"/>
          <w:highlight w:val="none"/>
        </w:rPr>
        <w:t>响应分标：</w:t>
      </w:r>
      <w:r>
        <w:rPr>
          <w:rFonts w:hint="eastAsia"/>
          <w:color w:val="auto"/>
          <w:sz w:val="24"/>
          <w:szCs w:val="24"/>
          <w:highlight w:val="none"/>
          <w:u w:val="single"/>
        </w:rPr>
        <w:t xml:space="preserve">     </w:t>
      </w:r>
      <w:r>
        <w:rPr>
          <w:rFonts w:hint="eastAsia"/>
          <w:color w:val="auto"/>
          <w:sz w:val="24"/>
          <w:szCs w:val="24"/>
          <w:highlight w:val="none"/>
        </w:rPr>
        <w:t>分标</w:t>
      </w:r>
    </w:p>
    <w:p w14:paraId="00F0C6FC">
      <w:pPr>
        <w:keepNext/>
        <w:autoSpaceDE w:val="0"/>
        <w:autoSpaceDN w:val="0"/>
        <w:spacing w:line="360" w:lineRule="auto"/>
        <w:ind w:firstLine="477"/>
        <w:rPr>
          <w:rFonts w:hint="eastAsia"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附表A:本项目的项目经理情况表</w:t>
      </w:r>
    </w:p>
    <w:tbl>
      <w:tblPr>
        <w:tblStyle w:val="25"/>
        <w:tblW w:w="0" w:type="auto"/>
        <w:tblInd w:w="116" w:type="dxa"/>
        <w:tblLayout w:type="fixed"/>
        <w:tblCellMar>
          <w:top w:w="0" w:type="dxa"/>
          <w:left w:w="108" w:type="dxa"/>
          <w:bottom w:w="0" w:type="dxa"/>
          <w:right w:w="108" w:type="dxa"/>
        </w:tblCellMar>
      </w:tblPr>
      <w:tblGrid>
        <w:gridCol w:w="2061"/>
        <w:gridCol w:w="1287"/>
        <w:gridCol w:w="1260"/>
        <w:gridCol w:w="4147"/>
      </w:tblGrid>
      <w:tr w14:paraId="5B881AB9">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B960C52">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noWrap w:val="0"/>
            <w:vAlign w:val="center"/>
          </w:tcPr>
          <w:p w14:paraId="44C71A60">
            <w:pPr>
              <w:autoSpaceDE w:val="0"/>
              <w:autoSpaceDN w:val="0"/>
              <w:spacing w:line="360" w:lineRule="auto"/>
              <w:jc w:val="center"/>
              <w:rPr>
                <w:rFonts w:hint="eastAsia" w:ascii="仿宋_GB2312" w:hAnsi="仿宋"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6A5EF6B6">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noWrap w:val="0"/>
            <w:vAlign w:val="center"/>
          </w:tcPr>
          <w:p w14:paraId="522B300D">
            <w:pPr>
              <w:autoSpaceDE w:val="0"/>
              <w:autoSpaceDN w:val="0"/>
              <w:spacing w:line="360" w:lineRule="auto"/>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响应截止时间前三年业绩及承担的主要工作情况，曾担任项目经理的项目应列明细</w:t>
            </w:r>
          </w:p>
        </w:tc>
      </w:tr>
      <w:tr w14:paraId="262C06D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D9D7684">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61DC0F4D">
            <w:pPr>
              <w:autoSpaceDE w:val="0"/>
              <w:autoSpaceDN w:val="0"/>
              <w:spacing w:line="360" w:lineRule="auto"/>
              <w:jc w:val="center"/>
              <w:rPr>
                <w:rFonts w:hint="eastAsia" w:ascii="仿宋_GB2312" w:hAnsi="仿宋"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0566628E">
            <w:pPr>
              <w:autoSpaceDE w:val="0"/>
              <w:autoSpaceDN w:val="0"/>
              <w:spacing w:line="360" w:lineRule="auto"/>
              <w:jc w:val="center"/>
              <w:rPr>
                <w:rFonts w:hint="eastAsia" w:ascii="仿宋_GB2312" w:hAnsi="仿宋"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noWrap w:val="0"/>
            <w:vAlign w:val="center"/>
          </w:tcPr>
          <w:p w14:paraId="289D48A8">
            <w:pPr>
              <w:autoSpaceDE w:val="0"/>
              <w:autoSpaceDN w:val="0"/>
              <w:spacing w:line="360" w:lineRule="auto"/>
              <w:jc w:val="center"/>
              <w:rPr>
                <w:rFonts w:hint="eastAsia" w:ascii="仿宋_GB2312" w:hAnsi="仿宋" w:eastAsia="仿宋_GB2312" w:cs="仿宋_GB2312"/>
                <w:color w:val="auto"/>
                <w:sz w:val="24"/>
                <w:highlight w:val="none"/>
              </w:rPr>
            </w:pPr>
          </w:p>
        </w:tc>
      </w:tr>
      <w:tr w14:paraId="14A6A033">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A72A30A">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0911215D">
            <w:pPr>
              <w:autoSpaceDE w:val="0"/>
              <w:autoSpaceDN w:val="0"/>
              <w:spacing w:line="360" w:lineRule="auto"/>
              <w:jc w:val="center"/>
              <w:rPr>
                <w:rFonts w:hint="eastAsia" w:ascii="仿宋_GB2312" w:hAnsi="仿宋"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49BA3704">
            <w:pPr>
              <w:autoSpaceDE w:val="0"/>
              <w:autoSpaceDN w:val="0"/>
              <w:spacing w:line="360" w:lineRule="auto"/>
              <w:jc w:val="center"/>
              <w:rPr>
                <w:rFonts w:hint="eastAsia" w:ascii="仿宋_GB2312" w:hAnsi="仿宋"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328EB6CA">
            <w:pPr>
              <w:widowControl/>
              <w:jc w:val="left"/>
              <w:rPr>
                <w:rFonts w:ascii="仿宋_GB2312" w:hAnsi="仿宋" w:eastAsia="仿宋_GB2312" w:cs="仿宋_GB2312"/>
                <w:color w:val="auto"/>
                <w:sz w:val="24"/>
                <w:highlight w:val="none"/>
              </w:rPr>
            </w:pPr>
          </w:p>
        </w:tc>
      </w:tr>
      <w:tr w14:paraId="724AF7A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455E3A2A">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14EBA982">
            <w:pPr>
              <w:autoSpaceDE w:val="0"/>
              <w:autoSpaceDN w:val="0"/>
              <w:spacing w:line="360" w:lineRule="auto"/>
              <w:jc w:val="center"/>
              <w:rPr>
                <w:rFonts w:hint="eastAsia" w:ascii="仿宋_GB2312" w:hAnsi="仿宋"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5368652B">
            <w:pPr>
              <w:autoSpaceDE w:val="0"/>
              <w:autoSpaceDN w:val="0"/>
              <w:spacing w:line="360" w:lineRule="auto"/>
              <w:jc w:val="center"/>
              <w:rPr>
                <w:rFonts w:hint="eastAsia" w:ascii="仿宋_GB2312" w:hAnsi="仿宋"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69EB20C3">
            <w:pPr>
              <w:widowControl/>
              <w:jc w:val="left"/>
              <w:rPr>
                <w:rFonts w:ascii="仿宋_GB2312" w:hAnsi="仿宋" w:eastAsia="仿宋_GB2312" w:cs="仿宋_GB2312"/>
                <w:color w:val="auto"/>
                <w:sz w:val="24"/>
                <w:highlight w:val="none"/>
              </w:rPr>
            </w:pPr>
          </w:p>
        </w:tc>
      </w:tr>
      <w:tr w14:paraId="0B59A0E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072A7C76">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407234B7">
            <w:pPr>
              <w:autoSpaceDE w:val="0"/>
              <w:autoSpaceDN w:val="0"/>
              <w:spacing w:line="360" w:lineRule="auto"/>
              <w:jc w:val="center"/>
              <w:rPr>
                <w:rFonts w:hint="eastAsia" w:ascii="仿宋_GB2312" w:hAnsi="仿宋"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07662CF7">
            <w:pPr>
              <w:autoSpaceDE w:val="0"/>
              <w:autoSpaceDN w:val="0"/>
              <w:spacing w:line="360" w:lineRule="auto"/>
              <w:jc w:val="center"/>
              <w:rPr>
                <w:rFonts w:hint="eastAsia" w:ascii="仿宋_GB2312" w:hAnsi="仿宋"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6CC6AB0B">
            <w:pPr>
              <w:widowControl/>
              <w:jc w:val="left"/>
              <w:rPr>
                <w:rFonts w:ascii="仿宋_GB2312" w:hAnsi="仿宋" w:eastAsia="仿宋_GB2312" w:cs="仿宋_GB2312"/>
                <w:color w:val="auto"/>
                <w:sz w:val="24"/>
                <w:highlight w:val="none"/>
              </w:rPr>
            </w:pPr>
          </w:p>
        </w:tc>
      </w:tr>
      <w:tr w14:paraId="43E59FD0">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67286D12">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1BA7ECFD">
            <w:pPr>
              <w:autoSpaceDE w:val="0"/>
              <w:autoSpaceDN w:val="0"/>
              <w:spacing w:line="360" w:lineRule="auto"/>
              <w:jc w:val="center"/>
              <w:rPr>
                <w:rFonts w:hint="eastAsia" w:ascii="仿宋_GB2312" w:hAnsi="仿宋"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13B36FC6">
            <w:pPr>
              <w:autoSpaceDE w:val="0"/>
              <w:autoSpaceDN w:val="0"/>
              <w:spacing w:line="360" w:lineRule="auto"/>
              <w:jc w:val="center"/>
              <w:rPr>
                <w:rFonts w:hint="eastAsia" w:ascii="仿宋_GB2312" w:hAnsi="仿宋"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02E49E69">
            <w:pPr>
              <w:widowControl/>
              <w:jc w:val="left"/>
              <w:rPr>
                <w:rFonts w:ascii="仿宋_GB2312" w:hAnsi="仿宋" w:eastAsia="仿宋_GB2312" w:cs="仿宋_GB2312"/>
                <w:color w:val="auto"/>
                <w:sz w:val="24"/>
                <w:highlight w:val="none"/>
              </w:rPr>
            </w:pPr>
          </w:p>
        </w:tc>
      </w:tr>
      <w:tr w14:paraId="5445E511">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75FBB71B">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27DB6EC0">
            <w:pPr>
              <w:autoSpaceDE w:val="0"/>
              <w:autoSpaceDN w:val="0"/>
              <w:spacing w:line="360" w:lineRule="auto"/>
              <w:jc w:val="center"/>
              <w:rPr>
                <w:rFonts w:hint="eastAsia" w:ascii="仿宋_GB2312" w:hAnsi="仿宋"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1AEC1029">
            <w:pPr>
              <w:autoSpaceDE w:val="0"/>
              <w:autoSpaceDN w:val="0"/>
              <w:spacing w:line="360" w:lineRule="auto"/>
              <w:jc w:val="center"/>
              <w:rPr>
                <w:rFonts w:hint="eastAsia" w:ascii="仿宋_GB2312" w:hAnsi="仿宋"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197885BD">
            <w:pPr>
              <w:widowControl/>
              <w:jc w:val="left"/>
              <w:rPr>
                <w:rFonts w:ascii="仿宋_GB2312" w:hAnsi="仿宋" w:eastAsia="仿宋_GB2312" w:cs="仿宋_GB2312"/>
                <w:color w:val="auto"/>
                <w:sz w:val="24"/>
                <w:highlight w:val="none"/>
              </w:rPr>
            </w:pPr>
          </w:p>
        </w:tc>
      </w:tr>
      <w:tr w14:paraId="23486159">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0287D97F">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6CAA2B2B">
            <w:pPr>
              <w:autoSpaceDE w:val="0"/>
              <w:autoSpaceDN w:val="0"/>
              <w:spacing w:line="360" w:lineRule="auto"/>
              <w:jc w:val="center"/>
              <w:rPr>
                <w:rFonts w:hint="eastAsia" w:ascii="仿宋_GB2312" w:hAnsi="仿宋"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2AE33713">
            <w:pPr>
              <w:autoSpaceDE w:val="0"/>
              <w:autoSpaceDN w:val="0"/>
              <w:spacing w:line="360" w:lineRule="auto"/>
              <w:jc w:val="center"/>
              <w:rPr>
                <w:rFonts w:hint="eastAsia" w:ascii="仿宋_GB2312" w:hAnsi="仿宋"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0C94C775">
            <w:pPr>
              <w:widowControl/>
              <w:jc w:val="left"/>
              <w:rPr>
                <w:rFonts w:ascii="仿宋_GB2312" w:hAnsi="仿宋" w:eastAsia="仿宋_GB2312" w:cs="仿宋_GB2312"/>
                <w:color w:val="auto"/>
                <w:sz w:val="24"/>
                <w:highlight w:val="none"/>
              </w:rPr>
            </w:pPr>
          </w:p>
        </w:tc>
      </w:tr>
      <w:tr w14:paraId="34712344">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253C31F5">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748BEFD1">
            <w:pPr>
              <w:autoSpaceDE w:val="0"/>
              <w:autoSpaceDN w:val="0"/>
              <w:spacing w:line="360" w:lineRule="auto"/>
              <w:jc w:val="center"/>
              <w:rPr>
                <w:rFonts w:hint="eastAsia" w:ascii="仿宋_GB2312" w:hAnsi="仿宋"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3B954B50">
            <w:pPr>
              <w:autoSpaceDE w:val="0"/>
              <w:autoSpaceDN w:val="0"/>
              <w:spacing w:line="360" w:lineRule="auto"/>
              <w:jc w:val="center"/>
              <w:rPr>
                <w:rFonts w:hint="eastAsia" w:ascii="仿宋_GB2312" w:hAnsi="仿宋"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18972EDC">
            <w:pPr>
              <w:widowControl/>
              <w:jc w:val="left"/>
              <w:rPr>
                <w:rFonts w:ascii="仿宋_GB2312" w:hAnsi="仿宋" w:eastAsia="仿宋_GB2312" w:cs="仿宋_GB2312"/>
                <w:color w:val="auto"/>
                <w:sz w:val="24"/>
                <w:highlight w:val="none"/>
              </w:rPr>
            </w:pPr>
          </w:p>
        </w:tc>
      </w:tr>
      <w:tr w14:paraId="1F76F97E">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956638E">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2DF8B20A">
            <w:pPr>
              <w:autoSpaceDE w:val="0"/>
              <w:autoSpaceDN w:val="0"/>
              <w:spacing w:line="360" w:lineRule="auto"/>
              <w:jc w:val="center"/>
              <w:rPr>
                <w:rFonts w:hint="eastAsia" w:ascii="仿宋_GB2312" w:hAnsi="仿宋"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487086ED">
            <w:pPr>
              <w:autoSpaceDE w:val="0"/>
              <w:autoSpaceDN w:val="0"/>
              <w:spacing w:line="360" w:lineRule="auto"/>
              <w:jc w:val="center"/>
              <w:rPr>
                <w:rFonts w:hint="eastAsia" w:ascii="仿宋_GB2312" w:hAnsi="仿宋"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0DD0E880">
            <w:pPr>
              <w:widowControl/>
              <w:jc w:val="left"/>
              <w:rPr>
                <w:rFonts w:ascii="仿宋_GB2312" w:hAnsi="仿宋" w:eastAsia="仿宋_GB2312" w:cs="仿宋_GB2312"/>
                <w:color w:val="auto"/>
                <w:sz w:val="24"/>
                <w:highlight w:val="none"/>
              </w:rPr>
            </w:pPr>
          </w:p>
        </w:tc>
      </w:tr>
    </w:tbl>
    <w:p w14:paraId="414A9ADD">
      <w:pPr>
        <w:autoSpaceDE w:val="0"/>
        <w:autoSpaceDN w:val="0"/>
        <w:spacing w:line="360" w:lineRule="auto"/>
        <w:rPr>
          <w:rFonts w:hint="eastAsia"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注：须随表提交相应的证书复印件并注明所在响应技术文件页码。</w:t>
      </w:r>
    </w:p>
    <w:p w14:paraId="3532E4DA">
      <w:pPr>
        <w:autoSpaceDE w:val="0"/>
        <w:autoSpaceDN w:val="0"/>
        <w:spacing w:line="360" w:lineRule="auto"/>
        <w:rPr>
          <w:rFonts w:hint="eastAsia"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附表B:本项目的项目小组人员情况表</w:t>
      </w:r>
      <w:r>
        <w:rPr>
          <w:rFonts w:hint="eastAsia" w:ascii="仿宋_GB2312" w:hAnsi="仿宋" w:eastAsia="仿宋_GB2312" w:cs="仿宋_GB2312"/>
          <w:color w:val="auto"/>
          <w:sz w:val="24"/>
          <w:highlight w:val="none"/>
        </w:rPr>
        <w:t>（按此格式自制）</w:t>
      </w:r>
    </w:p>
    <w:tbl>
      <w:tblPr>
        <w:tblStyle w:val="25"/>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1FD7BD0">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noWrap w:val="0"/>
            <w:vAlign w:val="center"/>
          </w:tcPr>
          <w:p w14:paraId="721F7959">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6D50C130">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1E356190">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noWrap w:val="0"/>
            <w:vAlign w:val="center"/>
          </w:tcPr>
          <w:p w14:paraId="79D1EA92">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noWrap w:val="0"/>
            <w:vAlign w:val="center"/>
          </w:tcPr>
          <w:p w14:paraId="4086E3EB">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学历</w:t>
            </w:r>
          </w:p>
          <w:p w14:paraId="192B21E5">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179C2F32">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专业</w:t>
            </w:r>
          </w:p>
          <w:p w14:paraId="52A7245C">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22D37C23">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职称</w:t>
            </w:r>
          </w:p>
          <w:p w14:paraId="2B789763">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3D05E61E">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2D9EA86D">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noWrap w:val="0"/>
            <w:vAlign w:val="center"/>
          </w:tcPr>
          <w:p w14:paraId="72ACEA55">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参与本项目的到位情况</w:t>
            </w:r>
          </w:p>
        </w:tc>
      </w:tr>
      <w:tr w14:paraId="489A2CE3">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0864F1AB">
            <w:pPr>
              <w:autoSpaceDE w:val="0"/>
              <w:autoSpaceDN w:val="0"/>
              <w:spacing w:line="360" w:lineRule="auto"/>
              <w:jc w:val="center"/>
              <w:rPr>
                <w:rFonts w:hint="eastAsia" w:ascii="仿宋_GB2312" w:hAnsi="仿宋"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37BBD637">
            <w:pPr>
              <w:autoSpaceDE w:val="0"/>
              <w:autoSpaceDN w:val="0"/>
              <w:spacing w:line="360" w:lineRule="auto"/>
              <w:rPr>
                <w:rFonts w:hint="eastAsia" w:ascii="仿宋_GB2312" w:hAnsi="仿宋"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35999B21">
            <w:pPr>
              <w:autoSpaceDE w:val="0"/>
              <w:autoSpaceDN w:val="0"/>
              <w:spacing w:line="360" w:lineRule="auto"/>
              <w:rPr>
                <w:rFonts w:hint="eastAsia" w:ascii="仿宋_GB2312" w:hAnsi="仿宋"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1B63F140">
            <w:pPr>
              <w:autoSpaceDE w:val="0"/>
              <w:autoSpaceDN w:val="0"/>
              <w:spacing w:line="360" w:lineRule="auto"/>
              <w:rPr>
                <w:rFonts w:hint="eastAsia" w:ascii="仿宋_GB2312" w:hAnsi="仿宋"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6D1FBEBF">
            <w:pPr>
              <w:autoSpaceDE w:val="0"/>
              <w:autoSpaceDN w:val="0"/>
              <w:spacing w:line="360" w:lineRule="auto"/>
              <w:rPr>
                <w:rFonts w:hint="eastAsia" w:ascii="仿宋_GB2312" w:hAnsi="仿宋"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068A44B2">
            <w:pPr>
              <w:autoSpaceDE w:val="0"/>
              <w:autoSpaceDN w:val="0"/>
              <w:spacing w:line="360" w:lineRule="auto"/>
              <w:rPr>
                <w:rFonts w:hint="eastAsia" w:ascii="仿宋_GB2312" w:hAnsi="仿宋"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47BB4580">
            <w:pPr>
              <w:autoSpaceDE w:val="0"/>
              <w:autoSpaceDN w:val="0"/>
              <w:spacing w:line="360" w:lineRule="auto"/>
              <w:rPr>
                <w:rFonts w:hint="eastAsia" w:ascii="仿宋_GB2312" w:hAnsi="仿宋"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348BE05B">
            <w:pPr>
              <w:autoSpaceDE w:val="0"/>
              <w:autoSpaceDN w:val="0"/>
              <w:spacing w:line="360" w:lineRule="auto"/>
              <w:rPr>
                <w:rFonts w:hint="eastAsia" w:ascii="仿宋_GB2312" w:hAnsi="仿宋"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2A832FAC">
            <w:pPr>
              <w:autoSpaceDE w:val="0"/>
              <w:autoSpaceDN w:val="0"/>
              <w:spacing w:line="360" w:lineRule="auto"/>
              <w:rPr>
                <w:rFonts w:hint="eastAsia" w:ascii="仿宋_GB2312" w:hAnsi="仿宋"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17A49E5E">
            <w:pPr>
              <w:autoSpaceDE w:val="0"/>
              <w:autoSpaceDN w:val="0"/>
              <w:spacing w:line="360" w:lineRule="auto"/>
              <w:rPr>
                <w:rFonts w:hint="eastAsia" w:ascii="仿宋_GB2312" w:hAnsi="仿宋" w:eastAsia="仿宋_GB2312" w:cs="仿宋_GB2312"/>
                <w:color w:val="auto"/>
                <w:sz w:val="24"/>
                <w:highlight w:val="none"/>
              </w:rPr>
            </w:pPr>
          </w:p>
        </w:tc>
      </w:tr>
      <w:tr w14:paraId="3BD46AE8">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6A6678AD">
            <w:pPr>
              <w:autoSpaceDE w:val="0"/>
              <w:autoSpaceDN w:val="0"/>
              <w:spacing w:line="360" w:lineRule="auto"/>
              <w:jc w:val="center"/>
              <w:rPr>
                <w:rFonts w:hint="eastAsia" w:ascii="仿宋_GB2312" w:hAnsi="仿宋"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118D5F7C">
            <w:pPr>
              <w:autoSpaceDE w:val="0"/>
              <w:autoSpaceDN w:val="0"/>
              <w:spacing w:line="360" w:lineRule="auto"/>
              <w:rPr>
                <w:rFonts w:hint="eastAsia" w:ascii="仿宋_GB2312" w:hAnsi="仿宋"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0464331C">
            <w:pPr>
              <w:autoSpaceDE w:val="0"/>
              <w:autoSpaceDN w:val="0"/>
              <w:spacing w:line="360" w:lineRule="auto"/>
              <w:rPr>
                <w:rFonts w:hint="eastAsia" w:ascii="仿宋_GB2312" w:hAnsi="仿宋"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592C2DE5">
            <w:pPr>
              <w:autoSpaceDE w:val="0"/>
              <w:autoSpaceDN w:val="0"/>
              <w:spacing w:line="360" w:lineRule="auto"/>
              <w:rPr>
                <w:rFonts w:hint="eastAsia" w:ascii="仿宋_GB2312" w:hAnsi="仿宋"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20094046">
            <w:pPr>
              <w:autoSpaceDE w:val="0"/>
              <w:autoSpaceDN w:val="0"/>
              <w:spacing w:line="360" w:lineRule="auto"/>
              <w:rPr>
                <w:rFonts w:hint="eastAsia" w:ascii="仿宋_GB2312" w:hAnsi="仿宋"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379C2FB2">
            <w:pPr>
              <w:autoSpaceDE w:val="0"/>
              <w:autoSpaceDN w:val="0"/>
              <w:spacing w:line="360" w:lineRule="auto"/>
              <w:rPr>
                <w:rFonts w:hint="eastAsia" w:ascii="仿宋_GB2312" w:hAnsi="仿宋"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52655D0A">
            <w:pPr>
              <w:autoSpaceDE w:val="0"/>
              <w:autoSpaceDN w:val="0"/>
              <w:spacing w:line="360" w:lineRule="auto"/>
              <w:rPr>
                <w:rFonts w:hint="eastAsia" w:ascii="仿宋_GB2312" w:hAnsi="仿宋"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5D4EBAF2">
            <w:pPr>
              <w:autoSpaceDE w:val="0"/>
              <w:autoSpaceDN w:val="0"/>
              <w:spacing w:line="360" w:lineRule="auto"/>
              <w:rPr>
                <w:rFonts w:hint="eastAsia" w:ascii="仿宋_GB2312" w:hAnsi="仿宋"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1A1DF9C7">
            <w:pPr>
              <w:autoSpaceDE w:val="0"/>
              <w:autoSpaceDN w:val="0"/>
              <w:spacing w:line="360" w:lineRule="auto"/>
              <w:rPr>
                <w:rFonts w:hint="eastAsia" w:ascii="仿宋_GB2312" w:hAnsi="仿宋"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0645AEF0">
            <w:pPr>
              <w:autoSpaceDE w:val="0"/>
              <w:autoSpaceDN w:val="0"/>
              <w:spacing w:line="360" w:lineRule="auto"/>
              <w:rPr>
                <w:rFonts w:hint="eastAsia" w:ascii="仿宋_GB2312" w:hAnsi="仿宋" w:eastAsia="仿宋_GB2312" w:cs="仿宋_GB2312"/>
                <w:color w:val="auto"/>
                <w:sz w:val="24"/>
                <w:highlight w:val="none"/>
              </w:rPr>
            </w:pPr>
          </w:p>
        </w:tc>
      </w:tr>
    </w:tbl>
    <w:p w14:paraId="0863BB21">
      <w:pPr>
        <w:spacing w:line="360" w:lineRule="auto"/>
        <w:rPr>
          <w:rFonts w:hint="eastAsia" w:ascii="仿宋_GB2312" w:hAnsi="仿宋" w:eastAsia="仿宋_GB2312" w:cs="仿宋_GB2312"/>
          <w:b/>
          <w:bCs/>
          <w:color w:val="auto"/>
          <w:sz w:val="24"/>
          <w:highlight w:val="none"/>
        </w:rPr>
      </w:pPr>
      <w:r>
        <w:rPr>
          <w:rFonts w:hint="eastAsia" w:ascii="仿宋_GB2312" w:hAnsi="仿宋" w:eastAsia="仿宋_GB2312" w:cs="仿宋_GB2312"/>
          <w:b/>
          <w:color w:val="auto"/>
          <w:sz w:val="24"/>
          <w:highlight w:val="none"/>
        </w:rPr>
        <w:t>注：供应商可按上述的格式自行编制，须随表提交相应的证书复印件并注明所在响应技术文件页码。</w:t>
      </w:r>
    </w:p>
    <w:p w14:paraId="6FD07765">
      <w:pPr>
        <w:spacing w:line="360" w:lineRule="auto"/>
        <w:rPr>
          <w:rFonts w:hint="eastAsia" w:ascii="仿宋_GB2312" w:hAnsi="仿宋" w:eastAsia="仿宋_GB2312" w:cs="仿宋_GB2312"/>
          <w:b/>
          <w:bCs/>
          <w:color w:val="auto"/>
          <w:sz w:val="24"/>
          <w:highlight w:val="none"/>
        </w:rPr>
      </w:pPr>
      <w:r>
        <w:rPr>
          <w:rFonts w:hint="eastAsia" w:ascii="仿宋_GB2312" w:hAnsi="仿宋" w:eastAsia="仿宋_GB2312" w:cs="仿宋_GB2312"/>
          <w:b/>
          <w:color w:val="auto"/>
          <w:sz w:val="24"/>
          <w:highlight w:val="none"/>
        </w:rPr>
        <w:t>附表C:本项目的项目经理和小组人员近3个月交纳社保记录情况表</w:t>
      </w:r>
      <w:r>
        <w:rPr>
          <w:rFonts w:hint="eastAsia" w:ascii="仿宋_GB2312" w:hAnsi="仿宋" w:eastAsia="仿宋_GB2312" w:cs="仿宋_GB2312"/>
          <w:color w:val="auto"/>
          <w:sz w:val="24"/>
          <w:highlight w:val="none"/>
        </w:rPr>
        <w:t>（以社保局缴纳凭证作附件）</w:t>
      </w:r>
    </w:p>
    <w:p w14:paraId="4C142793">
      <w:pPr>
        <w:snapToGrid w:val="0"/>
        <w:spacing w:line="360" w:lineRule="auto"/>
        <w:ind w:firstLine="602" w:firstLineChars="200"/>
        <w:rPr>
          <w:rFonts w:hint="eastAsia" w:ascii="仿宋" w:hAnsi="仿宋" w:eastAsia="仿宋" w:cs="仿宋_GB2312"/>
          <w:b/>
          <w:color w:val="auto"/>
          <w:sz w:val="30"/>
          <w:szCs w:val="30"/>
          <w:highlight w:val="none"/>
        </w:rPr>
      </w:pPr>
    </w:p>
    <w:p w14:paraId="045F07CA">
      <w:pPr>
        <w:autoSpaceDE w:val="0"/>
        <w:autoSpaceDN w:val="0"/>
        <w:spacing w:line="360" w:lineRule="auto"/>
        <w:ind w:firstLine="6505" w:firstLineChars="2700"/>
        <w:rPr>
          <w:rFonts w:hint="eastAsia" w:ascii="仿宋_GB2312" w:hAnsi="仿宋" w:eastAsia="仿宋_GB2312" w:cs="仿宋_GB2312"/>
          <w:b/>
          <w:bCs/>
          <w:color w:val="auto"/>
          <w:sz w:val="24"/>
          <w:highlight w:val="none"/>
        </w:rPr>
      </w:pPr>
    </w:p>
    <w:p w14:paraId="7F6FDE40">
      <w:pPr>
        <w:autoSpaceDE w:val="0"/>
        <w:autoSpaceDN w:val="0"/>
        <w:spacing w:line="360" w:lineRule="auto"/>
        <w:ind w:left="4335" w:leftChars="1950" w:hanging="240" w:hangingChars="10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5F203BA4">
      <w:pPr>
        <w:autoSpaceDE w:val="0"/>
        <w:autoSpaceDN w:val="0"/>
        <w:spacing w:line="360" w:lineRule="auto"/>
        <w:ind w:firstLine="4560" w:firstLineChars="1900"/>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  年  月   日</w:t>
      </w:r>
    </w:p>
    <w:p w14:paraId="5A512E10">
      <w:pPr>
        <w:autoSpaceDE w:val="0"/>
        <w:autoSpaceDN w:val="0"/>
        <w:spacing w:line="360" w:lineRule="auto"/>
        <w:ind w:firstLine="6480" w:firstLineChars="2700"/>
        <w:rPr>
          <w:rFonts w:hint="eastAsia" w:ascii="仿宋_GB2312" w:hAnsi="仿宋" w:eastAsia="仿宋_GB2312" w:cs="仿宋_GB2312"/>
          <w:color w:val="auto"/>
          <w:kern w:val="0"/>
          <w:sz w:val="24"/>
          <w:highlight w:val="none"/>
          <w:lang w:val="zh-CN"/>
        </w:rPr>
      </w:pPr>
    </w:p>
    <w:p w14:paraId="4C6E3CCC">
      <w:pPr>
        <w:snapToGrid w:val="0"/>
        <w:spacing w:line="360" w:lineRule="auto"/>
        <w:ind w:firstLine="602" w:firstLineChars="200"/>
        <w:rPr>
          <w:rFonts w:hint="eastAsia" w:ascii="仿宋" w:hAnsi="仿宋" w:eastAsia="仿宋" w:cs="仿宋_GB2312"/>
          <w:b/>
          <w:color w:val="auto"/>
          <w:sz w:val="30"/>
          <w:szCs w:val="30"/>
          <w:highlight w:val="none"/>
        </w:rPr>
      </w:pPr>
      <w:r>
        <w:rPr>
          <w:rFonts w:hint="eastAsia" w:ascii="仿宋" w:hAnsi="仿宋" w:eastAsia="仿宋" w:cs="仿宋_GB2312"/>
          <w:b/>
          <w:color w:val="auto"/>
          <w:sz w:val="30"/>
          <w:szCs w:val="30"/>
          <w:highlight w:val="none"/>
        </w:rPr>
        <w:t>十一、服务需求、商务条款要求提供的其他材料</w:t>
      </w:r>
    </w:p>
    <w:p w14:paraId="6A0180B9">
      <w:pPr>
        <w:autoSpaceDE w:val="0"/>
        <w:autoSpaceDN w:val="0"/>
        <w:spacing w:line="360" w:lineRule="auto"/>
        <w:ind w:left="4335" w:leftChars="1950" w:hanging="240" w:hangingChars="100"/>
        <w:rPr>
          <w:rFonts w:hint="eastAsia" w:ascii="仿宋_GB2312" w:hAnsi="仿宋" w:eastAsia="仿宋_GB2312" w:cs="仿宋_GB2312"/>
          <w:color w:val="auto"/>
          <w:kern w:val="0"/>
          <w:sz w:val="24"/>
          <w:highlight w:val="none"/>
        </w:rPr>
      </w:pPr>
    </w:p>
    <w:p w14:paraId="19BBEFCB">
      <w:pPr>
        <w:autoSpaceDE w:val="0"/>
        <w:autoSpaceDN w:val="0"/>
        <w:spacing w:line="360" w:lineRule="auto"/>
        <w:ind w:left="4335" w:leftChars="1950" w:hanging="240" w:hangingChars="10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4389723E">
      <w:pPr>
        <w:autoSpaceDE w:val="0"/>
        <w:autoSpaceDN w:val="0"/>
        <w:spacing w:line="360" w:lineRule="auto"/>
        <w:ind w:firstLine="4920" w:firstLineChars="2050"/>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  年  月   日</w:t>
      </w:r>
    </w:p>
    <w:p w14:paraId="5AC91D79">
      <w:pPr>
        <w:widowControl/>
        <w:spacing w:line="360" w:lineRule="auto"/>
        <w:jc w:val="left"/>
        <w:rPr>
          <w:rFonts w:ascii="仿宋_GB2312" w:hAnsi="仿宋" w:eastAsia="仿宋_GB2312" w:cs="仿宋_GB2312"/>
          <w:b/>
          <w:bCs/>
          <w:color w:val="auto"/>
          <w:sz w:val="24"/>
          <w:highlight w:val="none"/>
        </w:rPr>
        <w:sectPr>
          <w:pgSz w:w="11910" w:h="16840"/>
          <w:pgMar w:top="1340" w:right="1500" w:bottom="280" w:left="1680" w:header="720" w:footer="720" w:gutter="0"/>
          <w:cols w:space="720" w:num="1"/>
        </w:sectPr>
      </w:pPr>
    </w:p>
    <w:p w14:paraId="7156F2FA">
      <w:pPr>
        <w:autoSpaceDE w:val="0"/>
        <w:autoSpaceDN w:val="0"/>
        <w:spacing w:line="360" w:lineRule="auto"/>
        <w:ind w:firstLine="6505" w:firstLineChars="2700"/>
        <w:rPr>
          <w:rFonts w:hint="eastAsia" w:ascii="仿宋_GB2312" w:hAnsi="仿宋" w:eastAsia="仿宋_GB2312" w:cs="仿宋_GB2312"/>
          <w:b/>
          <w:bCs/>
          <w:color w:val="auto"/>
          <w:sz w:val="24"/>
          <w:highlight w:val="none"/>
        </w:rPr>
      </w:pPr>
    </w:p>
    <w:p w14:paraId="756B529E">
      <w:pPr>
        <w:pStyle w:val="3"/>
        <w:jc w:val="center"/>
        <w:rPr>
          <w:rFonts w:hint="eastAsia" w:ascii="宋体" w:hAnsi="宋体" w:cs="宋体"/>
          <w:color w:val="auto"/>
          <w:highlight w:val="none"/>
        </w:rPr>
      </w:pPr>
      <w:bookmarkStart w:id="91" w:name="_Toc25570"/>
      <w:bookmarkStart w:id="92" w:name="_Toc80205941"/>
      <w:r>
        <w:rPr>
          <w:rFonts w:hint="eastAsia" w:ascii="宋体" w:hAnsi="宋体"/>
          <w:color w:val="auto"/>
          <w:highlight w:val="none"/>
        </w:rPr>
        <w:t>第四节 报价文件格式</w:t>
      </w:r>
      <w:bookmarkEnd w:id="91"/>
      <w:bookmarkEnd w:id="92"/>
    </w:p>
    <w:p w14:paraId="17CAFC7F">
      <w:pPr>
        <w:snapToGrid w:val="0"/>
        <w:spacing w:before="120" w:beforeLines="50" w:after="50"/>
        <w:rPr>
          <w:rFonts w:hint="eastAsia" w:ascii="宋体" w:hAnsi="宋体"/>
          <w:bCs/>
          <w:color w:val="auto"/>
          <w:sz w:val="32"/>
          <w:szCs w:val="20"/>
          <w:highlight w:val="none"/>
        </w:rPr>
      </w:pPr>
      <w:r>
        <w:rPr>
          <w:rFonts w:hint="eastAsia" w:ascii="宋体" w:hAnsi="宋体"/>
          <w:color w:val="auto"/>
          <w:sz w:val="24"/>
          <w:highlight w:val="none"/>
        </w:rPr>
        <w:t xml:space="preserve">                                                    </w:t>
      </w:r>
      <w:r>
        <w:rPr>
          <w:rFonts w:hint="eastAsia" w:ascii="宋体" w:hAnsi="宋体"/>
          <w:bCs/>
          <w:color w:val="auto"/>
          <w:highlight w:val="none"/>
        </w:rPr>
        <w:t>全流程电子文件</w:t>
      </w:r>
    </w:p>
    <w:p w14:paraId="2490E910">
      <w:pPr>
        <w:snapToGrid w:val="0"/>
        <w:spacing w:before="120" w:beforeLines="50" w:after="50"/>
        <w:rPr>
          <w:rFonts w:hint="eastAsia" w:ascii="宋体" w:hAnsi="宋体"/>
          <w:color w:val="auto"/>
          <w:sz w:val="24"/>
          <w:szCs w:val="20"/>
          <w:highlight w:val="none"/>
        </w:rPr>
      </w:pPr>
    </w:p>
    <w:p w14:paraId="46A4028F">
      <w:pPr>
        <w:snapToGrid w:val="0"/>
        <w:spacing w:before="120" w:beforeLines="50" w:after="50"/>
        <w:rPr>
          <w:rFonts w:hint="eastAsia" w:ascii="宋体" w:hAnsi="宋体"/>
          <w:color w:val="auto"/>
          <w:sz w:val="24"/>
          <w:szCs w:val="20"/>
          <w:highlight w:val="none"/>
        </w:rPr>
      </w:pPr>
    </w:p>
    <w:p w14:paraId="14FDE0E3">
      <w:pPr>
        <w:snapToGrid w:val="0"/>
        <w:spacing w:before="120" w:beforeLines="50" w:after="50"/>
        <w:rPr>
          <w:rFonts w:hint="eastAsia" w:ascii="宋体" w:hAnsi="宋体"/>
          <w:color w:val="auto"/>
          <w:sz w:val="24"/>
          <w:szCs w:val="20"/>
          <w:highlight w:val="none"/>
        </w:rPr>
      </w:pPr>
    </w:p>
    <w:p w14:paraId="053D4AD5">
      <w:pPr>
        <w:snapToGrid w:val="0"/>
        <w:spacing w:before="120"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报  价  文  件（封面）</w:t>
      </w:r>
    </w:p>
    <w:p w14:paraId="6F282B12">
      <w:pPr>
        <w:snapToGrid w:val="0"/>
        <w:spacing w:before="120" w:beforeLines="50" w:after="50"/>
        <w:rPr>
          <w:rFonts w:hint="eastAsia" w:ascii="宋体" w:hAnsi="宋体"/>
          <w:bCs/>
          <w:color w:val="auto"/>
          <w:sz w:val="24"/>
          <w:szCs w:val="20"/>
          <w:highlight w:val="none"/>
        </w:rPr>
      </w:pPr>
    </w:p>
    <w:p w14:paraId="23BD94A4">
      <w:pPr>
        <w:snapToGrid w:val="0"/>
        <w:spacing w:before="120" w:beforeLines="50" w:after="50"/>
        <w:rPr>
          <w:rFonts w:hint="eastAsia" w:ascii="宋体" w:hAnsi="宋体"/>
          <w:bCs/>
          <w:color w:val="auto"/>
          <w:sz w:val="24"/>
          <w:szCs w:val="20"/>
          <w:highlight w:val="none"/>
        </w:rPr>
      </w:pPr>
    </w:p>
    <w:p w14:paraId="6BF7569D">
      <w:pPr>
        <w:snapToGrid w:val="0"/>
        <w:spacing w:before="120" w:beforeLines="50" w:after="50"/>
        <w:rPr>
          <w:rFonts w:hint="eastAsia" w:ascii="宋体" w:hAnsi="宋体"/>
          <w:bCs/>
          <w:color w:val="auto"/>
          <w:sz w:val="24"/>
          <w:szCs w:val="20"/>
          <w:highlight w:val="none"/>
        </w:rPr>
      </w:pPr>
    </w:p>
    <w:p w14:paraId="57DA5419">
      <w:pPr>
        <w:snapToGrid w:val="0"/>
        <w:spacing w:before="120" w:beforeLines="50" w:after="50"/>
        <w:rPr>
          <w:rFonts w:hint="eastAsia" w:ascii="宋体" w:hAnsi="宋体"/>
          <w:bCs/>
          <w:color w:val="auto"/>
          <w:sz w:val="24"/>
          <w:szCs w:val="20"/>
          <w:highlight w:val="none"/>
        </w:rPr>
      </w:pPr>
    </w:p>
    <w:p w14:paraId="50C60B68">
      <w:pPr>
        <w:snapToGrid w:val="0"/>
        <w:spacing w:before="120" w:beforeLines="50" w:after="50"/>
        <w:rPr>
          <w:rFonts w:hint="eastAsia" w:ascii="宋体" w:hAnsi="宋体"/>
          <w:bCs/>
          <w:color w:val="auto"/>
          <w:sz w:val="24"/>
          <w:szCs w:val="20"/>
          <w:highlight w:val="none"/>
        </w:rPr>
      </w:pPr>
    </w:p>
    <w:p w14:paraId="4C7C0FBF">
      <w:pPr>
        <w:snapToGrid w:val="0"/>
        <w:spacing w:before="120" w:beforeLines="50" w:after="50"/>
        <w:ind w:firstLine="640" w:firstLineChars="200"/>
        <w:rPr>
          <w:rFonts w:hint="eastAsia" w:ascii="宋体" w:hAnsi="宋体" w:eastAsia="宋体" w:cs="仿宋_GB2312"/>
          <w:bCs/>
          <w:color w:val="auto"/>
          <w:sz w:val="32"/>
          <w:szCs w:val="32"/>
          <w:highlight w:val="none"/>
          <w:lang w:eastAsia="zh-CN"/>
        </w:rPr>
      </w:pPr>
      <w:r>
        <w:rPr>
          <w:rFonts w:hint="eastAsia" w:ascii="宋体" w:hAnsi="宋体" w:cs="仿宋_GB2312"/>
          <w:bCs/>
          <w:color w:val="auto"/>
          <w:sz w:val="32"/>
          <w:szCs w:val="32"/>
          <w:highlight w:val="none"/>
        </w:rPr>
        <w:t>项目名称：</w:t>
      </w:r>
      <w:r>
        <w:rPr>
          <w:rFonts w:hint="eastAsia" w:ascii="宋体" w:hAnsi="宋体" w:cs="仿宋_GB2312"/>
          <w:bCs/>
          <w:color w:val="auto"/>
          <w:sz w:val="32"/>
          <w:szCs w:val="32"/>
          <w:highlight w:val="none"/>
          <w:lang w:eastAsia="zh-CN"/>
        </w:rPr>
        <w:t>邕宁区蒲庙电灌站灌区续建配套与节水改造工程项目立项建议报告编制技术服务项目</w:t>
      </w:r>
    </w:p>
    <w:p w14:paraId="7ECAEC16">
      <w:pPr>
        <w:snapToGrid w:val="0"/>
        <w:spacing w:before="120" w:beforeLines="50" w:after="50"/>
        <w:ind w:firstLine="720" w:firstLineChars="225"/>
        <w:rPr>
          <w:rFonts w:hint="eastAsia" w:ascii="宋体" w:hAnsi="宋体" w:cs="仿宋_GB2312"/>
          <w:bCs/>
          <w:color w:val="auto"/>
          <w:sz w:val="32"/>
          <w:szCs w:val="32"/>
          <w:highlight w:val="none"/>
        </w:rPr>
      </w:pPr>
    </w:p>
    <w:p w14:paraId="0F765B72">
      <w:pPr>
        <w:snapToGrid w:val="0"/>
        <w:spacing w:before="120" w:beforeLines="50" w:after="50"/>
        <w:ind w:firstLine="640" w:firstLineChars="200"/>
        <w:rPr>
          <w:rFonts w:hint="eastAsia" w:ascii="宋体" w:hAnsi="宋体" w:eastAsia="宋体" w:cs="仿宋_GB2312"/>
          <w:bCs/>
          <w:color w:val="auto"/>
          <w:sz w:val="32"/>
          <w:szCs w:val="32"/>
          <w:highlight w:val="none"/>
          <w:lang w:eastAsia="zh-CN"/>
        </w:rPr>
      </w:pPr>
      <w:r>
        <w:rPr>
          <w:rFonts w:hint="eastAsia" w:ascii="宋体" w:hAnsi="宋体" w:cs="仿宋_GB2312"/>
          <w:bCs/>
          <w:color w:val="auto"/>
          <w:sz w:val="32"/>
          <w:szCs w:val="32"/>
          <w:highlight w:val="none"/>
        </w:rPr>
        <w:t>项目编号：</w:t>
      </w:r>
      <w:r>
        <w:rPr>
          <w:rFonts w:hint="eastAsia" w:ascii="宋体" w:hAnsi="宋体" w:cs="仿宋_GB2312"/>
          <w:bCs/>
          <w:color w:val="auto"/>
          <w:sz w:val="32"/>
          <w:szCs w:val="32"/>
          <w:highlight w:val="none"/>
          <w:lang w:eastAsia="zh-CN"/>
        </w:rPr>
        <w:t>NNZC2026-C3-090018-KWZB</w:t>
      </w:r>
    </w:p>
    <w:p w14:paraId="71237E11">
      <w:pPr>
        <w:snapToGrid w:val="0"/>
        <w:spacing w:before="120" w:beforeLines="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51EE40CC">
      <w:pPr>
        <w:snapToGrid w:val="0"/>
        <w:spacing w:before="120"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153FDCCA">
      <w:pPr>
        <w:snapToGrid w:val="0"/>
        <w:spacing w:before="120" w:beforeLines="50" w:after="50"/>
        <w:ind w:firstLine="720" w:firstLineChars="225"/>
        <w:rPr>
          <w:rFonts w:hint="eastAsia" w:ascii="宋体" w:hAnsi="宋体" w:cs="仿宋_GB2312"/>
          <w:bCs/>
          <w:color w:val="auto"/>
          <w:sz w:val="32"/>
          <w:szCs w:val="32"/>
          <w:highlight w:val="none"/>
        </w:rPr>
      </w:pPr>
    </w:p>
    <w:p w14:paraId="58D03E9E">
      <w:pPr>
        <w:pStyle w:val="6"/>
        <w:snapToGrid w:val="0"/>
        <w:spacing w:before="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40C633B8">
      <w:pPr>
        <w:pStyle w:val="6"/>
        <w:snapToGrid w:val="0"/>
        <w:spacing w:before="50" w:after="50"/>
        <w:ind w:firstLine="720" w:firstLineChars="225"/>
        <w:rPr>
          <w:rFonts w:hint="eastAsia" w:ascii="宋体" w:hAnsi="宋体" w:cs="仿宋_GB2312"/>
          <w:bCs/>
          <w:color w:val="auto"/>
          <w:sz w:val="32"/>
          <w:szCs w:val="32"/>
          <w:highlight w:val="none"/>
        </w:rPr>
      </w:pPr>
    </w:p>
    <w:p w14:paraId="75EB5DCD">
      <w:pPr>
        <w:pStyle w:val="6"/>
        <w:snapToGrid w:val="0"/>
        <w:spacing w:before="50" w:after="50"/>
        <w:ind w:firstLine="720" w:firstLineChars="225"/>
        <w:rPr>
          <w:rFonts w:hint="eastAsia" w:ascii="宋体" w:hAnsi="宋体" w:cs="仿宋_GB2312"/>
          <w:bCs/>
          <w:color w:val="auto"/>
          <w:sz w:val="32"/>
          <w:szCs w:val="32"/>
          <w:highlight w:val="none"/>
        </w:rPr>
      </w:pPr>
    </w:p>
    <w:p w14:paraId="71206440">
      <w:pPr>
        <w:pStyle w:val="6"/>
        <w:snapToGrid w:val="0"/>
        <w:spacing w:before="50" w:after="50"/>
        <w:ind w:firstLine="1280" w:firstLineChars="400"/>
        <w:rPr>
          <w:rFonts w:hint="eastAsia" w:ascii="宋体" w:hAnsi="宋体" w:cs="仿宋_GB2312"/>
          <w:bCs/>
          <w:color w:val="auto"/>
          <w:sz w:val="32"/>
          <w:szCs w:val="32"/>
          <w:highlight w:val="none"/>
        </w:rPr>
      </w:pPr>
    </w:p>
    <w:p w14:paraId="24AF856A">
      <w:pPr>
        <w:snapToGrid w:val="0"/>
        <w:spacing w:before="120" w:beforeLines="50" w:after="50"/>
        <w:jc w:val="center"/>
        <w:rPr>
          <w:rFonts w:hint="eastAsia"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3114957A">
      <w:pPr>
        <w:snapToGrid w:val="0"/>
        <w:spacing w:before="120" w:beforeLines="50" w:after="50" w:line="400" w:lineRule="exact"/>
        <w:jc w:val="center"/>
        <w:rPr>
          <w:rFonts w:hint="eastAsia" w:ascii="宋体" w:hAnsi="宋体"/>
          <w:b/>
          <w:bCs/>
          <w:color w:val="auto"/>
          <w:sz w:val="32"/>
          <w:szCs w:val="32"/>
          <w:highlight w:val="none"/>
        </w:rPr>
      </w:pPr>
      <w:r>
        <w:rPr>
          <w:rFonts w:hint="eastAsia" w:ascii="宋体" w:hAnsi="宋体"/>
          <w:color w:val="auto"/>
          <w:sz w:val="24"/>
          <w:highlight w:val="none"/>
        </w:rPr>
        <w:br w:type="page"/>
      </w:r>
      <w:r>
        <w:rPr>
          <w:rFonts w:hint="eastAsia" w:ascii="宋体" w:hAnsi="宋体"/>
          <w:b/>
          <w:bCs/>
          <w:color w:val="auto"/>
          <w:sz w:val="32"/>
          <w:szCs w:val="32"/>
          <w:highlight w:val="none"/>
        </w:rPr>
        <w:t>报价文件目录</w:t>
      </w:r>
    </w:p>
    <w:p w14:paraId="2CECE4D3">
      <w:pPr>
        <w:rPr>
          <w:rFonts w:hint="eastAsia" w:ascii="宋体" w:hAnsi="宋体" w:cs="宋体"/>
          <w:color w:val="auto"/>
          <w:highlight w:val="none"/>
        </w:rPr>
      </w:pPr>
    </w:p>
    <w:p w14:paraId="03F0F5F2">
      <w:pPr>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一、响应函………………………………………………………（页码）</w:t>
      </w:r>
    </w:p>
    <w:p w14:paraId="01F2B4AC">
      <w:pPr>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二、响应报价表…………………………………………………（页码）</w:t>
      </w:r>
    </w:p>
    <w:p w14:paraId="61FFB322">
      <w:pPr>
        <w:spacing w:line="360" w:lineRule="auto"/>
        <w:rPr>
          <w:rFonts w:hint="eastAsia" w:ascii="仿宋_GB2312" w:hAnsi="仿宋" w:eastAsia="仿宋_GB2312" w:cs="仿宋_GB2312"/>
          <w:color w:val="auto"/>
          <w:sz w:val="24"/>
          <w:highlight w:val="none"/>
        </w:rPr>
      </w:pPr>
      <w:r>
        <w:rPr>
          <w:rFonts w:hint="eastAsia" w:ascii="仿宋_GB2312" w:hAnsi="仿宋" w:eastAsia="仿宋_GB2312" w:cs="仿宋_GB2312"/>
          <w:color w:val="auto"/>
          <w:kern w:val="0"/>
          <w:sz w:val="24"/>
          <w:highlight w:val="none"/>
        </w:rPr>
        <w:t>三、其他…………………………………………………………（页码）</w:t>
      </w:r>
    </w:p>
    <w:p w14:paraId="4C034102">
      <w:pPr>
        <w:snapToGrid w:val="0"/>
        <w:spacing w:before="120" w:beforeLines="50" w:after="50" w:line="360" w:lineRule="auto"/>
        <w:ind w:left="142" w:firstLine="640" w:firstLineChars="200"/>
        <w:jc w:val="left"/>
        <w:rPr>
          <w:rFonts w:hint="eastAsia" w:ascii="仿宋_GB2312" w:hAnsi="仿宋_GB2312" w:eastAsia="仿宋_GB2312" w:cs="仿宋_GB2312"/>
          <w:color w:val="auto"/>
          <w:sz w:val="32"/>
          <w:szCs w:val="32"/>
          <w:highlight w:val="none"/>
        </w:rPr>
      </w:pPr>
    </w:p>
    <w:p w14:paraId="41FDFCD8">
      <w:pPr>
        <w:snapToGrid w:val="0"/>
        <w:spacing w:before="120" w:beforeLines="50" w:after="50" w:line="360" w:lineRule="auto"/>
        <w:ind w:left="142" w:firstLine="480" w:firstLineChars="200"/>
        <w:jc w:val="left"/>
        <w:rPr>
          <w:rFonts w:hint="eastAsia" w:hAnsi="宋体" w:cs="仿宋_GB2312"/>
          <w:color w:val="auto"/>
          <w:sz w:val="24"/>
          <w:highlight w:val="none"/>
        </w:rPr>
      </w:pPr>
      <w:r>
        <w:rPr>
          <w:rFonts w:hAnsi="宋体" w:cs="仿宋_GB2312"/>
          <w:color w:val="auto"/>
          <w:sz w:val="24"/>
          <w:highlight w:val="none"/>
        </w:rPr>
        <w:br w:type="page"/>
      </w:r>
      <w:r>
        <w:rPr>
          <w:rFonts w:hint="eastAsia" w:hAnsi="宋体"/>
          <w:b/>
          <w:bCs/>
          <w:color w:val="auto"/>
          <w:sz w:val="32"/>
          <w:szCs w:val="32"/>
          <w:highlight w:val="none"/>
        </w:rPr>
        <w:t>一、响应函</w:t>
      </w:r>
    </w:p>
    <w:p w14:paraId="61A126D5">
      <w:pPr>
        <w:pStyle w:val="15"/>
        <w:spacing w:line="500" w:lineRule="exact"/>
        <w:jc w:val="center"/>
        <w:rPr>
          <w:rFonts w:ascii="Times New Roman" w:hAnsi="Times New Roman"/>
          <w:b/>
          <w:bCs/>
          <w:color w:val="auto"/>
          <w:sz w:val="30"/>
          <w:szCs w:val="30"/>
          <w:highlight w:val="none"/>
        </w:rPr>
      </w:pPr>
      <w:r>
        <w:rPr>
          <w:rFonts w:hint="eastAsia" w:ascii="Times New Roman" w:hAnsi="Times New Roman"/>
          <w:b/>
          <w:bCs/>
          <w:color w:val="auto"/>
          <w:sz w:val="30"/>
          <w:szCs w:val="30"/>
          <w:highlight w:val="none"/>
        </w:rPr>
        <w:t>响应函</w:t>
      </w:r>
    </w:p>
    <w:p w14:paraId="734019A4">
      <w:pPr>
        <w:pStyle w:val="15"/>
        <w:spacing w:line="360" w:lineRule="auto"/>
        <w:rPr>
          <w:rFonts w:ascii="Times New Roman" w:hAnsi="Times New Roman"/>
          <w:color w:val="auto"/>
          <w:szCs w:val="20"/>
          <w:highlight w:val="none"/>
        </w:rPr>
      </w:pPr>
      <w:r>
        <w:rPr>
          <w:rFonts w:hint="eastAsia" w:ascii="Times New Roman" w:hAnsi="Times New Roman"/>
          <w:color w:val="auto"/>
          <w:szCs w:val="20"/>
          <w:highlight w:val="none"/>
        </w:rPr>
        <w:t>致：</w:t>
      </w:r>
      <w:r>
        <w:rPr>
          <w:rFonts w:ascii="Times New Roman" w:hAnsi="Times New Roman"/>
          <w:color w:val="auto"/>
          <w:szCs w:val="20"/>
          <w:highlight w:val="none"/>
          <w:u w:val="single"/>
        </w:rPr>
        <w:t xml:space="preserve"> </w:t>
      </w:r>
      <w:bookmarkStart w:id="93" w:name="PO_3000001868_PM031_4"/>
      <w:r>
        <w:rPr>
          <w:rFonts w:hint="eastAsia" w:ascii="Times New Roman" w:hAnsi="Times New Roman"/>
          <w:color w:val="auto"/>
          <w:szCs w:val="20"/>
          <w:highlight w:val="none"/>
          <w:u w:val="single"/>
        </w:rPr>
        <w:t>广西科文招标有限公司</w:t>
      </w:r>
      <w:bookmarkEnd w:id="93"/>
      <w:r>
        <w:rPr>
          <w:rFonts w:ascii="Times New Roman" w:hAnsi="Times New Roman"/>
          <w:color w:val="auto"/>
          <w:szCs w:val="20"/>
          <w:highlight w:val="none"/>
          <w:u w:val="single"/>
        </w:rPr>
        <w:t xml:space="preserve"> </w:t>
      </w:r>
    </w:p>
    <w:p w14:paraId="389B7091">
      <w:pPr>
        <w:pStyle w:val="15"/>
        <w:spacing w:line="360" w:lineRule="auto"/>
        <w:ind w:firstLine="400" w:firstLineChars="200"/>
        <w:rPr>
          <w:rFonts w:ascii="Times New Roman" w:hAnsi="Times New Roman"/>
          <w:color w:val="auto"/>
          <w:szCs w:val="20"/>
          <w:highlight w:val="none"/>
        </w:rPr>
      </w:pPr>
      <w:r>
        <w:rPr>
          <w:rFonts w:hint="eastAsia"/>
          <w:color w:val="auto"/>
          <w:szCs w:val="20"/>
          <w:highlight w:val="none"/>
        </w:rPr>
        <w:t>我方已仔细阅读了贵方组织的</w:t>
      </w:r>
      <w:r>
        <w:rPr>
          <w:rFonts w:hint="eastAsia"/>
          <w:color w:val="auto"/>
          <w:szCs w:val="20"/>
          <w:highlight w:val="none"/>
          <w:u w:val="single"/>
        </w:rPr>
        <w:t xml:space="preserve"> </w:t>
      </w:r>
      <w:r>
        <w:rPr>
          <w:rFonts w:hint="eastAsia"/>
          <w:color w:val="auto"/>
          <w:szCs w:val="20"/>
          <w:highlight w:val="none"/>
          <w:u w:val="single"/>
          <w:lang w:eastAsia="zh-CN"/>
        </w:rPr>
        <w:t>邕宁区蒲庙电灌站灌区续建配套与节水改造工程项目立项建议报告编制技术服务项目</w:t>
      </w:r>
      <w:r>
        <w:rPr>
          <w:rFonts w:hint="eastAsia"/>
          <w:color w:val="auto"/>
          <w:szCs w:val="20"/>
          <w:highlight w:val="none"/>
          <w:u w:val="single"/>
        </w:rPr>
        <w:t xml:space="preserve">  </w:t>
      </w:r>
      <w:r>
        <w:rPr>
          <w:rFonts w:hint="eastAsia"/>
          <w:color w:val="auto"/>
          <w:szCs w:val="20"/>
          <w:highlight w:val="none"/>
        </w:rPr>
        <w:t>项目（项目编号：</w:t>
      </w:r>
      <w:r>
        <w:rPr>
          <w:rFonts w:hint="eastAsia" w:hAnsi="宋体"/>
          <w:color w:val="auto"/>
          <w:szCs w:val="20"/>
          <w:highlight w:val="none"/>
          <w:u w:val="single"/>
        </w:rPr>
        <w:t xml:space="preserve">  </w:t>
      </w:r>
      <w:r>
        <w:rPr>
          <w:rFonts w:hint="eastAsia" w:hAnsi="宋体"/>
          <w:color w:val="auto"/>
          <w:szCs w:val="20"/>
          <w:highlight w:val="none"/>
          <w:u w:val="single"/>
          <w:lang w:eastAsia="zh-CN"/>
        </w:rPr>
        <w:t>NNZC2026-C3-090018-KWZB</w:t>
      </w:r>
      <w:r>
        <w:rPr>
          <w:rFonts w:hint="eastAsia" w:hAnsi="宋体"/>
          <w:color w:val="auto"/>
          <w:szCs w:val="20"/>
          <w:highlight w:val="none"/>
          <w:u w:val="single"/>
        </w:rPr>
        <w:t xml:space="preserve"> </w:t>
      </w:r>
      <w:r>
        <w:rPr>
          <w:rFonts w:hint="eastAsia"/>
          <w:color w:val="auto"/>
          <w:szCs w:val="20"/>
          <w:highlight w:val="none"/>
        </w:rPr>
        <w:t xml:space="preserve">）的竞争性磋商采购文件的全部内容，现正式递交下述文件参加贵方组织的本次政府采购活动： </w:t>
      </w:r>
    </w:p>
    <w:p w14:paraId="6103ADE8">
      <w:pPr>
        <w:pStyle w:val="15"/>
        <w:spacing w:line="360" w:lineRule="auto"/>
        <w:ind w:firstLine="400" w:firstLineChars="200"/>
        <w:rPr>
          <w:rFonts w:ascii="Times New Roman" w:hAnsi="Times New Roman"/>
          <w:color w:val="auto"/>
          <w:szCs w:val="20"/>
          <w:highlight w:val="none"/>
        </w:rPr>
      </w:pPr>
      <w:r>
        <w:rPr>
          <w:rFonts w:hint="eastAsia"/>
          <w:color w:val="auto"/>
          <w:szCs w:val="20"/>
          <w:highlight w:val="none"/>
        </w:rPr>
        <w:t>一、首次报价文件电子版</w:t>
      </w:r>
      <w:r>
        <w:rPr>
          <w:rFonts w:hint="eastAsia"/>
          <w:color w:val="auto"/>
          <w:szCs w:val="20"/>
          <w:highlight w:val="none"/>
          <w:u w:val="single"/>
        </w:rPr>
        <w:t xml:space="preserve">   </w:t>
      </w:r>
      <w:r>
        <w:rPr>
          <w:rFonts w:hint="eastAsia"/>
          <w:color w:val="auto"/>
          <w:szCs w:val="20"/>
          <w:highlight w:val="none"/>
        </w:rPr>
        <w:t>份（包含按“第三章 供应商须知”提交的全部文件）；</w:t>
      </w:r>
    </w:p>
    <w:p w14:paraId="41DCCC83">
      <w:pPr>
        <w:pStyle w:val="15"/>
        <w:spacing w:line="360" w:lineRule="auto"/>
        <w:ind w:firstLine="400" w:firstLineChars="200"/>
        <w:rPr>
          <w:rFonts w:hint="eastAsia"/>
          <w:color w:val="auto"/>
          <w:szCs w:val="20"/>
          <w:highlight w:val="none"/>
          <w:lang w:eastAsia="zh-CN"/>
        </w:rPr>
      </w:pPr>
      <w:r>
        <w:rPr>
          <w:rFonts w:hint="eastAsia"/>
          <w:color w:val="auto"/>
          <w:szCs w:val="20"/>
          <w:highlight w:val="none"/>
        </w:rPr>
        <w:t>二、</w:t>
      </w:r>
      <w:r>
        <w:rPr>
          <w:rFonts w:hint="eastAsia" w:hAnsi="宋体"/>
          <w:color w:val="auto"/>
          <w:szCs w:val="20"/>
          <w:highlight w:val="none"/>
        </w:rPr>
        <w:t>技术</w:t>
      </w:r>
      <w:r>
        <w:rPr>
          <w:rFonts w:hint="eastAsia"/>
          <w:color w:val="auto"/>
          <w:szCs w:val="20"/>
          <w:highlight w:val="none"/>
        </w:rPr>
        <w:t>文件电子版</w:t>
      </w:r>
      <w:r>
        <w:rPr>
          <w:rFonts w:hint="eastAsia"/>
          <w:color w:val="auto"/>
          <w:szCs w:val="20"/>
          <w:highlight w:val="none"/>
          <w:u w:val="single"/>
        </w:rPr>
        <w:t xml:space="preserve">   </w:t>
      </w:r>
      <w:r>
        <w:rPr>
          <w:rFonts w:hint="eastAsia"/>
          <w:color w:val="auto"/>
          <w:szCs w:val="20"/>
          <w:highlight w:val="none"/>
        </w:rPr>
        <w:t>份（包含按“第三章 供应商须知”提交的全部文件）；商务</w:t>
      </w:r>
      <w:r>
        <w:rPr>
          <w:rFonts w:hint="eastAsia" w:hAnsi="宋体"/>
          <w:color w:val="auto"/>
          <w:szCs w:val="20"/>
          <w:highlight w:val="none"/>
        </w:rPr>
        <w:t>文件</w:t>
      </w:r>
      <w:r>
        <w:rPr>
          <w:rFonts w:hint="eastAsia"/>
          <w:color w:val="auto"/>
          <w:szCs w:val="20"/>
          <w:highlight w:val="none"/>
        </w:rPr>
        <w:t>电子版</w:t>
      </w:r>
      <w:r>
        <w:rPr>
          <w:rFonts w:hint="eastAsia"/>
          <w:color w:val="auto"/>
          <w:szCs w:val="20"/>
          <w:highlight w:val="none"/>
          <w:u w:val="single"/>
        </w:rPr>
        <w:t xml:space="preserve">   </w:t>
      </w:r>
      <w:r>
        <w:rPr>
          <w:rFonts w:hint="eastAsia"/>
          <w:color w:val="auto"/>
          <w:szCs w:val="20"/>
          <w:highlight w:val="none"/>
        </w:rPr>
        <w:t>份（包含按“第三章 供应商须知”提交的全部文件）；（商务技术文件已合并装订成册）</w:t>
      </w:r>
      <w:r>
        <w:rPr>
          <w:rFonts w:hint="eastAsia"/>
          <w:color w:val="auto"/>
          <w:szCs w:val="20"/>
          <w:highlight w:val="none"/>
          <w:lang w:eastAsia="zh-CN"/>
        </w:rPr>
        <w:t>；</w:t>
      </w:r>
    </w:p>
    <w:p w14:paraId="5FC66968">
      <w:pPr>
        <w:pStyle w:val="15"/>
        <w:spacing w:line="360" w:lineRule="auto"/>
        <w:ind w:firstLine="400" w:firstLineChars="200"/>
        <w:rPr>
          <w:rFonts w:hint="eastAsia"/>
          <w:color w:val="auto"/>
          <w:szCs w:val="20"/>
          <w:highlight w:val="none"/>
          <w:lang w:eastAsia="zh-CN"/>
        </w:rPr>
      </w:pPr>
      <w:r>
        <w:rPr>
          <w:rFonts w:hint="eastAsia"/>
          <w:color w:val="auto"/>
          <w:szCs w:val="20"/>
          <w:highlight w:val="none"/>
          <w:lang w:eastAsia="zh-CN"/>
        </w:rPr>
        <w:t>三、资格证明文件电子版（包含按“第三章供应商须知”提交的全部文件）；</w:t>
      </w:r>
    </w:p>
    <w:p w14:paraId="4B26CF33">
      <w:pPr>
        <w:pStyle w:val="15"/>
        <w:spacing w:line="360" w:lineRule="auto"/>
        <w:ind w:firstLine="400" w:firstLineChars="200"/>
        <w:rPr>
          <w:rFonts w:ascii="Times New Roman" w:hAnsi="Times New Roman"/>
          <w:color w:val="auto"/>
          <w:szCs w:val="20"/>
          <w:highlight w:val="none"/>
        </w:rPr>
      </w:pPr>
      <w:r>
        <w:rPr>
          <w:rFonts w:hint="eastAsia"/>
          <w:color w:val="auto"/>
          <w:szCs w:val="20"/>
          <w:highlight w:val="none"/>
        </w:rPr>
        <w:t>据此函，签字人兹宣布：</w:t>
      </w:r>
    </w:p>
    <w:p w14:paraId="1B5697E0">
      <w:pPr>
        <w:pStyle w:val="15"/>
        <w:spacing w:line="360" w:lineRule="auto"/>
        <w:ind w:firstLine="482"/>
        <w:rPr>
          <w:rFonts w:hint="eastAsia"/>
          <w:color w:val="auto"/>
          <w:szCs w:val="20"/>
          <w:highlight w:val="none"/>
        </w:rPr>
      </w:pPr>
      <w:r>
        <w:rPr>
          <w:rFonts w:hint="eastAsia"/>
          <w:color w:val="auto"/>
          <w:szCs w:val="20"/>
          <w:highlight w:val="none"/>
        </w:rPr>
        <w:t>1、我方愿意以（大写）人民币</w:t>
      </w:r>
      <w:r>
        <w:rPr>
          <w:rFonts w:hint="eastAsia"/>
          <w:color w:val="auto"/>
          <w:szCs w:val="20"/>
          <w:highlight w:val="none"/>
          <w:u w:val="single"/>
        </w:rPr>
        <w:t xml:space="preserve">              </w:t>
      </w:r>
      <w:r>
        <w:rPr>
          <w:rFonts w:hint="eastAsia"/>
          <w:color w:val="auto"/>
          <w:szCs w:val="20"/>
          <w:highlight w:val="none"/>
        </w:rPr>
        <w:t>（￥</w:t>
      </w:r>
      <w:r>
        <w:rPr>
          <w:rFonts w:hint="eastAsia"/>
          <w:color w:val="auto"/>
          <w:szCs w:val="20"/>
          <w:highlight w:val="none"/>
          <w:u w:val="single"/>
        </w:rPr>
        <w:t xml:space="preserve">          </w:t>
      </w:r>
      <w:r>
        <w:rPr>
          <w:rFonts w:hint="eastAsia"/>
          <w:color w:val="auto"/>
          <w:szCs w:val="20"/>
          <w:highlight w:val="none"/>
        </w:rPr>
        <w:t>元)的竞标总报价，提供服务期（无分标时填写）：</w:t>
      </w:r>
      <w:r>
        <w:rPr>
          <w:rFonts w:hint="eastAsia"/>
          <w:color w:val="auto"/>
          <w:szCs w:val="20"/>
          <w:highlight w:val="none"/>
          <w:u w:val="single"/>
        </w:rPr>
        <w:t xml:space="preserve">            </w:t>
      </w:r>
      <w:r>
        <w:rPr>
          <w:rFonts w:hint="eastAsia"/>
          <w:color w:val="auto"/>
          <w:szCs w:val="20"/>
          <w:highlight w:val="none"/>
        </w:rPr>
        <w:t>，提供本项目竞争性磋商采购文件第二章“服务需求一览表”中相应的采购内容。</w:t>
      </w:r>
    </w:p>
    <w:p w14:paraId="69A63363">
      <w:pPr>
        <w:pStyle w:val="15"/>
        <w:spacing w:line="360" w:lineRule="auto"/>
        <w:ind w:firstLine="482"/>
        <w:rPr>
          <w:rFonts w:hint="eastAsia"/>
          <w:color w:val="auto"/>
          <w:szCs w:val="20"/>
          <w:highlight w:val="none"/>
        </w:rPr>
      </w:pPr>
      <w:r>
        <w:rPr>
          <w:rFonts w:hint="eastAsia"/>
          <w:color w:val="auto"/>
          <w:szCs w:val="20"/>
          <w:highlight w:val="none"/>
        </w:rPr>
        <w:t>其中</w:t>
      </w:r>
    </w:p>
    <w:p w14:paraId="18144721">
      <w:pPr>
        <w:pStyle w:val="15"/>
        <w:spacing w:line="360" w:lineRule="auto"/>
        <w:ind w:firstLine="482"/>
        <w:rPr>
          <w:rFonts w:hint="eastAsia"/>
          <w:color w:val="auto"/>
          <w:szCs w:val="20"/>
          <w:highlight w:val="none"/>
          <w:u w:val="single"/>
        </w:rPr>
      </w:pPr>
      <w:r>
        <w:rPr>
          <w:rFonts w:hint="eastAsia"/>
          <w:color w:val="auto"/>
          <w:szCs w:val="20"/>
          <w:highlight w:val="none"/>
          <w:u w:val="single"/>
        </w:rPr>
        <w:t xml:space="preserve">    </w:t>
      </w:r>
      <w:r>
        <w:rPr>
          <w:rFonts w:hint="eastAsia"/>
          <w:color w:val="auto"/>
          <w:szCs w:val="20"/>
          <w:highlight w:val="none"/>
        </w:rPr>
        <w:t>分标的竞标总报价为（大写）人民币</w:t>
      </w:r>
      <w:r>
        <w:rPr>
          <w:rFonts w:hint="eastAsia"/>
          <w:color w:val="auto"/>
          <w:szCs w:val="20"/>
          <w:highlight w:val="none"/>
          <w:u w:val="single"/>
        </w:rPr>
        <w:t xml:space="preserve">         </w:t>
      </w:r>
      <w:r>
        <w:rPr>
          <w:rFonts w:hint="eastAsia"/>
          <w:color w:val="auto"/>
          <w:szCs w:val="20"/>
          <w:highlight w:val="none"/>
        </w:rPr>
        <w:t>（￥</w:t>
      </w:r>
      <w:r>
        <w:rPr>
          <w:rFonts w:hint="eastAsia"/>
          <w:color w:val="auto"/>
          <w:szCs w:val="20"/>
          <w:highlight w:val="none"/>
          <w:u w:val="single"/>
        </w:rPr>
        <w:t xml:space="preserve">      </w:t>
      </w:r>
      <w:r>
        <w:rPr>
          <w:rFonts w:hint="eastAsia"/>
          <w:color w:val="auto"/>
          <w:szCs w:val="20"/>
          <w:highlight w:val="none"/>
        </w:rPr>
        <w:t>元)，</w:t>
      </w:r>
      <w:r>
        <w:rPr>
          <w:rFonts w:hint="eastAsia" w:hAnsi="宋体"/>
          <w:bCs/>
          <w:color w:val="auto"/>
          <w:highlight w:val="none"/>
        </w:rPr>
        <w:t>服务期限</w:t>
      </w:r>
      <w:r>
        <w:rPr>
          <w:rFonts w:hint="eastAsia"/>
          <w:color w:val="auto"/>
          <w:szCs w:val="20"/>
          <w:highlight w:val="none"/>
        </w:rPr>
        <w:t>：</w:t>
      </w:r>
      <w:r>
        <w:rPr>
          <w:rFonts w:hint="eastAsia"/>
          <w:color w:val="auto"/>
          <w:szCs w:val="20"/>
          <w:highlight w:val="none"/>
          <w:u w:val="single"/>
        </w:rPr>
        <w:t xml:space="preserve">            ；</w:t>
      </w:r>
    </w:p>
    <w:p w14:paraId="1AF52B03">
      <w:pPr>
        <w:pStyle w:val="15"/>
        <w:spacing w:line="360" w:lineRule="auto"/>
        <w:ind w:firstLine="482"/>
        <w:rPr>
          <w:rFonts w:hint="eastAsia"/>
          <w:color w:val="auto"/>
          <w:szCs w:val="20"/>
          <w:highlight w:val="none"/>
        </w:rPr>
      </w:pPr>
      <w:r>
        <w:rPr>
          <w:rFonts w:hint="eastAsia"/>
          <w:color w:val="auto"/>
          <w:szCs w:val="20"/>
          <w:highlight w:val="none"/>
        </w:rPr>
        <w:t>……</w:t>
      </w:r>
    </w:p>
    <w:p w14:paraId="189ACABC">
      <w:pPr>
        <w:pStyle w:val="15"/>
        <w:spacing w:line="360" w:lineRule="auto"/>
        <w:ind w:firstLine="482"/>
        <w:rPr>
          <w:rFonts w:ascii="Times New Roman" w:hAnsi="Times New Roman"/>
          <w:color w:val="auto"/>
          <w:szCs w:val="20"/>
          <w:highlight w:val="none"/>
          <w:lang w:val="en-US"/>
        </w:rPr>
      </w:pPr>
      <w:r>
        <w:rPr>
          <w:rFonts w:hint="eastAsia"/>
          <w:color w:val="auto"/>
          <w:szCs w:val="20"/>
          <w:highlight w:val="none"/>
          <w:u w:val="single"/>
        </w:rPr>
        <w:t xml:space="preserve">    </w:t>
      </w:r>
      <w:r>
        <w:rPr>
          <w:rFonts w:hint="eastAsia"/>
          <w:color w:val="auto"/>
          <w:szCs w:val="20"/>
          <w:highlight w:val="none"/>
        </w:rPr>
        <w:t>分标的竞标总报价为（大写）人民币</w:t>
      </w:r>
      <w:r>
        <w:rPr>
          <w:rFonts w:hint="eastAsia"/>
          <w:color w:val="auto"/>
          <w:szCs w:val="20"/>
          <w:highlight w:val="none"/>
          <w:u w:val="single"/>
        </w:rPr>
        <w:t xml:space="preserve">         </w:t>
      </w:r>
      <w:r>
        <w:rPr>
          <w:rFonts w:hint="eastAsia"/>
          <w:color w:val="auto"/>
          <w:szCs w:val="20"/>
          <w:highlight w:val="none"/>
        </w:rPr>
        <w:t>（￥</w:t>
      </w:r>
      <w:r>
        <w:rPr>
          <w:rFonts w:hint="eastAsia"/>
          <w:color w:val="auto"/>
          <w:szCs w:val="20"/>
          <w:highlight w:val="none"/>
          <w:u w:val="single"/>
        </w:rPr>
        <w:t xml:space="preserve">      </w:t>
      </w:r>
      <w:r>
        <w:rPr>
          <w:rFonts w:hint="eastAsia"/>
          <w:color w:val="auto"/>
          <w:szCs w:val="20"/>
          <w:highlight w:val="none"/>
        </w:rPr>
        <w:t>元)，</w:t>
      </w:r>
      <w:r>
        <w:rPr>
          <w:rFonts w:hint="eastAsia" w:hAnsi="宋体"/>
          <w:bCs/>
          <w:color w:val="auto"/>
          <w:highlight w:val="none"/>
        </w:rPr>
        <w:t>服务期限</w:t>
      </w:r>
      <w:r>
        <w:rPr>
          <w:rFonts w:hint="eastAsia"/>
          <w:color w:val="auto"/>
          <w:szCs w:val="20"/>
          <w:highlight w:val="none"/>
        </w:rPr>
        <w:t>：</w:t>
      </w:r>
      <w:r>
        <w:rPr>
          <w:rFonts w:hint="eastAsia"/>
          <w:color w:val="auto"/>
          <w:szCs w:val="20"/>
          <w:highlight w:val="none"/>
          <w:u w:val="single"/>
        </w:rPr>
        <w:t xml:space="preserve">            ；</w:t>
      </w:r>
    </w:p>
    <w:p w14:paraId="7E02CAF6">
      <w:pPr>
        <w:pStyle w:val="15"/>
        <w:spacing w:line="360" w:lineRule="auto"/>
        <w:ind w:firstLine="482"/>
        <w:rPr>
          <w:color w:val="auto"/>
          <w:szCs w:val="20"/>
          <w:highlight w:val="none"/>
        </w:rPr>
      </w:pPr>
      <w:r>
        <w:rPr>
          <w:rFonts w:hint="eastAsia"/>
          <w:color w:val="auto"/>
          <w:szCs w:val="20"/>
          <w:highlight w:val="none"/>
        </w:rPr>
        <w:t>2、我方同意自本项目竞争性磋商采购文件采购公告规定的递交响应文件截止时间起遵循</w:t>
      </w:r>
      <w:r>
        <w:rPr>
          <w:rFonts w:hint="eastAsia" w:hAnsi="宋体"/>
          <w:color w:val="auto"/>
          <w:szCs w:val="20"/>
          <w:highlight w:val="none"/>
        </w:rPr>
        <w:t>本响应函</w:t>
      </w:r>
      <w:r>
        <w:rPr>
          <w:rFonts w:hint="eastAsia"/>
          <w:color w:val="auto"/>
          <w:szCs w:val="20"/>
          <w:highlight w:val="none"/>
        </w:rPr>
        <w:t>，并承诺在“第三章 供应商须知”规定的响应有效期内不修改、撤销响应文件。</w:t>
      </w:r>
    </w:p>
    <w:p w14:paraId="70918C27">
      <w:pPr>
        <w:pStyle w:val="15"/>
        <w:spacing w:line="360" w:lineRule="auto"/>
        <w:ind w:firstLine="482"/>
        <w:rPr>
          <w:rFonts w:hint="eastAsia"/>
          <w:color w:val="auto"/>
          <w:szCs w:val="20"/>
          <w:highlight w:val="none"/>
        </w:rPr>
      </w:pPr>
      <w:r>
        <w:rPr>
          <w:rFonts w:hint="eastAsia"/>
          <w:color w:val="auto"/>
          <w:szCs w:val="20"/>
          <w:highlight w:val="none"/>
        </w:rPr>
        <w:t>3、我方在此声明，所递交的响应文件及有关资料内容完整、真实和准确。</w:t>
      </w:r>
    </w:p>
    <w:p w14:paraId="398AA84A">
      <w:pPr>
        <w:pStyle w:val="15"/>
        <w:spacing w:line="360" w:lineRule="auto"/>
        <w:ind w:firstLine="482"/>
        <w:rPr>
          <w:rFonts w:hint="eastAsia"/>
          <w:color w:val="auto"/>
          <w:szCs w:val="20"/>
          <w:highlight w:val="none"/>
        </w:rPr>
      </w:pPr>
      <w:r>
        <w:rPr>
          <w:rFonts w:hint="eastAsia"/>
          <w:color w:val="auto"/>
          <w:szCs w:val="20"/>
          <w:highlight w:val="none"/>
        </w:rPr>
        <w:t>4、如本项目采购内容涉及须符合国家强制规定的，我方承诺我方本次竞标均符合国家有关强制规定。</w:t>
      </w:r>
    </w:p>
    <w:p w14:paraId="355E5422">
      <w:pPr>
        <w:pStyle w:val="15"/>
        <w:spacing w:line="360" w:lineRule="auto"/>
        <w:ind w:firstLine="482"/>
        <w:rPr>
          <w:rFonts w:hint="eastAsia"/>
          <w:color w:val="auto"/>
          <w:szCs w:val="20"/>
          <w:highlight w:val="none"/>
        </w:rPr>
      </w:pPr>
      <w:r>
        <w:rPr>
          <w:rFonts w:hint="eastAsia"/>
          <w:color w:val="auto"/>
          <w:szCs w:val="20"/>
          <w:highlight w:val="none"/>
        </w:rPr>
        <w:t>5、如我方成交，我方承诺在收到成交通知书后，在成交通知书规定的期限内，</w:t>
      </w:r>
      <w:r>
        <w:rPr>
          <w:rFonts w:hint="eastAsia" w:hAnsi="宋体"/>
          <w:color w:val="auto"/>
          <w:szCs w:val="20"/>
          <w:highlight w:val="none"/>
        </w:rPr>
        <w:t>根据竞争性磋商采购文件、我方的响应文件及有关澄清承诺书的要求按第六章“合同文本”与采购人订立书面合同，并按照合同约定</w:t>
      </w:r>
      <w:r>
        <w:rPr>
          <w:rFonts w:hint="eastAsia"/>
          <w:color w:val="auto"/>
          <w:szCs w:val="20"/>
          <w:highlight w:val="none"/>
        </w:rPr>
        <w:t>承担完成合同的责任和义务。</w:t>
      </w:r>
    </w:p>
    <w:p w14:paraId="50DA82E7">
      <w:pPr>
        <w:pStyle w:val="15"/>
        <w:spacing w:line="360" w:lineRule="auto"/>
        <w:ind w:firstLine="482"/>
        <w:rPr>
          <w:rFonts w:hint="eastAsia"/>
          <w:color w:val="auto"/>
          <w:szCs w:val="20"/>
          <w:highlight w:val="none"/>
        </w:rPr>
      </w:pPr>
      <w:r>
        <w:rPr>
          <w:rFonts w:hint="eastAsia"/>
          <w:color w:val="auto"/>
          <w:szCs w:val="20"/>
          <w:highlight w:val="none"/>
        </w:rPr>
        <w:t>6、我方已详细审核竞争性磋商采购文件，我方知道必须放弃提出含糊不清或误解问题的权利。</w:t>
      </w:r>
    </w:p>
    <w:p w14:paraId="727844F7">
      <w:pPr>
        <w:pStyle w:val="15"/>
        <w:spacing w:line="360" w:lineRule="auto"/>
        <w:ind w:firstLine="482"/>
        <w:rPr>
          <w:rFonts w:hint="eastAsia"/>
          <w:color w:val="auto"/>
          <w:szCs w:val="20"/>
          <w:highlight w:val="none"/>
        </w:rPr>
      </w:pPr>
      <w:r>
        <w:rPr>
          <w:rFonts w:hint="eastAsia"/>
          <w:color w:val="auto"/>
          <w:szCs w:val="20"/>
          <w:highlight w:val="none"/>
        </w:rPr>
        <w:t>7、我方承诺满足竞争性磋商采购文件</w:t>
      </w:r>
      <w:r>
        <w:rPr>
          <w:rFonts w:hint="eastAsia" w:hAnsi="宋体"/>
          <w:color w:val="auto"/>
          <w:szCs w:val="20"/>
          <w:highlight w:val="none"/>
        </w:rPr>
        <w:t>第六章“合同文本”</w:t>
      </w:r>
      <w:r>
        <w:rPr>
          <w:rFonts w:hint="eastAsia"/>
          <w:color w:val="auto"/>
          <w:szCs w:val="20"/>
          <w:highlight w:val="none"/>
        </w:rPr>
        <w:t>的条款，承担完成合同的责任和义务。</w:t>
      </w:r>
    </w:p>
    <w:p w14:paraId="58EF7B2F">
      <w:pPr>
        <w:pStyle w:val="15"/>
        <w:spacing w:line="360" w:lineRule="auto"/>
        <w:ind w:firstLine="482"/>
        <w:rPr>
          <w:rFonts w:hint="eastAsia"/>
          <w:color w:val="auto"/>
          <w:szCs w:val="20"/>
          <w:highlight w:val="none"/>
        </w:rPr>
      </w:pPr>
      <w:r>
        <w:rPr>
          <w:rFonts w:hint="eastAsia"/>
          <w:color w:val="auto"/>
          <w:szCs w:val="20"/>
          <w:highlight w:val="none"/>
        </w:rPr>
        <w:t>8、我方同意应贵方要求提供与本竞标有关的任何数据或资料。若贵方需要，我方愿意提供我方作出的一切承诺的证明材料。</w:t>
      </w:r>
    </w:p>
    <w:p w14:paraId="7A26EEB7">
      <w:pPr>
        <w:pStyle w:val="15"/>
        <w:spacing w:line="360" w:lineRule="auto"/>
        <w:ind w:firstLine="482"/>
        <w:rPr>
          <w:rFonts w:hint="eastAsia"/>
          <w:color w:val="auto"/>
          <w:szCs w:val="20"/>
          <w:highlight w:val="none"/>
        </w:rPr>
      </w:pPr>
      <w:r>
        <w:rPr>
          <w:rFonts w:hint="eastAsia"/>
          <w:color w:val="auto"/>
          <w:szCs w:val="20"/>
          <w:highlight w:val="none"/>
        </w:rPr>
        <w:t>9、我方完全理解贵方不一定接受响应报价最低的竞标人为成交供应商的行为。</w:t>
      </w:r>
    </w:p>
    <w:p w14:paraId="36102CA1">
      <w:pPr>
        <w:pStyle w:val="15"/>
        <w:spacing w:line="360" w:lineRule="auto"/>
        <w:ind w:firstLine="482"/>
        <w:rPr>
          <w:rFonts w:hint="eastAsia"/>
          <w:color w:val="auto"/>
          <w:szCs w:val="20"/>
          <w:highlight w:val="none"/>
        </w:rPr>
      </w:pPr>
      <w:r>
        <w:rPr>
          <w:rFonts w:hint="eastAsia"/>
          <w:color w:val="auto"/>
          <w:szCs w:val="20"/>
          <w:highlight w:val="none"/>
        </w:rPr>
        <w:t>10、我方将严格遵守《中华人民共和国政府采购法》第七十七条的规定，即供应商有下列情形之一的，处以采购金额千分之五以上千分之十</w:t>
      </w:r>
      <w:r>
        <w:rPr>
          <w:rFonts w:hint="eastAsia" w:hAnsi="宋体"/>
          <w:color w:val="auto"/>
          <w:szCs w:val="20"/>
          <w:highlight w:val="none"/>
        </w:rPr>
        <w:t>以下的罚款，列入不良行为记录名单，在一至三年内禁止参加政府采购活动，有违法所得的，并处没收违法所得，情节严重的，由工商行政管理机关吊销营业执照；构成犯罪的，依法追究刑事责任：</w:t>
      </w:r>
    </w:p>
    <w:p w14:paraId="007C10CB">
      <w:pPr>
        <w:pStyle w:val="15"/>
        <w:numPr>
          <w:ilvl w:val="0"/>
          <w:numId w:val="3"/>
        </w:numPr>
        <w:tabs>
          <w:tab w:val="left" w:pos="945"/>
        </w:tabs>
        <w:spacing w:line="360" w:lineRule="auto"/>
        <w:rPr>
          <w:rFonts w:hint="eastAsia" w:hAnsi="宋体"/>
          <w:color w:val="auto"/>
          <w:szCs w:val="20"/>
          <w:highlight w:val="none"/>
        </w:rPr>
      </w:pPr>
      <w:r>
        <w:rPr>
          <w:rFonts w:hint="eastAsia" w:hAnsi="宋体"/>
          <w:color w:val="auto"/>
          <w:szCs w:val="20"/>
          <w:highlight w:val="none"/>
        </w:rPr>
        <w:t>提供虚假材料谋取中标、成交的；</w:t>
      </w:r>
    </w:p>
    <w:p w14:paraId="7D3A974A">
      <w:pPr>
        <w:pStyle w:val="15"/>
        <w:numPr>
          <w:ilvl w:val="0"/>
          <w:numId w:val="3"/>
        </w:numPr>
        <w:tabs>
          <w:tab w:val="left" w:pos="945"/>
        </w:tabs>
        <w:spacing w:line="360" w:lineRule="auto"/>
        <w:rPr>
          <w:rFonts w:hint="eastAsia" w:hAnsi="宋体"/>
          <w:color w:val="auto"/>
          <w:szCs w:val="20"/>
          <w:highlight w:val="none"/>
        </w:rPr>
      </w:pPr>
      <w:r>
        <w:rPr>
          <w:rFonts w:hint="eastAsia" w:hAnsi="宋体"/>
          <w:color w:val="auto"/>
          <w:szCs w:val="20"/>
          <w:highlight w:val="none"/>
        </w:rPr>
        <w:t>采取不正当手段诋毁、排挤其他供应商的；</w:t>
      </w:r>
    </w:p>
    <w:p w14:paraId="1FA3C41C">
      <w:pPr>
        <w:pStyle w:val="15"/>
        <w:numPr>
          <w:ilvl w:val="0"/>
          <w:numId w:val="3"/>
        </w:numPr>
        <w:tabs>
          <w:tab w:val="left" w:pos="945"/>
        </w:tabs>
        <w:spacing w:line="360" w:lineRule="auto"/>
        <w:rPr>
          <w:rFonts w:hint="eastAsia"/>
          <w:color w:val="auto"/>
          <w:szCs w:val="20"/>
          <w:highlight w:val="none"/>
        </w:rPr>
      </w:pPr>
      <w:r>
        <w:rPr>
          <w:rFonts w:hint="eastAsia" w:hAnsi="宋体"/>
          <w:color w:val="auto"/>
          <w:szCs w:val="20"/>
          <w:highlight w:val="none"/>
        </w:rPr>
        <w:t>与采购人、其他供应商或者采购代理机构恶意串通的；</w:t>
      </w:r>
    </w:p>
    <w:p w14:paraId="62D90323">
      <w:pPr>
        <w:pStyle w:val="15"/>
        <w:numPr>
          <w:ilvl w:val="0"/>
          <w:numId w:val="3"/>
        </w:numPr>
        <w:tabs>
          <w:tab w:val="left" w:pos="945"/>
        </w:tabs>
        <w:spacing w:line="360" w:lineRule="auto"/>
        <w:rPr>
          <w:rFonts w:hint="eastAsia"/>
          <w:color w:val="auto"/>
          <w:szCs w:val="20"/>
          <w:highlight w:val="none"/>
        </w:rPr>
      </w:pPr>
      <w:r>
        <w:rPr>
          <w:rFonts w:hint="eastAsia" w:hAnsi="宋体"/>
          <w:color w:val="auto"/>
          <w:szCs w:val="20"/>
          <w:highlight w:val="none"/>
        </w:rPr>
        <w:t>向采购人、采购代理机构行贿或者提供其他不正当利益的；</w:t>
      </w:r>
    </w:p>
    <w:p w14:paraId="69599683">
      <w:pPr>
        <w:pStyle w:val="15"/>
        <w:numPr>
          <w:ilvl w:val="0"/>
          <w:numId w:val="3"/>
        </w:numPr>
        <w:tabs>
          <w:tab w:val="left" w:pos="945"/>
        </w:tabs>
        <w:spacing w:line="360" w:lineRule="auto"/>
        <w:rPr>
          <w:rFonts w:hint="eastAsia"/>
          <w:color w:val="auto"/>
          <w:szCs w:val="20"/>
          <w:highlight w:val="none"/>
        </w:rPr>
      </w:pPr>
      <w:r>
        <w:rPr>
          <w:rFonts w:hint="eastAsia" w:hAnsi="宋体"/>
          <w:color w:val="auto"/>
          <w:szCs w:val="20"/>
          <w:highlight w:val="none"/>
        </w:rPr>
        <w:t>在采购过程中与采购人进行协商谈判的；</w:t>
      </w:r>
    </w:p>
    <w:p w14:paraId="35084AA8">
      <w:pPr>
        <w:pStyle w:val="15"/>
        <w:numPr>
          <w:ilvl w:val="0"/>
          <w:numId w:val="3"/>
        </w:numPr>
        <w:tabs>
          <w:tab w:val="left" w:pos="945"/>
        </w:tabs>
        <w:spacing w:line="360" w:lineRule="auto"/>
        <w:rPr>
          <w:rFonts w:hint="eastAsia"/>
          <w:color w:val="auto"/>
          <w:szCs w:val="20"/>
          <w:highlight w:val="none"/>
        </w:rPr>
      </w:pPr>
      <w:r>
        <w:rPr>
          <w:rFonts w:hint="eastAsia" w:hAnsi="宋体"/>
          <w:color w:val="auto"/>
          <w:szCs w:val="20"/>
          <w:highlight w:val="none"/>
        </w:rPr>
        <w:t>拒绝有关部门监督检查或提供虚假情况的。</w:t>
      </w:r>
    </w:p>
    <w:p w14:paraId="68BE47DF">
      <w:pPr>
        <w:pStyle w:val="15"/>
        <w:spacing w:line="360" w:lineRule="auto"/>
        <w:ind w:firstLine="420"/>
        <w:rPr>
          <w:rFonts w:hint="eastAsia"/>
          <w:color w:val="auto"/>
          <w:szCs w:val="20"/>
          <w:highlight w:val="none"/>
        </w:rPr>
      </w:pPr>
      <w:r>
        <w:rPr>
          <w:rFonts w:hint="eastAsia" w:hAnsi="宋体" w:cs="宋体"/>
          <w:color w:val="auto"/>
          <w:szCs w:val="20"/>
          <w:highlight w:val="none"/>
        </w:rPr>
        <w:t>11.与本磋商有关的一切正式往来信函请寄</w:t>
      </w:r>
      <w:r>
        <w:rPr>
          <w:rFonts w:hint="eastAsia"/>
          <w:color w:val="auto"/>
          <w:szCs w:val="20"/>
          <w:highlight w:val="none"/>
        </w:rPr>
        <w:t>：</w:t>
      </w:r>
      <w:r>
        <w:rPr>
          <w:rFonts w:hint="eastAsia"/>
          <w:color w:val="auto"/>
          <w:szCs w:val="20"/>
          <w:highlight w:val="none"/>
          <w:u w:val="single"/>
        </w:rPr>
        <w:t xml:space="preserve"> </w:t>
      </w:r>
    </w:p>
    <w:p w14:paraId="59D7F4E8">
      <w:pPr>
        <w:pStyle w:val="15"/>
        <w:spacing w:line="360" w:lineRule="auto"/>
        <w:ind w:firstLine="420"/>
        <w:rPr>
          <w:rFonts w:hint="eastAsia"/>
          <w:color w:val="auto"/>
          <w:szCs w:val="20"/>
          <w:highlight w:val="none"/>
        </w:rPr>
      </w:pPr>
      <w:r>
        <w:rPr>
          <w:rFonts w:hint="eastAsia"/>
          <w:color w:val="auto"/>
          <w:szCs w:val="20"/>
          <w:highlight w:val="none"/>
        </w:rPr>
        <w:t>地址：</w:t>
      </w:r>
      <w:r>
        <w:rPr>
          <w:rFonts w:hint="eastAsia"/>
          <w:color w:val="auto"/>
          <w:szCs w:val="20"/>
          <w:highlight w:val="none"/>
          <w:u w:val="single"/>
        </w:rPr>
        <w:t xml:space="preserve">                                                        </w:t>
      </w:r>
      <w:r>
        <w:rPr>
          <w:rFonts w:hint="eastAsia"/>
          <w:color w:val="auto"/>
          <w:szCs w:val="20"/>
          <w:highlight w:val="none"/>
        </w:rPr>
        <w:t xml:space="preserve"> </w:t>
      </w:r>
    </w:p>
    <w:p w14:paraId="62AD2CED">
      <w:pPr>
        <w:pStyle w:val="15"/>
        <w:spacing w:line="360" w:lineRule="auto"/>
        <w:ind w:firstLine="420"/>
        <w:rPr>
          <w:rFonts w:hint="eastAsia"/>
          <w:color w:val="auto"/>
          <w:szCs w:val="20"/>
          <w:highlight w:val="none"/>
          <w:u w:val="single"/>
        </w:rPr>
      </w:pPr>
      <w:r>
        <w:rPr>
          <w:rFonts w:hint="eastAsia"/>
          <w:color w:val="auto"/>
          <w:szCs w:val="20"/>
          <w:highlight w:val="none"/>
        </w:rPr>
        <w:t>电话：</w:t>
      </w:r>
      <w:r>
        <w:rPr>
          <w:rFonts w:hint="eastAsia"/>
          <w:color w:val="auto"/>
          <w:szCs w:val="20"/>
          <w:highlight w:val="none"/>
          <w:u w:val="single"/>
        </w:rPr>
        <w:t xml:space="preserve">                                      　　　　　　　　　</w:t>
      </w:r>
    </w:p>
    <w:p w14:paraId="61EF4B72">
      <w:pPr>
        <w:pStyle w:val="15"/>
        <w:spacing w:line="360" w:lineRule="auto"/>
        <w:ind w:firstLine="420"/>
        <w:rPr>
          <w:rFonts w:hint="eastAsia"/>
          <w:color w:val="auto"/>
          <w:szCs w:val="20"/>
          <w:highlight w:val="none"/>
        </w:rPr>
      </w:pPr>
      <w:r>
        <w:rPr>
          <w:rFonts w:hint="eastAsia"/>
          <w:color w:val="auto"/>
          <w:szCs w:val="20"/>
          <w:highlight w:val="none"/>
        </w:rPr>
        <w:t>传真：</w:t>
      </w:r>
      <w:r>
        <w:rPr>
          <w:rFonts w:hint="eastAsia"/>
          <w:color w:val="auto"/>
          <w:szCs w:val="20"/>
          <w:highlight w:val="none"/>
          <w:u w:val="single"/>
        </w:rPr>
        <w:t>　　　　　　　　　　　　　　　　　　　　　　　　　　　　</w:t>
      </w:r>
    </w:p>
    <w:p w14:paraId="272F60EE">
      <w:pPr>
        <w:pStyle w:val="15"/>
        <w:spacing w:line="360" w:lineRule="auto"/>
        <w:ind w:firstLine="420"/>
        <w:rPr>
          <w:rFonts w:hint="eastAsia"/>
          <w:color w:val="auto"/>
          <w:szCs w:val="20"/>
          <w:highlight w:val="none"/>
          <w:u w:val="single"/>
        </w:rPr>
      </w:pPr>
      <w:r>
        <w:rPr>
          <w:rFonts w:hint="eastAsia"/>
          <w:color w:val="auto"/>
          <w:szCs w:val="20"/>
          <w:highlight w:val="none"/>
        </w:rPr>
        <w:t>邮政编码：</w:t>
      </w:r>
      <w:r>
        <w:rPr>
          <w:rFonts w:hint="eastAsia"/>
          <w:color w:val="auto"/>
          <w:szCs w:val="20"/>
          <w:highlight w:val="none"/>
          <w:u w:val="single"/>
        </w:rPr>
        <w:t xml:space="preserve">                                                    </w:t>
      </w:r>
    </w:p>
    <w:p w14:paraId="0A581CFC">
      <w:pPr>
        <w:pStyle w:val="15"/>
        <w:spacing w:line="360" w:lineRule="auto"/>
        <w:ind w:firstLine="420"/>
        <w:rPr>
          <w:rFonts w:hint="eastAsia"/>
          <w:color w:val="auto"/>
          <w:szCs w:val="20"/>
          <w:highlight w:val="none"/>
          <w:u w:val="single"/>
        </w:rPr>
      </w:pPr>
      <w:r>
        <w:rPr>
          <w:rFonts w:hint="eastAsia"/>
          <w:color w:val="auto"/>
          <w:szCs w:val="20"/>
          <w:highlight w:val="none"/>
        </w:rPr>
        <w:t>开户名称：</w:t>
      </w:r>
      <w:r>
        <w:rPr>
          <w:rFonts w:hint="eastAsia"/>
          <w:color w:val="auto"/>
          <w:szCs w:val="20"/>
          <w:highlight w:val="none"/>
          <w:u w:val="single"/>
        </w:rPr>
        <w:t xml:space="preserve">                                                    </w:t>
      </w:r>
    </w:p>
    <w:p w14:paraId="43C04460">
      <w:pPr>
        <w:pStyle w:val="15"/>
        <w:spacing w:line="360" w:lineRule="auto"/>
        <w:ind w:firstLine="420"/>
        <w:rPr>
          <w:rFonts w:hint="eastAsia"/>
          <w:color w:val="auto"/>
          <w:szCs w:val="20"/>
          <w:highlight w:val="none"/>
          <w:u w:val="single"/>
        </w:rPr>
      </w:pPr>
      <w:r>
        <w:rPr>
          <w:rFonts w:hint="eastAsia"/>
          <w:color w:val="auto"/>
          <w:szCs w:val="20"/>
          <w:highlight w:val="none"/>
        </w:rPr>
        <w:t>开户银行：</w:t>
      </w:r>
      <w:r>
        <w:rPr>
          <w:rFonts w:hint="eastAsia"/>
          <w:color w:val="auto"/>
          <w:szCs w:val="20"/>
          <w:highlight w:val="none"/>
          <w:u w:val="single"/>
        </w:rPr>
        <w:t xml:space="preserve">                                                    </w:t>
      </w:r>
    </w:p>
    <w:p w14:paraId="5BD8E469">
      <w:pPr>
        <w:pStyle w:val="15"/>
        <w:spacing w:line="360" w:lineRule="auto"/>
        <w:ind w:firstLine="420"/>
        <w:rPr>
          <w:rFonts w:hint="eastAsia"/>
          <w:color w:val="auto"/>
          <w:szCs w:val="20"/>
          <w:highlight w:val="none"/>
          <w:u w:val="single"/>
        </w:rPr>
      </w:pPr>
      <w:r>
        <w:rPr>
          <w:rFonts w:hint="eastAsia"/>
          <w:color w:val="auto"/>
          <w:szCs w:val="20"/>
          <w:highlight w:val="none"/>
        </w:rPr>
        <w:t>银行账号：</w:t>
      </w:r>
      <w:r>
        <w:rPr>
          <w:rFonts w:hint="eastAsia"/>
          <w:color w:val="auto"/>
          <w:szCs w:val="20"/>
          <w:highlight w:val="none"/>
          <w:u w:val="single"/>
        </w:rPr>
        <w:t xml:space="preserve">                                                    </w:t>
      </w:r>
    </w:p>
    <w:p w14:paraId="22FB09EF">
      <w:pPr>
        <w:pStyle w:val="13"/>
        <w:tabs>
          <w:tab w:val="left" w:pos="939"/>
        </w:tabs>
        <w:spacing w:line="360" w:lineRule="auto"/>
        <w:ind w:left="141" w:leftChars="67" w:firstLine="300" w:firstLineChars="150"/>
        <w:rPr>
          <w:rFonts w:hint="eastAsia" w:ascii="宋体" w:hAnsi="宋体" w:cs="宋体"/>
          <w:color w:val="auto"/>
          <w:sz w:val="20"/>
          <w:szCs w:val="20"/>
          <w:highlight w:val="none"/>
        </w:rPr>
      </w:pPr>
      <w:r>
        <w:rPr>
          <w:rFonts w:hint="eastAsia" w:ascii="宋体" w:hAnsi="宋体" w:cs="宋体"/>
          <w:color w:val="auto"/>
          <w:sz w:val="20"/>
          <w:szCs w:val="20"/>
          <w:highlight w:val="none"/>
        </w:rPr>
        <w:t>特此承诺。</w:t>
      </w:r>
    </w:p>
    <w:p w14:paraId="669B260A">
      <w:pPr>
        <w:spacing w:line="360" w:lineRule="auto"/>
        <w:jc w:val="left"/>
        <w:rPr>
          <w:rFonts w:hint="eastAsia" w:ascii="宋体" w:hAnsi="宋体" w:cs="宋体"/>
          <w:color w:val="auto"/>
          <w:szCs w:val="21"/>
          <w:highlight w:val="none"/>
        </w:rPr>
      </w:pPr>
    </w:p>
    <w:p w14:paraId="2AB4B7AC">
      <w:pPr>
        <w:autoSpaceDE w:val="0"/>
        <w:autoSpaceDN w:val="0"/>
        <w:spacing w:line="360" w:lineRule="auto"/>
        <w:ind w:left="4335" w:leftChars="1950" w:hanging="240" w:hangingChars="10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5EDE0F65">
      <w:pPr>
        <w:autoSpaceDE w:val="0"/>
        <w:autoSpaceDN w:val="0"/>
        <w:spacing w:line="360" w:lineRule="auto"/>
        <w:ind w:firstLine="5160" w:firstLineChars="2150"/>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  年  月   日</w:t>
      </w:r>
    </w:p>
    <w:p w14:paraId="5712C067">
      <w:pPr>
        <w:widowControl/>
        <w:spacing w:line="360" w:lineRule="auto"/>
        <w:jc w:val="left"/>
        <w:rPr>
          <w:rFonts w:ascii="仿宋_GB2312" w:hAnsi="仿宋" w:eastAsia="仿宋_GB2312" w:cs="仿宋_GB2312"/>
          <w:color w:val="auto"/>
          <w:kern w:val="0"/>
          <w:sz w:val="24"/>
          <w:highlight w:val="none"/>
          <w:lang w:val="zh-CN"/>
        </w:rPr>
        <w:sectPr>
          <w:pgSz w:w="11910" w:h="16840"/>
          <w:pgMar w:top="1340" w:right="1500" w:bottom="280" w:left="1680" w:header="720" w:footer="720" w:gutter="0"/>
          <w:cols w:space="720" w:num="1"/>
        </w:sectPr>
      </w:pPr>
    </w:p>
    <w:p w14:paraId="12836247">
      <w:pPr>
        <w:autoSpaceDE w:val="0"/>
        <w:autoSpaceDN w:val="0"/>
        <w:spacing w:line="360" w:lineRule="auto"/>
        <w:ind w:firstLine="6480" w:firstLineChars="2700"/>
        <w:rPr>
          <w:rFonts w:hint="eastAsia" w:ascii="仿宋_GB2312" w:hAnsi="仿宋" w:eastAsia="仿宋_GB2312" w:cs="仿宋_GB2312"/>
          <w:color w:val="auto"/>
          <w:kern w:val="0"/>
          <w:sz w:val="24"/>
          <w:highlight w:val="none"/>
          <w:lang w:val="zh-CN"/>
        </w:rPr>
      </w:pPr>
    </w:p>
    <w:p w14:paraId="1830C752">
      <w:pPr>
        <w:spacing w:line="520" w:lineRule="exact"/>
        <w:rPr>
          <w:rFonts w:hint="eastAsia" w:ascii="宋体" w:hAnsi="宋体"/>
          <w:b/>
          <w:bCs/>
          <w:color w:val="auto"/>
          <w:sz w:val="32"/>
          <w:szCs w:val="32"/>
          <w:highlight w:val="none"/>
        </w:rPr>
      </w:pPr>
      <w:r>
        <w:rPr>
          <w:rFonts w:hint="eastAsia" w:ascii="宋体" w:hAnsi="宋体"/>
          <w:b/>
          <w:bCs/>
          <w:color w:val="auto"/>
          <w:sz w:val="32"/>
          <w:szCs w:val="32"/>
          <w:highlight w:val="none"/>
        </w:rPr>
        <w:t>二、响应报价表</w:t>
      </w:r>
    </w:p>
    <w:p w14:paraId="6D7D3E21">
      <w:pPr>
        <w:snapToGrid w:val="0"/>
        <w:spacing w:before="50" w:after="50" w:line="360" w:lineRule="auto"/>
        <w:rPr>
          <w:rFonts w:hint="eastAsia" w:ascii="宋体" w:hAnsi="宋体" w:eastAsia="宋体"/>
          <w:color w:val="auto"/>
          <w:sz w:val="24"/>
          <w:highlight w:val="none"/>
          <w:u w:val="single"/>
          <w:lang w:eastAsia="zh-CN"/>
        </w:rPr>
      </w:pPr>
      <w:r>
        <w:rPr>
          <w:rFonts w:hint="eastAsia" w:ascii="宋体" w:hAnsi="宋体"/>
          <w:color w:val="auto"/>
          <w:sz w:val="24"/>
          <w:highlight w:val="none"/>
        </w:rPr>
        <w:t>项目名称：</w:t>
      </w:r>
      <w:r>
        <w:rPr>
          <w:rFonts w:hint="eastAsia" w:ascii="宋体" w:hAnsi="宋体"/>
          <w:color w:val="auto"/>
          <w:sz w:val="24"/>
          <w:highlight w:val="none"/>
          <w:u w:val="single"/>
          <w:lang w:eastAsia="zh-CN"/>
        </w:rPr>
        <w:t>邕宁区蒲庙电灌站灌区续建配套与节水改造工程项目立项建议报告编制技术服务项目</w:t>
      </w:r>
    </w:p>
    <w:p w14:paraId="5B68ED89">
      <w:pPr>
        <w:snapToGrid w:val="0"/>
        <w:spacing w:before="50" w:after="50" w:line="360" w:lineRule="auto"/>
        <w:rPr>
          <w:rFonts w:hint="eastAsia" w:ascii="宋体" w:hAnsi="宋体"/>
          <w:color w:val="auto"/>
          <w:sz w:val="24"/>
          <w:highlight w:val="none"/>
          <w:u w:val="single"/>
        </w:rPr>
      </w:pPr>
      <w:r>
        <w:rPr>
          <w:rFonts w:hint="eastAsia" w:ascii="宋体" w:hAnsi="宋体"/>
          <w:color w:val="auto"/>
          <w:sz w:val="24"/>
          <w:highlight w:val="none"/>
        </w:rPr>
        <w:t>项目编号：</w:t>
      </w:r>
      <w:r>
        <w:rPr>
          <w:rFonts w:hint="eastAsia" w:ascii="宋体" w:hAnsi="宋体"/>
          <w:color w:val="auto"/>
          <w:sz w:val="24"/>
          <w:highlight w:val="none"/>
          <w:u w:val="single"/>
        </w:rPr>
        <w:t xml:space="preserve">  </w:t>
      </w:r>
      <w:r>
        <w:rPr>
          <w:rFonts w:hint="eastAsia" w:ascii="宋体" w:hAnsi="宋体"/>
          <w:color w:val="auto"/>
          <w:sz w:val="24"/>
          <w:highlight w:val="none"/>
          <w:u w:val="single"/>
          <w:lang w:eastAsia="zh-CN"/>
        </w:rPr>
        <w:t>NNZC2026-C3-090018-KWZB</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分标：</w:t>
      </w:r>
      <w:r>
        <w:rPr>
          <w:rFonts w:hint="eastAsia" w:ascii="宋体" w:hAnsi="宋体"/>
          <w:color w:val="auto"/>
          <w:sz w:val="24"/>
          <w:highlight w:val="none"/>
          <w:u w:val="single"/>
        </w:rPr>
        <w:t xml:space="preserve">           </w:t>
      </w:r>
    </w:p>
    <w:p w14:paraId="749C86F0">
      <w:pPr>
        <w:snapToGrid w:val="0"/>
        <w:spacing w:before="50" w:after="50" w:line="360" w:lineRule="auto"/>
        <w:rPr>
          <w:rFonts w:hint="eastAsia" w:ascii="宋体" w:hAnsi="宋体"/>
          <w:color w:val="auto"/>
          <w:sz w:val="24"/>
          <w:highlight w:val="none"/>
          <w:u w:val="single"/>
        </w:rPr>
      </w:pPr>
      <w:r>
        <w:rPr>
          <w:rFonts w:hint="eastAsia" w:hAnsi="宋体"/>
          <w:color w:val="auto"/>
          <w:sz w:val="24"/>
          <w:highlight w:val="none"/>
        </w:rPr>
        <w:t>供应商名称：</w:t>
      </w:r>
      <w:r>
        <w:rPr>
          <w:rFonts w:hAnsi="宋体"/>
          <w:color w:val="auto"/>
          <w:sz w:val="24"/>
          <w:highlight w:val="none"/>
          <w:u w:val="single"/>
        </w:rPr>
        <w:t xml:space="preserve">                     </w:t>
      </w:r>
      <w:r>
        <w:rPr>
          <w:rFonts w:hAnsi="宋体"/>
          <w:color w:val="auto"/>
          <w:sz w:val="24"/>
          <w:highlight w:val="none"/>
        </w:rPr>
        <w:t xml:space="preserve">  </w:t>
      </w:r>
      <w:r>
        <w:rPr>
          <w:rFonts w:hint="eastAsia" w:ascii="宋体" w:hAnsi="宋体" w:cs="仿宋_GB2312"/>
          <w:color w:val="auto"/>
          <w:sz w:val="24"/>
          <w:highlight w:val="none"/>
        </w:rPr>
        <w:t xml:space="preserve">                    </w:t>
      </w:r>
    </w:p>
    <w:tbl>
      <w:tblPr>
        <w:tblStyle w:val="25"/>
        <w:tblW w:w="981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1259"/>
        <w:gridCol w:w="2554"/>
        <w:gridCol w:w="1276"/>
        <w:gridCol w:w="1418"/>
        <w:gridCol w:w="1628"/>
        <w:gridCol w:w="957"/>
      </w:tblGrid>
      <w:tr w14:paraId="7E3C6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718" w:type="dxa"/>
            <w:tcBorders>
              <w:top w:val="single" w:color="auto" w:sz="4" w:space="0"/>
              <w:left w:val="single" w:color="auto" w:sz="4" w:space="0"/>
              <w:bottom w:val="single" w:color="auto" w:sz="4" w:space="0"/>
              <w:right w:val="single" w:color="auto" w:sz="4" w:space="0"/>
            </w:tcBorders>
            <w:noWrap w:val="0"/>
            <w:vAlign w:val="center"/>
          </w:tcPr>
          <w:p w14:paraId="51647930">
            <w:pPr>
              <w:rPr>
                <w:rFonts w:hint="eastAsia" w:ascii="宋体" w:hAnsi="宋体"/>
                <w:color w:val="auto"/>
                <w:szCs w:val="22"/>
                <w:highlight w:val="none"/>
              </w:rPr>
            </w:pPr>
            <w:r>
              <w:rPr>
                <w:rFonts w:hint="eastAsia" w:ascii="宋体" w:hAnsi="宋体"/>
                <w:color w:val="auto"/>
                <w:szCs w:val="22"/>
                <w:highlight w:val="none"/>
              </w:rPr>
              <w:t>序号</w:t>
            </w:r>
          </w:p>
        </w:tc>
        <w:tc>
          <w:tcPr>
            <w:tcW w:w="1259" w:type="dxa"/>
            <w:tcBorders>
              <w:top w:val="single" w:color="auto" w:sz="4" w:space="0"/>
              <w:left w:val="single" w:color="auto" w:sz="4" w:space="0"/>
              <w:bottom w:val="single" w:color="auto" w:sz="4" w:space="0"/>
              <w:right w:val="single" w:color="auto" w:sz="4" w:space="0"/>
            </w:tcBorders>
            <w:noWrap w:val="0"/>
            <w:vAlign w:val="center"/>
          </w:tcPr>
          <w:p w14:paraId="07B55083">
            <w:pPr>
              <w:rPr>
                <w:rFonts w:hint="eastAsia" w:ascii="宋体" w:hAnsi="宋体"/>
                <w:color w:val="auto"/>
                <w:szCs w:val="22"/>
                <w:highlight w:val="none"/>
              </w:rPr>
            </w:pPr>
            <w:r>
              <w:rPr>
                <w:rFonts w:hint="eastAsia" w:ascii="宋体" w:hAnsi="宋体"/>
                <w:color w:val="auto"/>
                <w:szCs w:val="22"/>
                <w:highlight w:val="none"/>
              </w:rPr>
              <w:t>标的名称</w:t>
            </w:r>
          </w:p>
        </w:tc>
        <w:tc>
          <w:tcPr>
            <w:tcW w:w="2554" w:type="dxa"/>
            <w:tcBorders>
              <w:top w:val="single" w:color="auto" w:sz="4" w:space="0"/>
              <w:left w:val="single" w:color="auto" w:sz="4" w:space="0"/>
              <w:bottom w:val="single" w:color="auto" w:sz="4" w:space="0"/>
              <w:right w:val="single" w:color="auto" w:sz="4" w:space="0"/>
            </w:tcBorders>
            <w:noWrap w:val="0"/>
            <w:vAlign w:val="center"/>
          </w:tcPr>
          <w:p w14:paraId="6FD9F392">
            <w:pPr>
              <w:jc w:val="center"/>
              <w:rPr>
                <w:rFonts w:hint="eastAsia" w:ascii="宋体" w:hAnsi="宋体"/>
                <w:color w:val="auto"/>
                <w:szCs w:val="22"/>
                <w:highlight w:val="none"/>
              </w:rPr>
            </w:pPr>
            <w:r>
              <w:rPr>
                <w:rFonts w:hint="eastAsia" w:ascii="宋体" w:hAnsi="宋体"/>
                <w:color w:val="auto"/>
                <w:szCs w:val="22"/>
                <w:highlight w:val="none"/>
              </w:rPr>
              <w:t>具体服务内容（含具体服务范围、服务时间、服务标准等内容）</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49B74E97">
            <w:pPr>
              <w:jc w:val="center"/>
              <w:rPr>
                <w:rFonts w:hint="eastAsia" w:ascii="宋体" w:hAnsi="宋体"/>
                <w:color w:val="auto"/>
                <w:szCs w:val="22"/>
                <w:highlight w:val="none"/>
              </w:rPr>
            </w:pPr>
            <w:r>
              <w:rPr>
                <w:rFonts w:hint="eastAsia" w:ascii="宋体" w:hAnsi="宋体"/>
                <w:color w:val="auto"/>
                <w:szCs w:val="22"/>
                <w:highlight w:val="none"/>
              </w:rPr>
              <w:t>数量①</w:t>
            </w:r>
          </w:p>
        </w:tc>
        <w:tc>
          <w:tcPr>
            <w:tcW w:w="1418" w:type="dxa"/>
            <w:tcBorders>
              <w:top w:val="single" w:color="auto" w:sz="4" w:space="0"/>
              <w:left w:val="single" w:color="auto" w:sz="4" w:space="0"/>
              <w:bottom w:val="single" w:color="auto" w:sz="4" w:space="0"/>
              <w:right w:val="single" w:color="auto" w:sz="4" w:space="0"/>
            </w:tcBorders>
            <w:noWrap w:val="0"/>
            <w:vAlign w:val="center"/>
          </w:tcPr>
          <w:p w14:paraId="5D2DDE84">
            <w:pPr>
              <w:rPr>
                <w:rFonts w:hint="eastAsia" w:ascii="宋体" w:hAnsi="宋体"/>
                <w:color w:val="auto"/>
                <w:szCs w:val="22"/>
                <w:highlight w:val="none"/>
              </w:rPr>
            </w:pPr>
            <w:r>
              <w:rPr>
                <w:rFonts w:hint="eastAsia" w:ascii="宋体" w:hAnsi="宋体"/>
                <w:color w:val="auto"/>
                <w:szCs w:val="22"/>
                <w:highlight w:val="none"/>
              </w:rPr>
              <w:t>单价(元)②</w:t>
            </w:r>
          </w:p>
        </w:tc>
        <w:tc>
          <w:tcPr>
            <w:tcW w:w="1628" w:type="dxa"/>
            <w:tcBorders>
              <w:top w:val="single" w:color="auto" w:sz="4" w:space="0"/>
              <w:left w:val="single" w:color="auto" w:sz="4" w:space="0"/>
              <w:bottom w:val="single" w:color="auto" w:sz="4" w:space="0"/>
              <w:right w:val="single" w:color="auto" w:sz="4" w:space="0"/>
            </w:tcBorders>
            <w:noWrap w:val="0"/>
            <w:vAlign w:val="center"/>
          </w:tcPr>
          <w:p w14:paraId="20DBFE77">
            <w:pPr>
              <w:rPr>
                <w:rFonts w:hint="eastAsia" w:ascii="宋体" w:hAnsi="宋体"/>
                <w:color w:val="auto"/>
                <w:szCs w:val="22"/>
                <w:highlight w:val="none"/>
              </w:rPr>
            </w:pPr>
            <w:r>
              <w:rPr>
                <w:rFonts w:hint="eastAsia" w:ascii="宋体" w:hAnsi="宋体"/>
                <w:color w:val="auto"/>
                <w:szCs w:val="22"/>
                <w:highlight w:val="none"/>
              </w:rPr>
              <w:t>单项合价（元）</w:t>
            </w:r>
          </w:p>
          <w:p w14:paraId="41E06B74">
            <w:pPr>
              <w:spacing w:line="360" w:lineRule="auto"/>
              <w:jc w:val="center"/>
              <w:rPr>
                <w:rFonts w:hint="eastAsia" w:ascii="宋体" w:hAnsi="宋体"/>
                <w:color w:val="auto"/>
                <w:szCs w:val="22"/>
                <w:highlight w:val="none"/>
              </w:rPr>
            </w:pPr>
            <w:r>
              <w:rPr>
                <w:rFonts w:hint="eastAsia" w:ascii="宋体" w:hAnsi="宋体"/>
                <w:color w:val="auto"/>
                <w:szCs w:val="22"/>
                <w:highlight w:val="none"/>
              </w:rPr>
              <w:t>③＝①×②</w:t>
            </w:r>
          </w:p>
        </w:tc>
        <w:tc>
          <w:tcPr>
            <w:tcW w:w="957" w:type="dxa"/>
            <w:tcBorders>
              <w:top w:val="single" w:color="auto" w:sz="4" w:space="0"/>
              <w:left w:val="single" w:color="auto" w:sz="4" w:space="0"/>
              <w:bottom w:val="single" w:color="auto" w:sz="4" w:space="0"/>
              <w:right w:val="single" w:color="auto" w:sz="4" w:space="0"/>
            </w:tcBorders>
            <w:noWrap w:val="0"/>
            <w:vAlign w:val="center"/>
          </w:tcPr>
          <w:p w14:paraId="60384653">
            <w:pPr>
              <w:rPr>
                <w:rFonts w:hint="eastAsia" w:ascii="宋体" w:hAnsi="宋体"/>
                <w:color w:val="auto"/>
                <w:szCs w:val="22"/>
                <w:highlight w:val="none"/>
              </w:rPr>
            </w:pPr>
            <w:r>
              <w:rPr>
                <w:rFonts w:hint="eastAsia" w:ascii="宋体" w:hAnsi="宋体"/>
                <w:color w:val="auto"/>
                <w:szCs w:val="22"/>
                <w:highlight w:val="none"/>
              </w:rPr>
              <w:t>备注</w:t>
            </w:r>
          </w:p>
        </w:tc>
      </w:tr>
      <w:tr w14:paraId="160F3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718" w:type="dxa"/>
            <w:tcBorders>
              <w:top w:val="single" w:color="auto" w:sz="4" w:space="0"/>
              <w:left w:val="single" w:color="auto" w:sz="4" w:space="0"/>
              <w:bottom w:val="single" w:color="auto" w:sz="4" w:space="0"/>
              <w:right w:val="single" w:color="auto" w:sz="4" w:space="0"/>
            </w:tcBorders>
            <w:noWrap w:val="0"/>
            <w:vAlign w:val="center"/>
          </w:tcPr>
          <w:p w14:paraId="4A242EBE">
            <w:pPr>
              <w:rPr>
                <w:rFonts w:hint="eastAsia" w:ascii="宋体" w:hAnsi="宋体"/>
                <w:color w:val="auto"/>
                <w:szCs w:val="22"/>
                <w:highlight w:val="none"/>
              </w:rPr>
            </w:pPr>
            <w:r>
              <w:rPr>
                <w:rFonts w:hint="eastAsia" w:ascii="宋体" w:hAnsi="宋体"/>
                <w:color w:val="auto"/>
                <w:szCs w:val="22"/>
                <w:highlight w:val="none"/>
              </w:rPr>
              <w:t>1</w:t>
            </w:r>
          </w:p>
        </w:tc>
        <w:tc>
          <w:tcPr>
            <w:tcW w:w="1259" w:type="dxa"/>
            <w:tcBorders>
              <w:top w:val="single" w:color="auto" w:sz="4" w:space="0"/>
              <w:left w:val="single" w:color="auto" w:sz="4" w:space="0"/>
              <w:bottom w:val="single" w:color="auto" w:sz="4" w:space="0"/>
              <w:right w:val="single" w:color="auto" w:sz="4" w:space="0"/>
            </w:tcBorders>
            <w:noWrap w:val="0"/>
            <w:vAlign w:val="center"/>
          </w:tcPr>
          <w:p w14:paraId="134DAD7B">
            <w:pPr>
              <w:rPr>
                <w:rFonts w:hint="eastAsia" w:ascii="宋体" w:hAnsi="宋体"/>
                <w:color w:val="auto"/>
                <w:szCs w:val="22"/>
                <w:highlight w:val="none"/>
              </w:rPr>
            </w:pPr>
          </w:p>
        </w:tc>
        <w:tc>
          <w:tcPr>
            <w:tcW w:w="2554" w:type="dxa"/>
            <w:tcBorders>
              <w:top w:val="single" w:color="auto" w:sz="4" w:space="0"/>
              <w:left w:val="single" w:color="auto" w:sz="4" w:space="0"/>
              <w:bottom w:val="single" w:color="auto" w:sz="4" w:space="0"/>
              <w:right w:val="single" w:color="auto" w:sz="4" w:space="0"/>
            </w:tcBorders>
            <w:noWrap w:val="0"/>
            <w:vAlign w:val="center"/>
          </w:tcPr>
          <w:p w14:paraId="233F922E">
            <w:pPr>
              <w:rPr>
                <w:rFonts w:hint="eastAsia" w:ascii="宋体" w:hAnsi="宋体"/>
                <w:color w:val="auto"/>
                <w:szCs w:val="22"/>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29D4497F">
            <w:pPr>
              <w:rPr>
                <w:rFonts w:hint="eastAsia" w:ascii="宋体" w:hAnsi="宋体"/>
                <w:color w:val="auto"/>
                <w:szCs w:val="22"/>
                <w:highlight w:val="none"/>
              </w:rPr>
            </w:pPr>
          </w:p>
        </w:tc>
        <w:tc>
          <w:tcPr>
            <w:tcW w:w="1418" w:type="dxa"/>
            <w:tcBorders>
              <w:top w:val="single" w:color="auto" w:sz="4" w:space="0"/>
              <w:left w:val="single" w:color="auto" w:sz="4" w:space="0"/>
              <w:bottom w:val="single" w:color="auto" w:sz="4" w:space="0"/>
              <w:right w:val="single" w:color="auto" w:sz="4" w:space="0"/>
            </w:tcBorders>
            <w:noWrap w:val="0"/>
            <w:vAlign w:val="center"/>
          </w:tcPr>
          <w:p w14:paraId="0A30CCAC">
            <w:pPr>
              <w:rPr>
                <w:rFonts w:hint="eastAsia" w:ascii="宋体" w:hAnsi="宋体"/>
                <w:color w:val="auto"/>
                <w:szCs w:val="22"/>
                <w:highlight w:val="none"/>
              </w:rPr>
            </w:pPr>
          </w:p>
        </w:tc>
        <w:tc>
          <w:tcPr>
            <w:tcW w:w="1628" w:type="dxa"/>
            <w:tcBorders>
              <w:top w:val="single" w:color="auto" w:sz="4" w:space="0"/>
              <w:left w:val="single" w:color="auto" w:sz="4" w:space="0"/>
              <w:bottom w:val="single" w:color="auto" w:sz="4" w:space="0"/>
              <w:right w:val="single" w:color="auto" w:sz="4" w:space="0"/>
            </w:tcBorders>
            <w:noWrap w:val="0"/>
            <w:vAlign w:val="center"/>
          </w:tcPr>
          <w:p w14:paraId="260A88C8">
            <w:pPr>
              <w:rPr>
                <w:rFonts w:hint="eastAsia" w:ascii="宋体" w:hAnsi="宋体"/>
                <w:color w:val="auto"/>
                <w:szCs w:val="22"/>
                <w:highlight w:val="none"/>
              </w:rPr>
            </w:pPr>
          </w:p>
        </w:tc>
        <w:tc>
          <w:tcPr>
            <w:tcW w:w="957" w:type="dxa"/>
            <w:tcBorders>
              <w:top w:val="single" w:color="auto" w:sz="4" w:space="0"/>
              <w:left w:val="single" w:color="auto" w:sz="4" w:space="0"/>
              <w:bottom w:val="single" w:color="auto" w:sz="4" w:space="0"/>
              <w:right w:val="single" w:color="auto" w:sz="4" w:space="0"/>
            </w:tcBorders>
            <w:noWrap w:val="0"/>
            <w:vAlign w:val="center"/>
          </w:tcPr>
          <w:p w14:paraId="287AEBAD">
            <w:pPr>
              <w:rPr>
                <w:rFonts w:hint="eastAsia" w:ascii="宋体" w:hAnsi="宋体"/>
                <w:color w:val="auto"/>
                <w:szCs w:val="22"/>
                <w:highlight w:val="none"/>
              </w:rPr>
            </w:pPr>
          </w:p>
        </w:tc>
      </w:tr>
      <w:tr w14:paraId="70C6C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trPr>
        <w:tc>
          <w:tcPr>
            <w:tcW w:w="718" w:type="dxa"/>
            <w:tcBorders>
              <w:top w:val="single" w:color="auto" w:sz="4" w:space="0"/>
              <w:left w:val="single" w:color="auto" w:sz="4" w:space="0"/>
              <w:bottom w:val="single" w:color="auto" w:sz="4" w:space="0"/>
              <w:right w:val="single" w:color="auto" w:sz="4" w:space="0"/>
            </w:tcBorders>
            <w:noWrap w:val="0"/>
            <w:vAlign w:val="center"/>
          </w:tcPr>
          <w:p w14:paraId="30F89C40">
            <w:pPr>
              <w:rPr>
                <w:rFonts w:hint="eastAsia" w:ascii="宋体" w:hAnsi="宋体"/>
                <w:color w:val="auto"/>
                <w:szCs w:val="22"/>
                <w:highlight w:val="none"/>
              </w:rPr>
            </w:pPr>
            <w:r>
              <w:rPr>
                <w:rFonts w:hint="eastAsia" w:ascii="宋体" w:hAnsi="宋体"/>
                <w:color w:val="auto"/>
                <w:szCs w:val="22"/>
                <w:highlight w:val="none"/>
              </w:rPr>
              <w:t>2</w:t>
            </w:r>
          </w:p>
        </w:tc>
        <w:tc>
          <w:tcPr>
            <w:tcW w:w="1259" w:type="dxa"/>
            <w:tcBorders>
              <w:top w:val="single" w:color="auto" w:sz="4" w:space="0"/>
              <w:left w:val="single" w:color="auto" w:sz="4" w:space="0"/>
              <w:bottom w:val="single" w:color="auto" w:sz="4" w:space="0"/>
              <w:right w:val="single" w:color="auto" w:sz="4" w:space="0"/>
            </w:tcBorders>
            <w:noWrap w:val="0"/>
            <w:vAlign w:val="center"/>
          </w:tcPr>
          <w:p w14:paraId="11B60EFA">
            <w:pPr>
              <w:rPr>
                <w:rFonts w:hint="eastAsia" w:ascii="宋体" w:hAnsi="宋体"/>
                <w:color w:val="auto"/>
                <w:szCs w:val="22"/>
                <w:highlight w:val="none"/>
              </w:rPr>
            </w:pPr>
          </w:p>
        </w:tc>
        <w:tc>
          <w:tcPr>
            <w:tcW w:w="2554" w:type="dxa"/>
            <w:tcBorders>
              <w:top w:val="single" w:color="auto" w:sz="4" w:space="0"/>
              <w:left w:val="single" w:color="auto" w:sz="4" w:space="0"/>
              <w:bottom w:val="single" w:color="auto" w:sz="4" w:space="0"/>
              <w:right w:val="single" w:color="auto" w:sz="4" w:space="0"/>
            </w:tcBorders>
            <w:noWrap w:val="0"/>
            <w:vAlign w:val="center"/>
          </w:tcPr>
          <w:p w14:paraId="03AD0833">
            <w:pPr>
              <w:rPr>
                <w:rFonts w:hint="eastAsia" w:ascii="宋体" w:hAnsi="宋体"/>
                <w:color w:val="auto"/>
                <w:szCs w:val="22"/>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2E51339F">
            <w:pPr>
              <w:rPr>
                <w:rFonts w:hint="eastAsia" w:ascii="宋体" w:hAnsi="宋体"/>
                <w:color w:val="auto"/>
                <w:szCs w:val="22"/>
                <w:highlight w:val="none"/>
              </w:rPr>
            </w:pPr>
          </w:p>
        </w:tc>
        <w:tc>
          <w:tcPr>
            <w:tcW w:w="1418" w:type="dxa"/>
            <w:tcBorders>
              <w:top w:val="single" w:color="auto" w:sz="4" w:space="0"/>
              <w:left w:val="single" w:color="auto" w:sz="4" w:space="0"/>
              <w:bottom w:val="single" w:color="auto" w:sz="4" w:space="0"/>
              <w:right w:val="single" w:color="auto" w:sz="4" w:space="0"/>
            </w:tcBorders>
            <w:noWrap w:val="0"/>
            <w:vAlign w:val="center"/>
          </w:tcPr>
          <w:p w14:paraId="4383DFA5">
            <w:pPr>
              <w:rPr>
                <w:rFonts w:hint="eastAsia" w:ascii="宋体" w:hAnsi="宋体"/>
                <w:color w:val="auto"/>
                <w:szCs w:val="22"/>
                <w:highlight w:val="none"/>
              </w:rPr>
            </w:pPr>
          </w:p>
        </w:tc>
        <w:tc>
          <w:tcPr>
            <w:tcW w:w="1628" w:type="dxa"/>
            <w:tcBorders>
              <w:top w:val="single" w:color="auto" w:sz="4" w:space="0"/>
              <w:left w:val="single" w:color="auto" w:sz="4" w:space="0"/>
              <w:bottom w:val="single" w:color="auto" w:sz="4" w:space="0"/>
              <w:right w:val="single" w:color="auto" w:sz="4" w:space="0"/>
            </w:tcBorders>
            <w:noWrap w:val="0"/>
            <w:vAlign w:val="center"/>
          </w:tcPr>
          <w:p w14:paraId="4D52D21A">
            <w:pPr>
              <w:rPr>
                <w:rFonts w:hint="eastAsia" w:ascii="宋体" w:hAnsi="宋体"/>
                <w:color w:val="auto"/>
                <w:szCs w:val="22"/>
                <w:highlight w:val="none"/>
              </w:rPr>
            </w:pPr>
          </w:p>
        </w:tc>
        <w:tc>
          <w:tcPr>
            <w:tcW w:w="957" w:type="dxa"/>
            <w:tcBorders>
              <w:top w:val="single" w:color="auto" w:sz="4" w:space="0"/>
              <w:left w:val="single" w:color="auto" w:sz="4" w:space="0"/>
              <w:bottom w:val="single" w:color="auto" w:sz="4" w:space="0"/>
              <w:right w:val="single" w:color="auto" w:sz="4" w:space="0"/>
            </w:tcBorders>
            <w:noWrap w:val="0"/>
            <w:vAlign w:val="center"/>
          </w:tcPr>
          <w:p w14:paraId="673BACDA">
            <w:pPr>
              <w:rPr>
                <w:rFonts w:hint="eastAsia" w:ascii="宋体" w:hAnsi="宋体"/>
                <w:color w:val="auto"/>
                <w:szCs w:val="22"/>
                <w:highlight w:val="none"/>
              </w:rPr>
            </w:pPr>
          </w:p>
        </w:tc>
      </w:tr>
      <w:tr w14:paraId="5C893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trPr>
        <w:tc>
          <w:tcPr>
            <w:tcW w:w="718" w:type="dxa"/>
            <w:tcBorders>
              <w:top w:val="single" w:color="auto" w:sz="4" w:space="0"/>
              <w:left w:val="single" w:color="auto" w:sz="4" w:space="0"/>
              <w:bottom w:val="single" w:color="auto" w:sz="4" w:space="0"/>
              <w:right w:val="single" w:color="auto" w:sz="4" w:space="0"/>
            </w:tcBorders>
            <w:noWrap w:val="0"/>
            <w:vAlign w:val="center"/>
          </w:tcPr>
          <w:p w14:paraId="3B2C7229">
            <w:pPr>
              <w:rPr>
                <w:rFonts w:hint="eastAsia" w:ascii="宋体" w:hAnsi="宋体"/>
                <w:color w:val="auto"/>
                <w:szCs w:val="22"/>
                <w:highlight w:val="none"/>
              </w:rPr>
            </w:pPr>
            <w:r>
              <w:rPr>
                <w:rFonts w:hint="eastAsia" w:ascii="宋体" w:hAnsi="宋体"/>
                <w:color w:val="auto"/>
                <w:szCs w:val="22"/>
                <w:highlight w:val="none"/>
              </w:rPr>
              <w:t>...</w:t>
            </w:r>
          </w:p>
        </w:tc>
        <w:tc>
          <w:tcPr>
            <w:tcW w:w="1259" w:type="dxa"/>
            <w:tcBorders>
              <w:top w:val="single" w:color="auto" w:sz="4" w:space="0"/>
              <w:left w:val="single" w:color="auto" w:sz="4" w:space="0"/>
              <w:bottom w:val="single" w:color="auto" w:sz="4" w:space="0"/>
              <w:right w:val="single" w:color="auto" w:sz="4" w:space="0"/>
            </w:tcBorders>
            <w:noWrap w:val="0"/>
            <w:vAlign w:val="center"/>
          </w:tcPr>
          <w:p w14:paraId="65BD05F3">
            <w:pPr>
              <w:rPr>
                <w:rFonts w:hint="eastAsia" w:ascii="宋体" w:hAnsi="宋体"/>
                <w:color w:val="auto"/>
                <w:szCs w:val="22"/>
                <w:highlight w:val="none"/>
              </w:rPr>
            </w:pPr>
          </w:p>
        </w:tc>
        <w:tc>
          <w:tcPr>
            <w:tcW w:w="2554" w:type="dxa"/>
            <w:tcBorders>
              <w:top w:val="single" w:color="auto" w:sz="4" w:space="0"/>
              <w:left w:val="single" w:color="auto" w:sz="4" w:space="0"/>
              <w:bottom w:val="single" w:color="auto" w:sz="4" w:space="0"/>
              <w:right w:val="single" w:color="auto" w:sz="4" w:space="0"/>
            </w:tcBorders>
            <w:noWrap w:val="0"/>
            <w:vAlign w:val="center"/>
          </w:tcPr>
          <w:p w14:paraId="29676894">
            <w:pPr>
              <w:rPr>
                <w:rFonts w:hint="eastAsia" w:ascii="宋体" w:hAnsi="宋体"/>
                <w:color w:val="auto"/>
                <w:szCs w:val="22"/>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0FDAD266">
            <w:pPr>
              <w:rPr>
                <w:rFonts w:hint="eastAsia" w:ascii="宋体" w:hAnsi="宋体"/>
                <w:color w:val="auto"/>
                <w:szCs w:val="22"/>
                <w:highlight w:val="none"/>
              </w:rPr>
            </w:pPr>
          </w:p>
        </w:tc>
        <w:tc>
          <w:tcPr>
            <w:tcW w:w="1418" w:type="dxa"/>
            <w:tcBorders>
              <w:top w:val="single" w:color="auto" w:sz="4" w:space="0"/>
              <w:left w:val="single" w:color="auto" w:sz="4" w:space="0"/>
              <w:bottom w:val="single" w:color="auto" w:sz="4" w:space="0"/>
              <w:right w:val="single" w:color="auto" w:sz="4" w:space="0"/>
            </w:tcBorders>
            <w:noWrap w:val="0"/>
            <w:vAlign w:val="center"/>
          </w:tcPr>
          <w:p w14:paraId="50D594B2">
            <w:pPr>
              <w:rPr>
                <w:rFonts w:hint="eastAsia" w:ascii="宋体" w:hAnsi="宋体"/>
                <w:color w:val="auto"/>
                <w:szCs w:val="22"/>
                <w:highlight w:val="none"/>
              </w:rPr>
            </w:pPr>
          </w:p>
        </w:tc>
        <w:tc>
          <w:tcPr>
            <w:tcW w:w="1628" w:type="dxa"/>
            <w:tcBorders>
              <w:top w:val="single" w:color="auto" w:sz="4" w:space="0"/>
              <w:left w:val="single" w:color="auto" w:sz="4" w:space="0"/>
              <w:bottom w:val="single" w:color="auto" w:sz="4" w:space="0"/>
              <w:right w:val="single" w:color="auto" w:sz="4" w:space="0"/>
            </w:tcBorders>
            <w:noWrap w:val="0"/>
            <w:vAlign w:val="center"/>
          </w:tcPr>
          <w:p w14:paraId="3C7AC827">
            <w:pPr>
              <w:rPr>
                <w:rFonts w:hint="eastAsia" w:ascii="宋体" w:hAnsi="宋体"/>
                <w:color w:val="auto"/>
                <w:szCs w:val="22"/>
                <w:highlight w:val="none"/>
              </w:rPr>
            </w:pPr>
          </w:p>
        </w:tc>
        <w:tc>
          <w:tcPr>
            <w:tcW w:w="957" w:type="dxa"/>
            <w:tcBorders>
              <w:top w:val="single" w:color="auto" w:sz="4" w:space="0"/>
              <w:left w:val="single" w:color="auto" w:sz="4" w:space="0"/>
              <w:bottom w:val="single" w:color="auto" w:sz="4" w:space="0"/>
              <w:right w:val="single" w:color="auto" w:sz="4" w:space="0"/>
            </w:tcBorders>
            <w:noWrap w:val="0"/>
            <w:vAlign w:val="center"/>
          </w:tcPr>
          <w:p w14:paraId="27618B2C">
            <w:pPr>
              <w:rPr>
                <w:rFonts w:hint="eastAsia" w:ascii="宋体" w:hAnsi="宋体"/>
                <w:color w:val="auto"/>
                <w:szCs w:val="22"/>
                <w:highlight w:val="none"/>
              </w:rPr>
            </w:pPr>
          </w:p>
        </w:tc>
      </w:tr>
      <w:tr w14:paraId="3B51C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0" w:type="dxa"/>
            <w:gridSpan w:val="7"/>
            <w:tcBorders>
              <w:top w:val="single" w:color="auto" w:sz="4" w:space="0"/>
              <w:left w:val="single" w:color="auto" w:sz="4" w:space="0"/>
              <w:bottom w:val="single" w:color="auto" w:sz="4" w:space="0"/>
              <w:right w:val="single" w:color="auto" w:sz="4" w:space="0"/>
            </w:tcBorders>
            <w:noWrap w:val="0"/>
            <w:vAlign w:val="top"/>
          </w:tcPr>
          <w:p w14:paraId="7A86BFBA">
            <w:pPr>
              <w:rPr>
                <w:rFonts w:hint="eastAsia" w:ascii="宋体" w:hAnsi="宋体"/>
                <w:color w:val="auto"/>
                <w:szCs w:val="22"/>
                <w:highlight w:val="none"/>
              </w:rPr>
            </w:pPr>
            <w:r>
              <w:rPr>
                <w:rFonts w:hint="eastAsia" w:ascii="宋体" w:hAnsi="宋体"/>
                <w:color w:val="auto"/>
                <w:szCs w:val="22"/>
                <w:highlight w:val="none"/>
              </w:rPr>
              <w:t>报价合计（包含税费等所有费用）：（大写）人民币                                       （￥                元）</w:t>
            </w:r>
          </w:p>
        </w:tc>
      </w:tr>
      <w:tr w14:paraId="51114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0" w:type="dxa"/>
            <w:gridSpan w:val="7"/>
            <w:tcBorders>
              <w:top w:val="single" w:color="auto" w:sz="4" w:space="0"/>
              <w:left w:val="single" w:color="auto" w:sz="4" w:space="0"/>
              <w:bottom w:val="single" w:color="auto" w:sz="4" w:space="0"/>
              <w:right w:val="single" w:color="auto" w:sz="4" w:space="0"/>
            </w:tcBorders>
            <w:noWrap w:val="0"/>
            <w:vAlign w:val="top"/>
          </w:tcPr>
          <w:p w14:paraId="780F2528">
            <w:pPr>
              <w:rPr>
                <w:rFonts w:hint="eastAsia" w:ascii="宋体" w:hAnsi="宋体"/>
                <w:color w:val="auto"/>
                <w:szCs w:val="22"/>
                <w:highlight w:val="none"/>
              </w:rPr>
            </w:pPr>
            <w:r>
              <w:rPr>
                <w:rFonts w:hint="eastAsia" w:ascii="宋体" w:hAnsi="宋体"/>
                <w:color w:val="auto"/>
                <w:szCs w:val="21"/>
                <w:highlight w:val="none"/>
                <w:u w:val="single"/>
              </w:rPr>
              <w:t>　　</w:t>
            </w:r>
            <w:r>
              <w:rPr>
                <w:rFonts w:hint="eastAsia" w:ascii="宋体" w:hAnsi="宋体"/>
                <w:color w:val="auto"/>
                <w:szCs w:val="21"/>
                <w:highlight w:val="none"/>
              </w:rPr>
              <w:t>分标（此处有分标时填写具体分标号，无分标时填写“无”）</w:t>
            </w:r>
          </w:p>
        </w:tc>
      </w:tr>
    </w:tbl>
    <w:p w14:paraId="45708A6C">
      <w:pPr>
        <w:snapToGrid w:val="0"/>
        <w:spacing w:before="50" w:after="50"/>
        <w:ind w:firstLine="480" w:firstLineChars="200"/>
        <w:jc w:val="left"/>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 xml:space="preserve">注： </w:t>
      </w:r>
    </w:p>
    <w:p w14:paraId="0372BE38">
      <w:pPr>
        <w:snapToGrid w:val="0"/>
        <w:spacing w:before="50" w:after="50"/>
        <w:ind w:firstLine="480" w:firstLineChars="200"/>
        <w:jc w:val="left"/>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1、 供应商需按本表格式填写，不得自行更改，也不得留空, 如有多分标，按分标分别提供响应报价表</w:t>
      </w:r>
      <w:r>
        <w:rPr>
          <w:rFonts w:hint="eastAsia" w:ascii="仿宋_GB2312" w:hAnsi="仿宋" w:eastAsia="仿宋_GB2312" w:cs="仿宋_GB2312"/>
          <w:b/>
          <w:color w:val="auto"/>
          <w:kern w:val="0"/>
          <w:sz w:val="24"/>
          <w:highlight w:val="none"/>
          <w:lang w:val="zh-CN"/>
        </w:rPr>
        <w:t>。</w:t>
      </w:r>
    </w:p>
    <w:p w14:paraId="565E07F1">
      <w:pPr>
        <w:snapToGrid w:val="0"/>
        <w:spacing w:before="50" w:after="50"/>
        <w:ind w:firstLine="480" w:firstLineChars="200"/>
        <w:jc w:val="left"/>
        <w:rPr>
          <w:rFonts w:hint="eastAsia" w:ascii="仿宋_GB2312" w:hAnsi="仿宋" w:eastAsia="仿宋_GB2312" w:cs="仿宋_GB2312"/>
          <w:b/>
          <w:color w:val="auto"/>
          <w:kern w:val="0"/>
          <w:sz w:val="24"/>
          <w:highlight w:val="none"/>
          <w:lang w:val="zh-CN"/>
        </w:rPr>
      </w:pPr>
      <w:r>
        <w:rPr>
          <w:rFonts w:hint="eastAsia" w:ascii="仿宋_GB2312" w:hAnsi="仿宋" w:eastAsia="仿宋_GB2312" w:cs="仿宋_GB2312"/>
          <w:color w:val="auto"/>
          <w:kern w:val="0"/>
          <w:sz w:val="24"/>
          <w:highlight w:val="none"/>
          <w:lang w:val="zh-CN"/>
        </w:rPr>
        <w:t>2、如为联合体响应的，“供应商名称”处必须列明联合体各方名称，并标注联合体牵头人名称，且盖章处须加盖联合体各方公章，</w:t>
      </w:r>
      <w:r>
        <w:rPr>
          <w:rFonts w:hint="eastAsia" w:ascii="仿宋_GB2312" w:hAnsi="仿宋" w:eastAsia="仿宋_GB2312" w:cs="仿宋_GB2312"/>
          <w:b/>
          <w:color w:val="auto"/>
          <w:kern w:val="0"/>
          <w:sz w:val="24"/>
          <w:highlight w:val="none"/>
          <w:lang w:val="zh-CN"/>
        </w:rPr>
        <w:t>否则其响应作无效响应处理。</w:t>
      </w:r>
    </w:p>
    <w:p w14:paraId="1E5E3501">
      <w:pPr>
        <w:snapToGrid w:val="0"/>
        <w:spacing w:before="50" w:after="50"/>
        <w:ind w:firstLine="480" w:firstLineChars="200"/>
        <w:jc w:val="left"/>
        <w:rPr>
          <w:rFonts w:hint="eastAsia" w:ascii="仿宋_GB2312" w:hAnsi="仿宋" w:eastAsia="仿宋_GB2312" w:cs="仿宋_GB2312"/>
          <w:b/>
          <w:color w:val="auto"/>
          <w:kern w:val="0"/>
          <w:sz w:val="24"/>
          <w:highlight w:val="none"/>
          <w:lang w:val="zh-CN"/>
        </w:rPr>
      </w:pPr>
      <w:r>
        <w:rPr>
          <w:rFonts w:hint="eastAsia" w:ascii="仿宋_GB2312" w:hAnsi="仿宋" w:eastAsia="仿宋_GB2312" w:cs="仿宋_GB2312"/>
          <w:color w:val="auto"/>
          <w:kern w:val="0"/>
          <w:sz w:val="24"/>
          <w:highlight w:val="none"/>
          <w:lang w:val="zh-CN"/>
        </w:rPr>
        <w:t>3、以上表格要求细分项目及报价，在“具体服务内容”一栏中，填写具体服务范围、服务时间、服务标准，</w:t>
      </w:r>
      <w:r>
        <w:rPr>
          <w:rFonts w:hint="eastAsia" w:ascii="仿宋_GB2312" w:hAnsi="仿宋" w:eastAsia="仿宋_GB2312" w:cs="仿宋_GB2312"/>
          <w:b/>
          <w:color w:val="auto"/>
          <w:kern w:val="0"/>
          <w:sz w:val="24"/>
          <w:highlight w:val="none"/>
          <w:lang w:val="zh-CN"/>
        </w:rPr>
        <w:t>否则其响应作无效响应处理。</w:t>
      </w:r>
    </w:p>
    <w:p w14:paraId="04789073">
      <w:pPr>
        <w:snapToGrid w:val="0"/>
        <w:ind w:firstLine="480" w:firstLineChars="200"/>
        <w:jc w:val="left"/>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4、特别提示：采购机构将对项目名称和项目编号，成交供应商名称、地址和成交金额，主要成交标的的名称、服务范围、服务要求、服务时间、服务标准等予以公示。</w:t>
      </w:r>
    </w:p>
    <w:p w14:paraId="297D2953">
      <w:pPr>
        <w:snapToGrid w:val="0"/>
        <w:ind w:firstLine="480" w:firstLineChars="200"/>
        <w:jc w:val="left"/>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szCs w:val="22"/>
          <w:highlight w:val="none"/>
          <w:lang w:val="zh-CN"/>
        </w:rPr>
        <w:t>5、</w:t>
      </w:r>
      <w:r>
        <w:rPr>
          <w:rFonts w:hint="eastAsia" w:ascii="仿宋_GB2312" w:hAnsi="仿宋" w:eastAsia="仿宋_GB2312" w:cs="仿宋_GB2312"/>
          <w:color w:val="auto"/>
          <w:kern w:val="0"/>
          <w:sz w:val="24"/>
          <w:highlight w:val="none"/>
          <w:lang w:val="zh-CN"/>
        </w:rPr>
        <w:t>符合采购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14:paraId="722CE9EA">
      <w:pPr>
        <w:autoSpaceDE w:val="0"/>
        <w:autoSpaceDN w:val="0"/>
        <w:spacing w:line="360" w:lineRule="auto"/>
        <w:ind w:left="4335" w:leftChars="1950" w:hanging="240" w:hangingChars="100"/>
        <w:rPr>
          <w:rFonts w:hint="eastAsia" w:ascii="仿宋_GB2312" w:hAnsi="仿宋" w:eastAsia="仿宋_GB2312" w:cs="仿宋_GB2312"/>
          <w:color w:val="auto"/>
          <w:kern w:val="0"/>
          <w:sz w:val="24"/>
          <w:highlight w:val="none"/>
        </w:rPr>
      </w:pPr>
    </w:p>
    <w:p w14:paraId="13FA1EA7">
      <w:pPr>
        <w:autoSpaceDE w:val="0"/>
        <w:autoSpaceDN w:val="0"/>
        <w:spacing w:line="360" w:lineRule="auto"/>
        <w:ind w:left="4335" w:leftChars="1950" w:hanging="240" w:hangingChars="10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2E30510D">
      <w:pPr>
        <w:pStyle w:val="15"/>
        <w:spacing w:line="500" w:lineRule="exact"/>
        <w:ind w:firstLine="6360" w:firstLineChars="2650"/>
        <w:rPr>
          <w:rFonts w:hint="eastAsia" w:ascii="仿宋_GB2312" w:hAnsi="仿宋" w:eastAsia="仿宋_GB2312" w:cs="仿宋_GB2312"/>
          <w:color w:val="auto"/>
          <w:sz w:val="24"/>
          <w:highlight w:val="none"/>
          <w:lang w:val="zh-CN"/>
        </w:rPr>
      </w:pPr>
      <w:r>
        <w:rPr>
          <w:rFonts w:hint="eastAsia" w:ascii="仿宋_GB2312" w:hAnsi="仿宋" w:eastAsia="仿宋_GB2312" w:cs="仿宋_GB2312"/>
          <w:color w:val="auto"/>
          <w:sz w:val="24"/>
          <w:highlight w:val="none"/>
          <w:lang w:val="zh-CN"/>
        </w:rPr>
        <w:t>日期：  年  月   日</w:t>
      </w:r>
    </w:p>
    <w:p w14:paraId="5E2D4BB1">
      <w:pPr>
        <w:pStyle w:val="15"/>
        <w:spacing w:line="500" w:lineRule="exact"/>
        <w:ind w:firstLine="6360" w:firstLineChars="2650"/>
        <w:rPr>
          <w:rFonts w:hint="eastAsia" w:ascii="仿宋_GB2312" w:hAnsi="仿宋" w:eastAsia="仿宋_GB2312" w:cs="仿宋_GB2312"/>
          <w:color w:val="auto"/>
          <w:sz w:val="24"/>
          <w:highlight w:val="none"/>
          <w:lang w:val="zh-CN"/>
        </w:rPr>
      </w:pPr>
    </w:p>
    <w:p w14:paraId="01F89AE2">
      <w:pPr>
        <w:pStyle w:val="15"/>
        <w:spacing w:line="500" w:lineRule="exact"/>
        <w:rPr>
          <w:rFonts w:hint="eastAsia" w:hAnsi="宋体"/>
          <w:b/>
          <w:bCs/>
          <w:color w:val="auto"/>
          <w:sz w:val="32"/>
          <w:szCs w:val="32"/>
          <w:highlight w:val="none"/>
        </w:rPr>
      </w:pPr>
    </w:p>
    <w:p w14:paraId="742C8ED9">
      <w:pPr>
        <w:pStyle w:val="15"/>
        <w:spacing w:line="500" w:lineRule="exact"/>
        <w:rPr>
          <w:rFonts w:hint="eastAsia" w:hAnsi="宋体"/>
          <w:b/>
          <w:bCs/>
          <w:color w:val="auto"/>
          <w:sz w:val="32"/>
          <w:szCs w:val="32"/>
          <w:highlight w:val="none"/>
        </w:rPr>
      </w:pPr>
    </w:p>
    <w:p w14:paraId="79DDBAE4">
      <w:pPr>
        <w:pStyle w:val="15"/>
        <w:spacing w:line="500" w:lineRule="exact"/>
        <w:rPr>
          <w:rFonts w:hint="eastAsia" w:hAnsi="宋体"/>
          <w:b/>
          <w:bCs/>
          <w:color w:val="auto"/>
          <w:sz w:val="32"/>
          <w:szCs w:val="32"/>
          <w:highlight w:val="none"/>
        </w:rPr>
      </w:pPr>
    </w:p>
    <w:p w14:paraId="7F2680A0">
      <w:pPr>
        <w:pStyle w:val="15"/>
        <w:spacing w:line="500" w:lineRule="exact"/>
        <w:rPr>
          <w:rFonts w:hint="eastAsia" w:hAnsi="宋体"/>
          <w:b/>
          <w:bCs/>
          <w:color w:val="auto"/>
          <w:sz w:val="32"/>
          <w:szCs w:val="32"/>
          <w:highlight w:val="none"/>
        </w:rPr>
      </w:pPr>
    </w:p>
    <w:p w14:paraId="10CDAA84">
      <w:pPr>
        <w:pStyle w:val="15"/>
        <w:spacing w:line="500" w:lineRule="exact"/>
        <w:rPr>
          <w:rFonts w:hint="eastAsia" w:ascii="仿宋_GB2312" w:hAnsi="仿宋" w:eastAsia="仿宋_GB2312" w:cs="仿宋_GB2312"/>
          <w:color w:val="auto"/>
          <w:sz w:val="24"/>
          <w:highlight w:val="none"/>
          <w:lang w:val="zh-CN"/>
        </w:rPr>
      </w:pPr>
      <w:r>
        <w:rPr>
          <w:rFonts w:hint="eastAsia" w:hAnsi="宋体"/>
          <w:b/>
          <w:bCs/>
          <w:color w:val="auto"/>
          <w:sz w:val="32"/>
          <w:szCs w:val="32"/>
          <w:highlight w:val="none"/>
        </w:rPr>
        <w:t>三、其他</w:t>
      </w:r>
    </w:p>
    <w:p w14:paraId="3AB4E97A">
      <w:pPr>
        <w:pStyle w:val="15"/>
        <w:spacing w:line="500" w:lineRule="exact"/>
        <w:ind w:firstLine="6360" w:firstLineChars="2650"/>
        <w:rPr>
          <w:rFonts w:hint="eastAsia" w:ascii="仿宋_GB2312" w:hAnsi="仿宋" w:eastAsia="仿宋_GB2312" w:cs="仿宋_GB2312"/>
          <w:color w:val="auto"/>
          <w:sz w:val="24"/>
          <w:highlight w:val="none"/>
          <w:lang w:val="zh-CN"/>
        </w:rPr>
      </w:pPr>
    </w:p>
    <w:p w14:paraId="6DAD3BA0">
      <w:pPr>
        <w:pStyle w:val="15"/>
        <w:spacing w:line="500" w:lineRule="exact"/>
        <w:rPr>
          <w:rFonts w:hint="eastAsia" w:ascii="仿宋_GB2312" w:hAnsi="仿宋" w:eastAsia="仿宋_GB2312" w:cs="仿宋_GB2312"/>
          <w:color w:val="auto"/>
          <w:sz w:val="24"/>
          <w:highlight w:val="none"/>
          <w:lang w:val="zh-CN"/>
        </w:rPr>
      </w:pPr>
      <w:r>
        <w:rPr>
          <w:rFonts w:hint="eastAsia" w:ascii="仿宋_GB2312" w:hAnsi="仿宋" w:eastAsia="仿宋_GB2312" w:cs="仿宋_GB2312"/>
          <w:color w:val="auto"/>
          <w:sz w:val="24"/>
          <w:highlight w:val="none"/>
          <w:lang w:val="zh-CN"/>
        </w:rPr>
        <w:t>（如有，格式自拟）</w:t>
      </w:r>
    </w:p>
    <w:p w14:paraId="7848B0BD">
      <w:pPr>
        <w:pStyle w:val="15"/>
        <w:spacing w:line="500" w:lineRule="exact"/>
        <w:ind w:firstLine="6360" w:firstLineChars="2650"/>
        <w:rPr>
          <w:rFonts w:hint="eastAsia" w:ascii="仿宋_GB2312" w:hAnsi="仿宋" w:eastAsia="仿宋_GB2312" w:cs="仿宋_GB2312"/>
          <w:color w:val="auto"/>
          <w:sz w:val="24"/>
          <w:highlight w:val="none"/>
          <w:lang w:val="zh-CN"/>
        </w:rPr>
      </w:pPr>
    </w:p>
    <w:p w14:paraId="443CA40C">
      <w:pPr>
        <w:pStyle w:val="15"/>
        <w:spacing w:line="500" w:lineRule="exact"/>
        <w:ind w:firstLine="8513" w:firstLineChars="2650"/>
        <w:rPr>
          <w:rFonts w:hAnsi="宋体"/>
          <w:b/>
          <w:bCs/>
          <w:color w:val="auto"/>
          <w:sz w:val="32"/>
          <w:szCs w:val="32"/>
          <w:highlight w:val="none"/>
        </w:rPr>
        <w:sectPr>
          <w:pgSz w:w="11910" w:h="16840"/>
          <w:pgMar w:top="1340" w:right="1500" w:bottom="280" w:left="1680" w:header="720" w:footer="720" w:gutter="0"/>
          <w:cols w:space="720" w:num="1"/>
        </w:sectPr>
      </w:pPr>
    </w:p>
    <w:p w14:paraId="5BDBFA62">
      <w:pPr>
        <w:pStyle w:val="3"/>
        <w:jc w:val="center"/>
        <w:rPr>
          <w:rFonts w:hint="eastAsia" w:ascii="宋体" w:hAnsi="宋体" w:cs="宋体"/>
          <w:b w:val="0"/>
          <w:color w:val="auto"/>
          <w:highlight w:val="none"/>
        </w:rPr>
      </w:pPr>
      <w:bookmarkStart w:id="94" w:name="_Toc31723070"/>
      <w:bookmarkEnd w:id="94"/>
      <w:bookmarkStart w:id="95" w:name="_Toc35611516"/>
      <w:bookmarkEnd w:id="95"/>
      <w:bookmarkStart w:id="96" w:name="_Toc35611438"/>
      <w:bookmarkEnd w:id="96"/>
      <w:bookmarkStart w:id="97" w:name="_Toc44229899"/>
      <w:bookmarkEnd w:id="97"/>
      <w:bookmarkStart w:id="98" w:name="_Toc31728084"/>
      <w:bookmarkEnd w:id="98"/>
      <w:bookmarkStart w:id="99" w:name="_Toc80205942"/>
      <w:bookmarkStart w:id="100" w:name="_Toc21156"/>
      <w:r>
        <w:rPr>
          <w:rFonts w:hint="eastAsia" w:ascii="宋体" w:hAnsi="宋体"/>
          <w:color w:val="auto"/>
          <w:highlight w:val="none"/>
        </w:rPr>
        <w:t>第五节 其他文书、文件格式</w:t>
      </w:r>
      <w:bookmarkEnd w:id="99"/>
      <w:bookmarkEnd w:id="100"/>
    </w:p>
    <w:p w14:paraId="58579326">
      <w:pPr>
        <w:jc w:val="center"/>
        <w:rPr>
          <w:rFonts w:hint="eastAsia" w:ascii="宋体" w:hAnsi="宋体" w:cs="宋体"/>
          <w:b/>
          <w:bCs/>
          <w:color w:val="auto"/>
          <w:sz w:val="32"/>
          <w:szCs w:val="32"/>
          <w:highlight w:val="none"/>
          <w:lang w:val="en"/>
        </w:rPr>
      </w:pPr>
      <w:r>
        <w:rPr>
          <w:rFonts w:hint="eastAsia" w:ascii="宋体" w:hAnsi="宋体" w:cs="宋体"/>
          <w:b/>
          <w:bCs/>
          <w:color w:val="auto"/>
          <w:sz w:val="32"/>
          <w:szCs w:val="32"/>
          <w:highlight w:val="none"/>
          <w:lang w:val="en"/>
        </w:rPr>
        <w:t>知识产权合规性声明</w:t>
      </w:r>
    </w:p>
    <w:p w14:paraId="25C913F5">
      <w:pPr>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 xml:space="preserve">    </w:t>
      </w:r>
    </w:p>
    <w:p w14:paraId="655AA72A">
      <w:pPr>
        <w:rPr>
          <w:rFonts w:hint="eastAsia" w:ascii="仿宋_GB2312" w:hAnsi="仿宋_GB2312" w:eastAsia="仿宋_GB2312" w:cs="仿宋_GB2312"/>
          <w:color w:val="auto"/>
          <w:sz w:val="30"/>
          <w:szCs w:val="30"/>
          <w:highlight w:val="none"/>
          <w:lang w:val="en"/>
        </w:rPr>
      </w:pPr>
      <w:r>
        <w:rPr>
          <w:rFonts w:hint="eastAsia" w:ascii="仿宋_GB2312" w:hAnsi="仿宋_GB2312" w:eastAsia="仿宋_GB2312" w:cs="仿宋_GB2312"/>
          <w:color w:val="auto"/>
          <w:sz w:val="30"/>
          <w:szCs w:val="30"/>
          <w:highlight w:val="none"/>
        </w:rPr>
        <w:t xml:space="preserve">    本</w:t>
      </w:r>
      <w:r>
        <w:rPr>
          <w:rFonts w:hint="eastAsia" w:ascii="仿宋_GB2312" w:hAnsi="仿宋_GB2312" w:eastAsia="仿宋_GB2312" w:cs="仿宋_GB2312"/>
          <w:color w:val="auto"/>
          <w:sz w:val="30"/>
          <w:szCs w:val="30"/>
          <w:highlight w:val="none"/>
          <w:lang w:val="en"/>
        </w:rPr>
        <w:t>企业（单位）自愿参与政府投资政府采购的</w:t>
      </w:r>
      <w:r>
        <w:rPr>
          <w:rFonts w:hint="eastAsia" w:ascii="仿宋_GB2312" w:hAnsi="仿宋_GB2312" w:eastAsia="仿宋_GB2312" w:cs="仿宋_GB2312"/>
          <w:color w:val="auto"/>
          <w:sz w:val="30"/>
          <w:szCs w:val="30"/>
          <w:highlight w:val="none"/>
          <w:u w:val="single"/>
          <w:lang w:val="en" w:eastAsia="zh-CN"/>
        </w:rPr>
        <w:t>邕宁区蒲庙电灌站灌区续建配套与节水改造工程项目立项建议报告编制技术服务项目</w:t>
      </w:r>
      <w:r>
        <w:rPr>
          <w:rFonts w:hint="eastAsia" w:ascii="仿宋_GB2312" w:hAnsi="仿宋_GB2312" w:eastAsia="仿宋_GB2312" w:cs="仿宋_GB2312"/>
          <w:color w:val="auto"/>
          <w:sz w:val="30"/>
          <w:szCs w:val="30"/>
          <w:highlight w:val="none"/>
          <w:lang w:val="en"/>
        </w:rPr>
        <w:t>项目，</w:t>
      </w:r>
      <w:r>
        <w:rPr>
          <w:rFonts w:hint="eastAsia" w:ascii="仿宋_GB2312" w:hAnsi="仿宋_GB2312" w:eastAsia="仿宋_GB2312" w:cs="仿宋_GB2312"/>
          <w:b/>
          <w:bCs/>
          <w:color w:val="auto"/>
          <w:sz w:val="30"/>
          <w:szCs w:val="30"/>
          <w:highlight w:val="none"/>
          <w:lang w:val="en"/>
        </w:rPr>
        <w:t>在此郑重承诺：</w:t>
      </w:r>
      <w:r>
        <w:rPr>
          <w:rFonts w:hint="eastAsia" w:ascii="仿宋_GB2312" w:hAnsi="仿宋_GB2312" w:eastAsia="仿宋_GB2312" w:cs="仿宋_GB2312"/>
          <w:color w:val="auto"/>
          <w:sz w:val="30"/>
          <w:szCs w:val="30"/>
          <w:highlight w:val="none"/>
          <w:lang w:val="en"/>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w:t>
      </w:r>
      <w:r>
        <w:rPr>
          <w:rFonts w:hint="eastAsia" w:ascii="仿宋_GB2312" w:hAnsi="仿宋_GB2312" w:eastAsia="仿宋_GB2312" w:cs="仿宋_GB2312"/>
          <w:color w:val="auto"/>
          <w:sz w:val="30"/>
          <w:szCs w:val="30"/>
          <w:highlight w:val="none"/>
        </w:rPr>
        <w:t>单位</w:t>
      </w:r>
      <w:r>
        <w:rPr>
          <w:rFonts w:hint="eastAsia" w:ascii="仿宋_GB2312" w:hAnsi="仿宋_GB2312" w:eastAsia="仿宋_GB2312" w:cs="仿宋_GB2312"/>
          <w:color w:val="auto"/>
          <w:sz w:val="30"/>
          <w:szCs w:val="30"/>
          <w:highlight w:val="none"/>
          <w:lang w:val="en"/>
        </w:rPr>
        <w:t>）将承担由此产生的全部责任。</w:t>
      </w:r>
    </w:p>
    <w:p w14:paraId="5AA381B9">
      <w:pPr>
        <w:snapToGrid w:val="0"/>
        <w:spacing w:line="360" w:lineRule="auto"/>
        <w:ind w:left="5137" w:leftChars="1736" w:hanging="1491" w:hangingChars="825"/>
        <w:rPr>
          <w:rFonts w:hint="eastAsia"/>
          <w:b/>
          <w:color w:val="auto"/>
          <w:sz w:val="18"/>
          <w:szCs w:val="18"/>
          <w:highlight w:val="none"/>
        </w:rPr>
      </w:pPr>
      <w:r>
        <w:rPr>
          <w:b/>
          <w:color w:val="auto"/>
          <w:sz w:val="18"/>
          <w:szCs w:val="18"/>
          <w:highlight w:val="none"/>
        </w:rPr>
        <w:t xml:space="preserve">           </w:t>
      </w:r>
    </w:p>
    <w:p w14:paraId="4B36176F">
      <w:pPr>
        <w:snapToGrid w:val="0"/>
        <w:spacing w:line="360" w:lineRule="auto"/>
        <w:ind w:left="5137" w:leftChars="1736" w:hanging="1491" w:hangingChars="825"/>
        <w:rPr>
          <w:b/>
          <w:color w:val="auto"/>
          <w:sz w:val="18"/>
          <w:szCs w:val="18"/>
          <w:highlight w:val="none"/>
        </w:rPr>
      </w:pPr>
    </w:p>
    <w:p w14:paraId="29E2232B">
      <w:pPr>
        <w:snapToGrid w:val="0"/>
        <w:spacing w:line="360" w:lineRule="auto"/>
        <w:ind w:left="5137" w:leftChars="1736" w:hanging="1491" w:hangingChars="825"/>
        <w:rPr>
          <w:b/>
          <w:color w:val="auto"/>
          <w:sz w:val="18"/>
          <w:szCs w:val="18"/>
          <w:highlight w:val="none"/>
        </w:rPr>
      </w:pPr>
    </w:p>
    <w:p w14:paraId="33FA02D7">
      <w:pPr>
        <w:snapToGrid w:val="0"/>
        <w:spacing w:line="360" w:lineRule="auto"/>
        <w:ind w:left="5137" w:leftChars="1736" w:hanging="1491" w:hangingChars="825"/>
        <w:rPr>
          <w:b/>
          <w:color w:val="auto"/>
          <w:sz w:val="18"/>
          <w:szCs w:val="18"/>
          <w:highlight w:val="none"/>
        </w:rPr>
      </w:pPr>
    </w:p>
    <w:p w14:paraId="208AA7DD">
      <w:pPr>
        <w:snapToGrid w:val="0"/>
        <w:spacing w:line="360" w:lineRule="auto"/>
        <w:ind w:left="5137" w:leftChars="1736" w:hanging="1491" w:hangingChars="825"/>
        <w:rPr>
          <w:rFonts w:ascii="仿宋_GB2312" w:hAnsi="仿宋" w:eastAsia="仿宋_GB2312" w:cs="仿宋_GB2312"/>
          <w:color w:val="auto"/>
          <w:kern w:val="0"/>
          <w:sz w:val="24"/>
          <w:highlight w:val="none"/>
        </w:rPr>
      </w:pPr>
      <w:r>
        <w:rPr>
          <w:b/>
          <w:color w:val="auto"/>
          <w:sz w:val="18"/>
          <w:szCs w:val="18"/>
          <w:highlight w:val="none"/>
        </w:rPr>
        <w:t xml:space="preserve">      </w:t>
      </w:r>
      <w:r>
        <w:rPr>
          <w:rFonts w:hint="eastAsia" w:ascii="仿宋_GB2312" w:hAnsi="仿宋" w:eastAsia="仿宋_GB2312" w:cs="仿宋_GB2312"/>
          <w:color w:val="auto"/>
          <w:kern w:val="0"/>
          <w:sz w:val="24"/>
          <w:highlight w:val="none"/>
          <w:lang w:val="zh-CN"/>
        </w:rPr>
        <w:t>投标人名称(电子签章)：</w:t>
      </w:r>
    </w:p>
    <w:p w14:paraId="6EF36ADA">
      <w:pPr>
        <w:snapToGrid w:val="0"/>
        <w:spacing w:line="360" w:lineRule="auto"/>
        <w:ind w:firstLine="5160" w:firstLineChars="2150"/>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w:t>
      </w:r>
      <w:r>
        <w:rPr>
          <w:rFonts w:hint="eastAsia"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w:t>
      </w:r>
    </w:p>
    <w:p w14:paraId="51C469A6">
      <w:pPr>
        <w:widowControl/>
        <w:jc w:val="left"/>
        <w:rPr>
          <w:rFonts w:ascii="宋体" w:hAnsi="宋体" w:cs="仿宋_GB2312"/>
          <w:color w:val="auto"/>
          <w:sz w:val="24"/>
          <w:highlight w:val="none"/>
        </w:rPr>
        <w:sectPr>
          <w:pgSz w:w="11906" w:h="16838"/>
          <w:pgMar w:top="1134" w:right="1134" w:bottom="1134" w:left="1134" w:header="720" w:footer="720" w:gutter="0"/>
          <w:cols w:space="720" w:num="1"/>
          <w:docGrid w:type="lines" w:linePitch="331" w:charSpace="0"/>
        </w:sectPr>
      </w:pPr>
    </w:p>
    <w:p w14:paraId="02EC8691">
      <w:pPr>
        <w:spacing w:line="520" w:lineRule="exact"/>
        <w:jc w:val="center"/>
        <w:rPr>
          <w:rFonts w:hint="eastAsia" w:ascii="宋体" w:hAnsi="宋体"/>
          <w:color w:val="auto"/>
          <w:sz w:val="24"/>
          <w:highlight w:val="none"/>
        </w:rPr>
      </w:pPr>
    </w:p>
    <w:p w14:paraId="111BB374">
      <w:pPr>
        <w:spacing w:line="520" w:lineRule="exact"/>
        <w:jc w:val="center"/>
        <w:rPr>
          <w:rFonts w:hint="eastAsia" w:ascii="宋体" w:hAnsi="宋体"/>
          <w:color w:val="auto"/>
          <w:sz w:val="24"/>
          <w:highlight w:val="none"/>
        </w:rPr>
      </w:pPr>
    </w:p>
    <w:p w14:paraId="1A7E22B1">
      <w:pPr>
        <w:spacing w:line="520" w:lineRule="exact"/>
        <w:jc w:val="center"/>
        <w:rPr>
          <w:rFonts w:hint="eastAsia" w:ascii="宋体" w:hAnsi="宋体"/>
          <w:color w:val="auto"/>
          <w:sz w:val="24"/>
          <w:highlight w:val="none"/>
        </w:rPr>
      </w:pPr>
    </w:p>
    <w:p w14:paraId="329AFCC3">
      <w:pPr>
        <w:spacing w:line="520" w:lineRule="exact"/>
        <w:jc w:val="center"/>
        <w:rPr>
          <w:rFonts w:hint="eastAsia" w:ascii="宋体" w:hAnsi="宋体"/>
          <w:color w:val="auto"/>
          <w:sz w:val="24"/>
          <w:highlight w:val="none"/>
        </w:rPr>
      </w:pPr>
    </w:p>
    <w:p w14:paraId="028FE15D">
      <w:pPr>
        <w:spacing w:line="520" w:lineRule="exact"/>
        <w:jc w:val="center"/>
        <w:rPr>
          <w:rFonts w:hint="eastAsia" w:ascii="宋体" w:hAnsi="宋体"/>
          <w:color w:val="auto"/>
          <w:sz w:val="24"/>
          <w:highlight w:val="none"/>
        </w:rPr>
      </w:pPr>
    </w:p>
    <w:p w14:paraId="0BDA56A5">
      <w:pPr>
        <w:spacing w:line="520" w:lineRule="exact"/>
        <w:jc w:val="center"/>
        <w:rPr>
          <w:rFonts w:hint="eastAsia" w:ascii="宋体" w:hAnsi="宋体"/>
          <w:color w:val="auto"/>
          <w:sz w:val="24"/>
          <w:highlight w:val="none"/>
        </w:rPr>
      </w:pPr>
    </w:p>
    <w:p w14:paraId="7C2ED2CD">
      <w:pPr>
        <w:spacing w:line="520" w:lineRule="exact"/>
        <w:jc w:val="center"/>
        <w:rPr>
          <w:rFonts w:hint="eastAsia" w:ascii="宋体" w:hAnsi="宋体"/>
          <w:color w:val="auto"/>
          <w:sz w:val="24"/>
          <w:highlight w:val="none"/>
        </w:rPr>
      </w:pPr>
    </w:p>
    <w:p w14:paraId="29512233">
      <w:pPr>
        <w:spacing w:line="520" w:lineRule="exact"/>
        <w:jc w:val="center"/>
        <w:rPr>
          <w:rFonts w:hint="eastAsia" w:ascii="宋体" w:hAnsi="宋体"/>
          <w:color w:val="auto"/>
          <w:sz w:val="24"/>
          <w:highlight w:val="none"/>
        </w:rPr>
      </w:pPr>
    </w:p>
    <w:p w14:paraId="0493BE98">
      <w:pPr>
        <w:pStyle w:val="2"/>
        <w:jc w:val="center"/>
        <w:rPr>
          <w:rFonts w:hint="eastAsia" w:ascii="宋体" w:hAnsi="宋体"/>
          <w:b w:val="0"/>
          <w:bCs w:val="0"/>
          <w:color w:val="auto"/>
          <w:highlight w:val="none"/>
        </w:rPr>
      </w:pPr>
      <w:bookmarkStart w:id="101" w:name="_Toc18784"/>
      <w:r>
        <w:rPr>
          <w:rFonts w:hint="eastAsia" w:ascii="宋体" w:hAnsi="宋体"/>
          <w:b w:val="0"/>
          <w:bCs w:val="0"/>
          <w:color w:val="auto"/>
          <w:highlight w:val="none"/>
        </w:rPr>
        <w:t>第六章  合同文本</w:t>
      </w:r>
      <w:r>
        <w:rPr>
          <w:rFonts w:hint="eastAsia" w:ascii="宋体" w:hAnsi="宋体"/>
          <w:b w:val="0"/>
          <w:bCs w:val="0"/>
          <w:color w:val="auto"/>
          <w:highlight w:val="none"/>
        </w:rPr>
        <w:br w:type="page"/>
      </w:r>
      <w:bookmarkEnd w:id="101"/>
    </w:p>
    <w:p w14:paraId="1FE9EB60">
      <w:pPr>
        <w:rPr>
          <w:rFonts w:hint="eastAsia" w:ascii="宋体" w:hAnsi="宋体"/>
          <w:b/>
          <w:bCs/>
          <w:color w:val="auto"/>
          <w:highlight w:val="none"/>
        </w:rPr>
      </w:pPr>
      <w:r>
        <w:rPr>
          <w:rFonts w:hint="eastAsia" w:ascii="仿宋_GB2312" w:hAnsi="楷体" w:eastAsia="仿宋_GB2312"/>
          <w:color w:val="auto"/>
          <w:sz w:val="24"/>
          <w:highlight w:val="none"/>
        </w:rPr>
        <w:t>“广西政府采购云平台”平台合同编号：</w:t>
      </w:r>
    </w:p>
    <w:p w14:paraId="051C4E2A">
      <w:pPr>
        <w:spacing w:line="360" w:lineRule="auto"/>
        <w:jc w:val="center"/>
        <w:rPr>
          <w:rFonts w:hint="eastAsia" w:ascii="宋体"/>
          <w:b/>
          <w:bCs/>
          <w:color w:val="auto"/>
          <w:sz w:val="52"/>
          <w:highlight w:val="none"/>
        </w:rPr>
      </w:pPr>
      <w:r>
        <w:rPr>
          <w:rFonts w:hint="eastAsia" w:ascii="宋体"/>
          <w:b/>
          <w:bCs/>
          <w:color w:val="auto"/>
          <w:sz w:val="52"/>
          <w:highlight w:val="none"/>
        </w:rPr>
        <w:t>南 宁 市 政 府 采 购</w:t>
      </w:r>
    </w:p>
    <w:p w14:paraId="65F99025">
      <w:pPr>
        <w:spacing w:line="360" w:lineRule="auto"/>
        <w:ind w:firstLine="420" w:firstLineChars="200"/>
        <w:rPr>
          <w:rFonts w:hint="eastAsia" w:ascii="宋体"/>
          <w:color w:val="auto"/>
          <w:highlight w:val="none"/>
        </w:rPr>
      </w:pPr>
    </w:p>
    <w:p w14:paraId="66D8105B">
      <w:pPr>
        <w:spacing w:line="360" w:lineRule="auto"/>
        <w:ind w:firstLine="420" w:firstLineChars="200"/>
        <w:rPr>
          <w:rFonts w:hint="eastAsia" w:ascii="宋体"/>
          <w:color w:val="auto"/>
          <w:highlight w:val="none"/>
        </w:rPr>
      </w:pPr>
      <w:r>
        <w:rPr>
          <w:rFonts w:hint="eastAsia" w:ascii="宋体"/>
          <w:color w:val="auto"/>
          <w:highlight w:val="none"/>
        </w:rPr>
        <w:t xml:space="preserve">                                                 </w:t>
      </w:r>
    </w:p>
    <w:p w14:paraId="064FFA47">
      <w:pPr>
        <w:spacing w:line="360" w:lineRule="auto"/>
        <w:jc w:val="center"/>
        <w:rPr>
          <w:rFonts w:hint="eastAsia" w:ascii="宋体"/>
          <w:b/>
          <w:bCs/>
          <w:color w:val="auto"/>
          <w:sz w:val="44"/>
          <w:highlight w:val="none"/>
        </w:rPr>
      </w:pPr>
      <w:r>
        <w:rPr>
          <w:rFonts w:hint="eastAsia" w:ascii="宋体"/>
          <w:b/>
          <w:bCs/>
          <w:color w:val="auto"/>
          <w:sz w:val="44"/>
          <w:highlight w:val="none"/>
          <w:u w:val="single"/>
        </w:rPr>
        <w:t xml:space="preserve"> </w:t>
      </w:r>
      <w:r>
        <w:rPr>
          <w:rFonts w:hint="eastAsia" w:ascii="宋体"/>
          <w:b/>
          <w:bCs/>
          <w:color w:val="auto"/>
          <w:sz w:val="44"/>
          <w:highlight w:val="none"/>
          <w:u w:val="single"/>
          <w:lang w:eastAsia="zh-CN"/>
        </w:rPr>
        <w:t>邕宁区蒲庙电灌站灌区续建配套与节水改造工程项目立项建议报告编制技术服务项目</w:t>
      </w:r>
      <w:r>
        <w:rPr>
          <w:rFonts w:hint="eastAsia" w:ascii="宋体"/>
          <w:b/>
          <w:bCs/>
          <w:color w:val="auto"/>
          <w:sz w:val="44"/>
          <w:highlight w:val="none"/>
        </w:rPr>
        <w:t>合同</w:t>
      </w:r>
    </w:p>
    <w:p w14:paraId="66ED0F18">
      <w:pPr>
        <w:spacing w:line="360" w:lineRule="auto"/>
        <w:jc w:val="center"/>
        <w:rPr>
          <w:rFonts w:hint="eastAsia" w:ascii="宋体"/>
          <w:b/>
          <w:bCs/>
          <w:color w:val="auto"/>
          <w:sz w:val="44"/>
          <w:highlight w:val="none"/>
        </w:rPr>
      </w:pPr>
    </w:p>
    <w:p w14:paraId="01D46D57">
      <w:pPr>
        <w:spacing w:line="360" w:lineRule="auto"/>
        <w:ind w:firstLine="3507" w:firstLineChars="794"/>
        <w:rPr>
          <w:rFonts w:hint="eastAsia" w:ascii="宋体"/>
          <w:b/>
          <w:bCs/>
          <w:color w:val="auto"/>
          <w:sz w:val="44"/>
          <w:highlight w:val="none"/>
        </w:rPr>
      </w:pPr>
    </w:p>
    <w:p w14:paraId="607FA193">
      <w:pPr>
        <w:spacing w:line="360" w:lineRule="auto"/>
        <w:ind w:firstLine="3507" w:firstLineChars="794"/>
        <w:rPr>
          <w:rFonts w:hint="eastAsia" w:ascii="宋体"/>
          <w:b/>
          <w:bCs/>
          <w:color w:val="auto"/>
          <w:sz w:val="44"/>
          <w:highlight w:val="none"/>
        </w:rPr>
      </w:pPr>
    </w:p>
    <w:p w14:paraId="57E15631">
      <w:pPr>
        <w:ind w:firstLine="1995" w:firstLineChars="552"/>
        <w:rPr>
          <w:rFonts w:hint="eastAsia" w:ascii="宋体" w:hAnsi="宋体"/>
          <w:b/>
          <w:color w:val="auto"/>
          <w:sz w:val="36"/>
          <w:szCs w:val="36"/>
          <w:highlight w:val="none"/>
        </w:rPr>
      </w:pPr>
      <w:r>
        <w:rPr>
          <w:rFonts w:hint="eastAsia" w:ascii="宋体" w:hAnsi="宋体"/>
          <w:b/>
          <w:color w:val="auto"/>
          <w:sz w:val="36"/>
          <w:szCs w:val="36"/>
          <w:highlight w:val="none"/>
        </w:rPr>
        <w:t>采购项目编号：</w:t>
      </w:r>
      <w:r>
        <w:rPr>
          <w:rFonts w:hint="eastAsia" w:ascii="宋体" w:hAnsi="宋体"/>
          <w:b/>
          <w:color w:val="auto"/>
          <w:sz w:val="36"/>
          <w:szCs w:val="36"/>
          <w:highlight w:val="none"/>
          <w:u w:val="single"/>
          <w:lang w:eastAsia="zh-CN"/>
        </w:rPr>
        <w:t>NNZC2026-C3-090018-KWZB</w:t>
      </w:r>
      <w:r>
        <w:rPr>
          <w:rFonts w:hint="eastAsia" w:ascii="宋体" w:hAnsi="宋体"/>
          <w:b/>
          <w:color w:val="auto"/>
          <w:sz w:val="36"/>
          <w:szCs w:val="36"/>
          <w:highlight w:val="none"/>
          <w:u w:val="single"/>
        </w:rPr>
        <w:t xml:space="preserve">  </w:t>
      </w:r>
    </w:p>
    <w:p w14:paraId="69E85CE2">
      <w:pPr>
        <w:ind w:firstLine="1995" w:firstLineChars="552"/>
        <w:rPr>
          <w:rFonts w:hint="eastAsia" w:ascii="宋体" w:hAnsi="宋体"/>
          <w:b/>
          <w:color w:val="auto"/>
          <w:sz w:val="36"/>
          <w:szCs w:val="36"/>
          <w:highlight w:val="none"/>
        </w:rPr>
      </w:pPr>
      <w:r>
        <w:rPr>
          <w:rFonts w:hint="eastAsia" w:ascii="宋体" w:hAnsi="宋体"/>
          <w:b/>
          <w:color w:val="auto"/>
          <w:sz w:val="36"/>
          <w:szCs w:val="36"/>
          <w:highlight w:val="none"/>
        </w:rPr>
        <w:t>采购计划编号：</w:t>
      </w:r>
      <w:r>
        <w:rPr>
          <w:rFonts w:hint="eastAsia" w:ascii="宋体" w:hAnsi="宋体"/>
          <w:b/>
          <w:color w:val="auto"/>
          <w:sz w:val="36"/>
          <w:szCs w:val="36"/>
          <w:highlight w:val="none"/>
          <w:u w:val="single"/>
        </w:rPr>
        <w:t xml:space="preserve"> </w:t>
      </w:r>
      <w:bookmarkStart w:id="102" w:name="PO_3000001868_PM001WMC001"/>
      <w:r>
        <w:rPr>
          <w:rFonts w:hint="eastAsia" w:ascii="宋体" w:hAnsi="宋体"/>
          <w:b/>
          <w:color w:val="auto"/>
          <w:sz w:val="36"/>
          <w:szCs w:val="36"/>
          <w:highlight w:val="none"/>
          <w:u w:val="single"/>
        </w:rPr>
        <w:t>[采购计划文号（5）]</w:t>
      </w:r>
      <w:bookmarkEnd w:id="102"/>
      <w:r>
        <w:rPr>
          <w:rFonts w:hint="eastAsia" w:ascii="宋体" w:hAnsi="宋体"/>
          <w:b/>
          <w:color w:val="auto"/>
          <w:sz w:val="36"/>
          <w:szCs w:val="36"/>
          <w:highlight w:val="none"/>
          <w:u w:val="single"/>
        </w:rPr>
        <w:t xml:space="preserve"> </w:t>
      </w:r>
    </w:p>
    <w:p w14:paraId="57DA53FB">
      <w:pPr>
        <w:ind w:firstLine="1308" w:firstLineChars="545"/>
        <w:rPr>
          <w:rFonts w:hint="eastAsia" w:ascii="宋体" w:hAnsi="宋体" w:cs="宋体"/>
          <w:color w:val="auto"/>
          <w:sz w:val="24"/>
          <w:highlight w:val="none"/>
        </w:rPr>
      </w:pPr>
    </w:p>
    <w:p w14:paraId="54D1E51F">
      <w:pPr>
        <w:ind w:firstLine="1995" w:firstLineChars="552"/>
        <w:rPr>
          <w:rFonts w:hint="eastAsia" w:ascii="宋体" w:hAnsi="宋体"/>
          <w:b/>
          <w:color w:val="auto"/>
          <w:sz w:val="36"/>
          <w:szCs w:val="36"/>
          <w:highlight w:val="none"/>
          <w:u w:val="single"/>
        </w:rPr>
      </w:pPr>
    </w:p>
    <w:p w14:paraId="0DFAB90A">
      <w:pPr>
        <w:ind w:firstLine="1995" w:firstLineChars="552"/>
        <w:rPr>
          <w:rFonts w:hint="eastAsia" w:ascii="宋体" w:hAnsi="宋体"/>
          <w:b/>
          <w:color w:val="auto"/>
          <w:sz w:val="36"/>
          <w:szCs w:val="36"/>
          <w:highlight w:val="none"/>
          <w:u w:val="single"/>
        </w:rPr>
      </w:pPr>
    </w:p>
    <w:p w14:paraId="67D4E0E6">
      <w:pPr>
        <w:tabs>
          <w:tab w:val="left" w:pos="7200"/>
        </w:tabs>
        <w:spacing w:line="360" w:lineRule="auto"/>
        <w:ind w:firstLine="1995" w:firstLineChars="552"/>
        <w:rPr>
          <w:rFonts w:hint="eastAsia" w:ascii="宋体" w:hAnsi="宋体"/>
          <w:b/>
          <w:color w:val="auto"/>
          <w:sz w:val="36"/>
          <w:szCs w:val="36"/>
          <w:highlight w:val="none"/>
          <w:u w:val="single"/>
        </w:rPr>
      </w:pPr>
      <w:r>
        <w:rPr>
          <w:rFonts w:hint="eastAsia" w:ascii="宋体" w:hAnsi="宋体"/>
          <w:b/>
          <w:color w:val="auto"/>
          <w:sz w:val="36"/>
          <w:szCs w:val="36"/>
          <w:highlight w:val="none"/>
        </w:rPr>
        <w:t>采购人：</w:t>
      </w:r>
      <w:r>
        <w:rPr>
          <w:rFonts w:hint="eastAsia" w:ascii="宋体" w:hAnsi="宋体"/>
          <w:b/>
          <w:color w:val="auto"/>
          <w:sz w:val="36"/>
          <w:szCs w:val="36"/>
          <w:highlight w:val="none"/>
          <w:u w:val="single"/>
        </w:rPr>
        <w:t xml:space="preserve"> </w:t>
      </w:r>
      <w:r>
        <w:rPr>
          <w:rFonts w:hint="eastAsia" w:ascii="宋体" w:hAnsi="宋体"/>
          <w:b/>
          <w:color w:val="auto"/>
          <w:sz w:val="36"/>
          <w:szCs w:val="36"/>
          <w:highlight w:val="none"/>
          <w:u w:val="single"/>
          <w:lang w:eastAsia="zh-CN"/>
        </w:rPr>
        <w:t>南宁市邕宁区农业农村局</w:t>
      </w:r>
      <w:r>
        <w:rPr>
          <w:rFonts w:hint="eastAsia" w:ascii="宋体" w:hAnsi="宋体"/>
          <w:b/>
          <w:color w:val="auto"/>
          <w:sz w:val="36"/>
          <w:szCs w:val="36"/>
          <w:highlight w:val="none"/>
          <w:u w:val="single"/>
        </w:rPr>
        <w:t xml:space="preserve">  </w:t>
      </w:r>
    </w:p>
    <w:p w14:paraId="203A416A">
      <w:pPr>
        <w:tabs>
          <w:tab w:val="left" w:pos="7380"/>
        </w:tabs>
        <w:spacing w:line="360" w:lineRule="auto"/>
        <w:ind w:firstLine="1995" w:firstLineChars="552"/>
        <w:rPr>
          <w:rFonts w:hint="eastAsia" w:ascii="宋体"/>
          <w:b/>
          <w:bCs/>
          <w:color w:val="auto"/>
          <w:sz w:val="44"/>
          <w:highlight w:val="none"/>
        </w:rPr>
      </w:pPr>
      <w:r>
        <w:rPr>
          <w:rFonts w:hint="eastAsia" w:ascii="宋体" w:hAnsi="宋体"/>
          <w:b/>
          <w:color w:val="auto"/>
          <w:sz w:val="36"/>
          <w:szCs w:val="36"/>
          <w:highlight w:val="none"/>
        </w:rPr>
        <w:t>中标供应商：</w:t>
      </w:r>
      <w:r>
        <w:rPr>
          <w:rFonts w:hint="eastAsia" w:ascii="宋体" w:hAnsi="宋体"/>
          <w:b/>
          <w:color w:val="auto"/>
          <w:sz w:val="36"/>
          <w:szCs w:val="36"/>
          <w:highlight w:val="none"/>
          <w:u w:val="single"/>
        </w:rPr>
        <w:t xml:space="preserve">                   </w:t>
      </w:r>
    </w:p>
    <w:p w14:paraId="2731C99A">
      <w:pPr>
        <w:tabs>
          <w:tab w:val="left" w:pos="7380"/>
        </w:tabs>
        <w:spacing w:line="360" w:lineRule="auto"/>
        <w:rPr>
          <w:rFonts w:hint="eastAsia" w:ascii="宋体"/>
          <w:b/>
          <w:bCs/>
          <w:color w:val="auto"/>
          <w:sz w:val="44"/>
          <w:highlight w:val="none"/>
        </w:rPr>
      </w:pPr>
    </w:p>
    <w:p w14:paraId="082DD62C">
      <w:pPr>
        <w:tabs>
          <w:tab w:val="left" w:pos="7380"/>
        </w:tabs>
        <w:spacing w:line="360" w:lineRule="auto"/>
        <w:rPr>
          <w:rFonts w:hint="eastAsia" w:ascii="宋体"/>
          <w:b/>
          <w:bCs/>
          <w:color w:val="auto"/>
          <w:sz w:val="44"/>
          <w:highlight w:val="none"/>
        </w:rPr>
      </w:pPr>
    </w:p>
    <w:p w14:paraId="747CA1F1">
      <w:pPr>
        <w:tabs>
          <w:tab w:val="left" w:pos="7380"/>
        </w:tabs>
        <w:spacing w:line="360" w:lineRule="auto"/>
        <w:rPr>
          <w:rFonts w:hint="eastAsia" w:ascii="宋体"/>
          <w:b/>
          <w:bCs/>
          <w:color w:val="auto"/>
          <w:sz w:val="44"/>
          <w:highlight w:val="none"/>
        </w:rPr>
      </w:pPr>
    </w:p>
    <w:p w14:paraId="397F276A">
      <w:pPr>
        <w:tabs>
          <w:tab w:val="left" w:pos="7380"/>
        </w:tabs>
        <w:spacing w:line="360" w:lineRule="auto"/>
        <w:ind w:firstLine="3360" w:firstLineChars="1400"/>
        <w:rPr>
          <w:rFonts w:hint="eastAsia" w:ascii="仿宋_GB2312" w:hAnsi="楷体" w:eastAsia="仿宋_GB2312"/>
          <w:color w:val="auto"/>
          <w:sz w:val="24"/>
          <w:highlight w:val="none"/>
          <w:lang w:val="zh-CN"/>
        </w:rPr>
      </w:pPr>
      <w:r>
        <w:rPr>
          <w:rFonts w:hint="eastAsia" w:ascii="仿宋_GB2312" w:hAnsi="楷体" w:eastAsia="仿宋_GB2312"/>
          <w:color w:val="auto"/>
          <w:sz w:val="24"/>
          <w:highlight w:val="none"/>
          <w:lang w:val="zh-CN"/>
        </w:rPr>
        <w:t>签订时间：</w:t>
      </w:r>
      <w:r>
        <w:rPr>
          <w:rFonts w:hint="eastAsia" w:ascii="仿宋_GB2312" w:hAnsi="楷体" w:eastAsia="仿宋_GB2312"/>
          <w:color w:val="auto"/>
          <w:sz w:val="24"/>
          <w:highlight w:val="none"/>
          <w:u w:val="single"/>
          <w:lang w:val="zh-CN"/>
        </w:rPr>
        <w:t xml:space="preserve">     </w:t>
      </w:r>
      <w:r>
        <w:rPr>
          <w:rFonts w:hint="eastAsia" w:ascii="仿宋_GB2312" w:hAnsi="楷体" w:eastAsia="仿宋_GB2312"/>
          <w:color w:val="auto"/>
          <w:sz w:val="24"/>
          <w:highlight w:val="none"/>
          <w:lang w:val="zh-CN"/>
        </w:rPr>
        <w:t>年</w:t>
      </w:r>
      <w:r>
        <w:rPr>
          <w:rFonts w:hint="eastAsia" w:ascii="仿宋_GB2312" w:hAnsi="楷体" w:eastAsia="仿宋_GB2312"/>
          <w:color w:val="auto"/>
          <w:sz w:val="24"/>
          <w:highlight w:val="none"/>
          <w:u w:val="single"/>
          <w:lang w:val="zh-CN"/>
        </w:rPr>
        <w:t xml:space="preserve">    </w:t>
      </w:r>
      <w:r>
        <w:rPr>
          <w:rFonts w:hint="eastAsia" w:ascii="仿宋_GB2312" w:hAnsi="楷体" w:eastAsia="仿宋_GB2312"/>
          <w:color w:val="auto"/>
          <w:sz w:val="24"/>
          <w:highlight w:val="none"/>
          <w:lang w:val="zh-CN"/>
        </w:rPr>
        <w:t>月</w:t>
      </w:r>
      <w:r>
        <w:rPr>
          <w:rFonts w:hint="eastAsia" w:ascii="仿宋_GB2312" w:hAnsi="楷体" w:eastAsia="仿宋_GB2312"/>
          <w:color w:val="auto"/>
          <w:sz w:val="24"/>
          <w:highlight w:val="none"/>
          <w:u w:val="single"/>
          <w:lang w:val="zh-CN"/>
        </w:rPr>
        <w:t xml:space="preserve">    </w:t>
      </w:r>
      <w:r>
        <w:rPr>
          <w:rFonts w:hint="eastAsia" w:ascii="仿宋_GB2312" w:hAnsi="楷体" w:eastAsia="仿宋_GB2312"/>
          <w:color w:val="auto"/>
          <w:sz w:val="24"/>
          <w:highlight w:val="none"/>
          <w:lang w:val="zh-CN"/>
        </w:rPr>
        <w:t>日</w:t>
      </w:r>
    </w:p>
    <w:p w14:paraId="2267602B">
      <w:pPr>
        <w:snapToGrid w:val="0"/>
        <w:spacing w:line="360" w:lineRule="auto"/>
        <w:jc w:val="center"/>
        <w:rPr>
          <w:rFonts w:hint="eastAsia" w:ascii="仿宋_GB2312" w:hAnsi="楷体" w:eastAsia="仿宋_GB2312"/>
          <w:b/>
          <w:color w:val="auto"/>
          <w:sz w:val="24"/>
          <w:highlight w:val="none"/>
        </w:rPr>
      </w:pPr>
      <w:r>
        <w:rPr>
          <w:rFonts w:hint="eastAsia" w:ascii="宋体"/>
          <w:b/>
          <w:bCs/>
          <w:color w:val="auto"/>
          <w:sz w:val="44"/>
          <w:highlight w:val="none"/>
        </w:rPr>
        <w:br w:type="page"/>
      </w:r>
      <w:r>
        <w:rPr>
          <w:rFonts w:hint="eastAsia" w:ascii="仿宋_GB2312" w:hAnsi="楷体" w:eastAsia="仿宋_GB2312"/>
          <w:b/>
          <w:color w:val="auto"/>
          <w:sz w:val="24"/>
          <w:highlight w:val="none"/>
        </w:rPr>
        <w:t>合同目录</w:t>
      </w:r>
    </w:p>
    <w:p w14:paraId="399D0C30">
      <w:pPr>
        <w:snapToGrid w:val="0"/>
        <w:spacing w:line="360" w:lineRule="auto"/>
        <w:jc w:val="center"/>
        <w:rPr>
          <w:rFonts w:hint="eastAsia" w:ascii="宋体"/>
          <w:b/>
          <w:bCs/>
          <w:color w:val="auto"/>
          <w:sz w:val="44"/>
          <w:highlight w:val="none"/>
        </w:rPr>
      </w:pPr>
    </w:p>
    <w:p w14:paraId="1A9ED7C1">
      <w:pPr>
        <w:snapToGrid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一、</w:t>
      </w:r>
      <w:r>
        <w:rPr>
          <w:rFonts w:hint="eastAsia" w:ascii="仿宋_GB2312" w:hAnsi="仿宋" w:eastAsia="仿宋_GB2312"/>
          <w:color w:val="auto"/>
          <w:sz w:val="24"/>
          <w:highlight w:val="none"/>
        </w:rPr>
        <w:t>第一部分 合同书</w:t>
      </w:r>
      <w:r>
        <w:rPr>
          <w:rFonts w:hint="eastAsia" w:ascii="仿宋_GB2312" w:hAnsi="仿宋" w:eastAsia="仿宋_GB2312" w:cs="仿宋_GB2312"/>
          <w:color w:val="auto"/>
          <w:kern w:val="0"/>
          <w:sz w:val="24"/>
          <w:highlight w:val="none"/>
        </w:rPr>
        <w:t>……………………………………………………………（页码）</w:t>
      </w:r>
    </w:p>
    <w:p w14:paraId="1A23F8C3">
      <w:pPr>
        <w:snapToGrid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二、第二部分 合同一般条款……………………………………………………（页码）</w:t>
      </w:r>
    </w:p>
    <w:p w14:paraId="1FB2C1C8">
      <w:pPr>
        <w:snapToGrid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三、第三部分 合同专用条款……………………………………………………（页码）</w:t>
      </w:r>
    </w:p>
    <w:p w14:paraId="5F92CD4C">
      <w:pPr>
        <w:snapToGrid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四、</w:t>
      </w:r>
      <w:r>
        <w:rPr>
          <w:rFonts w:hint="eastAsia" w:ascii="仿宋_GB2312" w:hAnsi="仿宋" w:eastAsia="仿宋_GB2312"/>
          <w:color w:val="auto"/>
          <w:sz w:val="24"/>
          <w:highlight w:val="none"/>
        </w:rPr>
        <w:t>第四部分 合同附件</w:t>
      </w:r>
      <w:r>
        <w:rPr>
          <w:rFonts w:hint="eastAsia" w:ascii="仿宋_GB2312" w:hAnsi="仿宋" w:eastAsia="仿宋_GB2312" w:cs="仿宋_GB2312"/>
          <w:color w:val="auto"/>
          <w:kern w:val="0"/>
          <w:sz w:val="24"/>
          <w:highlight w:val="none"/>
        </w:rPr>
        <w:t>…………………………………………………………（页码）</w:t>
      </w:r>
    </w:p>
    <w:p w14:paraId="6A569FA2">
      <w:pPr>
        <w:snapToGrid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4.1成交通知书 …………………………………………………………………（页码）</w:t>
      </w:r>
    </w:p>
    <w:p w14:paraId="355B1CFE">
      <w:pPr>
        <w:snapToGrid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4.2采购文件服务需求一览表 …………………………………………………（页码）</w:t>
      </w:r>
    </w:p>
    <w:p w14:paraId="6FD1CCD0">
      <w:pPr>
        <w:snapToGrid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4.3采购文件的更改通知（如有） ……………………………………………（页码）</w:t>
      </w:r>
    </w:p>
    <w:p w14:paraId="58370B85">
      <w:pPr>
        <w:snapToGrid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4.4响应函 ………………………………………………………………………（页码）</w:t>
      </w:r>
    </w:p>
    <w:p w14:paraId="3A3E7678">
      <w:pPr>
        <w:snapToGrid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4.5响应报价表 …………………………………………………………………（页码）</w:t>
      </w:r>
    </w:p>
    <w:p w14:paraId="5BE74604">
      <w:pPr>
        <w:snapToGrid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4.6响应服务技术资料表 ………………………………………………………（页码）</w:t>
      </w:r>
    </w:p>
    <w:p w14:paraId="4EF83C3B">
      <w:pPr>
        <w:snapToGrid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4.7商务条款偏离表 ……………………………………………………………（页码）</w:t>
      </w:r>
    </w:p>
    <w:p w14:paraId="68F16ED9">
      <w:pPr>
        <w:snapToGrid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4.8成交供应商澄清函（如有请提供） ………………………………………（页码）</w:t>
      </w:r>
    </w:p>
    <w:p w14:paraId="016A2260">
      <w:pPr>
        <w:snapToGrid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4.9其他与本合同相关的资料（如有请提供） ………………………………（页码）</w:t>
      </w:r>
    </w:p>
    <w:p w14:paraId="5A1E639A">
      <w:pPr>
        <w:snapToGrid w:val="0"/>
        <w:spacing w:line="360" w:lineRule="auto"/>
        <w:rPr>
          <w:rFonts w:hint="eastAsia" w:ascii="仿宋_GB2312" w:hAnsi="仿宋" w:eastAsia="仿宋_GB2312" w:cs="仿宋_GB2312"/>
          <w:color w:val="auto"/>
          <w:kern w:val="0"/>
          <w:sz w:val="24"/>
          <w:highlight w:val="none"/>
        </w:rPr>
      </w:pPr>
    </w:p>
    <w:p w14:paraId="5F6F2CC4">
      <w:pPr>
        <w:widowControl/>
        <w:jc w:val="left"/>
        <w:rPr>
          <w:rFonts w:ascii="仿宋_GB2312" w:eastAsia="仿宋_GB2312"/>
          <w:color w:val="auto"/>
          <w:kern w:val="0"/>
          <w:sz w:val="32"/>
          <w:szCs w:val="20"/>
          <w:highlight w:val="none"/>
        </w:rPr>
        <w:sectPr>
          <w:pgSz w:w="11906" w:h="16838"/>
          <w:pgMar w:top="1134" w:right="1134" w:bottom="1134" w:left="1134" w:header="720" w:footer="720" w:gutter="0"/>
          <w:cols w:space="720" w:num="1"/>
          <w:docGrid w:type="lines" w:linePitch="331" w:charSpace="0"/>
        </w:sectPr>
      </w:pPr>
    </w:p>
    <w:p w14:paraId="10D981E3">
      <w:pPr>
        <w:pStyle w:val="73"/>
        <w:ind w:firstLine="561"/>
        <w:jc w:val="center"/>
        <w:outlineLvl w:val="1"/>
        <w:rPr>
          <w:rFonts w:hint="eastAsia" w:ascii="仿宋_GB2312" w:hAnsi="楷体" w:eastAsia="仿宋_GB2312"/>
          <w:b/>
          <w:color w:val="auto"/>
          <w:sz w:val="28"/>
          <w:szCs w:val="28"/>
          <w:highlight w:val="none"/>
        </w:rPr>
      </w:pPr>
      <w:bookmarkStart w:id="103" w:name="_Toc80205944"/>
      <w:bookmarkStart w:id="104" w:name="_Toc4565"/>
      <w:r>
        <w:rPr>
          <w:rFonts w:hint="eastAsia" w:ascii="仿宋_GB2312" w:hAnsi="楷体" w:eastAsia="仿宋_GB2312"/>
          <w:b/>
          <w:color w:val="auto"/>
          <w:sz w:val="28"/>
          <w:szCs w:val="28"/>
          <w:highlight w:val="none"/>
        </w:rPr>
        <w:t>第一部分 合同书</w:t>
      </w:r>
      <w:bookmarkEnd w:id="103"/>
      <w:bookmarkEnd w:id="104"/>
    </w:p>
    <w:p w14:paraId="4657931A">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u w:val="single"/>
          <w:lang w:val="zh-CN"/>
        </w:rPr>
        <w:t xml:space="preserve">     </w:t>
      </w:r>
      <w:r>
        <w:rPr>
          <w:rFonts w:hint="eastAsia" w:ascii="仿宋_GB2312" w:hAnsi="楷体" w:eastAsia="仿宋_GB2312"/>
          <w:color w:val="auto"/>
          <w:sz w:val="24"/>
          <w:highlight w:val="none"/>
          <w:lang w:val="zh-CN"/>
        </w:rPr>
        <w:t>年</w:t>
      </w:r>
      <w:r>
        <w:rPr>
          <w:rFonts w:hint="eastAsia" w:ascii="仿宋_GB2312" w:hAnsi="楷体" w:eastAsia="仿宋_GB2312"/>
          <w:color w:val="auto"/>
          <w:sz w:val="24"/>
          <w:highlight w:val="none"/>
          <w:u w:val="single"/>
          <w:lang w:val="zh-CN"/>
        </w:rPr>
        <w:t xml:space="preserve">    </w:t>
      </w:r>
      <w:r>
        <w:rPr>
          <w:rFonts w:hint="eastAsia" w:ascii="仿宋_GB2312" w:hAnsi="楷体" w:eastAsia="仿宋_GB2312"/>
          <w:color w:val="auto"/>
          <w:sz w:val="24"/>
          <w:highlight w:val="none"/>
          <w:lang w:val="zh-CN"/>
        </w:rPr>
        <w:t>月</w:t>
      </w:r>
      <w:r>
        <w:rPr>
          <w:rFonts w:hint="eastAsia" w:ascii="仿宋_GB2312" w:hAnsi="楷体" w:eastAsia="仿宋_GB2312"/>
          <w:color w:val="auto"/>
          <w:sz w:val="24"/>
          <w:highlight w:val="none"/>
          <w:u w:val="single"/>
          <w:lang w:val="zh-CN"/>
        </w:rPr>
        <w:t xml:space="preserve">    </w:t>
      </w:r>
      <w:r>
        <w:rPr>
          <w:rFonts w:hint="eastAsia" w:ascii="仿宋_GB2312" w:hAnsi="楷体" w:eastAsia="仿宋_GB2312"/>
          <w:color w:val="auto"/>
          <w:sz w:val="24"/>
          <w:highlight w:val="none"/>
          <w:lang w:val="zh-CN"/>
        </w:rPr>
        <w:t>日</w:t>
      </w:r>
      <w:r>
        <w:rPr>
          <w:rFonts w:hint="eastAsia" w:ascii="仿宋_GB2312" w:hAnsi="楷体"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u w:val="single"/>
          <w:lang w:eastAsia="zh-CN"/>
        </w:rPr>
        <w:t>南宁市邕宁区农业农村局</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以</w:t>
      </w:r>
      <w:r>
        <w:rPr>
          <w:rFonts w:hint="eastAsia" w:ascii="仿宋_GB2312" w:hAnsi="仿宋" w:eastAsia="仿宋_GB2312"/>
          <w:color w:val="auto"/>
          <w:sz w:val="24"/>
          <w:highlight w:val="none"/>
          <w:u w:val="single"/>
        </w:rPr>
        <w:t xml:space="preserve">   竞争性磋商方式  </w:t>
      </w:r>
      <w:r>
        <w:rPr>
          <w:rFonts w:hint="eastAsia" w:ascii="仿宋_GB2312" w:hAnsi="仿宋" w:eastAsia="仿宋_GB2312"/>
          <w:color w:val="auto"/>
          <w:sz w:val="24"/>
          <w:highlight w:val="none"/>
        </w:rPr>
        <w:t>对</w:t>
      </w:r>
      <w:r>
        <w:rPr>
          <w:rFonts w:hint="eastAsia" w:ascii="仿宋_GB2312" w:hAnsi="仿宋" w:eastAsia="仿宋_GB2312"/>
          <w:color w:val="auto"/>
          <w:sz w:val="24"/>
          <w:highlight w:val="none"/>
          <w:u w:val="single"/>
        </w:rPr>
        <w:t xml:space="preserve">        </w:t>
      </w:r>
      <w:r>
        <w:rPr>
          <w:rFonts w:hint="eastAsia" w:ascii="仿宋_GB2312" w:hAnsi="楷体" w:eastAsia="仿宋_GB2312"/>
          <w:color w:val="auto"/>
          <w:sz w:val="24"/>
          <w:highlight w:val="none"/>
        </w:rPr>
        <w:t>项目进行了采购。经</w:t>
      </w:r>
      <w:r>
        <w:rPr>
          <w:rFonts w:hint="eastAsia" w:ascii="仿宋_GB2312" w:hAnsi="楷体" w:eastAsia="仿宋_GB2312"/>
          <w:color w:val="auto"/>
          <w:sz w:val="24"/>
          <w:highlight w:val="none"/>
          <w:u w:val="single"/>
        </w:rPr>
        <w:t xml:space="preserve">   （相关评定主体名称）   </w:t>
      </w:r>
      <w:r>
        <w:rPr>
          <w:rFonts w:hint="eastAsia" w:ascii="仿宋_GB2312" w:hAnsi="楷体" w:eastAsia="仿宋_GB2312"/>
          <w:color w:val="auto"/>
          <w:sz w:val="24"/>
          <w:highlight w:val="none"/>
        </w:rPr>
        <w:t>评定，</w:t>
      </w:r>
      <w:r>
        <w:rPr>
          <w:rFonts w:hint="eastAsia" w:ascii="仿宋_GB2312" w:hAnsi="楷体" w:eastAsia="仿宋_GB2312"/>
          <w:color w:val="auto"/>
          <w:sz w:val="24"/>
          <w:highlight w:val="none"/>
          <w:u w:val="single"/>
        </w:rPr>
        <w:t xml:space="preserve">   （供应商名称）</w:t>
      </w:r>
      <w:r>
        <w:rPr>
          <w:rFonts w:hint="eastAsia" w:ascii="仿宋_GB2312" w:hAnsi="楷体" w:eastAsia="仿宋_GB2312"/>
          <w:color w:val="auto"/>
          <w:sz w:val="24"/>
          <w:highlight w:val="none"/>
        </w:rPr>
        <w:t>为该项目成交供应商。现于成交通知书发出之日起</w:t>
      </w:r>
      <w:r>
        <w:rPr>
          <w:rFonts w:hint="eastAsia" w:ascii="仿宋_GB2312" w:hAnsi="楷体" w:eastAsia="仿宋_GB2312"/>
          <w:color w:val="auto"/>
          <w:sz w:val="24"/>
          <w:highlight w:val="none"/>
          <w:u w:val="single"/>
        </w:rPr>
        <w:t xml:space="preserve">  25  </w:t>
      </w:r>
      <w:r>
        <w:rPr>
          <w:rFonts w:hint="eastAsia" w:ascii="仿宋_GB2312" w:hAnsi="楷体" w:eastAsia="仿宋_GB2312"/>
          <w:color w:val="auto"/>
          <w:sz w:val="24"/>
          <w:highlight w:val="none"/>
        </w:rPr>
        <w:t>日（时限根据项目情况而定，不得超过25日）内，按照采购文件确定的事项签订本合同。</w:t>
      </w:r>
    </w:p>
    <w:p w14:paraId="759E8942">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lang w:val="zh-CN"/>
        </w:rPr>
        <w:t>根据《中华人民共和国民法典》、《中华人民共和国政府采购法》等相关法律法规之规定，按照平等、自愿、公平和诚实信用的原则，经</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u w:val="single"/>
          <w:lang w:eastAsia="zh-CN"/>
        </w:rPr>
        <w:t>南宁市邕宁区农业农村局</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lang w:val="zh-CN"/>
        </w:rPr>
        <w:t>(以下简称：甲方)和</w:t>
      </w:r>
      <w:r>
        <w:rPr>
          <w:rFonts w:hint="eastAsia" w:ascii="仿宋_GB2312" w:hAnsi="楷体" w:eastAsia="仿宋_GB2312"/>
          <w:color w:val="auto"/>
          <w:sz w:val="24"/>
          <w:highlight w:val="none"/>
          <w:u w:val="single"/>
        </w:rPr>
        <w:t xml:space="preserve">   （中标人名称）   </w:t>
      </w:r>
      <w:r>
        <w:rPr>
          <w:rFonts w:hint="eastAsia" w:ascii="仿宋_GB2312" w:hAnsi="楷体" w:eastAsia="仿宋_GB2312"/>
          <w:color w:val="auto"/>
          <w:sz w:val="24"/>
          <w:highlight w:val="none"/>
          <w:lang w:val="zh-CN"/>
        </w:rPr>
        <w:t>(以下简称：乙方)协商一致，约定以下合同</w:t>
      </w:r>
      <w:r>
        <w:rPr>
          <w:rFonts w:hint="eastAsia" w:ascii="仿宋_GB2312" w:hAnsi="楷体" w:eastAsia="仿宋_GB2312"/>
          <w:color w:val="auto"/>
          <w:sz w:val="24"/>
          <w:highlight w:val="none"/>
        </w:rPr>
        <w:t>条款，以兹共同遵守、全面履行。</w:t>
      </w:r>
    </w:p>
    <w:p w14:paraId="1343DAFD">
      <w:pPr>
        <w:spacing w:line="360" w:lineRule="auto"/>
        <w:ind w:firstLine="482" w:firstLineChars="200"/>
        <w:rPr>
          <w:rFonts w:hint="eastAsia" w:ascii="仿宋_GB2312" w:hAnsi="楷体" w:eastAsia="仿宋_GB2312"/>
          <w:b/>
          <w:color w:val="auto"/>
          <w:sz w:val="24"/>
          <w:highlight w:val="none"/>
        </w:rPr>
      </w:pPr>
      <w:bookmarkStart w:id="105" w:name="_Toc3029"/>
      <w:bookmarkStart w:id="106" w:name="_Toc24059"/>
      <w:bookmarkStart w:id="107" w:name="_Toc2232"/>
      <w:r>
        <w:rPr>
          <w:rFonts w:hint="eastAsia" w:ascii="仿宋_GB2312" w:hAnsi="楷体" w:eastAsia="仿宋_GB2312"/>
          <w:b/>
          <w:color w:val="auto"/>
          <w:sz w:val="24"/>
          <w:highlight w:val="none"/>
        </w:rPr>
        <w:t>1.1 合同组成部分</w:t>
      </w:r>
      <w:bookmarkEnd w:id="105"/>
      <w:bookmarkEnd w:id="106"/>
      <w:bookmarkEnd w:id="107"/>
    </w:p>
    <w:p w14:paraId="29EA7239">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下列文件为本合同的组成部分，并构成一个整体，需综合解释、相互补充。如果下列文件内容出现不一致的情形，在保证按照采购文件确定的事项的前提下，组成本合同的多个文件的优先适用顺序如下：</w:t>
      </w:r>
    </w:p>
    <w:p w14:paraId="01FCE05E">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1.1.1 本合同及其补充合同、变更协议；</w:t>
      </w:r>
    </w:p>
    <w:p w14:paraId="3667EF1C">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1.1.2 成交通知书；</w:t>
      </w:r>
    </w:p>
    <w:p w14:paraId="4D4998C3">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1.1.3 采购文件及“响应报价”（含澄清或者说明文件）；</w:t>
      </w:r>
    </w:p>
    <w:p w14:paraId="349ED782">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1.1.4 采购文件（含澄清或者修改文件）；</w:t>
      </w:r>
    </w:p>
    <w:p w14:paraId="04C9CC22">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1.1.5 其他相关采购文件。</w:t>
      </w:r>
    </w:p>
    <w:p w14:paraId="2878593C">
      <w:pPr>
        <w:spacing w:line="360" w:lineRule="auto"/>
        <w:ind w:firstLine="482" w:firstLineChars="200"/>
        <w:rPr>
          <w:rFonts w:hint="eastAsia" w:ascii="仿宋_GB2312" w:hAnsi="楷体" w:eastAsia="仿宋_GB2312"/>
          <w:b/>
          <w:color w:val="auto"/>
          <w:sz w:val="24"/>
          <w:highlight w:val="none"/>
        </w:rPr>
      </w:pPr>
      <w:bookmarkStart w:id="108" w:name="_Toc21295"/>
      <w:bookmarkStart w:id="109" w:name="_Toc27126"/>
      <w:bookmarkStart w:id="110" w:name="_Toc24300"/>
      <w:r>
        <w:rPr>
          <w:rFonts w:hint="eastAsia" w:ascii="仿宋_GB2312" w:hAnsi="楷体" w:eastAsia="仿宋_GB2312"/>
          <w:b/>
          <w:color w:val="auto"/>
          <w:sz w:val="24"/>
          <w:highlight w:val="none"/>
        </w:rPr>
        <w:t>1.2 标的物</w:t>
      </w:r>
      <w:bookmarkEnd w:id="108"/>
      <w:bookmarkEnd w:id="109"/>
      <w:bookmarkEnd w:id="110"/>
    </w:p>
    <w:p w14:paraId="08162561">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1.2.1 标的物1信息</w:t>
      </w:r>
    </w:p>
    <w:p w14:paraId="6AB4A9C4">
      <w:pPr>
        <w:spacing w:line="360" w:lineRule="auto"/>
        <w:ind w:firstLine="480" w:firstLineChars="200"/>
        <w:rPr>
          <w:rFonts w:hint="eastAsia" w:ascii="仿宋_GB2312" w:hAnsi="楷体" w:eastAsia="仿宋_GB2312"/>
          <w:color w:val="auto"/>
          <w:sz w:val="24"/>
          <w:highlight w:val="none"/>
          <w:u w:val="single"/>
        </w:rPr>
      </w:pPr>
      <w:r>
        <w:rPr>
          <w:rFonts w:hint="eastAsia" w:ascii="仿宋_GB2312" w:hAnsi="楷体" w:eastAsia="仿宋_GB2312"/>
          <w:color w:val="auto"/>
          <w:sz w:val="24"/>
          <w:highlight w:val="none"/>
        </w:rPr>
        <w:t>1.2.1.1名称：</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w:t>
      </w:r>
    </w:p>
    <w:p w14:paraId="386146C4">
      <w:pPr>
        <w:spacing w:line="360" w:lineRule="auto"/>
        <w:ind w:firstLine="480" w:firstLineChars="200"/>
        <w:rPr>
          <w:rFonts w:hint="eastAsia" w:ascii="仿宋_GB2312" w:hAnsi="楷体" w:eastAsia="仿宋_GB2312"/>
          <w:color w:val="auto"/>
          <w:sz w:val="24"/>
          <w:highlight w:val="none"/>
          <w:u w:val="single"/>
        </w:rPr>
      </w:pPr>
      <w:r>
        <w:rPr>
          <w:rFonts w:hint="eastAsia" w:ascii="仿宋_GB2312" w:hAnsi="楷体" w:eastAsia="仿宋_GB2312"/>
          <w:color w:val="auto"/>
          <w:sz w:val="24"/>
          <w:highlight w:val="none"/>
        </w:rPr>
        <w:t>1.2.1.2数量：</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w:t>
      </w:r>
    </w:p>
    <w:p w14:paraId="562BFA74">
      <w:pPr>
        <w:spacing w:line="360" w:lineRule="auto"/>
        <w:ind w:firstLine="480" w:firstLineChars="200"/>
        <w:rPr>
          <w:rFonts w:hint="default" w:eastAsia="仿宋_GB2312"/>
          <w:color w:val="auto"/>
          <w:sz w:val="32"/>
          <w:szCs w:val="32"/>
          <w:highlight w:val="none"/>
          <w:u w:val="single"/>
          <w:lang w:val="en-US" w:eastAsia="zh-CN"/>
        </w:rPr>
      </w:pPr>
      <w:r>
        <w:rPr>
          <w:rFonts w:hint="eastAsia" w:ascii="仿宋_GB2312" w:hAnsi="楷体" w:eastAsia="仿宋_GB2312"/>
          <w:color w:val="auto"/>
          <w:sz w:val="24"/>
          <w:highlight w:val="none"/>
        </w:rPr>
        <w:t>1.2.1.3质量：</w:t>
      </w:r>
      <w:r>
        <w:rPr>
          <w:rFonts w:hint="eastAsia" w:ascii="宋体" w:hAnsi="宋体" w:eastAsia="仿宋_GB2312"/>
          <w:color w:val="auto"/>
          <w:szCs w:val="21"/>
          <w:highlight w:val="none"/>
          <w:u w:val="single"/>
          <w:lang w:val="en-US" w:eastAsia="zh-CN"/>
        </w:rPr>
        <w:t xml:space="preserve">                                              </w:t>
      </w:r>
      <w:r>
        <w:rPr>
          <w:rFonts w:hint="eastAsia" w:ascii="宋体" w:hAnsi="宋体" w:eastAsia="仿宋_GB2312"/>
          <w:color w:val="auto"/>
          <w:szCs w:val="21"/>
          <w:highlight w:val="none"/>
          <w:u w:val="none"/>
          <w:lang w:val="en-US" w:eastAsia="zh-CN"/>
        </w:rPr>
        <w:t>；</w:t>
      </w:r>
    </w:p>
    <w:p w14:paraId="1F852649">
      <w:pPr>
        <w:spacing w:line="360" w:lineRule="auto"/>
        <w:ind w:firstLine="482" w:firstLineChars="200"/>
        <w:rPr>
          <w:rFonts w:hint="eastAsia" w:ascii="仿宋_GB2312" w:hAnsi="楷体" w:eastAsia="仿宋_GB2312"/>
          <w:b/>
          <w:color w:val="auto"/>
          <w:sz w:val="24"/>
          <w:highlight w:val="none"/>
        </w:rPr>
      </w:pPr>
      <w:bookmarkStart w:id="111" w:name="_Toc23292"/>
      <w:bookmarkStart w:id="112" w:name="_Toc21551"/>
      <w:bookmarkStart w:id="113" w:name="_Toc21631"/>
      <w:r>
        <w:rPr>
          <w:rFonts w:hint="eastAsia" w:ascii="仿宋_GB2312" w:hAnsi="楷体" w:eastAsia="仿宋_GB2312"/>
          <w:b/>
          <w:color w:val="auto"/>
          <w:sz w:val="24"/>
          <w:highlight w:val="none"/>
        </w:rPr>
        <w:t>1.3 价款</w:t>
      </w:r>
      <w:bookmarkEnd w:id="111"/>
      <w:bookmarkEnd w:id="112"/>
      <w:bookmarkEnd w:id="113"/>
    </w:p>
    <w:p w14:paraId="4CFCD785">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本合同总价为：人民币</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元（大写：</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元人民币，含税）。</w:t>
      </w:r>
    </w:p>
    <w:p w14:paraId="3E61FD84">
      <w:pPr>
        <w:spacing w:line="360" w:lineRule="auto"/>
        <w:ind w:firstLine="480" w:firstLineChars="200"/>
        <w:rPr>
          <w:rFonts w:hint="eastAsia" w:ascii="仿宋_GB2312" w:hAnsi="楷体" w:eastAsia="仿宋_GB2312"/>
          <w:color w:val="auto"/>
          <w:sz w:val="24"/>
          <w:highlight w:val="none"/>
          <w:u w:val="single"/>
        </w:rPr>
      </w:pPr>
      <w:r>
        <w:rPr>
          <w:rFonts w:hint="eastAsia" w:ascii="仿宋_GB2312" w:hAnsi="楷体" w:eastAsia="仿宋_GB2312"/>
          <w:color w:val="auto"/>
          <w:sz w:val="24"/>
          <w:highlight w:val="none"/>
        </w:rPr>
        <w:t>分项价格：</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1B3FF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14:paraId="57D5138F">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序号</w:t>
            </w:r>
          </w:p>
        </w:tc>
        <w:tc>
          <w:tcPr>
            <w:tcW w:w="3402" w:type="dxa"/>
            <w:tcBorders>
              <w:top w:val="single" w:color="auto" w:sz="4" w:space="0"/>
              <w:left w:val="single" w:color="auto" w:sz="4" w:space="0"/>
              <w:bottom w:val="single" w:color="auto" w:sz="4" w:space="0"/>
              <w:right w:val="single" w:color="auto" w:sz="4" w:space="0"/>
            </w:tcBorders>
            <w:noWrap w:val="0"/>
            <w:vAlign w:val="center"/>
          </w:tcPr>
          <w:p w14:paraId="399333F1">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noWrap w:val="0"/>
            <w:vAlign w:val="center"/>
          </w:tcPr>
          <w:p w14:paraId="1199D2AC">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分项价格</w:t>
            </w:r>
          </w:p>
        </w:tc>
      </w:tr>
      <w:tr w14:paraId="5215B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14:paraId="735D2569">
            <w:pPr>
              <w:spacing w:line="360" w:lineRule="auto"/>
              <w:ind w:firstLine="480" w:firstLineChars="200"/>
              <w:rPr>
                <w:rFonts w:hint="eastAsia" w:ascii="仿宋_GB2312" w:hAnsi="楷体" w:eastAsia="仿宋_GB2312"/>
                <w:color w:val="auto"/>
                <w:sz w:val="24"/>
                <w:highlight w:val="none"/>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14:paraId="6A3D6A94">
            <w:pPr>
              <w:spacing w:line="360" w:lineRule="auto"/>
              <w:ind w:firstLine="480" w:firstLineChars="200"/>
              <w:rPr>
                <w:rFonts w:hint="eastAsia" w:ascii="仿宋_GB2312" w:hAnsi="楷体" w:eastAsia="仿宋_GB2312"/>
                <w:color w:val="auto"/>
                <w:sz w:val="24"/>
                <w:highlight w:val="none"/>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14:paraId="6646B184">
            <w:pPr>
              <w:spacing w:line="360" w:lineRule="auto"/>
              <w:ind w:firstLine="480" w:firstLineChars="200"/>
              <w:rPr>
                <w:rFonts w:hint="eastAsia" w:ascii="仿宋_GB2312" w:hAnsi="楷体" w:eastAsia="仿宋_GB2312"/>
                <w:color w:val="auto"/>
                <w:sz w:val="24"/>
                <w:highlight w:val="none"/>
              </w:rPr>
            </w:pPr>
          </w:p>
        </w:tc>
      </w:tr>
      <w:tr w14:paraId="60020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14:paraId="2EDB95D4">
            <w:pPr>
              <w:spacing w:line="360" w:lineRule="auto"/>
              <w:ind w:firstLine="480" w:firstLineChars="200"/>
              <w:rPr>
                <w:rFonts w:hint="eastAsia" w:ascii="仿宋_GB2312" w:hAnsi="楷体" w:eastAsia="仿宋_GB2312"/>
                <w:color w:val="auto"/>
                <w:sz w:val="24"/>
                <w:highlight w:val="none"/>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14:paraId="188A2064">
            <w:pPr>
              <w:spacing w:line="360" w:lineRule="auto"/>
              <w:ind w:firstLine="480" w:firstLineChars="200"/>
              <w:rPr>
                <w:rFonts w:hint="eastAsia" w:ascii="仿宋_GB2312" w:hAnsi="楷体" w:eastAsia="仿宋_GB2312"/>
                <w:color w:val="auto"/>
                <w:sz w:val="24"/>
                <w:highlight w:val="none"/>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14:paraId="069E301C">
            <w:pPr>
              <w:spacing w:line="360" w:lineRule="auto"/>
              <w:ind w:firstLine="480" w:firstLineChars="200"/>
              <w:rPr>
                <w:rFonts w:hint="eastAsia" w:ascii="仿宋_GB2312" w:hAnsi="楷体" w:eastAsia="仿宋_GB2312"/>
                <w:color w:val="auto"/>
                <w:sz w:val="24"/>
                <w:highlight w:val="none"/>
              </w:rPr>
            </w:pPr>
          </w:p>
        </w:tc>
      </w:tr>
      <w:tr w14:paraId="16D2B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14:paraId="5F77D043">
            <w:pPr>
              <w:spacing w:line="360" w:lineRule="auto"/>
              <w:ind w:firstLine="480" w:firstLineChars="200"/>
              <w:rPr>
                <w:rFonts w:hint="eastAsia" w:ascii="仿宋_GB2312" w:hAnsi="楷体" w:eastAsia="仿宋_GB2312"/>
                <w:color w:val="auto"/>
                <w:sz w:val="24"/>
                <w:highlight w:val="none"/>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14:paraId="62115E92">
            <w:pPr>
              <w:spacing w:line="360" w:lineRule="auto"/>
              <w:ind w:firstLine="480" w:firstLineChars="200"/>
              <w:rPr>
                <w:rFonts w:hint="eastAsia" w:ascii="仿宋_GB2312" w:hAnsi="楷体" w:eastAsia="仿宋_GB2312"/>
                <w:color w:val="auto"/>
                <w:sz w:val="24"/>
                <w:highlight w:val="none"/>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14:paraId="39B3EE60">
            <w:pPr>
              <w:spacing w:line="360" w:lineRule="auto"/>
              <w:ind w:firstLine="480" w:firstLineChars="200"/>
              <w:rPr>
                <w:rFonts w:hint="eastAsia" w:ascii="仿宋_GB2312" w:hAnsi="楷体" w:eastAsia="仿宋_GB2312"/>
                <w:color w:val="auto"/>
                <w:sz w:val="24"/>
                <w:highlight w:val="none"/>
              </w:rPr>
            </w:pPr>
          </w:p>
        </w:tc>
      </w:tr>
      <w:tr w14:paraId="5DA72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noWrap w:val="0"/>
            <w:vAlign w:val="center"/>
          </w:tcPr>
          <w:p w14:paraId="74246103">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总价</w:t>
            </w:r>
          </w:p>
        </w:tc>
        <w:tc>
          <w:tcPr>
            <w:tcW w:w="2552" w:type="dxa"/>
            <w:tcBorders>
              <w:top w:val="single" w:color="auto" w:sz="4" w:space="0"/>
              <w:left w:val="single" w:color="auto" w:sz="4" w:space="0"/>
              <w:bottom w:val="single" w:color="auto" w:sz="4" w:space="0"/>
              <w:right w:val="single" w:color="auto" w:sz="4" w:space="0"/>
            </w:tcBorders>
            <w:noWrap w:val="0"/>
            <w:vAlign w:val="center"/>
          </w:tcPr>
          <w:p w14:paraId="6F8DD251">
            <w:pPr>
              <w:spacing w:line="360" w:lineRule="auto"/>
              <w:ind w:firstLine="480" w:firstLineChars="200"/>
              <w:rPr>
                <w:rFonts w:hint="eastAsia" w:ascii="仿宋_GB2312" w:hAnsi="楷体" w:eastAsia="仿宋_GB2312"/>
                <w:color w:val="auto"/>
                <w:sz w:val="24"/>
                <w:highlight w:val="none"/>
              </w:rPr>
            </w:pPr>
          </w:p>
        </w:tc>
      </w:tr>
    </w:tbl>
    <w:p w14:paraId="758B550D">
      <w:pPr>
        <w:spacing w:line="360" w:lineRule="auto"/>
        <w:ind w:firstLine="482" w:firstLineChars="200"/>
        <w:rPr>
          <w:rFonts w:hint="eastAsia" w:ascii="仿宋_GB2312" w:hAnsi="楷体" w:eastAsia="仿宋_GB2312"/>
          <w:b/>
          <w:color w:val="auto"/>
          <w:sz w:val="24"/>
          <w:highlight w:val="none"/>
        </w:rPr>
      </w:pPr>
      <w:bookmarkStart w:id="114" w:name="_Toc1814"/>
      <w:bookmarkStart w:id="115" w:name="_Toc10340"/>
      <w:bookmarkStart w:id="116" w:name="_Toc22618"/>
      <w:r>
        <w:rPr>
          <w:rFonts w:hint="eastAsia" w:ascii="仿宋_GB2312" w:hAnsi="楷体" w:eastAsia="仿宋_GB2312"/>
          <w:b/>
          <w:color w:val="auto"/>
          <w:sz w:val="24"/>
          <w:highlight w:val="none"/>
        </w:rPr>
        <w:t>1.4 付款方式和发票开具方式</w:t>
      </w:r>
      <w:bookmarkEnd w:id="114"/>
      <w:bookmarkEnd w:id="115"/>
      <w:bookmarkEnd w:id="116"/>
    </w:p>
    <w:p w14:paraId="75EE91CD">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1.4.1 付款方式：</w:t>
      </w:r>
      <w:r>
        <w:rPr>
          <w:rFonts w:hint="eastAsia" w:ascii="仿宋_GB2312" w:hAnsi="楷体" w:eastAsia="仿宋_GB2312"/>
          <w:color w:val="auto"/>
          <w:sz w:val="24"/>
          <w:highlight w:val="none"/>
          <w:u w:val="single"/>
        </w:rPr>
        <w:t xml:space="preserve"> </w:t>
      </w:r>
      <w:r>
        <w:rPr>
          <w:rFonts w:hint="eastAsia" w:ascii="宋体" w:hAnsi="宋体" w:eastAsia="仿宋_GB2312"/>
          <w:bCs/>
          <w:color w:val="auto"/>
          <w:szCs w:val="21"/>
          <w:highlight w:val="none"/>
          <w:u w:val="single"/>
          <w:lang w:val="en-US" w:eastAsia="zh-CN"/>
        </w:rPr>
        <w:t xml:space="preserve">                                  </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w:t>
      </w:r>
    </w:p>
    <w:p w14:paraId="01F67C31">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1.4.2 发票开具方式：</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w:t>
      </w:r>
    </w:p>
    <w:p w14:paraId="224A3CAC">
      <w:pPr>
        <w:spacing w:line="360" w:lineRule="auto"/>
        <w:ind w:firstLine="482" w:firstLineChars="200"/>
        <w:rPr>
          <w:rFonts w:hint="eastAsia" w:ascii="仿宋_GB2312" w:hAnsi="楷体" w:eastAsia="仿宋_GB2312"/>
          <w:b/>
          <w:color w:val="auto"/>
          <w:sz w:val="24"/>
          <w:highlight w:val="none"/>
        </w:rPr>
      </w:pPr>
      <w:bookmarkStart w:id="117" w:name="_Toc32071"/>
      <w:bookmarkStart w:id="118" w:name="_Toc2846"/>
      <w:bookmarkStart w:id="119" w:name="_Toc19304"/>
      <w:r>
        <w:rPr>
          <w:rFonts w:hint="eastAsia" w:ascii="仿宋_GB2312" w:hAnsi="楷体" w:eastAsia="仿宋_GB2312"/>
          <w:b/>
          <w:color w:val="auto"/>
          <w:sz w:val="24"/>
          <w:highlight w:val="none"/>
        </w:rPr>
        <w:t>1.5 标的物交付期限、地点、方式</w:t>
      </w:r>
      <w:bookmarkEnd w:id="117"/>
      <w:bookmarkEnd w:id="118"/>
      <w:bookmarkEnd w:id="119"/>
      <w:r>
        <w:rPr>
          <w:rFonts w:hint="eastAsia" w:ascii="仿宋_GB2312" w:hAnsi="楷体" w:eastAsia="仿宋_GB2312"/>
          <w:b/>
          <w:color w:val="auto"/>
          <w:sz w:val="24"/>
          <w:highlight w:val="none"/>
        </w:rPr>
        <w:t>和服务期限</w:t>
      </w:r>
    </w:p>
    <w:p w14:paraId="09D15AAD">
      <w:pPr>
        <w:spacing w:line="360" w:lineRule="exact"/>
        <w:ind w:firstLine="480" w:firstLineChars="200"/>
        <w:rPr>
          <w:rFonts w:hint="eastAsia" w:ascii="仿宋_GB2312" w:hAnsi="楷体" w:eastAsia="仿宋_GB2312"/>
          <w:color w:val="auto"/>
          <w:sz w:val="24"/>
          <w:highlight w:val="none"/>
          <w:u w:val="single"/>
        </w:rPr>
      </w:pPr>
      <w:r>
        <w:rPr>
          <w:rFonts w:hint="eastAsia" w:ascii="仿宋_GB2312" w:hAnsi="楷体" w:eastAsia="仿宋_GB2312"/>
          <w:color w:val="auto"/>
          <w:sz w:val="24"/>
          <w:highlight w:val="none"/>
        </w:rPr>
        <w:t>1.5.1 交付期限：</w:t>
      </w:r>
      <w:r>
        <w:rPr>
          <w:rFonts w:hint="eastAsia" w:ascii="宋体" w:hAnsi="宋体" w:eastAsia="仿宋_GB2312"/>
          <w:color w:val="auto"/>
          <w:szCs w:val="21"/>
          <w:highlight w:val="none"/>
          <w:u w:val="single"/>
          <w:lang w:val="en-US" w:eastAsia="zh-CN"/>
        </w:rPr>
        <w:t xml:space="preserve">                                 </w:t>
      </w:r>
      <w:r>
        <w:rPr>
          <w:rFonts w:hint="eastAsia" w:ascii="宋体" w:hAnsi="宋体" w:eastAsia="仿宋_GB2312"/>
          <w:color w:val="auto"/>
          <w:szCs w:val="21"/>
          <w:highlight w:val="none"/>
          <w:u w:val="none"/>
          <w:lang w:val="en-US" w:eastAsia="zh-CN"/>
        </w:rPr>
        <w:t xml:space="preserve"> </w:t>
      </w:r>
      <w:r>
        <w:rPr>
          <w:rFonts w:hint="eastAsia" w:ascii="仿宋_GB2312" w:hAnsi="楷体" w:eastAsia="仿宋_GB2312"/>
          <w:color w:val="auto"/>
          <w:sz w:val="24"/>
          <w:highlight w:val="none"/>
          <w:u w:val="none"/>
        </w:rPr>
        <w:t>；</w:t>
      </w:r>
    </w:p>
    <w:p w14:paraId="2EC0B7C1">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1.5.2 交付地点：</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u w:val="single"/>
          <w:lang w:val="en-US" w:eastAsia="zh-CN"/>
        </w:rPr>
        <w:t xml:space="preserve">                           </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w:t>
      </w:r>
    </w:p>
    <w:p w14:paraId="2DFF3725">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1.5.3 交付方式：</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u w:val="single"/>
          <w:lang w:val="en-US" w:eastAsia="zh-CN"/>
        </w:rPr>
        <w:t xml:space="preserve"> </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u w:val="single"/>
          <w:lang w:val="en-US" w:eastAsia="zh-CN"/>
        </w:rPr>
        <w:t xml:space="preserve">  </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w:t>
      </w:r>
    </w:p>
    <w:p w14:paraId="5EDBB24B">
      <w:pPr>
        <w:spacing w:line="360" w:lineRule="exact"/>
        <w:ind w:firstLine="480" w:firstLineChars="200"/>
        <w:rPr>
          <w:rFonts w:hint="default" w:ascii="宋体" w:hAnsi="宋体" w:eastAsia="仿宋_GB2312"/>
          <w:color w:val="auto"/>
          <w:szCs w:val="21"/>
          <w:highlight w:val="none"/>
          <w:u w:val="single"/>
          <w:lang w:val="en-US" w:eastAsia="zh-CN"/>
        </w:rPr>
      </w:pPr>
      <w:r>
        <w:rPr>
          <w:rFonts w:hint="eastAsia" w:ascii="仿宋_GB2312" w:hAnsi="楷体" w:eastAsia="仿宋_GB2312"/>
          <w:color w:val="auto"/>
          <w:sz w:val="24"/>
          <w:highlight w:val="none"/>
        </w:rPr>
        <w:t>1.5.4 服务及质保期限：</w:t>
      </w:r>
      <w:r>
        <w:rPr>
          <w:rFonts w:hint="eastAsia" w:ascii="宋体" w:hAnsi="宋体" w:eastAsia="仿宋_GB2312"/>
          <w:color w:val="auto"/>
          <w:szCs w:val="21"/>
          <w:highlight w:val="none"/>
          <w:u w:val="single"/>
          <w:lang w:val="en-US" w:eastAsia="zh-CN"/>
        </w:rPr>
        <w:t xml:space="preserve">                             </w:t>
      </w:r>
      <w:r>
        <w:rPr>
          <w:rFonts w:hint="eastAsia" w:ascii="宋体" w:hAnsi="宋体" w:eastAsia="仿宋_GB2312"/>
          <w:color w:val="auto"/>
          <w:szCs w:val="21"/>
          <w:highlight w:val="none"/>
          <w:u w:val="none"/>
          <w:lang w:val="en-US" w:eastAsia="zh-CN"/>
        </w:rPr>
        <w:t>。</w:t>
      </w:r>
    </w:p>
    <w:p w14:paraId="74955480">
      <w:pPr>
        <w:spacing w:line="360" w:lineRule="auto"/>
        <w:ind w:firstLine="482" w:firstLineChars="200"/>
        <w:rPr>
          <w:rFonts w:hint="eastAsia" w:ascii="仿宋_GB2312" w:hAnsi="楷体" w:eastAsia="仿宋_GB2312"/>
          <w:b/>
          <w:color w:val="auto"/>
          <w:sz w:val="24"/>
          <w:highlight w:val="none"/>
        </w:rPr>
      </w:pPr>
      <w:bookmarkStart w:id="120" w:name="_Toc19554"/>
      <w:bookmarkStart w:id="121" w:name="_Toc21423"/>
      <w:bookmarkStart w:id="122" w:name="_Toc27250"/>
      <w:r>
        <w:rPr>
          <w:rFonts w:hint="eastAsia" w:ascii="仿宋_GB2312" w:hAnsi="楷体" w:eastAsia="仿宋_GB2312"/>
          <w:b/>
          <w:color w:val="auto"/>
          <w:sz w:val="24"/>
          <w:highlight w:val="none"/>
        </w:rPr>
        <w:t>1.6 违约责任</w:t>
      </w:r>
      <w:bookmarkEnd w:id="120"/>
      <w:bookmarkEnd w:id="121"/>
      <w:bookmarkEnd w:id="122"/>
    </w:p>
    <w:p w14:paraId="7B266E92">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1.6.1 除不可抗力外，如果乙方没有按照本合同约定的期限、地点和方式交付标的物，甲方可要求乙方支付违约金，违约金按每迟延交付标的物一日的应交付而未交付标的物价格的</w:t>
      </w:r>
      <w:r>
        <w:rPr>
          <w:rFonts w:hint="eastAsia" w:ascii="仿宋_GB2312" w:hAnsi="楷体" w:eastAsia="仿宋_GB2312"/>
          <w:color w:val="auto"/>
          <w:sz w:val="24"/>
          <w:highlight w:val="none"/>
          <w:u w:val="single"/>
        </w:rPr>
        <w:t>万分之五</w:t>
      </w:r>
      <w:r>
        <w:rPr>
          <w:rFonts w:hint="eastAsia" w:ascii="仿宋_GB2312" w:hAnsi="楷体" w:eastAsia="仿宋_GB2312"/>
          <w:color w:val="auto"/>
          <w:sz w:val="24"/>
          <w:highlight w:val="none"/>
        </w:rPr>
        <w:t>（根据项目实际填写，一般为万分之五）计算，最高限额为本合同总价的</w:t>
      </w:r>
      <w:r>
        <w:rPr>
          <w:rFonts w:hint="eastAsia" w:ascii="仿宋_GB2312" w:hAnsi="楷体" w:eastAsia="仿宋_GB2312"/>
          <w:color w:val="auto"/>
          <w:sz w:val="24"/>
          <w:highlight w:val="none"/>
          <w:u w:val="single"/>
        </w:rPr>
        <w:t xml:space="preserve">  20   </w:t>
      </w:r>
      <w:r>
        <w:rPr>
          <w:rFonts w:hint="eastAsia" w:ascii="仿宋_GB2312" w:hAnsi="楷体" w:eastAsia="仿宋_GB2312"/>
          <w:color w:val="auto"/>
          <w:sz w:val="24"/>
          <w:highlight w:val="none"/>
        </w:rPr>
        <w:t>%（根据项目实际填写，一般为20%）；迟延超过【30】日的，甲方有权在要求乙方支付违约金的同时，书面通知乙方解除本合同，乙方应退回全部已收取的合同价款并按合同总金额的</w:t>
      </w:r>
      <w:r>
        <w:rPr>
          <w:rFonts w:hint="eastAsia" w:ascii="仿宋_GB2312" w:hAnsi="楷体" w:eastAsia="仿宋_GB2312"/>
          <w:color w:val="auto"/>
          <w:sz w:val="24"/>
          <w:highlight w:val="none"/>
          <w:u w:val="single"/>
        </w:rPr>
        <w:t xml:space="preserve">  20   </w:t>
      </w:r>
      <w:r>
        <w:rPr>
          <w:rFonts w:hint="eastAsia" w:ascii="仿宋_GB2312" w:hAnsi="楷体" w:eastAsia="仿宋_GB2312"/>
          <w:color w:val="auto"/>
          <w:sz w:val="24"/>
          <w:highlight w:val="none"/>
        </w:rPr>
        <w:t>%（根据项目实际填写，一般为20%）向甲方支付违约金；</w:t>
      </w:r>
    </w:p>
    <w:p w14:paraId="7640C28C">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1.6.2 除不可抗力外，如果甲方没有按照本合同约定的付款方式付款，乙方可要求甲方支付违约金，违约金按每迟延付款一日的应付而未付款的</w:t>
      </w:r>
      <w:r>
        <w:rPr>
          <w:rFonts w:hint="eastAsia" w:ascii="仿宋_GB2312" w:hAnsi="楷体" w:eastAsia="仿宋_GB2312"/>
          <w:color w:val="auto"/>
          <w:sz w:val="24"/>
          <w:highlight w:val="none"/>
          <w:u w:val="single"/>
        </w:rPr>
        <w:t>万分之五</w:t>
      </w:r>
      <w:r>
        <w:rPr>
          <w:rFonts w:hint="eastAsia" w:ascii="仿宋_GB2312" w:hAnsi="楷体" w:eastAsia="仿宋_GB2312"/>
          <w:color w:val="auto"/>
          <w:sz w:val="24"/>
          <w:highlight w:val="none"/>
        </w:rPr>
        <w:t>（根据项目实际填写，一般为万分之五）计算，最高限额为欠付金额的</w:t>
      </w:r>
      <w:r>
        <w:rPr>
          <w:rFonts w:hint="eastAsia" w:ascii="仿宋_GB2312" w:hAnsi="楷体" w:eastAsia="仿宋_GB2312"/>
          <w:color w:val="auto"/>
          <w:sz w:val="24"/>
          <w:highlight w:val="none"/>
          <w:u w:val="single"/>
        </w:rPr>
        <w:t xml:space="preserve">   20   </w:t>
      </w:r>
      <w:r>
        <w:rPr>
          <w:rFonts w:hint="eastAsia" w:ascii="仿宋_GB2312" w:hAnsi="楷体" w:eastAsia="仿宋_GB2312"/>
          <w:color w:val="auto"/>
          <w:sz w:val="24"/>
          <w:highlight w:val="none"/>
        </w:rPr>
        <w:t>%（根据项目实际填写，一般为20%）；迟延付款的违约金计算数额达到前述最高限额之日起，乙方有权在要求甲方支付违约金的同时，书面通知甲方解除本合同；</w:t>
      </w:r>
    </w:p>
    <w:p w14:paraId="264ABA79">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4B666652">
      <w:pPr>
        <w:spacing w:line="360" w:lineRule="auto"/>
        <w:ind w:left="239" w:leftChars="114" w:firstLine="240" w:firstLineChars="100"/>
        <w:rPr>
          <w:rFonts w:hint="eastAsia" w:ascii="仿宋" w:hAnsi="仿宋" w:eastAsia="仿宋" w:cs="仿宋"/>
          <w:color w:val="auto"/>
          <w:sz w:val="24"/>
          <w:highlight w:val="none"/>
        </w:rPr>
      </w:pPr>
      <w:r>
        <w:rPr>
          <w:rFonts w:hint="eastAsia" w:ascii="仿宋_GB2312" w:hAnsi="楷体" w:eastAsia="仿宋_GB2312"/>
          <w:color w:val="auto"/>
          <w:sz w:val="24"/>
          <w:highlight w:val="none"/>
        </w:rPr>
        <w:t>1.6.4乙方在质保期内未按承诺提供售后等服务的，每发生一次向甲方支付</w:t>
      </w:r>
      <w:r>
        <w:rPr>
          <w:rFonts w:hint="eastAsia" w:ascii="仿宋" w:hAnsi="仿宋" w:eastAsia="仿宋" w:cs="仿宋"/>
          <w:color w:val="auto"/>
          <w:sz w:val="24"/>
          <w:highlight w:val="none"/>
          <w:u w:val="single"/>
        </w:rPr>
        <w:t xml:space="preserve"> 2000.00 </w:t>
      </w:r>
      <w:r>
        <w:rPr>
          <w:rFonts w:hint="eastAsia" w:ascii="仿宋_GB2312" w:hAnsi="楷体" w:eastAsia="仿宋_GB2312"/>
          <w:color w:val="auto"/>
          <w:sz w:val="24"/>
          <w:highlight w:val="none"/>
        </w:rPr>
        <w:t>元（根据项目实际填写，一般为2000元）的违约金。</w:t>
      </w:r>
    </w:p>
    <w:p w14:paraId="66E5F4A7">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1.6.5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5F86F55F">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1.6.6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315A620A">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1.6.7 如果出现政府采购监督管理部门在处理投诉事项期间，书面通知甲方暂停采购活动的情形，或者询问或质疑事项可能影响中标结果的，导致甲方中止履行合同的情形，均不视为甲方违约。</w:t>
      </w:r>
    </w:p>
    <w:p w14:paraId="0D678E5B">
      <w:pPr>
        <w:spacing w:line="360" w:lineRule="auto"/>
        <w:ind w:firstLine="482" w:firstLineChars="200"/>
        <w:rPr>
          <w:rFonts w:hint="eastAsia" w:ascii="仿宋_GB2312" w:hAnsi="楷体" w:eastAsia="仿宋_GB2312"/>
          <w:b/>
          <w:color w:val="auto"/>
          <w:sz w:val="24"/>
          <w:highlight w:val="none"/>
        </w:rPr>
      </w:pPr>
      <w:bookmarkStart w:id="123" w:name="_Toc15583"/>
      <w:bookmarkStart w:id="124" w:name="_Toc16021"/>
      <w:bookmarkStart w:id="125" w:name="_Toc28375"/>
      <w:r>
        <w:rPr>
          <w:rFonts w:hint="eastAsia" w:ascii="仿宋_GB2312" w:hAnsi="楷体" w:eastAsia="仿宋_GB2312"/>
          <w:b/>
          <w:color w:val="auto"/>
          <w:sz w:val="24"/>
          <w:highlight w:val="none"/>
        </w:rPr>
        <w:t>1.7 合同争议的解决</w:t>
      </w:r>
      <w:bookmarkEnd w:id="123"/>
      <w:bookmarkEnd w:id="124"/>
      <w:bookmarkEnd w:id="125"/>
    </w:p>
    <w:p w14:paraId="51DFCADB">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本合同履行过程中发生的任何争议，双方当事人均可通过和解或者调解解决；不愿和解、调解或者和解、调解不成的，可以选择下列第</w:t>
      </w:r>
      <w:r>
        <w:rPr>
          <w:rFonts w:hint="eastAsia" w:ascii="仿宋_GB2312" w:hAnsi="楷体" w:eastAsia="仿宋_GB2312"/>
          <w:color w:val="auto"/>
          <w:sz w:val="24"/>
          <w:highlight w:val="none"/>
          <w:u w:val="single"/>
        </w:rPr>
        <w:t xml:space="preserve">   1.7.2  </w:t>
      </w:r>
      <w:r>
        <w:rPr>
          <w:rFonts w:hint="eastAsia" w:ascii="仿宋_GB2312" w:hAnsi="楷体" w:eastAsia="仿宋_GB2312"/>
          <w:color w:val="auto"/>
          <w:sz w:val="24"/>
          <w:highlight w:val="none"/>
        </w:rPr>
        <w:t>种方式解决：</w:t>
      </w:r>
    </w:p>
    <w:p w14:paraId="1067B3EF">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1.7.1 将争议提交</w:t>
      </w:r>
      <w:r>
        <w:rPr>
          <w:rFonts w:hint="eastAsia" w:ascii="仿宋_GB2312" w:hAnsi="楷体" w:eastAsia="仿宋_GB2312"/>
          <w:color w:val="auto"/>
          <w:sz w:val="24"/>
          <w:highlight w:val="none"/>
          <w:u w:val="single"/>
        </w:rPr>
        <w:t>南宁</w:t>
      </w:r>
      <w:r>
        <w:rPr>
          <w:rFonts w:hint="eastAsia" w:ascii="仿宋_GB2312" w:hAnsi="楷体" w:eastAsia="仿宋_GB2312"/>
          <w:color w:val="auto"/>
          <w:sz w:val="24"/>
          <w:highlight w:val="none"/>
        </w:rPr>
        <w:t>仲裁委员会依申请仲裁时其现行有效的仲裁规则裁决；</w:t>
      </w:r>
    </w:p>
    <w:p w14:paraId="1A78427D">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1.7.2 向</w:t>
      </w:r>
      <w:r>
        <w:rPr>
          <w:rFonts w:hint="eastAsia" w:ascii="仿宋_GB2312" w:hAnsi="楷体" w:eastAsia="仿宋_GB2312"/>
          <w:color w:val="auto"/>
          <w:sz w:val="24"/>
          <w:highlight w:val="none"/>
          <w:u w:val="single"/>
        </w:rPr>
        <w:t xml:space="preserve">   甲方所在地  </w:t>
      </w:r>
      <w:r>
        <w:rPr>
          <w:rFonts w:hint="eastAsia" w:ascii="仿宋_GB2312" w:hAnsi="楷体" w:eastAsia="仿宋_GB2312"/>
          <w:color w:val="auto"/>
          <w:sz w:val="24"/>
          <w:highlight w:val="none"/>
        </w:rPr>
        <w:t>人民法院起诉。</w:t>
      </w:r>
    </w:p>
    <w:p w14:paraId="0E0FCE34">
      <w:pPr>
        <w:spacing w:line="360" w:lineRule="auto"/>
        <w:ind w:firstLine="482" w:firstLineChars="200"/>
        <w:rPr>
          <w:rFonts w:hint="eastAsia" w:ascii="仿宋_GB2312" w:hAnsi="楷体" w:eastAsia="仿宋_GB2312"/>
          <w:b/>
          <w:color w:val="auto"/>
          <w:sz w:val="24"/>
          <w:highlight w:val="none"/>
        </w:rPr>
      </w:pPr>
      <w:bookmarkStart w:id="126" w:name="_Toc7245"/>
      <w:bookmarkStart w:id="127" w:name="_Toc15322"/>
      <w:bookmarkStart w:id="128" w:name="_Toc11173"/>
      <w:r>
        <w:rPr>
          <w:rFonts w:hint="eastAsia" w:ascii="仿宋_GB2312" w:hAnsi="楷体" w:eastAsia="仿宋_GB2312"/>
          <w:b/>
          <w:color w:val="auto"/>
          <w:sz w:val="24"/>
          <w:highlight w:val="none"/>
        </w:rPr>
        <w:t>1.8 合同生效</w:t>
      </w:r>
      <w:bookmarkEnd w:id="126"/>
      <w:bookmarkEnd w:id="127"/>
      <w:bookmarkEnd w:id="128"/>
    </w:p>
    <w:p w14:paraId="408A25F6">
      <w:pPr>
        <w:spacing w:line="360" w:lineRule="auto"/>
        <w:ind w:firstLine="480" w:firstLineChars="200"/>
        <w:rPr>
          <w:rFonts w:hint="eastAsia" w:ascii="仿宋_GB2312" w:hAnsi="楷体" w:eastAsia="仿宋_GB2312"/>
          <w:b/>
          <w:color w:val="auto"/>
          <w:sz w:val="24"/>
          <w:highlight w:val="none"/>
        </w:rPr>
      </w:pPr>
      <w:r>
        <w:rPr>
          <w:rFonts w:hint="eastAsia" w:ascii="仿宋_GB2312" w:hAnsi="楷体" w:eastAsia="仿宋_GB2312"/>
          <w:color w:val="auto"/>
          <w:sz w:val="24"/>
          <w:highlight w:val="none"/>
        </w:rPr>
        <w:t>本合同自双方当事人加盖有效电子公章时生效。</w:t>
      </w:r>
    </w:p>
    <w:p w14:paraId="388E1A0F">
      <w:pPr>
        <w:spacing w:line="360" w:lineRule="auto"/>
        <w:ind w:firstLine="200"/>
        <w:rPr>
          <w:rFonts w:hint="eastAsia" w:ascii="仿宋_GB2312" w:hAnsi="楷体" w:eastAsia="仿宋_GB2312"/>
          <w:color w:val="auto"/>
          <w:sz w:val="24"/>
          <w:highlight w:val="none"/>
          <w:lang w:val="zh-CN"/>
        </w:rPr>
      </w:pPr>
      <w:r>
        <w:rPr>
          <w:rFonts w:hint="eastAsia" w:ascii="仿宋_GB2312" w:hAnsi="楷体" w:eastAsia="仿宋_GB2312"/>
          <w:color w:val="auto"/>
          <w:sz w:val="24"/>
          <w:highlight w:val="none"/>
          <w:lang w:val="zh-CN"/>
        </w:rPr>
        <w:t>甲方：                                   乙方：</w:t>
      </w:r>
    </w:p>
    <w:p w14:paraId="5DCCEA83">
      <w:pPr>
        <w:spacing w:line="360" w:lineRule="auto"/>
        <w:ind w:firstLine="200"/>
        <w:rPr>
          <w:rFonts w:hint="eastAsia" w:ascii="仿宋_GB2312" w:hAnsi="楷体" w:eastAsia="仿宋_GB2312"/>
          <w:color w:val="auto"/>
          <w:sz w:val="24"/>
          <w:highlight w:val="none"/>
          <w:lang w:val="zh-CN"/>
        </w:rPr>
      </w:pPr>
      <w:r>
        <w:rPr>
          <w:rFonts w:hint="eastAsia" w:ascii="仿宋_GB2312" w:hAnsi="楷体" w:eastAsia="仿宋_GB2312"/>
          <w:color w:val="auto"/>
          <w:sz w:val="24"/>
          <w:highlight w:val="none"/>
          <w:lang w:val="zh-CN"/>
        </w:rPr>
        <w:t>统一社会信用代码：                        统一社会信用代码或身份证号码：</w:t>
      </w:r>
    </w:p>
    <w:p w14:paraId="6433FC08">
      <w:pPr>
        <w:spacing w:line="360" w:lineRule="auto"/>
        <w:ind w:firstLine="200"/>
        <w:rPr>
          <w:rFonts w:hint="eastAsia" w:ascii="仿宋_GB2312" w:hAnsi="楷体" w:eastAsia="仿宋_GB2312"/>
          <w:color w:val="auto"/>
          <w:sz w:val="24"/>
          <w:highlight w:val="none"/>
          <w:lang w:val="zh-CN"/>
        </w:rPr>
      </w:pPr>
    </w:p>
    <w:p w14:paraId="053CCA1D">
      <w:pPr>
        <w:spacing w:line="360" w:lineRule="auto"/>
        <w:ind w:firstLine="200"/>
        <w:rPr>
          <w:rFonts w:hint="eastAsia" w:ascii="仿宋_GB2312" w:hAnsi="楷体" w:eastAsia="仿宋_GB2312"/>
          <w:color w:val="auto"/>
          <w:sz w:val="24"/>
          <w:highlight w:val="none"/>
          <w:lang w:val="zh-CN"/>
        </w:rPr>
      </w:pPr>
      <w:r>
        <w:rPr>
          <w:rFonts w:hint="eastAsia" w:ascii="仿宋_GB2312" w:hAnsi="楷体" w:eastAsia="仿宋_GB2312"/>
          <w:color w:val="auto"/>
          <w:sz w:val="24"/>
          <w:highlight w:val="none"/>
          <w:lang w:val="zh-CN"/>
        </w:rPr>
        <w:t>住所：                                   住所：</w:t>
      </w:r>
    </w:p>
    <w:p w14:paraId="16233784">
      <w:pPr>
        <w:spacing w:line="360" w:lineRule="auto"/>
        <w:ind w:firstLine="200"/>
        <w:rPr>
          <w:rFonts w:hint="eastAsia" w:ascii="仿宋_GB2312" w:hAnsi="楷体" w:eastAsia="仿宋_GB2312"/>
          <w:color w:val="auto"/>
          <w:sz w:val="24"/>
          <w:highlight w:val="none"/>
          <w:lang w:val="zh-CN"/>
        </w:rPr>
      </w:pPr>
      <w:r>
        <w:rPr>
          <w:rFonts w:hint="eastAsia" w:ascii="仿宋_GB2312" w:hAnsi="楷体" w:eastAsia="仿宋_GB2312"/>
          <w:color w:val="auto"/>
          <w:sz w:val="24"/>
          <w:highlight w:val="none"/>
          <w:lang w:val="zh-CN"/>
        </w:rPr>
        <w:t>法定代表人或                             法定代表人</w:t>
      </w:r>
    </w:p>
    <w:p w14:paraId="3FFFD3CB">
      <w:pPr>
        <w:spacing w:line="360" w:lineRule="auto"/>
        <w:ind w:firstLine="200"/>
        <w:rPr>
          <w:rFonts w:hint="eastAsia" w:ascii="仿宋_GB2312" w:hAnsi="楷体" w:eastAsia="仿宋_GB2312"/>
          <w:color w:val="auto"/>
          <w:sz w:val="24"/>
          <w:highlight w:val="none"/>
          <w:lang w:val="zh-CN"/>
        </w:rPr>
      </w:pPr>
      <w:r>
        <w:rPr>
          <w:rFonts w:hint="eastAsia" w:ascii="仿宋_GB2312" w:hAnsi="楷体" w:eastAsia="仿宋_GB2312"/>
          <w:color w:val="auto"/>
          <w:sz w:val="24"/>
          <w:highlight w:val="none"/>
          <w:lang w:val="zh-CN"/>
        </w:rPr>
        <w:t xml:space="preserve">授权代表（签字或盖章）：                 或授权代表（签字或盖章）: </w:t>
      </w:r>
    </w:p>
    <w:p w14:paraId="10FB265E">
      <w:pPr>
        <w:spacing w:line="360" w:lineRule="auto"/>
        <w:ind w:firstLine="200"/>
        <w:rPr>
          <w:rFonts w:hint="eastAsia" w:ascii="仿宋_GB2312" w:hAnsi="楷体" w:eastAsia="仿宋_GB2312"/>
          <w:color w:val="auto"/>
          <w:sz w:val="24"/>
          <w:highlight w:val="none"/>
          <w:lang w:val="zh-CN"/>
        </w:rPr>
      </w:pPr>
      <w:r>
        <w:rPr>
          <w:rFonts w:hint="eastAsia" w:ascii="仿宋_GB2312" w:hAnsi="楷体" w:eastAsia="仿宋_GB2312"/>
          <w:color w:val="auto"/>
          <w:sz w:val="24"/>
          <w:highlight w:val="none"/>
          <w:lang w:val="zh-CN"/>
        </w:rPr>
        <w:t>联系人：                                 联系人：</w:t>
      </w:r>
    </w:p>
    <w:p w14:paraId="101762C3">
      <w:pPr>
        <w:spacing w:line="360" w:lineRule="auto"/>
        <w:ind w:firstLine="200"/>
        <w:rPr>
          <w:rFonts w:hint="eastAsia" w:ascii="仿宋_GB2312" w:hAnsi="楷体" w:eastAsia="仿宋_GB2312"/>
          <w:color w:val="auto"/>
          <w:sz w:val="24"/>
          <w:highlight w:val="none"/>
          <w:lang w:val="zh-CN"/>
        </w:rPr>
      </w:pPr>
      <w:r>
        <w:rPr>
          <w:rFonts w:hint="eastAsia" w:ascii="仿宋_GB2312" w:hAnsi="楷体" w:eastAsia="仿宋_GB2312"/>
          <w:color w:val="auto"/>
          <w:sz w:val="24"/>
          <w:highlight w:val="none"/>
          <w:lang w:val="zh-CN"/>
        </w:rPr>
        <w:t>约定送达地址：                           约定送达地址：</w:t>
      </w:r>
    </w:p>
    <w:p w14:paraId="03570CD3">
      <w:pPr>
        <w:spacing w:line="360" w:lineRule="auto"/>
        <w:ind w:firstLine="200"/>
        <w:rPr>
          <w:rFonts w:hint="eastAsia" w:ascii="仿宋_GB2312" w:hAnsi="楷体" w:eastAsia="仿宋_GB2312"/>
          <w:color w:val="auto"/>
          <w:sz w:val="24"/>
          <w:highlight w:val="none"/>
          <w:lang w:val="zh-CN"/>
        </w:rPr>
      </w:pPr>
      <w:r>
        <w:rPr>
          <w:rFonts w:hint="eastAsia" w:ascii="仿宋_GB2312" w:hAnsi="楷体" w:eastAsia="仿宋_GB2312"/>
          <w:color w:val="auto"/>
          <w:sz w:val="24"/>
          <w:highlight w:val="none"/>
          <w:lang w:val="zh-CN"/>
        </w:rPr>
        <w:t>邮政编码：                               邮政编码：</w:t>
      </w:r>
    </w:p>
    <w:p w14:paraId="5B72B146">
      <w:pPr>
        <w:spacing w:line="360" w:lineRule="auto"/>
        <w:ind w:firstLine="200"/>
        <w:rPr>
          <w:rFonts w:hint="eastAsia" w:ascii="仿宋_GB2312" w:hAnsi="楷体" w:eastAsia="仿宋_GB2312"/>
          <w:color w:val="auto"/>
          <w:sz w:val="24"/>
          <w:highlight w:val="none"/>
          <w:lang w:val="zh-CN"/>
        </w:rPr>
      </w:pPr>
      <w:r>
        <w:rPr>
          <w:rFonts w:hint="eastAsia" w:ascii="仿宋_GB2312" w:hAnsi="楷体" w:eastAsia="仿宋_GB2312"/>
          <w:color w:val="auto"/>
          <w:sz w:val="24"/>
          <w:highlight w:val="none"/>
          <w:lang w:val="zh-CN"/>
        </w:rPr>
        <w:t xml:space="preserve">电话:                                    电话: </w:t>
      </w:r>
    </w:p>
    <w:p w14:paraId="6AE3F011">
      <w:pPr>
        <w:spacing w:line="360" w:lineRule="auto"/>
        <w:ind w:firstLine="200"/>
        <w:rPr>
          <w:rFonts w:hint="eastAsia" w:ascii="仿宋_GB2312" w:hAnsi="楷体" w:eastAsia="仿宋_GB2312"/>
          <w:color w:val="auto"/>
          <w:sz w:val="24"/>
          <w:highlight w:val="none"/>
          <w:lang w:val="zh-CN"/>
        </w:rPr>
      </w:pPr>
      <w:r>
        <w:rPr>
          <w:rFonts w:hint="eastAsia" w:ascii="仿宋_GB2312" w:hAnsi="楷体" w:eastAsia="仿宋_GB2312"/>
          <w:color w:val="auto"/>
          <w:sz w:val="24"/>
          <w:highlight w:val="none"/>
          <w:lang w:val="zh-CN"/>
        </w:rPr>
        <w:t>传真:                                    传真:</w:t>
      </w:r>
    </w:p>
    <w:p w14:paraId="4708FF76">
      <w:pPr>
        <w:spacing w:line="360" w:lineRule="auto"/>
        <w:ind w:firstLine="200"/>
        <w:rPr>
          <w:rFonts w:hint="eastAsia" w:ascii="仿宋_GB2312" w:hAnsi="楷体" w:eastAsia="仿宋_GB2312"/>
          <w:color w:val="auto"/>
          <w:sz w:val="24"/>
          <w:highlight w:val="none"/>
        </w:rPr>
      </w:pPr>
      <w:r>
        <w:rPr>
          <w:rFonts w:hint="eastAsia" w:ascii="仿宋_GB2312" w:hAnsi="楷体" w:eastAsia="仿宋_GB2312"/>
          <w:color w:val="auto"/>
          <w:sz w:val="24"/>
          <w:highlight w:val="none"/>
          <w:lang w:val="zh-CN"/>
        </w:rPr>
        <w:t>电子邮箱：                               电子邮箱：</w:t>
      </w:r>
    </w:p>
    <w:p w14:paraId="119AC381">
      <w:pPr>
        <w:spacing w:line="360" w:lineRule="auto"/>
        <w:ind w:firstLine="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 xml:space="preserve">开户银行：                               开户银行： </w:t>
      </w:r>
    </w:p>
    <w:p w14:paraId="5389CC96">
      <w:pPr>
        <w:spacing w:line="360" w:lineRule="auto"/>
        <w:ind w:firstLine="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 xml:space="preserve">开户名称：                               开户名称： </w:t>
      </w:r>
    </w:p>
    <w:p w14:paraId="0E1C7564">
      <w:pPr>
        <w:spacing w:line="360" w:lineRule="auto"/>
        <w:ind w:firstLine="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开户账号：</w:t>
      </w:r>
      <w:r>
        <w:rPr>
          <w:rFonts w:hint="eastAsia" w:ascii="仿宋_GB2312" w:hAnsi="楷体" w:eastAsia="仿宋_GB2312"/>
          <w:color w:val="auto"/>
          <w:sz w:val="24"/>
          <w:highlight w:val="none"/>
          <w:lang w:val="zh-CN"/>
        </w:rPr>
        <w:t xml:space="preserve">                               </w:t>
      </w:r>
      <w:r>
        <w:rPr>
          <w:rFonts w:hint="eastAsia" w:ascii="仿宋_GB2312" w:hAnsi="楷体" w:eastAsia="仿宋_GB2312"/>
          <w:color w:val="auto"/>
          <w:sz w:val="24"/>
          <w:highlight w:val="none"/>
        </w:rPr>
        <w:t>开户账号：</w:t>
      </w:r>
    </w:p>
    <w:p w14:paraId="66B459B3">
      <w:pPr>
        <w:pStyle w:val="73"/>
        <w:jc w:val="center"/>
        <w:outlineLvl w:val="1"/>
        <w:rPr>
          <w:rFonts w:hint="eastAsia" w:ascii="仿宋_GB2312" w:hAnsi="楷体" w:eastAsia="仿宋_GB2312"/>
          <w:b/>
          <w:color w:val="auto"/>
          <w:sz w:val="28"/>
          <w:szCs w:val="28"/>
          <w:highlight w:val="none"/>
        </w:rPr>
      </w:pPr>
      <w:r>
        <w:rPr>
          <w:rFonts w:hint="eastAsia" w:ascii="仿宋_GB2312" w:hAnsi="楷体" w:eastAsia="仿宋_GB2312"/>
          <w:b/>
          <w:color w:val="auto"/>
          <w:highlight w:val="none"/>
        </w:rPr>
        <w:br w:type="page"/>
      </w:r>
      <w:bookmarkStart w:id="129" w:name="_Toc4455"/>
      <w:bookmarkStart w:id="130" w:name="_Toc331685783"/>
      <w:bookmarkStart w:id="131" w:name="_Toc80205945"/>
      <w:r>
        <w:rPr>
          <w:rFonts w:hint="eastAsia" w:ascii="仿宋_GB2312" w:hAnsi="楷体" w:eastAsia="仿宋_GB2312"/>
          <w:b/>
          <w:color w:val="auto"/>
          <w:sz w:val="28"/>
          <w:szCs w:val="28"/>
          <w:highlight w:val="none"/>
        </w:rPr>
        <w:t>第二部分 合同一般条款</w:t>
      </w:r>
      <w:bookmarkEnd w:id="129"/>
      <w:bookmarkEnd w:id="130"/>
      <w:bookmarkEnd w:id="131"/>
    </w:p>
    <w:p w14:paraId="0A43B1A4">
      <w:pPr>
        <w:spacing w:line="360" w:lineRule="auto"/>
        <w:ind w:firstLine="482" w:firstLineChars="200"/>
        <w:rPr>
          <w:rFonts w:hint="eastAsia" w:ascii="仿宋_GB2312" w:hAnsi="楷体" w:eastAsia="仿宋_GB2312"/>
          <w:b/>
          <w:color w:val="auto"/>
          <w:sz w:val="24"/>
          <w:highlight w:val="none"/>
        </w:rPr>
      </w:pPr>
      <w:bookmarkStart w:id="132" w:name="_Ref467378463"/>
      <w:bookmarkStart w:id="133" w:name="_Toc16917"/>
      <w:bookmarkStart w:id="134" w:name="_Ref467379109"/>
      <w:bookmarkStart w:id="135" w:name="_Toc28763"/>
      <w:bookmarkStart w:id="136" w:name="_Toc259093669"/>
      <w:bookmarkStart w:id="137" w:name="_Ref467379214"/>
      <w:bookmarkStart w:id="138" w:name="_Toc279701240"/>
      <w:bookmarkStart w:id="139" w:name="_Ref467379225"/>
      <w:bookmarkStart w:id="140" w:name="_Ref467379205"/>
      <w:bookmarkStart w:id="141" w:name="_Toc487900349"/>
      <w:bookmarkStart w:id="142" w:name="_Ref467378499"/>
      <w:bookmarkStart w:id="143" w:name="_Ref467379094"/>
      <w:bookmarkStart w:id="144" w:name="_Ref467378404"/>
      <w:bookmarkStart w:id="145" w:name="_Toc19614"/>
      <w:bookmarkStart w:id="146" w:name="_Ref467379101"/>
      <w:bookmarkStart w:id="147" w:name="_Ref467379195"/>
      <w:r>
        <w:rPr>
          <w:rFonts w:hint="eastAsia" w:ascii="仿宋_GB2312" w:hAnsi="楷体" w:eastAsia="仿宋_GB2312"/>
          <w:b/>
          <w:color w:val="auto"/>
          <w:sz w:val="24"/>
          <w:highlight w:val="none"/>
        </w:rPr>
        <w:t>2.1 定义</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14:paraId="3232EB47">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本合同中的下列词语应按以下内容进行解释：</w:t>
      </w:r>
    </w:p>
    <w:p w14:paraId="201821B8">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2.1.1 “合同”系指采购人和中标人签订的载明双方当事人所达成的协议，并包括所有的附件、附录和构成合同的其他文件。</w:t>
      </w:r>
    </w:p>
    <w:p w14:paraId="34D6D84B">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2.1.2 “合同价”系指根据合同约定，中标人在完全履行合同义务后，采购人应支付给中标人的价格。</w:t>
      </w:r>
    </w:p>
    <w:p w14:paraId="5DDB5160">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2.1.3 “标的物”系指中标人根据合同约定应向采购人交付的一切各种形态和种类的货物、服务和工程，包括但不限于原材料、燃料、设备、机械、仪表、备件、计算机软件、信息化系统、信息化维保、物业服务、产品等，并包括工具、手册等其他相关资料。</w:t>
      </w:r>
    </w:p>
    <w:p w14:paraId="5CA49F19">
      <w:pPr>
        <w:spacing w:line="360" w:lineRule="auto"/>
        <w:ind w:firstLine="480" w:firstLineChars="200"/>
        <w:rPr>
          <w:rFonts w:hint="eastAsia" w:ascii="仿宋_GB2312" w:hAnsi="楷体" w:eastAsia="仿宋_GB2312"/>
          <w:color w:val="auto"/>
          <w:sz w:val="24"/>
          <w:highlight w:val="none"/>
        </w:rPr>
      </w:pPr>
      <w:bookmarkStart w:id="148" w:name="_Ref467378840"/>
      <w:r>
        <w:rPr>
          <w:rFonts w:hint="eastAsia" w:ascii="仿宋_GB2312" w:hAnsi="楷体" w:eastAsia="仿宋_GB2312"/>
          <w:color w:val="auto"/>
          <w:sz w:val="24"/>
          <w:highlight w:val="none"/>
        </w:rPr>
        <w:t>2.1.4 “甲方”系指与中标人签署合同的采购人</w:t>
      </w:r>
      <w:bookmarkEnd w:id="148"/>
      <w:r>
        <w:rPr>
          <w:rFonts w:hint="eastAsia" w:ascii="仿宋_GB2312" w:hAnsi="楷体" w:eastAsia="仿宋_GB2312"/>
          <w:color w:val="auto"/>
          <w:sz w:val="24"/>
          <w:highlight w:val="none"/>
        </w:rPr>
        <w:t>；采购人委托采购机构代表其与乙方签订合同的，采购人的授权委托书作为合同附件。</w:t>
      </w:r>
    </w:p>
    <w:p w14:paraId="03D185C9">
      <w:pPr>
        <w:spacing w:line="360" w:lineRule="auto"/>
        <w:ind w:firstLine="480" w:firstLineChars="200"/>
        <w:rPr>
          <w:rFonts w:hint="eastAsia" w:ascii="仿宋_GB2312" w:hAnsi="楷体" w:eastAsia="仿宋_GB2312"/>
          <w:color w:val="auto"/>
          <w:sz w:val="24"/>
          <w:highlight w:val="none"/>
        </w:rPr>
      </w:pPr>
      <w:bookmarkStart w:id="149" w:name="_Ref467379400"/>
      <w:r>
        <w:rPr>
          <w:rFonts w:hint="eastAsia" w:ascii="仿宋_GB2312" w:hAnsi="楷体" w:eastAsia="仿宋_GB2312"/>
          <w:color w:val="auto"/>
          <w:sz w:val="24"/>
          <w:highlight w:val="none"/>
        </w:rPr>
        <w:t>2.1.5 “乙方”系指根据合同约定交付标的物的</w:t>
      </w:r>
      <w:bookmarkEnd w:id="149"/>
      <w:r>
        <w:rPr>
          <w:rFonts w:hint="eastAsia" w:ascii="仿宋_GB2312" w:hAnsi="楷体" w:eastAsia="仿宋_GB2312"/>
          <w:color w:val="auto"/>
          <w:sz w:val="24"/>
          <w:highlight w:val="none"/>
        </w:rPr>
        <w:t>中标人；两个以上的自然人、法人或者其他组织组成一个联合体，以一个供应商的身份共同参加政府采购的，联合体各方均应为乙方或者与乙方相同地位的合同当事人，并就合同约定的事项对甲方承担连带责任。</w:t>
      </w:r>
    </w:p>
    <w:p w14:paraId="28C1811F">
      <w:pPr>
        <w:spacing w:line="360" w:lineRule="auto"/>
        <w:ind w:firstLine="480" w:firstLineChars="200"/>
        <w:rPr>
          <w:rFonts w:hint="eastAsia" w:ascii="仿宋_GB2312" w:hAnsi="楷体" w:eastAsia="仿宋_GB2312"/>
          <w:color w:val="auto"/>
          <w:sz w:val="24"/>
          <w:highlight w:val="none"/>
        </w:rPr>
      </w:pPr>
      <w:bookmarkStart w:id="150" w:name="_Ref467379436"/>
      <w:r>
        <w:rPr>
          <w:rFonts w:hint="eastAsia" w:ascii="仿宋_GB2312" w:hAnsi="楷体" w:eastAsia="仿宋_GB2312"/>
          <w:color w:val="auto"/>
          <w:sz w:val="24"/>
          <w:highlight w:val="none"/>
        </w:rPr>
        <w:t>2.1.6 “现场”系指合同约定标的物将要运至或者实施或者安装的地点。</w:t>
      </w:r>
      <w:bookmarkEnd w:id="150"/>
    </w:p>
    <w:p w14:paraId="4DC8A2BA">
      <w:pPr>
        <w:spacing w:line="360" w:lineRule="auto"/>
        <w:ind w:firstLine="482" w:firstLineChars="200"/>
        <w:rPr>
          <w:rFonts w:hint="eastAsia" w:ascii="仿宋_GB2312" w:hAnsi="楷体" w:eastAsia="仿宋_GB2312"/>
          <w:b/>
          <w:color w:val="auto"/>
          <w:sz w:val="24"/>
          <w:highlight w:val="none"/>
        </w:rPr>
      </w:pPr>
      <w:bookmarkStart w:id="151" w:name="_Toc13336"/>
      <w:bookmarkStart w:id="152" w:name="_Toc32504"/>
      <w:bookmarkStart w:id="153" w:name="_Toc279701241"/>
      <w:bookmarkStart w:id="154" w:name="_Toc487900350"/>
      <w:bookmarkStart w:id="155" w:name="_Toc27635"/>
      <w:bookmarkStart w:id="156" w:name="_Toc259093670"/>
      <w:r>
        <w:rPr>
          <w:rFonts w:hint="eastAsia" w:ascii="仿宋_GB2312" w:hAnsi="楷体" w:eastAsia="仿宋_GB2312"/>
          <w:b/>
          <w:color w:val="auto"/>
          <w:sz w:val="24"/>
          <w:highlight w:val="none"/>
        </w:rPr>
        <w:t>2.2 技术规范</w:t>
      </w:r>
      <w:bookmarkEnd w:id="151"/>
      <w:bookmarkEnd w:id="152"/>
      <w:bookmarkEnd w:id="153"/>
      <w:bookmarkEnd w:id="154"/>
      <w:bookmarkEnd w:id="155"/>
      <w:bookmarkEnd w:id="156"/>
    </w:p>
    <w:p w14:paraId="21D3CA57">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标的物所应遵守的技术规范应与采购文件规定的技术规范和技术规范附件(如果有的话)及其技术规范偏差表(如果被甲方接受的话)相一致；如果采购文件中没有技术规范的相应说明，应以国家有关部门最新颁布的相应标准和规范为准。</w:t>
      </w:r>
    </w:p>
    <w:p w14:paraId="72561F4F">
      <w:pPr>
        <w:spacing w:line="360" w:lineRule="auto"/>
        <w:ind w:firstLine="482" w:firstLineChars="200"/>
        <w:rPr>
          <w:rFonts w:hint="eastAsia" w:ascii="仿宋_GB2312" w:hAnsi="楷体" w:eastAsia="仿宋_GB2312"/>
          <w:b/>
          <w:color w:val="auto"/>
          <w:sz w:val="24"/>
          <w:highlight w:val="none"/>
        </w:rPr>
      </w:pPr>
      <w:bookmarkStart w:id="157" w:name="_Toc31634"/>
      <w:bookmarkStart w:id="158" w:name="_Toc259093671"/>
      <w:bookmarkStart w:id="159" w:name="_Toc9829"/>
      <w:bookmarkStart w:id="160" w:name="_Toc279701242"/>
      <w:bookmarkStart w:id="161" w:name="_Toc27853"/>
      <w:bookmarkStart w:id="162" w:name="_Toc487900351"/>
      <w:r>
        <w:rPr>
          <w:rFonts w:hint="eastAsia" w:ascii="仿宋_GB2312" w:hAnsi="楷体" w:eastAsia="仿宋_GB2312"/>
          <w:b/>
          <w:color w:val="auto"/>
          <w:sz w:val="24"/>
          <w:highlight w:val="none"/>
        </w:rPr>
        <w:t>2.3 知识产权</w:t>
      </w:r>
      <w:bookmarkEnd w:id="157"/>
      <w:bookmarkEnd w:id="158"/>
      <w:bookmarkEnd w:id="159"/>
      <w:bookmarkEnd w:id="160"/>
      <w:bookmarkEnd w:id="161"/>
      <w:bookmarkEnd w:id="162"/>
    </w:p>
    <w:p w14:paraId="211CF738">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2.3.1 乙方应保证甲方在使用该标的物或其任何一部分时不受任何第三方提出的侵犯其著作权、商标权、专利权等知识产权方面的起诉；如果任何第三方提出侵权指控，乙方须与该第三方交涉并承担由此发生的一切责任、费用和赔偿；</w:t>
      </w:r>
    </w:p>
    <w:p w14:paraId="481FB52C">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2.3.2具有知识产权的计算机软件等标的物的知识产权归属，详见</w:t>
      </w:r>
      <w:r>
        <w:rPr>
          <w:rFonts w:hint="eastAsia" w:ascii="仿宋_GB2312" w:hAnsi="楷体" w:eastAsia="仿宋_GB2312"/>
          <w:b/>
          <w:i/>
          <w:color w:val="auto"/>
          <w:sz w:val="24"/>
          <w:highlight w:val="none"/>
          <w:u w:val="single"/>
        </w:rPr>
        <w:t>合同专用条款</w:t>
      </w:r>
      <w:r>
        <w:rPr>
          <w:rFonts w:hint="eastAsia" w:ascii="仿宋_GB2312" w:hAnsi="楷体" w:eastAsia="仿宋_GB2312"/>
          <w:color w:val="auto"/>
          <w:sz w:val="24"/>
          <w:highlight w:val="none"/>
        </w:rPr>
        <w:t>。</w:t>
      </w:r>
    </w:p>
    <w:p w14:paraId="1501A51E">
      <w:pPr>
        <w:spacing w:line="360" w:lineRule="auto"/>
        <w:ind w:firstLine="482" w:firstLineChars="200"/>
        <w:rPr>
          <w:rFonts w:hint="eastAsia" w:ascii="仿宋_GB2312" w:hAnsi="楷体" w:eastAsia="仿宋_GB2312"/>
          <w:b/>
          <w:color w:val="auto"/>
          <w:sz w:val="24"/>
          <w:highlight w:val="none"/>
        </w:rPr>
      </w:pPr>
      <w:bookmarkStart w:id="163" w:name="_Toc29149"/>
      <w:bookmarkStart w:id="164" w:name="_Toc11932"/>
      <w:bookmarkStart w:id="165" w:name="_Toc4194"/>
      <w:r>
        <w:rPr>
          <w:rFonts w:hint="eastAsia" w:ascii="仿宋_GB2312" w:hAnsi="楷体" w:eastAsia="仿宋_GB2312"/>
          <w:b/>
          <w:color w:val="auto"/>
          <w:sz w:val="24"/>
          <w:highlight w:val="none"/>
        </w:rPr>
        <w:t>2.4 包装和装运</w:t>
      </w:r>
      <w:bookmarkEnd w:id="163"/>
      <w:bookmarkEnd w:id="164"/>
      <w:bookmarkEnd w:id="165"/>
    </w:p>
    <w:p w14:paraId="3C0346AB">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2.4.1除</w:t>
      </w:r>
      <w:r>
        <w:rPr>
          <w:rFonts w:hint="eastAsia" w:ascii="仿宋_GB2312" w:hAnsi="楷体" w:eastAsia="仿宋_GB2312"/>
          <w:b/>
          <w:i/>
          <w:color w:val="auto"/>
          <w:sz w:val="24"/>
          <w:highlight w:val="none"/>
          <w:u w:val="single"/>
        </w:rPr>
        <w:t>合同专用条款</w:t>
      </w:r>
      <w:r>
        <w:rPr>
          <w:rFonts w:hint="eastAsia" w:ascii="仿宋_GB2312" w:hAnsi="楷体" w:eastAsia="仿宋_GB2312"/>
          <w:color w:val="auto"/>
          <w:sz w:val="24"/>
          <w:highlight w:val="none"/>
        </w:rPr>
        <w:t>另有约定外,乙方交付的全部标的物,均应采用本行业通用的方式进行包装，没有通用方式的，应当采取足以保护标的物的包装方式，且该包装应符合国家有关包装的法律、法规的规定。如有必要，包装应适用于远距离运输、防潮、防震、防锈和防粗暴装卸，确保标的物安全无损地运抵现场。由于包装不善所引起的标的物锈蚀、损坏和损失等一切风险均由乙方承担。</w:t>
      </w:r>
    </w:p>
    <w:p w14:paraId="5C32E5DA">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2.4.2 装运标的物的要求和通知，详见</w:t>
      </w:r>
      <w:r>
        <w:rPr>
          <w:rFonts w:hint="eastAsia" w:ascii="仿宋_GB2312" w:hAnsi="楷体" w:eastAsia="仿宋_GB2312"/>
          <w:b/>
          <w:i/>
          <w:color w:val="auto"/>
          <w:sz w:val="24"/>
          <w:highlight w:val="none"/>
          <w:u w:val="single"/>
        </w:rPr>
        <w:t>合同专用条款</w:t>
      </w:r>
      <w:r>
        <w:rPr>
          <w:rFonts w:hint="eastAsia" w:ascii="仿宋_GB2312" w:hAnsi="楷体" w:eastAsia="仿宋_GB2312"/>
          <w:color w:val="auto"/>
          <w:sz w:val="24"/>
          <w:highlight w:val="none"/>
        </w:rPr>
        <w:t>。</w:t>
      </w:r>
    </w:p>
    <w:p w14:paraId="46A1775C">
      <w:pPr>
        <w:spacing w:line="360" w:lineRule="auto"/>
        <w:ind w:firstLine="482" w:firstLineChars="200"/>
        <w:rPr>
          <w:rFonts w:hint="eastAsia" w:ascii="仿宋_GB2312" w:hAnsi="楷体" w:eastAsia="仿宋_GB2312"/>
          <w:b/>
          <w:color w:val="auto"/>
          <w:sz w:val="24"/>
          <w:highlight w:val="none"/>
        </w:rPr>
      </w:pPr>
      <w:bookmarkStart w:id="166" w:name="_Ref467378591"/>
      <w:bookmarkStart w:id="167" w:name="_Ref467379542"/>
      <w:bookmarkStart w:id="168" w:name="_Ref467379536"/>
      <w:bookmarkStart w:id="169" w:name="_Toc279701245"/>
      <w:bookmarkStart w:id="170" w:name="_Ref467379527"/>
      <w:bookmarkStart w:id="171" w:name="_Toc259093674"/>
      <w:bookmarkStart w:id="172" w:name="_Toc487900354"/>
      <w:bookmarkStart w:id="173" w:name="_Ref467378541"/>
      <w:bookmarkStart w:id="174" w:name="_Toc19074"/>
      <w:bookmarkStart w:id="175" w:name="_Toc30272"/>
      <w:bookmarkStart w:id="176" w:name="_Toc26182"/>
      <w:r>
        <w:rPr>
          <w:rFonts w:hint="eastAsia" w:ascii="仿宋_GB2312" w:hAnsi="楷体" w:eastAsia="仿宋_GB2312"/>
          <w:b/>
          <w:color w:val="auto"/>
          <w:sz w:val="24"/>
          <w:highlight w:val="none"/>
        </w:rPr>
        <w:t>2.</w:t>
      </w:r>
      <w:bookmarkEnd w:id="166"/>
      <w:bookmarkEnd w:id="167"/>
      <w:bookmarkEnd w:id="168"/>
      <w:bookmarkEnd w:id="169"/>
      <w:bookmarkEnd w:id="170"/>
      <w:bookmarkEnd w:id="171"/>
      <w:bookmarkEnd w:id="172"/>
      <w:bookmarkEnd w:id="173"/>
      <w:r>
        <w:rPr>
          <w:rFonts w:hint="eastAsia" w:ascii="仿宋_GB2312" w:hAnsi="楷体" w:eastAsia="仿宋_GB2312"/>
          <w:b/>
          <w:color w:val="auto"/>
          <w:sz w:val="24"/>
          <w:highlight w:val="none"/>
        </w:rPr>
        <w:t>5 履约检查和问题反馈</w:t>
      </w:r>
      <w:bookmarkEnd w:id="174"/>
      <w:bookmarkEnd w:id="175"/>
      <w:bookmarkEnd w:id="176"/>
    </w:p>
    <w:p w14:paraId="42E8A88D">
      <w:pPr>
        <w:spacing w:line="360" w:lineRule="auto"/>
        <w:ind w:firstLine="480" w:firstLineChars="200"/>
        <w:rPr>
          <w:rFonts w:hint="eastAsia" w:ascii="仿宋_GB2312" w:hAnsi="楷体" w:eastAsia="仿宋_GB2312"/>
          <w:color w:val="auto"/>
          <w:sz w:val="24"/>
          <w:highlight w:val="none"/>
        </w:rPr>
      </w:pPr>
      <w:bookmarkStart w:id="177" w:name="_Ref467379657"/>
      <w:r>
        <w:rPr>
          <w:rFonts w:hint="eastAsia" w:ascii="仿宋_GB2312" w:hAnsi="楷体" w:eastAsia="仿宋_GB2312"/>
          <w:color w:val="auto"/>
          <w:sz w:val="24"/>
          <w:highlight w:val="none"/>
        </w:rPr>
        <w:t>2.5.1</w:t>
      </w:r>
      <w:bookmarkEnd w:id="177"/>
      <w:bookmarkStart w:id="178" w:name="_Toc186431854"/>
      <w:bookmarkStart w:id="179" w:name="_Toc279701247"/>
      <w:bookmarkStart w:id="180" w:name="_Toc259093676"/>
      <w:bookmarkStart w:id="181" w:name="_Toc487900357"/>
      <w:bookmarkStart w:id="182" w:name="_Ref467379793"/>
      <w:bookmarkStart w:id="183" w:name="_Ref467379807"/>
      <w:r>
        <w:rPr>
          <w:rFonts w:hint="eastAsia" w:ascii="仿宋_GB2312" w:hAnsi="楷体" w:eastAsia="仿宋_GB2312"/>
          <w:color w:val="auto"/>
          <w:sz w:val="24"/>
          <w:highlight w:val="none"/>
        </w:rPr>
        <w:t>甲方有权在其认为必要时，对乙方是否能够按照合同约定交付标的物进行履约检查，以确保乙方所交付的标的物能够依约满足甲方之项目需求，但不得因履约检查妨碍乙方的正常工作，乙方应予积极配合；</w:t>
      </w:r>
    </w:p>
    <w:p w14:paraId="25DA3A07">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2.5.2 合同履行期间，甲方有权将履行过程中出现的问题反馈给乙方，双方当事人应以书面形式约定需要完善和改进的内容</w:t>
      </w:r>
      <w:bookmarkEnd w:id="178"/>
      <w:bookmarkStart w:id="184" w:name="_Toc186431855"/>
      <w:r>
        <w:rPr>
          <w:rFonts w:hint="eastAsia" w:ascii="仿宋_GB2312" w:hAnsi="楷体" w:eastAsia="仿宋_GB2312"/>
          <w:color w:val="auto"/>
          <w:sz w:val="24"/>
          <w:highlight w:val="none"/>
        </w:rPr>
        <w:t>。</w:t>
      </w:r>
    </w:p>
    <w:bookmarkEnd w:id="184"/>
    <w:p w14:paraId="2B2EF369">
      <w:pPr>
        <w:spacing w:line="360" w:lineRule="auto"/>
        <w:ind w:firstLine="482" w:firstLineChars="200"/>
        <w:rPr>
          <w:rFonts w:hint="eastAsia" w:ascii="仿宋_GB2312" w:hAnsi="楷体" w:eastAsia="仿宋_GB2312"/>
          <w:b/>
          <w:color w:val="auto"/>
          <w:sz w:val="24"/>
          <w:highlight w:val="none"/>
        </w:rPr>
      </w:pPr>
      <w:bookmarkStart w:id="185" w:name="_Toc7836"/>
      <w:bookmarkStart w:id="186" w:name="_Toc28451"/>
      <w:bookmarkStart w:id="187" w:name="_Toc19219"/>
      <w:r>
        <w:rPr>
          <w:rFonts w:hint="eastAsia" w:ascii="仿宋_GB2312" w:hAnsi="楷体" w:eastAsia="仿宋_GB2312"/>
          <w:b/>
          <w:color w:val="auto"/>
          <w:sz w:val="24"/>
          <w:highlight w:val="none"/>
        </w:rPr>
        <w:t>2.6 结算方式和付款条件</w:t>
      </w:r>
      <w:bookmarkEnd w:id="179"/>
      <w:bookmarkEnd w:id="180"/>
      <w:bookmarkEnd w:id="181"/>
      <w:bookmarkEnd w:id="182"/>
      <w:bookmarkEnd w:id="183"/>
      <w:bookmarkEnd w:id="185"/>
      <w:bookmarkEnd w:id="186"/>
      <w:bookmarkEnd w:id="187"/>
    </w:p>
    <w:p w14:paraId="40D498CB">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详见</w:t>
      </w:r>
      <w:r>
        <w:rPr>
          <w:rFonts w:hint="eastAsia" w:ascii="仿宋_GB2312" w:hAnsi="楷体" w:eastAsia="仿宋_GB2312"/>
          <w:b/>
          <w:i/>
          <w:color w:val="auto"/>
          <w:sz w:val="24"/>
          <w:highlight w:val="none"/>
          <w:u w:val="single"/>
        </w:rPr>
        <w:t>合同专用条款</w:t>
      </w:r>
      <w:r>
        <w:rPr>
          <w:rFonts w:hint="eastAsia" w:ascii="仿宋_GB2312" w:hAnsi="楷体" w:eastAsia="仿宋_GB2312"/>
          <w:color w:val="auto"/>
          <w:sz w:val="24"/>
          <w:highlight w:val="none"/>
        </w:rPr>
        <w:t>。</w:t>
      </w:r>
    </w:p>
    <w:p w14:paraId="346F8172">
      <w:pPr>
        <w:spacing w:line="360" w:lineRule="auto"/>
        <w:ind w:firstLine="482" w:firstLineChars="200"/>
        <w:rPr>
          <w:rFonts w:hint="eastAsia" w:ascii="仿宋_GB2312" w:hAnsi="楷体" w:eastAsia="仿宋_GB2312"/>
          <w:b/>
          <w:color w:val="auto"/>
          <w:sz w:val="24"/>
          <w:highlight w:val="none"/>
        </w:rPr>
      </w:pPr>
      <w:bookmarkStart w:id="188" w:name="_Toc259093677"/>
      <w:bookmarkStart w:id="189" w:name="_Ref467379923"/>
      <w:bookmarkStart w:id="190" w:name="_Toc487900358"/>
      <w:bookmarkStart w:id="191" w:name="_Ref467379852"/>
      <w:bookmarkStart w:id="192" w:name="_Ref467379863"/>
      <w:bookmarkStart w:id="193" w:name="_Toc279701248"/>
      <w:bookmarkStart w:id="194" w:name="_Toc3225"/>
      <w:bookmarkStart w:id="195" w:name="_Toc16110"/>
      <w:bookmarkStart w:id="196" w:name="_Toc774"/>
      <w:r>
        <w:rPr>
          <w:rFonts w:hint="eastAsia" w:ascii="仿宋_GB2312" w:hAnsi="楷体" w:eastAsia="仿宋_GB2312"/>
          <w:b/>
          <w:color w:val="auto"/>
          <w:sz w:val="24"/>
          <w:highlight w:val="none"/>
        </w:rPr>
        <w:t>2.7 技术资料</w:t>
      </w:r>
      <w:bookmarkEnd w:id="188"/>
      <w:bookmarkEnd w:id="189"/>
      <w:bookmarkEnd w:id="190"/>
      <w:bookmarkEnd w:id="191"/>
      <w:bookmarkEnd w:id="192"/>
      <w:bookmarkEnd w:id="193"/>
      <w:r>
        <w:rPr>
          <w:rFonts w:hint="eastAsia" w:ascii="仿宋_GB2312" w:hAnsi="楷体" w:eastAsia="仿宋_GB2312"/>
          <w:b/>
          <w:color w:val="auto"/>
          <w:sz w:val="24"/>
          <w:highlight w:val="none"/>
        </w:rPr>
        <w:t>和保密义务</w:t>
      </w:r>
      <w:bookmarkEnd w:id="194"/>
      <w:bookmarkEnd w:id="195"/>
      <w:bookmarkEnd w:id="196"/>
    </w:p>
    <w:p w14:paraId="789ED6A9">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2.7.1 乙方有权依据合同约定和项目需要，向甲方了解有关情况，调阅有关资料等，甲方应予积极配合；</w:t>
      </w:r>
    </w:p>
    <w:p w14:paraId="209130B9">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2.7.2 乙方有义务妥善保管和保护由甲方提供的前款信息和资料等；</w:t>
      </w:r>
    </w:p>
    <w:p w14:paraId="7A9EC23B">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及方式防止任何第三方接触到对方当事人的上述保密信息和资料。</w:t>
      </w:r>
    </w:p>
    <w:p w14:paraId="6E28A75F">
      <w:pPr>
        <w:spacing w:line="360" w:lineRule="auto"/>
        <w:ind w:firstLine="482" w:firstLineChars="200"/>
        <w:rPr>
          <w:rFonts w:hint="eastAsia" w:ascii="仿宋_GB2312" w:hAnsi="楷体" w:eastAsia="仿宋_GB2312"/>
          <w:b/>
          <w:color w:val="auto"/>
          <w:sz w:val="24"/>
          <w:highlight w:val="none"/>
        </w:rPr>
      </w:pPr>
      <w:bookmarkStart w:id="197" w:name="_Toc7860"/>
      <w:r>
        <w:rPr>
          <w:rFonts w:hint="eastAsia" w:ascii="仿宋_GB2312" w:hAnsi="楷体" w:eastAsia="仿宋_GB2312"/>
          <w:b/>
          <w:color w:val="auto"/>
          <w:sz w:val="24"/>
          <w:highlight w:val="none"/>
        </w:rPr>
        <w:t>2.8 质量保证</w:t>
      </w:r>
      <w:bookmarkEnd w:id="197"/>
    </w:p>
    <w:p w14:paraId="56288B3E">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2.8.1 乙方应建立和完善履行合同的内部质量保证体系，并提供相关内部规章制度给甲方，以便甲方进行监督检查；</w:t>
      </w:r>
    </w:p>
    <w:p w14:paraId="10F7EACE">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2.8.2 乙方应保证履行合同的人员数量和素质、软件和硬件设备的配置、场地、环境和设施等满足全面履行合同的要求，并应接受甲方的监督检查。</w:t>
      </w:r>
    </w:p>
    <w:p w14:paraId="53FCA62D">
      <w:pPr>
        <w:spacing w:line="360" w:lineRule="auto"/>
        <w:ind w:firstLine="480" w:firstLineChars="200"/>
        <w:rPr>
          <w:rFonts w:hint="eastAsia" w:ascii="仿宋_GB2312" w:hAnsi="仿宋" w:eastAsia="仿宋_GB2312" w:cs="仿宋_GB2312"/>
          <w:color w:val="auto"/>
          <w:kern w:val="0"/>
          <w:sz w:val="24"/>
          <w:highlight w:val="none"/>
        </w:rPr>
      </w:pPr>
      <w:r>
        <w:rPr>
          <w:rFonts w:hint="eastAsia" w:ascii="仿宋_GB2312" w:hAnsi="仿宋" w:eastAsia="仿宋_GB2312"/>
          <w:color w:val="auto"/>
          <w:sz w:val="24"/>
          <w:highlight w:val="none"/>
        </w:rPr>
        <w:t>2.8.3乙方应确保项目技术人员的数量和水平与投标文件一致。未经甲方书面同意，乙方不得擅自更换投标文件中注明的项目经理和技术负责人。否则</w:t>
      </w:r>
      <w:r>
        <w:rPr>
          <w:rFonts w:hint="eastAsia" w:ascii="仿宋_GB2312" w:hAnsi="仿宋" w:eastAsia="仿宋_GB2312" w:cs="仿宋_GB2312"/>
          <w:color w:val="auto"/>
          <w:kern w:val="0"/>
          <w:sz w:val="24"/>
          <w:highlight w:val="none"/>
        </w:rPr>
        <w:t>甲方有权放弃或终止合同。</w:t>
      </w:r>
    </w:p>
    <w:p w14:paraId="37982341">
      <w:pPr>
        <w:spacing w:line="360" w:lineRule="auto"/>
        <w:ind w:firstLine="480" w:firstLineChars="200"/>
        <w:rPr>
          <w:rFonts w:hint="eastAsia" w:ascii="仿宋_GB2312" w:hAnsi="楷体" w:eastAsia="仿宋_GB2312"/>
          <w:color w:val="auto"/>
          <w:sz w:val="24"/>
          <w:highlight w:val="none"/>
        </w:rPr>
      </w:pPr>
      <w:r>
        <w:rPr>
          <w:rFonts w:hint="eastAsia" w:ascii="仿宋_GB2312" w:hAnsi="仿宋" w:eastAsia="仿宋_GB2312"/>
          <w:color w:val="auto"/>
          <w:sz w:val="24"/>
          <w:highlight w:val="none"/>
        </w:rPr>
        <w:t>2.8.4因乙方原因造成甲方其他系统不能正常运行，酿成重大事故（工作日系统中断一天以上）的，乙方应承担全部法律责任，并赔偿经济损失，赔偿金额为项目总价的</w:t>
      </w:r>
      <w:r>
        <w:rPr>
          <w:rFonts w:hint="eastAsia" w:ascii="仿宋_GB2312" w:hAnsi="仿宋" w:eastAsia="仿宋_GB2312"/>
          <w:color w:val="auto"/>
          <w:sz w:val="24"/>
          <w:highlight w:val="none"/>
          <w:u w:val="single"/>
        </w:rPr>
        <w:t>30%</w:t>
      </w:r>
      <w:r>
        <w:rPr>
          <w:rFonts w:hint="eastAsia" w:ascii="仿宋_GB2312" w:hAnsi="仿宋" w:eastAsia="仿宋_GB2312"/>
          <w:color w:val="auto"/>
          <w:sz w:val="24"/>
          <w:highlight w:val="none"/>
        </w:rPr>
        <w:t>（根据项目实际情况填写，一般为30%）。</w:t>
      </w:r>
    </w:p>
    <w:p w14:paraId="75E0DC33">
      <w:pPr>
        <w:spacing w:line="360" w:lineRule="auto"/>
        <w:ind w:firstLine="482" w:firstLineChars="200"/>
        <w:rPr>
          <w:rFonts w:hint="eastAsia" w:ascii="仿宋_GB2312" w:hAnsi="楷体" w:eastAsia="仿宋_GB2312"/>
          <w:b/>
          <w:color w:val="auto"/>
          <w:sz w:val="24"/>
          <w:highlight w:val="none"/>
        </w:rPr>
      </w:pPr>
      <w:bookmarkStart w:id="198" w:name="_Toc17244"/>
      <w:bookmarkStart w:id="199" w:name="_Toc259093681"/>
      <w:bookmarkStart w:id="200" w:name="_Toc487900362"/>
      <w:bookmarkStart w:id="201" w:name="_Toc279701252"/>
      <w:r>
        <w:rPr>
          <w:rFonts w:hint="eastAsia" w:ascii="仿宋_GB2312" w:hAnsi="楷体" w:eastAsia="仿宋_GB2312"/>
          <w:b/>
          <w:color w:val="auto"/>
          <w:sz w:val="24"/>
          <w:highlight w:val="none"/>
        </w:rPr>
        <w:t>2.9 标的物的风险负担</w:t>
      </w:r>
      <w:bookmarkEnd w:id="198"/>
    </w:p>
    <w:p w14:paraId="354E90A8">
      <w:pPr>
        <w:spacing w:line="360" w:lineRule="auto"/>
        <w:ind w:firstLine="480" w:firstLineChars="200"/>
        <w:rPr>
          <w:rFonts w:hint="eastAsia" w:ascii="仿宋_GB2312" w:hAnsi="楷体" w:eastAsia="仿宋_GB2312"/>
          <w:b/>
          <w:color w:val="auto"/>
          <w:sz w:val="24"/>
          <w:highlight w:val="none"/>
        </w:rPr>
      </w:pPr>
      <w:r>
        <w:rPr>
          <w:rFonts w:hint="eastAsia" w:ascii="仿宋_GB2312" w:hAnsi="楷体" w:eastAsia="仿宋_GB2312"/>
          <w:color w:val="auto"/>
          <w:sz w:val="24"/>
          <w:highlight w:val="none"/>
        </w:rPr>
        <w:t>标的物或者在途标的物或者交付给第一承运人后的标的物毁损、灭失的风险负担详见</w:t>
      </w:r>
      <w:r>
        <w:rPr>
          <w:rFonts w:hint="eastAsia" w:ascii="仿宋_GB2312" w:hAnsi="楷体" w:eastAsia="仿宋_GB2312"/>
          <w:b/>
          <w:i/>
          <w:color w:val="auto"/>
          <w:sz w:val="24"/>
          <w:highlight w:val="none"/>
          <w:u w:val="single"/>
        </w:rPr>
        <w:t>合同专用条款</w:t>
      </w:r>
      <w:r>
        <w:rPr>
          <w:rFonts w:hint="eastAsia" w:ascii="仿宋_GB2312" w:hAnsi="楷体" w:eastAsia="仿宋_GB2312"/>
          <w:color w:val="auto"/>
          <w:sz w:val="24"/>
          <w:highlight w:val="none"/>
        </w:rPr>
        <w:t>。</w:t>
      </w:r>
    </w:p>
    <w:p w14:paraId="7144F85B">
      <w:pPr>
        <w:spacing w:line="360" w:lineRule="auto"/>
        <w:ind w:firstLine="482" w:firstLineChars="200"/>
        <w:rPr>
          <w:rFonts w:hint="eastAsia" w:ascii="仿宋_GB2312" w:hAnsi="楷体" w:eastAsia="仿宋_GB2312"/>
          <w:b/>
          <w:color w:val="auto"/>
          <w:sz w:val="24"/>
          <w:highlight w:val="none"/>
        </w:rPr>
      </w:pPr>
      <w:bookmarkStart w:id="202" w:name="_Toc14055"/>
      <w:r>
        <w:rPr>
          <w:rFonts w:hint="eastAsia" w:ascii="仿宋_GB2312" w:hAnsi="楷体" w:eastAsia="仿宋_GB2312"/>
          <w:b/>
          <w:color w:val="auto"/>
          <w:sz w:val="24"/>
          <w:highlight w:val="none"/>
        </w:rPr>
        <w:t>2.10 延迟交货</w:t>
      </w:r>
      <w:bookmarkEnd w:id="199"/>
      <w:bookmarkEnd w:id="200"/>
      <w:bookmarkEnd w:id="201"/>
      <w:bookmarkEnd w:id="202"/>
      <w:r>
        <w:rPr>
          <w:rFonts w:hint="eastAsia" w:ascii="仿宋_GB2312" w:hAnsi="楷体" w:eastAsia="仿宋_GB2312"/>
          <w:b/>
          <w:color w:val="auto"/>
          <w:sz w:val="24"/>
          <w:highlight w:val="none"/>
        </w:rPr>
        <w:t>/交付</w:t>
      </w:r>
    </w:p>
    <w:p w14:paraId="6E401C9C">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14:paraId="770D99CF">
      <w:pPr>
        <w:spacing w:line="360" w:lineRule="auto"/>
        <w:ind w:firstLine="482" w:firstLineChars="200"/>
        <w:rPr>
          <w:rFonts w:hint="eastAsia" w:ascii="仿宋_GB2312" w:hAnsi="楷体" w:eastAsia="仿宋_GB2312"/>
          <w:b/>
          <w:color w:val="auto"/>
          <w:sz w:val="24"/>
          <w:highlight w:val="none"/>
        </w:rPr>
      </w:pPr>
      <w:bookmarkStart w:id="203" w:name="_Toc7502"/>
      <w:bookmarkStart w:id="204" w:name="_Toc259093683"/>
      <w:bookmarkStart w:id="205" w:name="_Toc279701254"/>
      <w:bookmarkStart w:id="206" w:name="_Toc487900364"/>
      <w:bookmarkStart w:id="207" w:name="_Ref467378121"/>
      <w:r>
        <w:rPr>
          <w:rFonts w:hint="eastAsia" w:ascii="仿宋_GB2312" w:hAnsi="楷体" w:eastAsia="仿宋_GB2312"/>
          <w:b/>
          <w:color w:val="auto"/>
          <w:sz w:val="24"/>
          <w:highlight w:val="none"/>
        </w:rPr>
        <w:t>2.11 合同变更</w:t>
      </w:r>
      <w:bookmarkEnd w:id="203"/>
    </w:p>
    <w:p w14:paraId="00C2F7AF">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2.11.1双方当事人协商一致，可以签订书面补充合同的形式变更合同，但不得违背采购文件确定的事项。如果系追加与合同标的相同的标的物的，那么需经采购监督管理部门同意，且所有补充合同的采购金额不得超过原合同价的10%；</w:t>
      </w:r>
    </w:p>
    <w:p w14:paraId="7316D4C2">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2.11.2 合同继续履行将损害国家利益和社会公共利益的，双方当事人应当以书面形式变更合同。有过错的一方应当承担赔偿责任，双方当事人都有过错的，各自承担相应的责任。</w:t>
      </w:r>
      <w:bookmarkStart w:id="208" w:name="_Toc487900369"/>
      <w:bookmarkStart w:id="209" w:name="_Toc279701259"/>
      <w:bookmarkStart w:id="210" w:name="_Toc259093688"/>
    </w:p>
    <w:p w14:paraId="2E7D74E5">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2.11.3 鉴于本次采购单购买内容(采购需求)相对固定、连续(延续)性强、经费来源稳定、价格变化幅度小，本合同履约期到期后甲方可以依据本项目的服务履约评价合格情况及实际需求，根据《财政部关于推进和完善服务项目政府有关问题的通知》(财库(2014)37号)及《政府购买服务管理办法》(财政部令第102号)等规定，在年度预算保障的前提下，通过一年一续签方式继续签订本合同,期限总长不得超过三年。</w:t>
      </w:r>
    </w:p>
    <w:p w14:paraId="30F89A85">
      <w:pPr>
        <w:spacing w:line="360" w:lineRule="auto"/>
        <w:ind w:firstLine="482" w:firstLineChars="200"/>
        <w:rPr>
          <w:rFonts w:hint="eastAsia" w:ascii="仿宋_GB2312" w:hAnsi="楷体" w:eastAsia="仿宋_GB2312"/>
          <w:b/>
          <w:color w:val="auto"/>
          <w:sz w:val="24"/>
          <w:highlight w:val="none"/>
        </w:rPr>
      </w:pPr>
      <w:bookmarkStart w:id="211" w:name="_Toc22955"/>
      <w:bookmarkStart w:id="212" w:name="_Toc10366"/>
      <w:bookmarkStart w:id="213" w:name="_Toc15237"/>
      <w:r>
        <w:rPr>
          <w:rFonts w:hint="eastAsia" w:ascii="仿宋_GB2312" w:hAnsi="楷体" w:eastAsia="仿宋_GB2312"/>
          <w:b/>
          <w:color w:val="auto"/>
          <w:sz w:val="24"/>
          <w:highlight w:val="none"/>
        </w:rPr>
        <w:t>2.12 合同转让</w:t>
      </w:r>
      <w:bookmarkEnd w:id="208"/>
      <w:bookmarkEnd w:id="209"/>
      <w:bookmarkEnd w:id="210"/>
      <w:r>
        <w:rPr>
          <w:rFonts w:hint="eastAsia" w:ascii="仿宋_GB2312" w:hAnsi="楷体" w:eastAsia="仿宋_GB2312"/>
          <w:b/>
          <w:color w:val="auto"/>
          <w:sz w:val="24"/>
          <w:highlight w:val="none"/>
        </w:rPr>
        <w:t>和分包</w:t>
      </w:r>
      <w:bookmarkEnd w:id="211"/>
      <w:bookmarkEnd w:id="212"/>
      <w:bookmarkEnd w:id="213"/>
    </w:p>
    <w:p w14:paraId="6F0FD8ED">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合同的权利义务依法不得转让，但经甲方书面同意，乙方可以依法采取分包方式履行合同，即：依法可以将合同项下的部分非主体、非关键性工作分包给他人完成，接受分包的供应商应当具备相应的资格条件，并不得再次分包，且乙方应就分包项目向甲方负责，并与分包供应商就分包项目向甲方承担连带责任。</w:t>
      </w:r>
    </w:p>
    <w:p w14:paraId="18C6CEFD">
      <w:pPr>
        <w:spacing w:line="360" w:lineRule="auto"/>
        <w:ind w:firstLine="482" w:firstLineChars="200"/>
        <w:rPr>
          <w:rFonts w:hint="eastAsia" w:ascii="仿宋_GB2312" w:hAnsi="楷体" w:eastAsia="仿宋_GB2312"/>
          <w:b/>
          <w:color w:val="auto"/>
          <w:sz w:val="24"/>
          <w:highlight w:val="none"/>
        </w:rPr>
      </w:pPr>
      <w:bookmarkStart w:id="214" w:name="_Toc16508"/>
      <w:bookmarkStart w:id="215" w:name="_Toc14066"/>
      <w:bookmarkStart w:id="216" w:name="_Toc13566"/>
      <w:r>
        <w:rPr>
          <w:rFonts w:hint="eastAsia" w:ascii="仿宋_GB2312" w:hAnsi="楷体" w:eastAsia="仿宋_GB2312"/>
          <w:b/>
          <w:color w:val="auto"/>
          <w:sz w:val="24"/>
          <w:highlight w:val="none"/>
        </w:rPr>
        <w:t>2.13 不可抗力</w:t>
      </w:r>
      <w:bookmarkEnd w:id="214"/>
      <w:bookmarkEnd w:id="215"/>
      <w:bookmarkEnd w:id="216"/>
    </w:p>
    <w:p w14:paraId="5DEA8C3A">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2.13.1如果任何一方遭遇法律规定的不可抗力，致使合同履行受阻时，履行合同的期限应予延长，延长的期限应相当于不可抗力所影响的时间；</w:t>
      </w:r>
    </w:p>
    <w:p w14:paraId="6790310C">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2.13.2受不可抗力影响的一方在不可抗力发生后，应在</w:t>
      </w:r>
      <w:r>
        <w:rPr>
          <w:rFonts w:hint="eastAsia" w:ascii="仿宋_GB2312" w:hAnsi="楷体" w:eastAsia="仿宋_GB2312"/>
          <w:b/>
          <w:i/>
          <w:color w:val="auto"/>
          <w:sz w:val="24"/>
          <w:highlight w:val="none"/>
          <w:u w:val="single"/>
        </w:rPr>
        <w:t>合同专用条款</w:t>
      </w:r>
      <w:r>
        <w:rPr>
          <w:rFonts w:hint="eastAsia" w:ascii="仿宋_GB2312" w:hAnsi="楷体" w:eastAsia="仿宋_GB2312"/>
          <w:color w:val="auto"/>
          <w:sz w:val="24"/>
          <w:highlight w:val="none"/>
        </w:rPr>
        <w:t>约定时间内以书面形式通知对方当事人，并在</w:t>
      </w:r>
      <w:r>
        <w:rPr>
          <w:rFonts w:hint="eastAsia" w:ascii="仿宋_GB2312" w:hAnsi="楷体" w:eastAsia="仿宋_GB2312"/>
          <w:b/>
          <w:i/>
          <w:color w:val="auto"/>
          <w:sz w:val="24"/>
          <w:highlight w:val="none"/>
          <w:u w:val="single"/>
        </w:rPr>
        <w:t>合同专用条款</w:t>
      </w:r>
      <w:r>
        <w:rPr>
          <w:rFonts w:hint="eastAsia" w:ascii="仿宋_GB2312" w:hAnsi="楷体" w:eastAsia="仿宋_GB2312"/>
          <w:color w:val="auto"/>
          <w:sz w:val="24"/>
          <w:highlight w:val="none"/>
        </w:rPr>
        <w:t>约定时间内，将有关部门出具的证明文件送达对方当事人。</w:t>
      </w:r>
    </w:p>
    <w:p w14:paraId="11D016F7">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2.13.3 因不可抗力致使不能实现合同目的的，当事人可以解除合同；</w:t>
      </w:r>
    </w:p>
    <w:p w14:paraId="1179264E">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2.13.4 因不可抗力致使合同有变更必要的，双方当事人应在</w:t>
      </w:r>
      <w:r>
        <w:rPr>
          <w:rFonts w:hint="eastAsia" w:ascii="仿宋_GB2312" w:hAnsi="楷体" w:eastAsia="仿宋_GB2312"/>
          <w:b/>
          <w:i/>
          <w:color w:val="auto"/>
          <w:sz w:val="24"/>
          <w:highlight w:val="none"/>
          <w:u w:val="single"/>
        </w:rPr>
        <w:t>合同专用条款</w:t>
      </w:r>
      <w:r>
        <w:rPr>
          <w:rFonts w:hint="eastAsia" w:ascii="仿宋_GB2312" w:hAnsi="楷体" w:eastAsia="仿宋_GB2312"/>
          <w:color w:val="auto"/>
          <w:sz w:val="24"/>
          <w:highlight w:val="none"/>
        </w:rPr>
        <w:t>约定时间内以书面形式变更合同；</w:t>
      </w:r>
    </w:p>
    <w:p w14:paraId="032AE22E">
      <w:pPr>
        <w:spacing w:line="360" w:lineRule="auto"/>
        <w:ind w:firstLine="482" w:firstLineChars="200"/>
        <w:rPr>
          <w:rFonts w:hint="eastAsia" w:ascii="仿宋_GB2312" w:hAnsi="楷体" w:eastAsia="仿宋_GB2312"/>
          <w:b/>
          <w:color w:val="auto"/>
          <w:sz w:val="24"/>
          <w:highlight w:val="none"/>
        </w:rPr>
      </w:pPr>
      <w:bookmarkStart w:id="217" w:name="_Toc259093684"/>
      <w:bookmarkStart w:id="218" w:name="_Toc6969"/>
      <w:bookmarkStart w:id="219" w:name="_Toc279701255"/>
      <w:bookmarkStart w:id="220" w:name="_Toc487900365"/>
      <w:bookmarkStart w:id="221" w:name="_Toc30676"/>
      <w:bookmarkStart w:id="222" w:name="_Toc689"/>
      <w:r>
        <w:rPr>
          <w:rFonts w:hint="eastAsia" w:ascii="仿宋_GB2312" w:hAnsi="楷体" w:eastAsia="仿宋_GB2312"/>
          <w:b/>
          <w:color w:val="auto"/>
          <w:sz w:val="24"/>
          <w:highlight w:val="none"/>
        </w:rPr>
        <w:t>2.14 税费</w:t>
      </w:r>
      <w:bookmarkEnd w:id="217"/>
      <w:bookmarkEnd w:id="218"/>
      <w:bookmarkEnd w:id="219"/>
      <w:bookmarkEnd w:id="220"/>
      <w:bookmarkEnd w:id="221"/>
      <w:bookmarkEnd w:id="222"/>
    </w:p>
    <w:p w14:paraId="50615F2C">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与合同有关的一切税费，均按照中华人民共和国法律的相关规定执行。</w:t>
      </w:r>
    </w:p>
    <w:p w14:paraId="5617DE73">
      <w:pPr>
        <w:spacing w:line="360" w:lineRule="auto"/>
        <w:ind w:firstLine="482" w:firstLineChars="200"/>
        <w:rPr>
          <w:rFonts w:hint="eastAsia" w:ascii="仿宋_GB2312" w:hAnsi="楷体" w:eastAsia="仿宋_GB2312"/>
          <w:b/>
          <w:color w:val="auto"/>
          <w:sz w:val="24"/>
          <w:highlight w:val="none"/>
        </w:rPr>
      </w:pPr>
      <w:bookmarkStart w:id="223" w:name="_Toc279701258"/>
      <w:bookmarkStart w:id="224" w:name="_Toc259093687"/>
      <w:bookmarkStart w:id="225" w:name="_Toc487900368"/>
      <w:bookmarkStart w:id="226" w:name="_Toc7102"/>
      <w:bookmarkStart w:id="227" w:name="_Toc8298"/>
      <w:bookmarkStart w:id="228" w:name="_Toc16959"/>
      <w:r>
        <w:rPr>
          <w:rFonts w:hint="eastAsia" w:ascii="仿宋_GB2312" w:hAnsi="楷体" w:eastAsia="仿宋_GB2312"/>
          <w:b/>
          <w:color w:val="auto"/>
          <w:sz w:val="24"/>
          <w:highlight w:val="none"/>
        </w:rPr>
        <w:t>2.15 乙方破产</w:t>
      </w:r>
      <w:bookmarkEnd w:id="223"/>
      <w:bookmarkEnd w:id="224"/>
      <w:bookmarkEnd w:id="225"/>
      <w:bookmarkEnd w:id="226"/>
      <w:bookmarkEnd w:id="227"/>
      <w:bookmarkEnd w:id="228"/>
    </w:p>
    <w:p w14:paraId="6F287929">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7FAE11CF">
      <w:pPr>
        <w:spacing w:line="360" w:lineRule="auto"/>
        <w:ind w:firstLine="482" w:firstLineChars="200"/>
        <w:rPr>
          <w:rFonts w:hint="eastAsia" w:ascii="仿宋_GB2312" w:hAnsi="楷体" w:eastAsia="仿宋_GB2312"/>
          <w:b/>
          <w:color w:val="auto"/>
          <w:sz w:val="24"/>
          <w:highlight w:val="none"/>
        </w:rPr>
      </w:pPr>
      <w:bookmarkStart w:id="229" w:name="_Toc29333"/>
      <w:bookmarkStart w:id="230" w:name="_Toc6134"/>
      <w:bookmarkStart w:id="231" w:name="_Toc15387"/>
      <w:r>
        <w:rPr>
          <w:rFonts w:hint="eastAsia" w:ascii="仿宋_GB2312" w:hAnsi="楷体" w:eastAsia="仿宋_GB2312"/>
          <w:b/>
          <w:color w:val="auto"/>
          <w:sz w:val="24"/>
          <w:highlight w:val="none"/>
        </w:rPr>
        <w:t>2.16 合同中止、终止</w:t>
      </w:r>
      <w:bookmarkEnd w:id="229"/>
      <w:bookmarkEnd w:id="230"/>
      <w:bookmarkEnd w:id="231"/>
    </w:p>
    <w:p w14:paraId="3C6F1325">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2.16.1 双方当事人不得擅自中止或者终止合同；</w:t>
      </w:r>
    </w:p>
    <w:p w14:paraId="390256AA">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2.16.2合同继续履行将损害国家利益和社会公共利益的，双方当事人应当中止或者终止合同。有过错的一方应当承担赔偿责任，双方当事人都有过错的，各自承担相应的责任。</w:t>
      </w:r>
    </w:p>
    <w:p w14:paraId="54E41BC6">
      <w:pPr>
        <w:spacing w:line="360" w:lineRule="auto"/>
        <w:ind w:firstLine="482" w:firstLineChars="200"/>
        <w:rPr>
          <w:rFonts w:hint="eastAsia" w:ascii="仿宋_GB2312" w:hAnsi="楷体" w:eastAsia="仿宋_GB2312"/>
          <w:b/>
          <w:color w:val="auto"/>
          <w:sz w:val="24"/>
          <w:highlight w:val="none"/>
        </w:rPr>
      </w:pPr>
      <w:bookmarkStart w:id="232" w:name="_Toc6596"/>
      <w:bookmarkStart w:id="233" w:name="_Toc1125"/>
      <w:bookmarkStart w:id="234" w:name="_Toc14563"/>
      <w:r>
        <w:rPr>
          <w:rFonts w:hint="eastAsia" w:ascii="仿宋_GB2312" w:hAnsi="楷体" w:eastAsia="仿宋_GB2312"/>
          <w:b/>
          <w:color w:val="auto"/>
          <w:sz w:val="24"/>
          <w:highlight w:val="none"/>
        </w:rPr>
        <w:t>2.17 检验和验收</w:t>
      </w:r>
      <w:bookmarkEnd w:id="232"/>
      <w:bookmarkEnd w:id="233"/>
      <w:bookmarkEnd w:id="234"/>
    </w:p>
    <w:p w14:paraId="578BA4BE">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2.17.1标的物交付前，乙方应对标的物的质量、数量等方面进行详细、全面的检验，并向甲方出具证明标的物符合合同约定的文件；标的物交付时，乙方在</w:t>
      </w:r>
      <w:r>
        <w:rPr>
          <w:rFonts w:hint="eastAsia" w:ascii="仿宋_GB2312" w:hAnsi="楷体" w:eastAsia="仿宋_GB2312"/>
          <w:b/>
          <w:i/>
          <w:color w:val="auto"/>
          <w:sz w:val="24"/>
          <w:highlight w:val="none"/>
          <w:u w:val="single"/>
        </w:rPr>
        <w:t>合同专用条款</w:t>
      </w:r>
      <w:r>
        <w:rPr>
          <w:rFonts w:hint="eastAsia" w:ascii="仿宋_GB2312" w:hAnsi="楷体" w:eastAsia="仿宋_GB2312"/>
          <w:color w:val="auto"/>
          <w:sz w:val="24"/>
          <w:highlight w:val="none"/>
        </w:rPr>
        <w:t>约定时间内组织验收，并可依法邀请相关方参加，验收应出具验收书。</w:t>
      </w:r>
    </w:p>
    <w:p w14:paraId="70CEA4CD">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2.17.2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67DD52A0">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2.17.3 检验和验收标准、程序等具体内容以及前述验收书的效力详见</w:t>
      </w:r>
      <w:r>
        <w:rPr>
          <w:rFonts w:hint="eastAsia" w:ascii="仿宋_GB2312" w:hAnsi="楷体" w:eastAsia="仿宋_GB2312"/>
          <w:b/>
          <w:i/>
          <w:color w:val="auto"/>
          <w:sz w:val="24"/>
          <w:highlight w:val="none"/>
          <w:u w:val="single"/>
        </w:rPr>
        <w:t>合同专用条款</w:t>
      </w:r>
      <w:r>
        <w:rPr>
          <w:rFonts w:hint="eastAsia" w:ascii="仿宋_GB2312" w:hAnsi="楷体" w:eastAsia="仿宋_GB2312"/>
          <w:i/>
          <w:color w:val="auto"/>
          <w:sz w:val="24"/>
          <w:highlight w:val="none"/>
        </w:rPr>
        <w:t>。</w:t>
      </w:r>
    </w:p>
    <w:bookmarkEnd w:id="204"/>
    <w:bookmarkEnd w:id="205"/>
    <w:bookmarkEnd w:id="206"/>
    <w:bookmarkEnd w:id="207"/>
    <w:p w14:paraId="0D0B11EF">
      <w:pPr>
        <w:spacing w:line="360" w:lineRule="auto"/>
        <w:ind w:firstLine="482" w:firstLineChars="200"/>
        <w:rPr>
          <w:rFonts w:hint="eastAsia" w:ascii="仿宋_GB2312" w:hAnsi="楷体" w:eastAsia="仿宋_GB2312"/>
          <w:b/>
          <w:color w:val="auto"/>
          <w:sz w:val="24"/>
          <w:highlight w:val="none"/>
        </w:rPr>
      </w:pPr>
      <w:bookmarkStart w:id="235" w:name="_Toc487900371"/>
      <w:bookmarkStart w:id="236" w:name="_Toc279701261"/>
      <w:bookmarkStart w:id="237" w:name="_Toc259093690"/>
      <w:bookmarkStart w:id="238" w:name="_Toc11284"/>
      <w:bookmarkStart w:id="239" w:name="_Toc19604"/>
      <w:bookmarkStart w:id="240" w:name="_Toc25182"/>
      <w:r>
        <w:rPr>
          <w:rFonts w:hint="eastAsia" w:ascii="仿宋_GB2312" w:hAnsi="楷体" w:eastAsia="仿宋_GB2312"/>
          <w:b/>
          <w:color w:val="auto"/>
          <w:sz w:val="24"/>
          <w:highlight w:val="none"/>
        </w:rPr>
        <w:t>2.18 通知</w:t>
      </w:r>
      <w:bookmarkEnd w:id="235"/>
      <w:bookmarkEnd w:id="236"/>
      <w:bookmarkEnd w:id="237"/>
      <w:r>
        <w:rPr>
          <w:rFonts w:hint="eastAsia" w:ascii="仿宋_GB2312" w:hAnsi="楷体" w:eastAsia="仿宋_GB2312"/>
          <w:b/>
          <w:color w:val="auto"/>
          <w:sz w:val="24"/>
          <w:highlight w:val="none"/>
        </w:rPr>
        <w:t>和送达</w:t>
      </w:r>
      <w:bookmarkEnd w:id="238"/>
      <w:bookmarkEnd w:id="239"/>
      <w:bookmarkEnd w:id="240"/>
    </w:p>
    <w:p w14:paraId="54A94EAF">
      <w:pPr>
        <w:spacing w:line="360" w:lineRule="auto"/>
        <w:ind w:firstLine="480" w:firstLineChars="200"/>
        <w:rPr>
          <w:rFonts w:hint="eastAsia" w:ascii="仿宋_GB2312" w:hAnsi="楷体" w:eastAsia="仿宋_GB2312"/>
          <w:color w:val="auto"/>
          <w:sz w:val="24"/>
          <w:highlight w:val="none"/>
        </w:rPr>
      </w:pPr>
      <w:bookmarkStart w:id="241" w:name="_Toc3135"/>
      <w:bookmarkStart w:id="242" w:name="_Toc6698"/>
      <w:bookmarkStart w:id="243" w:name="_Toc259093691"/>
      <w:bookmarkStart w:id="244" w:name="_Toc279701262"/>
      <w:bookmarkStart w:id="245" w:name="_Toc487900372"/>
      <w:r>
        <w:rPr>
          <w:rFonts w:hint="eastAsia" w:ascii="仿宋_GB2312" w:hAnsi="楷体" w:eastAsia="仿宋_GB2312"/>
          <w:color w:val="auto"/>
          <w:sz w:val="24"/>
          <w:highlight w:val="none"/>
        </w:rPr>
        <w:t>2.18.1 任何一方因履行合同而以合同第一部分尾部所列明的</w:t>
      </w:r>
      <w:r>
        <w:rPr>
          <w:rFonts w:hint="eastAsia" w:ascii="仿宋_GB2312" w:hAnsi="楷体" w:eastAsia="仿宋_GB2312"/>
          <w:color w:val="auto"/>
          <w:sz w:val="24"/>
          <w:highlight w:val="none"/>
          <w:u w:val="single"/>
        </w:rPr>
        <w:t>“约定送达地址”</w:t>
      </w:r>
      <w:r>
        <w:rPr>
          <w:rFonts w:hint="eastAsia" w:ascii="仿宋_GB2312" w:hAnsi="楷体" w:eastAsia="仿宋_GB2312"/>
          <w:color w:val="auto"/>
          <w:sz w:val="24"/>
          <w:highlight w:val="none"/>
        </w:rPr>
        <w:t>为收件地址的所有通知、文件、材料，均视为已向对方当事人送达；任何一方变更上述送达方式或者地址的，应于</w:t>
      </w:r>
      <w:r>
        <w:rPr>
          <w:rFonts w:hint="eastAsia" w:ascii="仿宋_GB2312" w:hAnsi="楷体" w:eastAsia="仿宋_GB2312"/>
          <w:color w:val="auto"/>
          <w:sz w:val="24"/>
          <w:highlight w:val="none"/>
          <w:u w:val="single"/>
        </w:rPr>
        <w:t xml:space="preserve">  7  </w:t>
      </w:r>
      <w:r>
        <w:rPr>
          <w:rFonts w:hint="eastAsia" w:ascii="仿宋_GB2312" w:hAnsi="楷体" w:eastAsia="仿宋_GB2312"/>
          <w:color w:val="auto"/>
          <w:sz w:val="24"/>
          <w:highlight w:val="none"/>
        </w:rPr>
        <w:t>个工作日内（根据项目实际填写）书面通知对方当事人，在对方当事人收到有关变更通知之前，变更前的约定送达方式或者地址仍视为有效。</w:t>
      </w:r>
      <w:bookmarkEnd w:id="241"/>
      <w:bookmarkEnd w:id="242"/>
    </w:p>
    <w:p w14:paraId="1DA443A2">
      <w:pPr>
        <w:spacing w:line="360" w:lineRule="auto"/>
        <w:ind w:firstLine="480" w:firstLineChars="200"/>
        <w:rPr>
          <w:rFonts w:hint="eastAsia" w:ascii="仿宋_GB2312" w:hAnsi="楷体" w:eastAsia="仿宋_GB2312"/>
          <w:color w:val="auto"/>
          <w:sz w:val="24"/>
          <w:highlight w:val="none"/>
        </w:rPr>
      </w:pPr>
      <w:bookmarkStart w:id="246" w:name="_Toc23128"/>
      <w:bookmarkStart w:id="247" w:name="_Toc23294"/>
      <w:r>
        <w:rPr>
          <w:rFonts w:hint="eastAsia" w:ascii="仿宋_GB2312" w:hAnsi="楷体" w:eastAsia="仿宋_GB2312"/>
          <w:color w:val="auto"/>
          <w:sz w:val="24"/>
          <w:highlight w:val="none"/>
        </w:rPr>
        <w:t>2.18.2以当面交付方式送达的，交付之时视为送达；以电子邮件方式送达的，发出电子邮件之时视为送达；以传真方式送达的，发出传真之时视为送达；以邮寄方式送达的，邮件挂号寄出或者交邮之日之次日视为送达。</w:t>
      </w:r>
      <w:bookmarkEnd w:id="246"/>
      <w:bookmarkEnd w:id="247"/>
    </w:p>
    <w:p w14:paraId="549A6C02">
      <w:pPr>
        <w:spacing w:line="360" w:lineRule="auto"/>
        <w:ind w:firstLine="482" w:firstLineChars="200"/>
        <w:rPr>
          <w:rFonts w:hint="eastAsia" w:ascii="仿宋_GB2312" w:hAnsi="楷体" w:eastAsia="仿宋_GB2312"/>
          <w:b/>
          <w:color w:val="auto"/>
          <w:sz w:val="24"/>
          <w:highlight w:val="none"/>
        </w:rPr>
      </w:pPr>
      <w:bookmarkStart w:id="248" w:name="_Toc30599"/>
      <w:bookmarkStart w:id="249" w:name="_Toc18540"/>
      <w:bookmarkStart w:id="250" w:name="_Toc4355"/>
      <w:r>
        <w:rPr>
          <w:rFonts w:hint="eastAsia" w:ascii="仿宋_GB2312" w:hAnsi="楷体" w:eastAsia="仿宋_GB2312"/>
          <w:b/>
          <w:color w:val="auto"/>
          <w:sz w:val="24"/>
          <w:highlight w:val="none"/>
        </w:rPr>
        <w:t>2.19 计量单位</w:t>
      </w:r>
      <w:bookmarkEnd w:id="243"/>
      <w:bookmarkEnd w:id="244"/>
      <w:bookmarkEnd w:id="245"/>
      <w:bookmarkEnd w:id="248"/>
      <w:bookmarkEnd w:id="249"/>
      <w:bookmarkEnd w:id="250"/>
    </w:p>
    <w:p w14:paraId="3BDB1974">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除技术规范中另有规定外,合同的计量单位均使用国家法定计量单位。</w:t>
      </w:r>
    </w:p>
    <w:p w14:paraId="2E992E68">
      <w:pPr>
        <w:spacing w:line="360" w:lineRule="auto"/>
        <w:ind w:firstLine="482" w:firstLineChars="200"/>
        <w:rPr>
          <w:rFonts w:hint="eastAsia" w:ascii="仿宋_GB2312" w:hAnsi="楷体" w:eastAsia="仿宋_GB2312"/>
          <w:b/>
          <w:color w:val="auto"/>
          <w:sz w:val="24"/>
          <w:highlight w:val="none"/>
        </w:rPr>
      </w:pPr>
      <w:bookmarkStart w:id="251" w:name="_Toc259093692"/>
      <w:bookmarkStart w:id="252" w:name="_Toc279701263"/>
      <w:bookmarkStart w:id="253" w:name="_Toc487900373"/>
      <w:bookmarkStart w:id="254" w:name="_Toc10330"/>
      <w:bookmarkStart w:id="255" w:name="_Toc18567"/>
      <w:bookmarkStart w:id="256" w:name="_Toc12773"/>
      <w:r>
        <w:rPr>
          <w:rFonts w:hint="eastAsia" w:ascii="仿宋_GB2312" w:hAnsi="楷体" w:eastAsia="仿宋_GB2312"/>
          <w:b/>
          <w:color w:val="auto"/>
          <w:sz w:val="24"/>
          <w:highlight w:val="none"/>
        </w:rPr>
        <w:t>2.20 合同使用的文字和适用的法律</w:t>
      </w:r>
      <w:bookmarkEnd w:id="251"/>
      <w:bookmarkEnd w:id="252"/>
      <w:bookmarkEnd w:id="253"/>
      <w:bookmarkEnd w:id="254"/>
      <w:bookmarkEnd w:id="255"/>
      <w:bookmarkEnd w:id="256"/>
    </w:p>
    <w:p w14:paraId="11529445">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2.20.1 合同使用汉语书就、变更和解释；</w:t>
      </w:r>
    </w:p>
    <w:p w14:paraId="69F8FB00">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2.20.2 合同适用中华人民共和国法律。</w:t>
      </w:r>
    </w:p>
    <w:p w14:paraId="673335FB">
      <w:pPr>
        <w:spacing w:line="360" w:lineRule="auto"/>
        <w:ind w:firstLine="482" w:firstLineChars="200"/>
        <w:rPr>
          <w:rFonts w:hint="eastAsia" w:ascii="仿宋_GB2312" w:hAnsi="楷体" w:eastAsia="仿宋_GB2312"/>
          <w:b/>
          <w:color w:val="auto"/>
          <w:sz w:val="24"/>
          <w:highlight w:val="none"/>
        </w:rPr>
      </w:pPr>
      <w:bookmarkStart w:id="257" w:name="_Toc259093693"/>
      <w:bookmarkStart w:id="258" w:name="_Toc16673"/>
      <w:bookmarkStart w:id="259" w:name="_Toc3148"/>
      <w:bookmarkStart w:id="260" w:name="_Toc12004"/>
      <w:bookmarkStart w:id="261" w:name="_Toc279701264"/>
      <w:bookmarkStart w:id="262" w:name="_Toc487900374"/>
      <w:r>
        <w:rPr>
          <w:rFonts w:hint="eastAsia" w:ascii="仿宋_GB2312" w:hAnsi="楷体" w:eastAsia="仿宋_GB2312"/>
          <w:b/>
          <w:color w:val="auto"/>
          <w:sz w:val="24"/>
          <w:highlight w:val="none"/>
        </w:rPr>
        <w:t>2.21 履约保证金</w:t>
      </w:r>
      <w:bookmarkEnd w:id="257"/>
      <w:bookmarkEnd w:id="258"/>
      <w:bookmarkEnd w:id="259"/>
      <w:bookmarkEnd w:id="260"/>
      <w:bookmarkEnd w:id="261"/>
    </w:p>
    <w:p w14:paraId="0BF99D06">
      <w:pPr>
        <w:spacing w:line="360" w:lineRule="auto"/>
        <w:ind w:firstLine="480" w:firstLineChars="200"/>
        <w:rPr>
          <w:rFonts w:hint="eastAsia" w:ascii="仿宋_GB2312" w:hAnsi="仿宋" w:eastAsia="仿宋_GB2312" w:cs="Arial"/>
          <w:snapToGrid w:val="0"/>
          <w:color w:val="auto"/>
          <w:kern w:val="0"/>
          <w:sz w:val="24"/>
          <w:highlight w:val="none"/>
        </w:rPr>
      </w:pPr>
      <w:r>
        <w:rPr>
          <w:rFonts w:hint="eastAsia" w:ascii="仿宋_GB2312" w:hAnsi="楷体" w:eastAsia="仿宋_GB2312"/>
          <w:color w:val="auto"/>
          <w:sz w:val="24"/>
          <w:highlight w:val="none"/>
        </w:rPr>
        <w:t>本项目不收取履约保证金</w:t>
      </w:r>
    </w:p>
    <w:p w14:paraId="70675AE3">
      <w:pPr>
        <w:spacing w:line="360" w:lineRule="auto"/>
        <w:ind w:firstLine="482" w:firstLineChars="200"/>
        <w:rPr>
          <w:rFonts w:hint="eastAsia" w:ascii="仿宋_GB2312" w:hAnsi="仿宋" w:eastAsia="仿宋_GB2312"/>
          <w:color w:val="auto"/>
          <w:kern w:val="0"/>
          <w:sz w:val="24"/>
          <w:highlight w:val="none"/>
          <w:lang w:val="zh-CN"/>
        </w:rPr>
      </w:pPr>
      <w:r>
        <w:rPr>
          <w:rFonts w:hint="eastAsia" w:ascii="仿宋_GB2312" w:hAnsi="楷体" w:eastAsia="仿宋_GB2312"/>
          <w:b/>
          <w:color w:val="auto"/>
          <w:sz w:val="24"/>
          <w:highlight w:val="none"/>
        </w:rPr>
        <w:t>2.22 中小企业政策</w:t>
      </w:r>
    </w:p>
    <w:p w14:paraId="78E3BB93">
      <w:pPr>
        <w:spacing w:line="360" w:lineRule="auto"/>
        <w:ind w:firstLine="480" w:firstLineChars="200"/>
        <w:rPr>
          <w:rFonts w:hint="eastAsia" w:ascii="仿宋_GB2312" w:hAnsi="仿宋" w:eastAsia="仿宋_GB2312"/>
          <w:color w:val="auto"/>
          <w:kern w:val="0"/>
          <w:sz w:val="24"/>
          <w:highlight w:val="none"/>
          <w:lang w:val="zh-CN"/>
        </w:rPr>
      </w:pPr>
      <w:r>
        <w:rPr>
          <w:rFonts w:hint="eastAsia" w:ascii="仿宋_GB2312" w:hAnsi="仿宋" w:eastAsia="仿宋_GB2312"/>
          <w:color w:val="auto"/>
          <w:kern w:val="0"/>
          <w:sz w:val="24"/>
          <w:highlight w:val="none"/>
          <w:lang w:val="zh-CN"/>
        </w:rPr>
        <w:t>2.22.1本合同（</w:t>
      </w:r>
      <w:r>
        <w:rPr>
          <w:rFonts w:hint="eastAsia" w:ascii="MS Mincho" w:hAnsi="MS Mincho" w:eastAsia="MS Mincho" w:cs="MS Mincho"/>
          <w:color w:val="auto"/>
          <w:kern w:val="0"/>
          <w:sz w:val="24"/>
          <w:highlight w:val="none"/>
          <w:lang w:val="zh-CN"/>
        </w:rPr>
        <w:t>☑</w:t>
      </w:r>
      <w:r>
        <w:rPr>
          <w:rFonts w:hint="eastAsia" w:ascii="仿宋_GB2312" w:hAnsi="仿宋" w:eastAsia="仿宋_GB2312"/>
          <w:color w:val="auto"/>
          <w:kern w:val="0"/>
          <w:sz w:val="24"/>
          <w:highlight w:val="none"/>
          <w:lang w:val="zh-CN"/>
        </w:rPr>
        <w:t>是  □否）为中小企业“政采贷”可融资合同，关于中小企业信用融资事项见采购文件“供应商须知正文”。</w:t>
      </w:r>
    </w:p>
    <w:p w14:paraId="59166594">
      <w:pPr>
        <w:spacing w:line="360" w:lineRule="auto"/>
        <w:ind w:firstLine="480" w:firstLineChars="200"/>
        <w:rPr>
          <w:rFonts w:hint="eastAsia" w:ascii="仿宋_GB2312" w:hAnsi="仿宋" w:eastAsia="仿宋_GB2312"/>
          <w:color w:val="auto"/>
          <w:kern w:val="0"/>
          <w:sz w:val="24"/>
          <w:highlight w:val="none"/>
          <w:lang w:val="zh-CN"/>
        </w:rPr>
      </w:pPr>
      <w:r>
        <w:rPr>
          <w:rFonts w:hint="eastAsia" w:ascii="仿宋_GB2312" w:hAnsi="仿宋" w:eastAsia="仿宋_GB2312"/>
          <w:color w:val="auto"/>
          <w:kern w:val="0"/>
          <w:sz w:val="24"/>
          <w:highlight w:val="none"/>
          <w:lang w:val="zh-CN"/>
        </w:rPr>
        <w:t>2.22.2本合同（</w:t>
      </w:r>
      <w:r>
        <w:rPr>
          <w:rFonts w:hint="eastAsia" w:ascii="MS Mincho" w:hAnsi="MS Mincho" w:eastAsia="MS Mincho" w:cs="MS Mincho"/>
          <w:color w:val="auto"/>
          <w:kern w:val="0"/>
          <w:sz w:val="24"/>
          <w:highlight w:val="none"/>
          <w:lang w:val="zh-CN"/>
        </w:rPr>
        <w:t>☑</w:t>
      </w:r>
      <w:r>
        <w:rPr>
          <w:rFonts w:hint="eastAsia" w:ascii="仿宋_GB2312" w:hAnsi="仿宋" w:eastAsia="仿宋_GB2312"/>
          <w:color w:val="auto"/>
          <w:kern w:val="0"/>
          <w:sz w:val="24"/>
          <w:highlight w:val="none"/>
          <w:lang w:val="zh-CN"/>
        </w:rPr>
        <w:t>是  □否）为中小企业预留合同。</w:t>
      </w:r>
    </w:p>
    <w:bookmarkEnd w:id="262"/>
    <w:p w14:paraId="13277042">
      <w:pPr>
        <w:spacing w:line="360" w:lineRule="auto"/>
        <w:ind w:firstLine="482" w:firstLineChars="200"/>
        <w:rPr>
          <w:rFonts w:hint="eastAsia" w:ascii="仿宋_GB2312" w:hAnsi="楷体" w:eastAsia="仿宋_GB2312"/>
          <w:b/>
          <w:color w:val="auto"/>
          <w:sz w:val="24"/>
          <w:highlight w:val="none"/>
        </w:rPr>
      </w:pPr>
      <w:bookmarkStart w:id="263" w:name="_Toc6885"/>
      <w:bookmarkStart w:id="264" w:name="_Toc14001"/>
      <w:bookmarkStart w:id="265" w:name="_Toc19890"/>
      <w:r>
        <w:rPr>
          <w:rFonts w:hint="eastAsia" w:ascii="仿宋_GB2312" w:hAnsi="楷体" w:eastAsia="仿宋_GB2312"/>
          <w:b/>
          <w:color w:val="auto"/>
          <w:sz w:val="24"/>
          <w:highlight w:val="none"/>
        </w:rPr>
        <w:t>2.23 合同份数</w:t>
      </w:r>
      <w:bookmarkEnd w:id="263"/>
      <w:bookmarkEnd w:id="264"/>
      <w:bookmarkEnd w:id="265"/>
    </w:p>
    <w:p w14:paraId="48C392AB">
      <w:pPr>
        <w:spacing w:line="360" w:lineRule="auto"/>
        <w:ind w:firstLine="480" w:firstLineChars="200"/>
        <w:rPr>
          <w:rFonts w:hint="eastAsia" w:ascii="仿宋_GB2312" w:hAnsi="楷体" w:eastAsia="仿宋_GB2312"/>
          <w:color w:val="auto"/>
          <w:sz w:val="24"/>
          <w:highlight w:val="none"/>
        </w:rPr>
      </w:pPr>
      <w:r>
        <w:rPr>
          <w:rFonts w:hint="eastAsia" w:ascii="仿宋_GB2312" w:hAnsi="宋体" w:eastAsia="仿宋_GB2312"/>
          <w:color w:val="auto"/>
          <w:sz w:val="24"/>
          <w:highlight w:val="none"/>
        </w:rPr>
        <w:t>本合同壹式</w:t>
      </w:r>
      <w:r>
        <w:rPr>
          <w:rFonts w:hint="eastAsia" w:ascii="仿宋_GB2312" w:hAnsi="宋体" w:eastAsia="仿宋_GB2312"/>
          <w:color w:val="auto"/>
          <w:sz w:val="24"/>
          <w:highlight w:val="none"/>
          <w:u w:val="single"/>
        </w:rPr>
        <w:t xml:space="preserve">  </w:t>
      </w:r>
      <w:r>
        <w:rPr>
          <w:rFonts w:hint="eastAsia" w:ascii="仿宋_GB2312" w:hAnsi="仿宋" w:eastAsia="仿宋_GB2312"/>
          <w:color w:val="auto"/>
          <w:sz w:val="24"/>
          <w:highlight w:val="none"/>
          <w:u w:val="single"/>
        </w:rPr>
        <w:t xml:space="preserve"> </w:t>
      </w:r>
      <w:r>
        <w:rPr>
          <w:rFonts w:hint="eastAsia" w:ascii="仿宋_GB2312" w:hAnsi="宋体" w:eastAsia="仿宋_GB2312"/>
          <w:color w:val="auto"/>
          <w:sz w:val="24"/>
          <w:highlight w:val="none"/>
        </w:rPr>
        <w:t>份，甲方执</w:t>
      </w:r>
      <w:r>
        <w:rPr>
          <w:rFonts w:hint="eastAsia" w:ascii="仿宋_GB2312" w:hAnsi="宋体" w:eastAsia="仿宋_GB2312"/>
          <w:color w:val="auto"/>
          <w:sz w:val="24"/>
          <w:highlight w:val="none"/>
          <w:u w:val="single"/>
        </w:rPr>
        <w:t xml:space="preserve">  </w:t>
      </w:r>
      <w:r>
        <w:rPr>
          <w:rFonts w:hint="eastAsia" w:ascii="仿宋_GB2312" w:hAnsi="仿宋" w:eastAsia="仿宋_GB2312"/>
          <w:color w:val="auto"/>
          <w:sz w:val="24"/>
          <w:highlight w:val="none"/>
          <w:u w:val="single"/>
        </w:rPr>
        <w:t xml:space="preserve"> </w:t>
      </w:r>
      <w:r>
        <w:rPr>
          <w:rFonts w:hint="eastAsia" w:ascii="仿宋_GB2312" w:hAnsi="宋体" w:eastAsia="仿宋_GB2312"/>
          <w:color w:val="auto"/>
          <w:sz w:val="24"/>
          <w:highlight w:val="none"/>
        </w:rPr>
        <w:t>份，乙方执</w:t>
      </w:r>
      <w:r>
        <w:rPr>
          <w:rFonts w:hint="eastAsia" w:ascii="仿宋_GB2312" w:hAnsi="仿宋" w:eastAsia="仿宋_GB2312"/>
          <w:color w:val="auto"/>
          <w:sz w:val="24"/>
          <w:highlight w:val="none"/>
          <w:u w:val="single"/>
        </w:rPr>
        <w:t xml:space="preserve">  </w:t>
      </w:r>
      <w:r>
        <w:rPr>
          <w:rFonts w:hint="eastAsia" w:ascii="仿宋_GB2312" w:hAnsi="宋体" w:eastAsia="仿宋_GB2312"/>
          <w:color w:val="auto"/>
          <w:sz w:val="24"/>
          <w:highlight w:val="none"/>
          <w:u w:val="single"/>
        </w:rPr>
        <w:t xml:space="preserve"> </w:t>
      </w:r>
      <w:r>
        <w:rPr>
          <w:rFonts w:hint="eastAsia" w:ascii="仿宋_GB2312" w:hAnsi="宋体" w:eastAsia="仿宋_GB2312"/>
          <w:color w:val="auto"/>
          <w:sz w:val="24"/>
          <w:highlight w:val="none"/>
        </w:rPr>
        <w:t>份。</w:t>
      </w:r>
      <w:r>
        <w:rPr>
          <w:rFonts w:hint="eastAsia" w:ascii="仿宋_GB2312" w:hAnsi="楷体" w:eastAsia="仿宋_GB2312"/>
          <w:color w:val="auto"/>
          <w:sz w:val="24"/>
          <w:highlight w:val="none"/>
        </w:rPr>
        <w:t>每份均具有同等法律效力。</w:t>
      </w:r>
    </w:p>
    <w:p w14:paraId="5AA568DC">
      <w:pPr>
        <w:pStyle w:val="73"/>
        <w:jc w:val="center"/>
        <w:outlineLvl w:val="1"/>
        <w:rPr>
          <w:rFonts w:hint="eastAsia" w:ascii="仿宋_GB2312" w:hAnsi="楷体" w:eastAsia="仿宋_GB2312"/>
          <w:b/>
          <w:color w:val="auto"/>
          <w:sz w:val="28"/>
          <w:szCs w:val="28"/>
          <w:highlight w:val="none"/>
        </w:rPr>
      </w:pPr>
      <w:r>
        <w:rPr>
          <w:rFonts w:hint="eastAsia" w:ascii="仿宋_GB2312" w:hAnsi="楷体" w:eastAsia="仿宋_GB2312"/>
          <w:color w:val="auto"/>
          <w:highlight w:val="none"/>
        </w:rPr>
        <w:br w:type="page"/>
      </w:r>
      <w:bookmarkStart w:id="266" w:name="_Toc331685784"/>
      <w:bookmarkStart w:id="267" w:name="_Toc80205946"/>
      <w:bookmarkStart w:id="268" w:name="_Toc11028"/>
      <w:r>
        <w:rPr>
          <w:rFonts w:hint="eastAsia" w:ascii="仿宋_GB2312" w:hAnsi="楷体" w:eastAsia="仿宋_GB2312"/>
          <w:b/>
          <w:color w:val="auto"/>
          <w:sz w:val="28"/>
          <w:szCs w:val="28"/>
          <w:highlight w:val="none"/>
        </w:rPr>
        <w:t>第三部分  合同专用条款</w:t>
      </w:r>
      <w:bookmarkEnd w:id="266"/>
      <w:bookmarkEnd w:id="267"/>
      <w:bookmarkEnd w:id="268"/>
    </w:p>
    <w:p w14:paraId="657C0C80">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p w14:paraId="3BB7F5DF">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2.3.2具有知识产权的标的物知识产权归属：</w:t>
      </w:r>
    </w:p>
    <w:p w14:paraId="1ADBBD55">
      <w:pPr>
        <w:spacing w:line="360" w:lineRule="auto"/>
        <w:ind w:firstLine="480" w:firstLineChars="200"/>
        <w:rPr>
          <w:rFonts w:ascii="仿宋_GB2312" w:hAnsi="楷体" w:eastAsia="仿宋_GB2312"/>
          <w:color w:val="auto"/>
          <w:sz w:val="24"/>
          <w:highlight w:val="none"/>
        </w:rPr>
      </w:pPr>
    </w:p>
    <w:p w14:paraId="4B933A46">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2.4.1包装和装运专用条款（如果有）：</w:t>
      </w:r>
    </w:p>
    <w:p w14:paraId="19524609">
      <w:pPr>
        <w:spacing w:line="360" w:lineRule="auto"/>
        <w:ind w:firstLine="480" w:firstLineChars="200"/>
        <w:rPr>
          <w:rFonts w:ascii="仿宋_GB2312" w:hAnsi="楷体" w:eastAsia="仿宋_GB2312"/>
          <w:color w:val="auto"/>
          <w:sz w:val="24"/>
          <w:highlight w:val="none"/>
          <w:u w:val="single"/>
        </w:rPr>
      </w:pPr>
    </w:p>
    <w:p w14:paraId="3F08B676">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2.4.2装运标的物的要求和通知：</w:t>
      </w:r>
    </w:p>
    <w:p w14:paraId="6063CED6">
      <w:pPr>
        <w:spacing w:line="360" w:lineRule="auto"/>
        <w:ind w:firstLine="480" w:firstLineChars="200"/>
        <w:rPr>
          <w:rFonts w:ascii="仿宋_GB2312" w:hAnsi="楷体" w:eastAsia="仿宋_GB2312"/>
          <w:color w:val="auto"/>
          <w:sz w:val="24"/>
          <w:highlight w:val="none"/>
          <w:u w:val="single"/>
        </w:rPr>
      </w:pPr>
    </w:p>
    <w:p w14:paraId="3203CD96">
      <w:pPr>
        <w:spacing w:line="360" w:lineRule="auto"/>
        <w:ind w:firstLine="480" w:firstLineChars="200"/>
        <w:rPr>
          <w:rFonts w:hint="eastAsia" w:ascii="仿宋_GB2312" w:hAnsi="楷体" w:eastAsia="仿宋_GB2312"/>
          <w:b/>
          <w:color w:val="auto"/>
          <w:sz w:val="24"/>
          <w:highlight w:val="none"/>
        </w:rPr>
      </w:pPr>
      <w:r>
        <w:rPr>
          <w:rFonts w:hint="eastAsia" w:ascii="仿宋_GB2312" w:hAnsi="楷体" w:eastAsia="仿宋_GB2312"/>
          <w:color w:val="auto"/>
          <w:sz w:val="24"/>
          <w:highlight w:val="none"/>
        </w:rPr>
        <w:t>2.6</w:t>
      </w:r>
      <w:r>
        <w:rPr>
          <w:rFonts w:hint="eastAsia" w:ascii="仿宋_GB2312" w:hAnsi="楷体" w:eastAsia="仿宋_GB2312"/>
          <w:b/>
          <w:color w:val="auto"/>
          <w:sz w:val="24"/>
          <w:highlight w:val="none"/>
        </w:rPr>
        <w:t>结算方式和付款条件</w:t>
      </w:r>
    </w:p>
    <w:p w14:paraId="5BF8D361">
      <w:pPr>
        <w:spacing w:line="360" w:lineRule="auto"/>
        <w:ind w:firstLine="480" w:firstLineChars="20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本次项目合同总价为大写人民币</w:t>
      </w:r>
      <w:r>
        <w:rPr>
          <w:rFonts w:hint="eastAsia" w:ascii="仿宋_GB2312" w:hAnsi="仿宋_GB2312" w:eastAsia="仿宋_GB2312" w:cs="仿宋_GB2312"/>
          <w:color w:val="auto"/>
          <w:kern w:val="0"/>
          <w:sz w:val="24"/>
          <w:highlight w:val="none"/>
          <w:u w:val="single"/>
          <w:lang w:val="zh-CN"/>
        </w:rPr>
        <w:t xml:space="preserve">            （</w:t>
      </w:r>
      <w:r>
        <w:rPr>
          <w:rFonts w:hint="eastAsia" w:ascii="仿宋_GB2312" w:hAnsi="仿宋_GB2312" w:eastAsia="仿宋_GB2312" w:cs="仿宋_GB2312"/>
          <w:color w:val="auto"/>
          <w:kern w:val="0"/>
          <w:sz w:val="24"/>
          <w:highlight w:val="none"/>
          <w:lang w:val="zh-CN"/>
        </w:rPr>
        <w:t>￥    元）。本项目采用以下勾选结算方式进行支付：</w:t>
      </w:r>
    </w:p>
    <w:p w14:paraId="2DDD5302">
      <w:pPr>
        <w:spacing w:line="360" w:lineRule="auto"/>
        <w:ind w:firstLine="480" w:firstLineChars="20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□采用一次性支付方式，付款条件为：</w:t>
      </w:r>
      <w:r>
        <w:rPr>
          <w:rFonts w:hint="eastAsia" w:ascii="仿宋_GB2312" w:hAnsi="仿宋_GB2312" w:eastAsia="仿宋_GB2312" w:cs="仿宋_GB2312"/>
          <w:color w:val="auto"/>
          <w:kern w:val="0"/>
          <w:sz w:val="24"/>
          <w:highlight w:val="none"/>
          <w:u w:val="single"/>
        </w:rPr>
        <w:t xml:space="preserve">           </w:t>
      </w:r>
    </w:p>
    <w:p w14:paraId="4283FF98">
      <w:pPr>
        <w:spacing w:line="360" w:lineRule="auto"/>
        <w:ind w:firstLine="480" w:firstLineChars="20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□采用分期付款方式，付款条件为</w:t>
      </w:r>
      <w:r>
        <w:rPr>
          <w:rFonts w:hint="eastAsia" w:ascii="仿宋_GB2312" w:hAnsi="仿宋_GB2312" w:eastAsia="仿宋_GB2312" w:cs="仿宋_GB2312"/>
          <w:color w:val="auto"/>
          <w:kern w:val="0"/>
          <w:sz w:val="24"/>
          <w:highlight w:val="none"/>
        </w:rPr>
        <w:t>：</w:t>
      </w:r>
    </w:p>
    <w:p w14:paraId="6EC9D4C9">
      <w:pPr>
        <w:spacing w:line="360" w:lineRule="auto"/>
        <w:ind w:firstLine="480" w:firstLineChars="20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第一期付款</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u w:val="single"/>
        </w:rPr>
        <w:t xml:space="preserve">                                        </w:t>
      </w:r>
    </w:p>
    <w:p w14:paraId="217FB0DE">
      <w:pPr>
        <w:spacing w:line="360" w:lineRule="auto"/>
        <w:ind w:firstLine="480" w:firstLineChars="200"/>
        <w:rPr>
          <w:rFonts w:hint="eastAsia" w:ascii="仿宋_GB2312" w:hAnsi="仿宋_GB2312" w:eastAsia="仿宋_GB2312" w:cs="仿宋_GB2312"/>
          <w:color w:val="auto"/>
          <w:kern w:val="0"/>
          <w:sz w:val="24"/>
          <w:highlight w:val="none"/>
          <w:u w:val="single"/>
        </w:rPr>
      </w:pPr>
      <w:r>
        <w:rPr>
          <w:rFonts w:hint="eastAsia" w:ascii="仿宋_GB2312" w:hAnsi="仿宋_GB2312" w:eastAsia="仿宋_GB2312" w:cs="仿宋_GB2312"/>
          <w:color w:val="auto"/>
          <w:kern w:val="0"/>
          <w:sz w:val="24"/>
          <w:highlight w:val="none"/>
          <w:lang w:val="zh-CN"/>
        </w:rPr>
        <w:t>第</w:t>
      </w:r>
      <w:r>
        <w:rPr>
          <w:rFonts w:hint="eastAsia" w:ascii="仿宋_GB2312" w:hAnsi="仿宋_GB2312" w:eastAsia="仿宋_GB2312" w:cs="仿宋_GB2312"/>
          <w:color w:val="auto"/>
          <w:kern w:val="0"/>
          <w:sz w:val="24"/>
          <w:highlight w:val="none"/>
        </w:rPr>
        <w:t>二</w:t>
      </w:r>
      <w:r>
        <w:rPr>
          <w:rFonts w:hint="eastAsia" w:ascii="仿宋_GB2312" w:hAnsi="仿宋_GB2312" w:eastAsia="仿宋_GB2312" w:cs="仿宋_GB2312"/>
          <w:color w:val="auto"/>
          <w:kern w:val="0"/>
          <w:sz w:val="24"/>
          <w:highlight w:val="none"/>
          <w:lang w:val="zh-CN"/>
        </w:rPr>
        <w:t>期付款</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u w:val="single"/>
        </w:rPr>
        <w:t xml:space="preserve">                                        </w:t>
      </w:r>
    </w:p>
    <w:p w14:paraId="1295DF3E">
      <w:pPr>
        <w:spacing w:line="360" w:lineRule="auto"/>
        <w:ind w:firstLine="480" w:firstLineChars="20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p>
    <w:p w14:paraId="1136787E">
      <w:pPr>
        <w:spacing w:line="360" w:lineRule="auto"/>
        <w:ind w:firstLine="480" w:firstLineChars="200"/>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甲方无故逾期支付服务费用的，按照每逾期一日支付欠付服务费额度的</w:t>
      </w:r>
      <w:r>
        <w:rPr>
          <w:rFonts w:hint="eastAsia" w:ascii="仿宋_GB2312" w:hAnsi="仿宋" w:eastAsia="仿宋_GB2312"/>
          <w:color w:val="auto"/>
          <w:sz w:val="24"/>
          <w:highlight w:val="none"/>
          <w:u w:val="single"/>
        </w:rPr>
        <w:t>万分之五</w:t>
      </w:r>
      <w:r>
        <w:rPr>
          <w:rFonts w:hint="eastAsia" w:ascii="仿宋_GB2312" w:hAnsi="仿宋" w:eastAsia="仿宋_GB2312"/>
          <w:color w:val="auto"/>
          <w:sz w:val="24"/>
          <w:highlight w:val="none"/>
        </w:rPr>
        <w:t>（</w:t>
      </w:r>
      <w:r>
        <w:rPr>
          <w:rFonts w:hint="eastAsia" w:ascii="仿宋_GB2312" w:hAnsi="楷体" w:eastAsia="仿宋_GB2312"/>
          <w:color w:val="auto"/>
          <w:sz w:val="24"/>
          <w:highlight w:val="none"/>
        </w:rPr>
        <w:t>根据项目实际填写，一般为万分之五</w:t>
      </w:r>
      <w:r>
        <w:rPr>
          <w:rFonts w:hint="eastAsia" w:ascii="仿宋_GB2312" w:hAnsi="仿宋" w:eastAsia="仿宋_GB2312"/>
          <w:color w:val="auto"/>
          <w:sz w:val="24"/>
          <w:highlight w:val="none"/>
        </w:rPr>
        <w:t>）承担违约责任，违约金上限按照《合同书》约定执行。</w:t>
      </w:r>
    </w:p>
    <w:p w14:paraId="7C438C38">
      <w:pPr>
        <w:spacing w:line="360" w:lineRule="auto"/>
        <w:ind w:firstLine="480" w:firstLineChars="200"/>
        <w:rPr>
          <w:rFonts w:hint="eastAsia" w:ascii="仿宋_GB2312" w:hAnsi="仿宋" w:eastAsia="仿宋_GB2312"/>
          <w:color w:val="auto"/>
          <w:sz w:val="24"/>
          <w:highlight w:val="none"/>
          <w:lang w:val="zh-CN"/>
        </w:rPr>
      </w:pPr>
      <w:r>
        <w:rPr>
          <w:rFonts w:hint="eastAsia" w:ascii="仿宋_GB2312" w:hAnsi="仿宋" w:eastAsia="仿宋_GB2312"/>
          <w:color w:val="auto"/>
          <w:sz w:val="24"/>
          <w:highlight w:val="none"/>
        </w:rPr>
        <w:t>（温馨提示：根据《广西壮族自治区财政厅关于进一步发挥政府采购政策功能促进企业发展的通知》（桂财采〔2022〕30号）规定，政府采购货物和服务的采购人在政府采购合同中约定预付款比例的，对中小企业合同预付款比例原则上不低于合同金额的30％，不高于合同金额的50%；项目分年度安排预算的，每年预付款比例不低于项目年度计划支付金额的30％；采购项目以人工投入为主的，可降低预付款比例，但不得低于10%。采购文件和采购合同没有约定预付款的，经供应商申请采购人可支付预付款。对于未实行预付款的政府采购项目，鼓励采购人在合同中明确首付款支付比例。）</w:t>
      </w:r>
    </w:p>
    <w:p w14:paraId="1D9E844B">
      <w:pPr>
        <w:spacing w:line="360" w:lineRule="auto"/>
        <w:ind w:firstLine="480" w:firstLineChars="200"/>
        <w:rPr>
          <w:rFonts w:hint="eastAsia" w:ascii="仿宋_GB2312" w:hAnsi="楷体" w:eastAsia="仿宋_GB2312"/>
          <w:b/>
          <w:color w:val="auto"/>
          <w:sz w:val="24"/>
          <w:highlight w:val="none"/>
        </w:rPr>
      </w:pPr>
      <w:r>
        <w:rPr>
          <w:rFonts w:hint="eastAsia" w:ascii="仿宋_GB2312" w:hAnsi="楷体" w:eastAsia="仿宋_GB2312"/>
          <w:color w:val="auto"/>
          <w:sz w:val="24"/>
          <w:highlight w:val="none"/>
        </w:rPr>
        <w:t>2.9</w:t>
      </w:r>
      <w:r>
        <w:rPr>
          <w:rFonts w:hint="eastAsia" w:ascii="仿宋_GB2312" w:hAnsi="楷体" w:eastAsia="仿宋_GB2312"/>
          <w:b/>
          <w:color w:val="auto"/>
          <w:sz w:val="24"/>
          <w:highlight w:val="none"/>
        </w:rPr>
        <w:t>标的物的风险负担</w:t>
      </w:r>
    </w:p>
    <w:p w14:paraId="648735D4">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标的物或者在途标的物或者交付给第一承运人后的标的物毁损、灭失的风险负担：</w:t>
      </w:r>
    </w:p>
    <w:p w14:paraId="6490FB72">
      <w:pPr>
        <w:spacing w:line="360" w:lineRule="auto"/>
        <w:ind w:firstLine="480" w:firstLineChars="200"/>
        <w:rPr>
          <w:rFonts w:hint="eastAsia" w:ascii="仿宋_GB2312" w:hAnsi="楷体" w:eastAsia="仿宋_GB2312"/>
          <w:color w:val="auto"/>
          <w:sz w:val="24"/>
          <w:highlight w:val="none"/>
          <w:u w:val="single"/>
        </w:rPr>
      </w:pPr>
      <w:r>
        <w:rPr>
          <w:rFonts w:hint="eastAsia" w:ascii="仿宋_GB2312" w:hAnsi="楷体" w:eastAsia="仿宋_GB2312"/>
          <w:color w:val="auto"/>
          <w:sz w:val="24"/>
          <w:highlight w:val="none"/>
          <w:u w:val="single"/>
        </w:rPr>
        <w:t xml:space="preserve">乙方                                                                       </w:t>
      </w:r>
    </w:p>
    <w:p w14:paraId="2B020A7D">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2.13.2受不可抗力影响的一方在不可抗力发生后，应在</w:t>
      </w:r>
      <w:r>
        <w:rPr>
          <w:rFonts w:hint="eastAsia" w:ascii="仿宋_GB2312" w:hAnsi="楷体" w:eastAsia="仿宋_GB2312"/>
          <w:color w:val="auto"/>
          <w:sz w:val="24"/>
          <w:highlight w:val="none"/>
          <w:u w:val="single"/>
        </w:rPr>
        <w:t xml:space="preserve"> 7 </w:t>
      </w:r>
      <w:r>
        <w:rPr>
          <w:rFonts w:hint="eastAsia" w:ascii="仿宋_GB2312" w:hAnsi="楷体" w:eastAsia="仿宋_GB2312"/>
          <w:color w:val="auto"/>
          <w:sz w:val="24"/>
          <w:highlight w:val="none"/>
        </w:rPr>
        <w:t>日内（根据项目实际填写）以书面形式通知对方当事人，并在7日内（根据项目实际填写），将有关部门出具的证明文件送达对方当事人。</w:t>
      </w:r>
    </w:p>
    <w:p w14:paraId="00AC0B36">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2.13.4因不可抗力致使合同有变更必要的，双方当事人应在</w:t>
      </w:r>
      <w:r>
        <w:rPr>
          <w:rFonts w:hint="eastAsia" w:ascii="仿宋_GB2312" w:hAnsi="楷体" w:eastAsia="仿宋_GB2312"/>
          <w:color w:val="auto"/>
          <w:sz w:val="24"/>
          <w:highlight w:val="none"/>
          <w:u w:val="single"/>
        </w:rPr>
        <w:t xml:space="preserve"> 7 </w:t>
      </w:r>
      <w:r>
        <w:rPr>
          <w:rFonts w:hint="eastAsia" w:ascii="仿宋_GB2312" w:hAnsi="楷体" w:eastAsia="仿宋_GB2312"/>
          <w:color w:val="auto"/>
          <w:sz w:val="24"/>
          <w:highlight w:val="none"/>
        </w:rPr>
        <w:t>日内（根据项目实际填写）以书面形式变更合同；</w:t>
      </w:r>
    </w:p>
    <w:p w14:paraId="6C496146">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2.17.1标的物交付前，乙方应对标的物的质量、数量等方面进行详细、全面的检验，并向甲方出具证明标的物符合合同约定的文件；标的物交付时，乙方在</w:t>
      </w:r>
      <w:r>
        <w:rPr>
          <w:rFonts w:hint="eastAsia" w:ascii="仿宋_GB2312" w:hAnsi="楷体" w:eastAsia="仿宋_GB2312"/>
          <w:color w:val="auto"/>
          <w:sz w:val="24"/>
          <w:highlight w:val="none"/>
          <w:u w:val="single"/>
        </w:rPr>
        <w:t xml:space="preserve"> 7 </w:t>
      </w:r>
      <w:r>
        <w:rPr>
          <w:rFonts w:hint="eastAsia" w:ascii="仿宋_GB2312" w:hAnsi="楷体" w:eastAsia="仿宋_GB2312"/>
          <w:color w:val="auto"/>
          <w:sz w:val="24"/>
          <w:highlight w:val="none"/>
        </w:rPr>
        <w:t>日内（根据项目实际填写）发起验收，并可依法邀请相关方参加，验收应出具验收书。</w:t>
      </w:r>
    </w:p>
    <w:p w14:paraId="1AAF1D28">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2.17.3检验和验收标准、程序等具体内容以及前述验收书的效力：</w:t>
      </w:r>
    </w:p>
    <w:p w14:paraId="08E5256F">
      <w:pPr>
        <w:spacing w:line="360" w:lineRule="auto"/>
        <w:ind w:firstLine="480" w:firstLineChars="200"/>
        <w:rPr>
          <w:rFonts w:ascii="仿宋_GB2312" w:hAnsi="楷体" w:eastAsia="仿宋_GB2312"/>
          <w:color w:val="auto"/>
          <w:sz w:val="24"/>
          <w:highlight w:val="none"/>
          <w:u w:val="single"/>
        </w:rPr>
      </w:pPr>
    </w:p>
    <w:p w14:paraId="35E2F2BA">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3.1 其他：</w:t>
      </w:r>
    </w:p>
    <w:p w14:paraId="370F539E">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3.2项目验收：</w:t>
      </w:r>
    </w:p>
    <w:p w14:paraId="208889E7">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3.2.1甲方参照《南宁市政府采购供应商履约验收评价管理办法》（南财采[2019]217号）规定组织对乙方履约的验收。验收方成员应当在验收书上签字，并承担相应的法律责任。如果发现与合同中要求不符，乙方须承担由此发生的一切损失和费用，并接受相应的处理。</w:t>
      </w:r>
    </w:p>
    <w:p w14:paraId="3E3DA2D5">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3.2.2严格按照采购合同开展履约验收。甲方成立验收小组，按照采购合同的约定对供应商履约情况进行验收，验收时，按照采购合同的约定对每一项技术、服务、安全标准的履约情况进行确认，出具验收报告并经验收小组全体成员签字。甲方根据验收报告形成验收意见并经甲方与乙方签字盖章生效。验收结果与采购合同约定的资金支付条件挂钩。履约验收的各项资料应当存档备查。</w:t>
      </w:r>
    </w:p>
    <w:p w14:paraId="67114AC2">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3.2.3验收合格的项目，甲方将根据采购合同的约定及时向供应商支付采购资金。验收不合格的项目，甲方将依法及时处理。采购合同的履行、违约责任和解决争议的方式等适用《中华人民共和国民法典》，并按照《合同书》约定执行。</w:t>
      </w:r>
    </w:p>
    <w:p w14:paraId="7FB27B83">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3.2.4验收产生的费用首次验收费用由甲方承担，如首次验收不合格，后续验收费用由乙方支付。</w:t>
      </w:r>
    </w:p>
    <w:p w14:paraId="4D9E2944">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3.2.5验收内容及资料要求：</w:t>
      </w:r>
    </w:p>
    <w:p w14:paraId="3C31C06E">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根据采购文件确定的技术指标或者服务要求确定验收指标和标准。未进行相应约定的，应当符合国家强制性规定、政策要求、安全标准、行业或企业有关标准等。</w:t>
      </w:r>
    </w:p>
    <w:p w14:paraId="63197519">
      <w:pPr>
        <w:tabs>
          <w:tab w:val="left" w:pos="904"/>
        </w:tabs>
        <w:snapToGrid w:val="0"/>
        <w:spacing w:line="360" w:lineRule="auto"/>
        <w:ind w:firstLine="480" w:firstLineChars="200"/>
        <w:jc w:val="left"/>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3.2.6验收内容</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1914"/>
        <w:gridCol w:w="5930"/>
      </w:tblGrid>
      <w:tr w14:paraId="47A1A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3" w:type="dxa"/>
            <w:tcBorders>
              <w:top w:val="single" w:color="auto" w:sz="4" w:space="0"/>
              <w:left w:val="single" w:color="auto" w:sz="4" w:space="0"/>
              <w:bottom w:val="single" w:color="auto" w:sz="4" w:space="0"/>
              <w:right w:val="single" w:color="auto" w:sz="4" w:space="0"/>
            </w:tcBorders>
            <w:noWrap w:val="0"/>
            <w:vAlign w:val="center"/>
          </w:tcPr>
          <w:p w14:paraId="0B307EEC">
            <w:pPr>
              <w:widowControl/>
              <w:spacing w:line="360" w:lineRule="auto"/>
              <w:jc w:val="center"/>
              <w:rPr>
                <w:rFonts w:hint="eastAsia"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序号</w:t>
            </w:r>
          </w:p>
        </w:tc>
        <w:tc>
          <w:tcPr>
            <w:tcW w:w="1914" w:type="dxa"/>
            <w:tcBorders>
              <w:top w:val="single" w:color="auto" w:sz="4" w:space="0"/>
              <w:left w:val="single" w:color="auto" w:sz="4" w:space="0"/>
              <w:bottom w:val="single" w:color="auto" w:sz="4" w:space="0"/>
              <w:right w:val="single" w:color="auto" w:sz="4" w:space="0"/>
            </w:tcBorders>
            <w:noWrap w:val="0"/>
            <w:vAlign w:val="center"/>
          </w:tcPr>
          <w:p w14:paraId="4F9278E1">
            <w:pPr>
              <w:widowControl/>
              <w:spacing w:line="360" w:lineRule="auto"/>
              <w:jc w:val="center"/>
              <w:rPr>
                <w:rFonts w:hint="eastAsia"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验收内容</w:t>
            </w:r>
          </w:p>
        </w:tc>
        <w:tc>
          <w:tcPr>
            <w:tcW w:w="5930" w:type="dxa"/>
            <w:tcBorders>
              <w:top w:val="single" w:color="auto" w:sz="4" w:space="0"/>
              <w:left w:val="single" w:color="auto" w:sz="4" w:space="0"/>
              <w:bottom w:val="single" w:color="auto" w:sz="4" w:space="0"/>
              <w:right w:val="single" w:color="auto" w:sz="4" w:space="0"/>
            </w:tcBorders>
            <w:noWrap w:val="0"/>
            <w:vAlign w:val="center"/>
          </w:tcPr>
          <w:p w14:paraId="38161F80">
            <w:pPr>
              <w:widowControl/>
              <w:spacing w:line="360" w:lineRule="auto"/>
              <w:jc w:val="center"/>
              <w:rPr>
                <w:rFonts w:hint="eastAsia"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 xml:space="preserve"> 验收标准</w:t>
            </w:r>
          </w:p>
        </w:tc>
      </w:tr>
      <w:tr w14:paraId="3DCE9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3" w:type="dxa"/>
            <w:tcBorders>
              <w:top w:val="single" w:color="auto" w:sz="4" w:space="0"/>
              <w:left w:val="single" w:color="auto" w:sz="4" w:space="0"/>
              <w:bottom w:val="single" w:color="auto" w:sz="4" w:space="0"/>
              <w:right w:val="single" w:color="auto" w:sz="4" w:space="0"/>
            </w:tcBorders>
            <w:noWrap w:val="0"/>
            <w:vAlign w:val="center"/>
          </w:tcPr>
          <w:p w14:paraId="2EFB529A">
            <w:pPr>
              <w:widowControl/>
              <w:spacing w:line="360" w:lineRule="auto"/>
              <w:jc w:val="center"/>
              <w:rPr>
                <w:rFonts w:hint="eastAsia"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1</w:t>
            </w:r>
          </w:p>
        </w:tc>
        <w:tc>
          <w:tcPr>
            <w:tcW w:w="1914" w:type="dxa"/>
            <w:tcBorders>
              <w:top w:val="single" w:color="auto" w:sz="4" w:space="0"/>
              <w:left w:val="single" w:color="auto" w:sz="4" w:space="0"/>
              <w:bottom w:val="single" w:color="auto" w:sz="4" w:space="0"/>
              <w:right w:val="single" w:color="auto" w:sz="4" w:space="0"/>
            </w:tcBorders>
            <w:noWrap w:val="0"/>
            <w:vAlign w:val="center"/>
          </w:tcPr>
          <w:p w14:paraId="298B20DF">
            <w:pPr>
              <w:widowControl/>
              <w:spacing w:line="360" w:lineRule="auto"/>
              <w:jc w:val="center"/>
              <w:rPr>
                <w:rFonts w:hint="eastAsia"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交货产品数量</w:t>
            </w:r>
          </w:p>
        </w:tc>
        <w:tc>
          <w:tcPr>
            <w:tcW w:w="5930" w:type="dxa"/>
            <w:tcBorders>
              <w:top w:val="single" w:color="auto" w:sz="4" w:space="0"/>
              <w:left w:val="single" w:color="auto" w:sz="4" w:space="0"/>
              <w:bottom w:val="single" w:color="auto" w:sz="4" w:space="0"/>
              <w:right w:val="single" w:color="auto" w:sz="4" w:space="0"/>
            </w:tcBorders>
            <w:noWrap w:val="0"/>
            <w:vAlign w:val="center"/>
          </w:tcPr>
          <w:p w14:paraId="47403C60">
            <w:pPr>
              <w:widowControl/>
              <w:spacing w:line="360" w:lineRule="auto"/>
              <w:jc w:val="center"/>
              <w:rPr>
                <w:rFonts w:hint="eastAsia" w:ascii="仿宋" w:hAnsi="仿宋" w:eastAsia="仿宋" w:cs="仿宋"/>
                <w:color w:val="auto"/>
                <w:kern w:val="0"/>
                <w:sz w:val="24"/>
                <w:highlight w:val="none"/>
              </w:rPr>
            </w:pPr>
          </w:p>
        </w:tc>
      </w:tr>
      <w:tr w14:paraId="6E7F5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3" w:type="dxa"/>
            <w:tcBorders>
              <w:top w:val="single" w:color="auto" w:sz="4" w:space="0"/>
              <w:left w:val="single" w:color="auto" w:sz="4" w:space="0"/>
              <w:bottom w:val="single" w:color="auto" w:sz="4" w:space="0"/>
              <w:right w:val="single" w:color="auto" w:sz="4" w:space="0"/>
            </w:tcBorders>
            <w:noWrap w:val="0"/>
            <w:vAlign w:val="center"/>
          </w:tcPr>
          <w:p w14:paraId="2326186C">
            <w:pPr>
              <w:widowControl/>
              <w:spacing w:line="360" w:lineRule="auto"/>
              <w:jc w:val="center"/>
              <w:rPr>
                <w:rFonts w:hint="eastAsia"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2</w:t>
            </w:r>
          </w:p>
        </w:tc>
        <w:tc>
          <w:tcPr>
            <w:tcW w:w="1914" w:type="dxa"/>
            <w:tcBorders>
              <w:top w:val="single" w:color="auto" w:sz="4" w:space="0"/>
              <w:left w:val="single" w:color="auto" w:sz="4" w:space="0"/>
              <w:bottom w:val="single" w:color="auto" w:sz="4" w:space="0"/>
              <w:right w:val="single" w:color="auto" w:sz="4" w:space="0"/>
            </w:tcBorders>
            <w:noWrap w:val="0"/>
            <w:vAlign w:val="center"/>
          </w:tcPr>
          <w:p w14:paraId="1F1D9D3F">
            <w:pPr>
              <w:widowControl/>
              <w:spacing w:line="360" w:lineRule="auto"/>
              <w:jc w:val="center"/>
              <w:rPr>
                <w:rFonts w:hint="eastAsia"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交货产品的质量文件</w:t>
            </w:r>
          </w:p>
        </w:tc>
        <w:tc>
          <w:tcPr>
            <w:tcW w:w="5930" w:type="dxa"/>
            <w:tcBorders>
              <w:top w:val="single" w:color="auto" w:sz="4" w:space="0"/>
              <w:left w:val="single" w:color="auto" w:sz="4" w:space="0"/>
              <w:bottom w:val="single" w:color="auto" w:sz="4" w:space="0"/>
              <w:right w:val="single" w:color="auto" w:sz="4" w:space="0"/>
            </w:tcBorders>
            <w:noWrap w:val="0"/>
            <w:vAlign w:val="center"/>
          </w:tcPr>
          <w:p w14:paraId="273AA037">
            <w:pPr>
              <w:widowControl/>
              <w:spacing w:line="360" w:lineRule="auto"/>
              <w:jc w:val="center"/>
              <w:rPr>
                <w:rFonts w:hint="eastAsia" w:ascii="仿宋" w:hAnsi="仿宋" w:eastAsia="仿宋" w:cs="仿宋"/>
                <w:color w:val="auto"/>
                <w:kern w:val="0"/>
                <w:sz w:val="24"/>
                <w:highlight w:val="none"/>
              </w:rPr>
            </w:pPr>
          </w:p>
        </w:tc>
      </w:tr>
      <w:tr w14:paraId="51D72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3" w:type="dxa"/>
            <w:tcBorders>
              <w:top w:val="single" w:color="auto" w:sz="4" w:space="0"/>
              <w:left w:val="single" w:color="auto" w:sz="4" w:space="0"/>
              <w:bottom w:val="single" w:color="auto" w:sz="4" w:space="0"/>
              <w:right w:val="single" w:color="auto" w:sz="4" w:space="0"/>
            </w:tcBorders>
            <w:noWrap w:val="0"/>
            <w:vAlign w:val="center"/>
          </w:tcPr>
          <w:p w14:paraId="3911BDFA">
            <w:pPr>
              <w:widowControl/>
              <w:spacing w:line="360" w:lineRule="auto"/>
              <w:jc w:val="center"/>
              <w:rPr>
                <w:rFonts w:hint="eastAsia"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3</w:t>
            </w:r>
          </w:p>
        </w:tc>
        <w:tc>
          <w:tcPr>
            <w:tcW w:w="1914" w:type="dxa"/>
            <w:tcBorders>
              <w:top w:val="single" w:color="auto" w:sz="4" w:space="0"/>
              <w:left w:val="single" w:color="auto" w:sz="4" w:space="0"/>
              <w:bottom w:val="single" w:color="auto" w:sz="4" w:space="0"/>
              <w:right w:val="single" w:color="auto" w:sz="4" w:space="0"/>
            </w:tcBorders>
            <w:noWrap w:val="0"/>
            <w:vAlign w:val="center"/>
          </w:tcPr>
          <w:p w14:paraId="22B7DEF8">
            <w:pPr>
              <w:spacing w:line="360" w:lineRule="auto"/>
              <w:jc w:val="center"/>
              <w:rPr>
                <w:rFonts w:hint="eastAsia"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 xml:space="preserve">交货产品技术、性能指标 </w:t>
            </w:r>
          </w:p>
        </w:tc>
        <w:tc>
          <w:tcPr>
            <w:tcW w:w="5930" w:type="dxa"/>
            <w:tcBorders>
              <w:top w:val="single" w:color="auto" w:sz="4" w:space="0"/>
              <w:left w:val="single" w:color="auto" w:sz="4" w:space="0"/>
              <w:bottom w:val="single" w:color="auto" w:sz="4" w:space="0"/>
              <w:right w:val="single" w:color="auto" w:sz="4" w:space="0"/>
            </w:tcBorders>
            <w:noWrap w:val="0"/>
            <w:vAlign w:val="center"/>
          </w:tcPr>
          <w:p w14:paraId="10A63F43">
            <w:pPr>
              <w:pStyle w:val="11"/>
              <w:spacing w:after="0" w:line="360" w:lineRule="auto"/>
              <w:jc w:val="left"/>
              <w:rPr>
                <w:rFonts w:hint="eastAsia" w:ascii="仿宋" w:hAnsi="仿宋" w:eastAsia="仿宋" w:cs="仿宋"/>
                <w:color w:val="auto"/>
                <w:highlight w:val="none"/>
                <w:lang w:val="en-US" w:eastAsia="zh-CN"/>
              </w:rPr>
            </w:pPr>
          </w:p>
        </w:tc>
      </w:tr>
      <w:tr w14:paraId="6D363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3" w:type="dxa"/>
            <w:tcBorders>
              <w:top w:val="single" w:color="auto" w:sz="4" w:space="0"/>
              <w:left w:val="single" w:color="auto" w:sz="4" w:space="0"/>
              <w:bottom w:val="single" w:color="auto" w:sz="4" w:space="0"/>
              <w:right w:val="single" w:color="auto" w:sz="4" w:space="0"/>
            </w:tcBorders>
            <w:noWrap w:val="0"/>
            <w:vAlign w:val="center"/>
          </w:tcPr>
          <w:p w14:paraId="1A1E2D66">
            <w:pPr>
              <w:widowControl/>
              <w:spacing w:line="36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w:t>
            </w:r>
          </w:p>
        </w:tc>
        <w:tc>
          <w:tcPr>
            <w:tcW w:w="1914" w:type="dxa"/>
            <w:tcBorders>
              <w:top w:val="single" w:color="auto" w:sz="4" w:space="0"/>
              <w:left w:val="single" w:color="auto" w:sz="4" w:space="0"/>
              <w:bottom w:val="single" w:color="auto" w:sz="4" w:space="0"/>
              <w:right w:val="single" w:color="auto" w:sz="4" w:space="0"/>
            </w:tcBorders>
            <w:noWrap w:val="0"/>
            <w:vAlign w:val="center"/>
          </w:tcPr>
          <w:p w14:paraId="622698AB">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售后服务</w:t>
            </w:r>
          </w:p>
          <w:p w14:paraId="601C0B95">
            <w:pPr>
              <w:widowControl/>
              <w:spacing w:line="360" w:lineRule="auto"/>
              <w:jc w:val="center"/>
              <w:rPr>
                <w:rFonts w:hint="eastAsia" w:ascii="仿宋" w:hAnsi="仿宋" w:eastAsia="仿宋" w:cs="仿宋"/>
                <w:bCs/>
                <w:color w:val="auto"/>
                <w:kern w:val="0"/>
                <w:sz w:val="24"/>
                <w:highlight w:val="none"/>
              </w:rPr>
            </w:pPr>
            <w:r>
              <w:rPr>
                <w:rFonts w:hint="eastAsia" w:ascii="仿宋" w:hAnsi="仿宋" w:eastAsia="仿宋" w:cs="仿宋"/>
                <w:color w:val="auto"/>
                <w:sz w:val="24"/>
                <w:highlight w:val="none"/>
              </w:rPr>
              <w:t>承诺</w:t>
            </w:r>
          </w:p>
        </w:tc>
        <w:tc>
          <w:tcPr>
            <w:tcW w:w="5930" w:type="dxa"/>
            <w:tcBorders>
              <w:top w:val="single" w:color="auto" w:sz="4" w:space="0"/>
              <w:left w:val="single" w:color="auto" w:sz="4" w:space="0"/>
              <w:bottom w:val="single" w:color="auto" w:sz="4" w:space="0"/>
              <w:right w:val="single" w:color="auto" w:sz="4" w:space="0"/>
            </w:tcBorders>
            <w:noWrap w:val="0"/>
            <w:vAlign w:val="center"/>
          </w:tcPr>
          <w:p w14:paraId="02A85C6C">
            <w:pPr>
              <w:widowControl/>
              <w:spacing w:line="360" w:lineRule="auto"/>
              <w:jc w:val="center"/>
              <w:rPr>
                <w:rFonts w:hint="eastAsia" w:ascii="仿宋" w:hAnsi="仿宋" w:eastAsia="仿宋" w:cs="仿宋"/>
                <w:color w:val="auto"/>
                <w:kern w:val="0"/>
                <w:sz w:val="24"/>
                <w:highlight w:val="none"/>
              </w:rPr>
            </w:pPr>
          </w:p>
        </w:tc>
      </w:tr>
      <w:tr w14:paraId="5DE9C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3" w:type="dxa"/>
            <w:tcBorders>
              <w:top w:val="single" w:color="auto" w:sz="4" w:space="0"/>
              <w:left w:val="single" w:color="auto" w:sz="4" w:space="0"/>
              <w:bottom w:val="single" w:color="auto" w:sz="4" w:space="0"/>
              <w:right w:val="single" w:color="auto" w:sz="4" w:space="0"/>
            </w:tcBorders>
            <w:noWrap w:val="0"/>
            <w:vAlign w:val="center"/>
          </w:tcPr>
          <w:p w14:paraId="3ED60B84">
            <w:pPr>
              <w:widowControl/>
              <w:spacing w:line="360" w:lineRule="auto"/>
              <w:jc w:val="center"/>
              <w:rPr>
                <w:rFonts w:hint="eastAsia"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5</w:t>
            </w:r>
          </w:p>
        </w:tc>
        <w:tc>
          <w:tcPr>
            <w:tcW w:w="1914" w:type="dxa"/>
            <w:tcBorders>
              <w:top w:val="single" w:color="auto" w:sz="4" w:space="0"/>
              <w:left w:val="single" w:color="auto" w:sz="4" w:space="0"/>
              <w:bottom w:val="single" w:color="auto" w:sz="4" w:space="0"/>
              <w:right w:val="single" w:color="auto" w:sz="4" w:space="0"/>
            </w:tcBorders>
            <w:noWrap w:val="0"/>
            <w:vAlign w:val="center"/>
          </w:tcPr>
          <w:p w14:paraId="111B7962">
            <w:pPr>
              <w:widowControl/>
              <w:spacing w:line="360" w:lineRule="auto"/>
              <w:jc w:val="center"/>
              <w:rPr>
                <w:rFonts w:hint="eastAsia"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其他工作</w:t>
            </w:r>
          </w:p>
        </w:tc>
        <w:tc>
          <w:tcPr>
            <w:tcW w:w="5930" w:type="dxa"/>
            <w:tcBorders>
              <w:top w:val="single" w:color="auto" w:sz="4" w:space="0"/>
              <w:left w:val="single" w:color="auto" w:sz="4" w:space="0"/>
              <w:bottom w:val="single" w:color="auto" w:sz="4" w:space="0"/>
              <w:right w:val="single" w:color="auto" w:sz="4" w:space="0"/>
            </w:tcBorders>
            <w:noWrap w:val="0"/>
            <w:vAlign w:val="center"/>
          </w:tcPr>
          <w:p w14:paraId="4CCFD2A4">
            <w:pPr>
              <w:widowControl/>
              <w:spacing w:line="360" w:lineRule="auto"/>
              <w:jc w:val="left"/>
              <w:rPr>
                <w:rFonts w:hint="eastAsia" w:ascii="仿宋" w:hAnsi="仿宋" w:eastAsia="仿宋" w:cs="仿宋"/>
                <w:color w:val="auto"/>
                <w:kern w:val="0"/>
                <w:sz w:val="24"/>
                <w:highlight w:val="none"/>
              </w:rPr>
            </w:pPr>
          </w:p>
        </w:tc>
      </w:tr>
    </w:tbl>
    <w:p w14:paraId="530DCDC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温馨提示：根据《广西壮族自治区财政厅关于进一步发挥政府采购政策功能促进企业发展的通知》（桂财采〔2022〕30号）规定，采购人应当在项目完成且收到供应商验收申请后5个工作日内组织开展履约验收；对于满足合同约定支付条件的项目，应在收到发票后30日内将资金支付到合同约定的供应商账户，不得以进行审计作为支付供应商款项的条件。加快采购资金支付进度，对于200万元以下的货物和服务项目，鼓励采购人一次性全额支付给供应商。采购人不得以机构变动、人员更替、政策调整、履行内部付款流程等为由延迟付款。）</w:t>
      </w:r>
    </w:p>
    <w:p w14:paraId="3F418EB5">
      <w:pPr>
        <w:spacing w:line="360" w:lineRule="auto"/>
        <w:ind w:firstLine="480" w:firstLineChars="200"/>
        <w:rPr>
          <w:rFonts w:hint="eastAsia" w:ascii="仿宋_GB2312" w:hAnsi="楷体" w:eastAsia="仿宋_GB2312"/>
          <w:color w:val="auto"/>
          <w:sz w:val="24"/>
          <w:highlight w:val="none"/>
        </w:rPr>
      </w:pPr>
      <w:r>
        <w:rPr>
          <w:rFonts w:hint="eastAsia" w:ascii="仿宋" w:hAnsi="仿宋" w:eastAsia="仿宋" w:cs="仿宋"/>
          <w:color w:val="auto"/>
          <w:sz w:val="24"/>
          <w:highlight w:val="none"/>
        </w:rPr>
        <w:t>3.2.7</w:t>
      </w:r>
      <w:r>
        <w:rPr>
          <w:rFonts w:hint="eastAsia" w:ascii="仿宋_GB2312" w:hAnsi="楷体" w:eastAsia="仿宋_GB2312"/>
          <w:color w:val="auto"/>
          <w:sz w:val="24"/>
          <w:highlight w:val="none"/>
        </w:rPr>
        <w:t>验收资料要求</w:t>
      </w:r>
    </w:p>
    <w:p w14:paraId="0C348888">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验收资料要求包括（不限于）以下内容：</w:t>
      </w:r>
    </w:p>
    <w:p w14:paraId="79A6650A">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（1）采购文件；</w:t>
      </w:r>
    </w:p>
    <w:p w14:paraId="72EE777D">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（2）响应文件；</w:t>
      </w:r>
    </w:p>
    <w:p w14:paraId="0BBC157B">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（3）采购合同；</w:t>
      </w:r>
    </w:p>
    <w:p w14:paraId="5C4232C0">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（4）到货核验单（需采购核验人、复核人及乙方交货人三方签字盖章）、产品拍照图片、产品说明书、产品合格证、质量保证书原件、三包凭证、产品的检测报告、原厂质保承诺函等；</w:t>
      </w:r>
    </w:p>
    <w:p w14:paraId="7496EA47">
      <w:pPr>
        <w:spacing w:line="360" w:lineRule="auto"/>
        <w:ind w:firstLine="480" w:firstLineChars="200"/>
        <w:rPr>
          <w:rFonts w:hint="eastAsia" w:ascii="宋体" w:hAnsi="宋体" w:cs="仿宋_GB2312"/>
          <w:b/>
          <w:color w:val="auto"/>
          <w:sz w:val="44"/>
          <w:szCs w:val="44"/>
          <w:highlight w:val="none"/>
        </w:rPr>
      </w:pPr>
      <w:r>
        <w:rPr>
          <w:rFonts w:hint="eastAsia" w:ascii="仿宋_GB2312" w:hAnsi="楷体" w:eastAsia="仿宋_GB2312"/>
          <w:color w:val="auto"/>
          <w:sz w:val="24"/>
          <w:highlight w:val="none"/>
        </w:rPr>
        <w:t>（5）其他需提供的相关材料。</w:t>
      </w:r>
    </w:p>
    <w:p w14:paraId="4AA49490">
      <w:pPr>
        <w:tabs>
          <w:tab w:val="left" w:pos="3261"/>
        </w:tabs>
        <w:spacing w:line="360" w:lineRule="auto"/>
        <w:jc w:val="center"/>
        <w:rPr>
          <w:rFonts w:hint="eastAsia" w:ascii="宋体" w:hAnsi="宋体" w:cs="仿宋_GB2312"/>
          <w:b/>
          <w:color w:val="auto"/>
          <w:sz w:val="44"/>
          <w:szCs w:val="44"/>
          <w:highlight w:val="none"/>
        </w:rPr>
      </w:pPr>
    </w:p>
    <w:p w14:paraId="262DF1C1">
      <w:pPr>
        <w:widowControl/>
        <w:spacing w:line="360" w:lineRule="auto"/>
        <w:jc w:val="left"/>
        <w:rPr>
          <w:rFonts w:ascii="宋体" w:hAnsi="宋体"/>
          <w:b/>
          <w:bCs/>
          <w:color w:val="auto"/>
          <w:sz w:val="44"/>
          <w:szCs w:val="44"/>
          <w:highlight w:val="none"/>
        </w:rPr>
        <w:sectPr>
          <w:pgSz w:w="11910" w:h="16840"/>
          <w:pgMar w:top="1340" w:right="1500" w:bottom="280" w:left="1680" w:header="720" w:footer="720" w:gutter="0"/>
          <w:cols w:space="720" w:num="1"/>
        </w:sectPr>
      </w:pPr>
    </w:p>
    <w:p w14:paraId="474F92D0">
      <w:pPr>
        <w:tabs>
          <w:tab w:val="left" w:pos="3261"/>
        </w:tabs>
        <w:spacing w:line="360" w:lineRule="auto"/>
        <w:jc w:val="center"/>
        <w:rPr>
          <w:rFonts w:hint="eastAsia" w:ascii="宋体" w:hAnsi="宋体" w:cs="仿宋_GB2312"/>
          <w:b/>
          <w:color w:val="auto"/>
          <w:sz w:val="44"/>
          <w:szCs w:val="44"/>
          <w:highlight w:val="none"/>
        </w:rPr>
      </w:pPr>
    </w:p>
    <w:p w14:paraId="11CE7805">
      <w:pPr>
        <w:tabs>
          <w:tab w:val="left" w:pos="3261"/>
        </w:tabs>
        <w:spacing w:line="360" w:lineRule="auto"/>
        <w:jc w:val="center"/>
        <w:rPr>
          <w:rFonts w:hint="eastAsia" w:ascii="宋体" w:hAnsi="宋体" w:cs="仿宋_GB2312"/>
          <w:b/>
          <w:color w:val="auto"/>
          <w:sz w:val="44"/>
          <w:szCs w:val="44"/>
          <w:highlight w:val="none"/>
        </w:rPr>
      </w:pPr>
    </w:p>
    <w:p w14:paraId="4C25C874">
      <w:pPr>
        <w:tabs>
          <w:tab w:val="left" w:pos="3261"/>
        </w:tabs>
        <w:spacing w:line="360" w:lineRule="auto"/>
        <w:jc w:val="center"/>
        <w:rPr>
          <w:rFonts w:hint="eastAsia" w:ascii="宋体" w:hAnsi="宋体" w:cs="仿宋_GB2312"/>
          <w:b/>
          <w:color w:val="auto"/>
          <w:sz w:val="44"/>
          <w:szCs w:val="44"/>
          <w:highlight w:val="none"/>
        </w:rPr>
      </w:pPr>
    </w:p>
    <w:p w14:paraId="7213FADB">
      <w:pPr>
        <w:tabs>
          <w:tab w:val="left" w:pos="3261"/>
        </w:tabs>
        <w:spacing w:line="360" w:lineRule="auto"/>
        <w:jc w:val="center"/>
        <w:rPr>
          <w:rFonts w:hint="eastAsia" w:ascii="宋体" w:hAnsi="宋体" w:cs="仿宋_GB2312"/>
          <w:b/>
          <w:color w:val="auto"/>
          <w:sz w:val="44"/>
          <w:szCs w:val="44"/>
          <w:highlight w:val="none"/>
        </w:rPr>
      </w:pPr>
    </w:p>
    <w:p w14:paraId="4D17389F">
      <w:pPr>
        <w:tabs>
          <w:tab w:val="left" w:pos="3261"/>
        </w:tabs>
        <w:spacing w:line="360" w:lineRule="auto"/>
        <w:jc w:val="center"/>
        <w:rPr>
          <w:rFonts w:hint="eastAsia" w:ascii="宋体" w:hAnsi="宋体" w:cs="仿宋_GB2312"/>
          <w:b/>
          <w:color w:val="auto"/>
          <w:sz w:val="44"/>
          <w:szCs w:val="44"/>
          <w:highlight w:val="none"/>
        </w:rPr>
      </w:pPr>
    </w:p>
    <w:p w14:paraId="6A903C92">
      <w:pPr>
        <w:pStyle w:val="2"/>
        <w:jc w:val="center"/>
        <w:rPr>
          <w:rFonts w:hint="eastAsia" w:ascii="宋体" w:hAnsi="宋体" w:cs="仿宋_GB2312"/>
          <w:color w:val="auto"/>
          <w:highlight w:val="none"/>
        </w:rPr>
      </w:pPr>
      <w:bookmarkStart w:id="269" w:name="_Toc27474"/>
      <w:r>
        <w:rPr>
          <w:rFonts w:hint="eastAsia" w:ascii="宋体" w:hAnsi="宋体" w:cs="仿宋_GB2312"/>
          <w:b w:val="0"/>
          <w:color w:val="auto"/>
          <w:highlight w:val="none"/>
        </w:rPr>
        <w:t>第七章 质疑、投诉材料格式</w:t>
      </w:r>
      <w:bookmarkEnd w:id="269"/>
    </w:p>
    <w:p w14:paraId="75AAA8E7">
      <w:pPr>
        <w:widowControl/>
        <w:spacing w:line="576" w:lineRule="auto"/>
        <w:jc w:val="left"/>
        <w:rPr>
          <w:rFonts w:ascii="宋体" w:hAnsi="宋体" w:cs="仿宋_GB2312"/>
          <w:b/>
          <w:bCs/>
          <w:color w:val="auto"/>
          <w:kern w:val="44"/>
          <w:sz w:val="44"/>
          <w:szCs w:val="44"/>
          <w:highlight w:val="none"/>
        </w:rPr>
        <w:sectPr>
          <w:pgSz w:w="11910" w:h="16840"/>
          <w:pgMar w:top="1340" w:right="1500" w:bottom="280" w:left="1680" w:header="720" w:footer="720" w:gutter="0"/>
          <w:cols w:space="720" w:num="1"/>
        </w:sectPr>
      </w:pPr>
    </w:p>
    <w:p w14:paraId="1D220F32">
      <w:pPr>
        <w:spacing w:line="360" w:lineRule="auto"/>
        <w:jc w:val="center"/>
        <w:rPr>
          <w:rFonts w:hint="eastAsia" w:ascii="宋体" w:hAnsi="宋体"/>
          <w:b/>
          <w:bCs/>
          <w:color w:val="auto"/>
          <w:sz w:val="32"/>
          <w:szCs w:val="32"/>
          <w:highlight w:val="none"/>
        </w:rPr>
      </w:pPr>
      <w:r>
        <w:rPr>
          <w:rFonts w:hint="eastAsia" w:ascii="宋体" w:hAnsi="宋体"/>
          <w:b/>
          <w:bCs/>
          <w:color w:val="auto"/>
          <w:sz w:val="32"/>
          <w:szCs w:val="32"/>
          <w:highlight w:val="none"/>
        </w:rPr>
        <w:t>质疑函（格式）</w:t>
      </w:r>
    </w:p>
    <w:p w14:paraId="1B85DB35">
      <w:pPr>
        <w:pStyle w:val="15"/>
        <w:spacing w:line="360" w:lineRule="auto"/>
        <w:ind w:firstLine="482" w:firstLineChars="200"/>
        <w:rPr>
          <w:rFonts w:hint="eastAsia" w:hAnsi="宋体"/>
          <w:b/>
          <w:bCs/>
          <w:color w:val="auto"/>
          <w:sz w:val="24"/>
          <w:szCs w:val="24"/>
          <w:highlight w:val="none"/>
        </w:rPr>
      </w:pPr>
      <w:r>
        <w:rPr>
          <w:rFonts w:hint="eastAsia" w:hAnsi="宋体"/>
          <w:b/>
          <w:bCs/>
          <w:color w:val="auto"/>
          <w:sz w:val="24"/>
          <w:szCs w:val="24"/>
          <w:highlight w:val="none"/>
        </w:rPr>
        <w:t>一、质疑供应商基本信息：</w:t>
      </w:r>
    </w:p>
    <w:p w14:paraId="25895FDB">
      <w:pPr>
        <w:pStyle w:val="15"/>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质疑供应商：</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35C94F5D">
      <w:pPr>
        <w:pStyle w:val="15"/>
        <w:spacing w:line="360" w:lineRule="auto"/>
        <w:ind w:firstLine="480" w:firstLineChars="200"/>
        <w:rPr>
          <w:rFonts w:hint="eastAsia" w:hAnsi="宋体"/>
          <w:bCs/>
          <w:color w:val="auto"/>
          <w:sz w:val="24"/>
          <w:szCs w:val="24"/>
          <w:highlight w:val="none"/>
        </w:rPr>
      </w:pPr>
      <w:r>
        <w:rPr>
          <w:rFonts w:hint="eastAsia" w:hAnsi="宋体"/>
          <w:bCs/>
          <w:color w:val="auto"/>
          <w:sz w:val="24"/>
          <w:szCs w:val="24"/>
          <w:highlight w:val="none"/>
        </w:rPr>
        <w:t>地址：</w:t>
      </w:r>
      <w:r>
        <w:rPr>
          <w:rFonts w:hint="eastAsia" w:hAnsi="宋体"/>
          <w:bCs/>
          <w:color w:val="auto"/>
          <w:sz w:val="24"/>
          <w:szCs w:val="24"/>
          <w:highlight w:val="none"/>
          <w:u w:val="single"/>
        </w:rPr>
        <w:t xml:space="preserve">                                          </w:t>
      </w:r>
      <w:r>
        <w:rPr>
          <w:rFonts w:hint="eastAsia" w:hAnsi="宋体"/>
          <w:bCs/>
          <w:color w:val="auto"/>
          <w:sz w:val="24"/>
          <w:szCs w:val="24"/>
          <w:highlight w:val="none"/>
        </w:rPr>
        <w:t>邮编：</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4C108B0B">
      <w:pPr>
        <w:pStyle w:val="15"/>
        <w:spacing w:line="360" w:lineRule="auto"/>
        <w:ind w:firstLine="480" w:firstLineChars="200"/>
        <w:rPr>
          <w:rFonts w:hint="eastAsia" w:hAnsi="宋体"/>
          <w:bCs/>
          <w:color w:val="auto"/>
          <w:sz w:val="24"/>
          <w:szCs w:val="24"/>
          <w:highlight w:val="none"/>
        </w:rPr>
      </w:pPr>
      <w:r>
        <w:rPr>
          <w:rFonts w:hint="eastAsia" w:hAnsi="宋体"/>
          <w:bCs/>
          <w:color w:val="auto"/>
          <w:sz w:val="24"/>
          <w:szCs w:val="24"/>
          <w:highlight w:val="none"/>
        </w:rPr>
        <w:t>联系人：</w:t>
      </w:r>
      <w:r>
        <w:rPr>
          <w:rFonts w:hint="eastAsia" w:hAnsi="宋体"/>
          <w:bCs/>
          <w:color w:val="auto"/>
          <w:sz w:val="24"/>
          <w:szCs w:val="24"/>
          <w:highlight w:val="none"/>
          <w:u w:val="single"/>
        </w:rPr>
        <w:t xml:space="preserve">                     </w:t>
      </w:r>
      <w:r>
        <w:rPr>
          <w:rFonts w:hint="eastAsia" w:hAnsi="宋体"/>
          <w:bCs/>
          <w:color w:val="auto"/>
          <w:sz w:val="24"/>
          <w:szCs w:val="24"/>
          <w:highlight w:val="none"/>
        </w:rPr>
        <w:t>联系电话：</w:t>
      </w:r>
      <w:r>
        <w:rPr>
          <w:rFonts w:hint="eastAsia" w:hAnsi="宋体"/>
          <w:bCs/>
          <w:color w:val="auto"/>
          <w:sz w:val="24"/>
          <w:szCs w:val="24"/>
          <w:highlight w:val="none"/>
          <w:u w:val="single"/>
        </w:rPr>
        <w:t xml:space="preserve">                 </w:t>
      </w:r>
    </w:p>
    <w:p w14:paraId="212569D1">
      <w:pPr>
        <w:pStyle w:val="15"/>
        <w:spacing w:line="360" w:lineRule="auto"/>
        <w:ind w:firstLine="480" w:firstLineChars="200"/>
        <w:rPr>
          <w:rFonts w:hint="eastAsia" w:hAnsi="宋体"/>
          <w:bCs/>
          <w:color w:val="auto"/>
          <w:sz w:val="24"/>
          <w:szCs w:val="24"/>
          <w:highlight w:val="none"/>
        </w:rPr>
      </w:pPr>
      <w:r>
        <w:rPr>
          <w:rFonts w:hint="eastAsia" w:hAnsi="宋体"/>
          <w:bCs/>
          <w:color w:val="auto"/>
          <w:sz w:val="24"/>
          <w:szCs w:val="24"/>
          <w:highlight w:val="none"/>
        </w:rPr>
        <w:t>授权代表：</w:t>
      </w:r>
      <w:r>
        <w:rPr>
          <w:rFonts w:hint="eastAsia" w:hAnsi="宋体"/>
          <w:bCs/>
          <w:color w:val="auto"/>
          <w:sz w:val="24"/>
          <w:szCs w:val="24"/>
          <w:highlight w:val="none"/>
          <w:u w:val="single"/>
        </w:rPr>
        <w:t xml:space="preserve">                      </w:t>
      </w:r>
    </w:p>
    <w:p w14:paraId="7424A12E">
      <w:pPr>
        <w:pStyle w:val="15"/>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联系电话：</w:t>
      </w:r>
      <w:r>
        <w:rPr>
          <w:rFonts w:hint="eastAsia" w:hAnsi="宋体"/>
          <w:bCs/>
          <w:color w:val="auto"/>
          <w:sz w:val="24"/>
          <w:szCs w:val="24"/>
          <w:highlight w:val="none"/>
          <w:u w:val="single"/>
        </w:rPr>
        <w:t xml:space="preserve">                      </w:t>
      </w:r>
    </w:p>
    <w:p w14:paraId="4D3F2E22">
      <w:pPr>
        <w:pStyle w:val="15"/>
        <w:spacing w:line="360" w:lineRule="auto"/>
        <w:ind w:firstLine="480" w:firstLineChars="200"/>
        <w:rPr>
          <w:rFonts w:hint="eastAsia" w:hAnsi="宋体"/>
          <w:bCs/>
          <w:color w:val="auto"/>
          <w:sz w:val="24"/>
          <w:szCs w:val="24"/>
          <w:highlight w:val="none"/>
        </w:rPr>
      </w:pPr>
      <w:r>
        <w:rPr>
          <w:rFonts w:hint="eastAsia" w:hAnsi="宋体"/>
          <w:bCs/>
          <w:color w:val="auto"/>
          <w:sz w:val="24"/>
          <w:szCs w:val="24"/>
          <w:highlight w:val="none"/>
        </w:rPr>
        <w:t>地址：</w:t>
      </w:r>
      <w:r>
        <w:rPr>
          <w:rFonts w:hint="eastAsia" w:hAnsi="宋体"/>
          <w:bCs/>
          <w:color w:val="auto"/>
          <w:sz w:val="24"/>
          <w:szCs w:val="24"/>
          <w:highlight w:val="none"/>
          <w:u w:val="single"/>
        </w:rPr>
        <w:t xml:space="preserve">                 </w:t>
      </w:r>
      <w:r>
        <w:rPr>
          <w:rFonts w:hint="eastAsia" w:hAnsi="宋体"/>
          <w:bCs/>
          <w:color w:val="auto"/>
          <w:sz w:val="24"/>
          <w:szCs w:val="24"/>
          <w:highlight w:val="none"/>
        </w:rPr>
        <w:t>邮编：</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4B5F34D7">
      <w:pPr>
        <w:pStyle w:val="15"/>
        <w:spacing w:line="360" w:lineRule="auto"/>
        <w:ind w:firstLine="482" w:firstLineChars="200"/>
        <w:rPr>
          <w:rFonts w:hint="eastAsia" w:hAnsi="宋体"/>
          <w:b/>
          <w:bCs/>
          <w:color w:val="auto"/>
          <w:sz w:val="24"/>
          <w:szCs w:val="24"/>
          <w:highlight w:val="none"/>
        </w:rPr>
      </w:pPr>
      <w:r>
        <w:rPr>
          <w:rFonts w:hint="eastAsia" w:hAnsi="宋体"/>
          <w:b/>
          <w:bCs/>
          <w:color w:val="auto"/>
          <w:sz w:val="24"/>
          <w:szCs w:val="24"/>
          <w:highlight w:val="none"/>
        </w:rPr>
        <w:t>二、质疑项目基本情况：</w:t>
      </w:r>
    </w:p>
    <w:p w14:paraId="2EE52176">
      <w:pPr>
        <w:pStyle w:val="15"/>
        <w:spacing w:line="360" w:lineRule="auto"/>
        <w:ind w:left="25" w:leftChars="12" w:firstLine="472" w:firstLineChars="197"/>
        <w:contextualSpacing/>
        <w:rPr>
          <w:rFonts w:hint="eastAsia" w:hAnsi="宋体"/>
          <w:color w:val="auto"/>
          <w:sz w:val="24"/>
          <w:szCs w:val="24"/>
          <w:highlight w:val="none"/>
        </w:rPr>
      </w:pPr>
      <w:r>
        <w:rPr>
          <w:rFonts w:hint="eastAsia" w:hAnsi="宋体"/>
          <w:bCs/>
          <w:color w:val="auto"/>
          <w:sz w:val="24"/>
          <w:szCs w:val="24"/>
          <w:highlight w:val="none"/>
        </w:rPr>
        <w:t>质疑</w:t>
      </w:r>
      <w:r>
        <w:rPr>
          <w:rFonts w:hint="eastAsia" w:hAnsi="宋体"/>
          <w:color w:val="auto"/>
          <w:sz w:val="24"/>
          <w:szCs w:val="24"/>
          <w:highlight w:val="none"/>
        </w:rPr>
        <w:t>项目的名称：</w:t>
      </w:r>
      <w:r>
        <w:rPr>
          <w:rFonts w:hint="eastAsia" w:hAnsi="宋体"/>
          <w:bCs/>
          <w:color w:val="auto"/>
          <w:sz w:val="24"/>
          <w:szCs w:val="24"/>
          <w:highlight w:val="none"/>
          <w:u w:val="single"/>
        </w:rPr>
        <w:t xml:space="preserve"> </w:t>
      </w:r>
      <w:r>
        <w:rPr>
          <w:rFonts w:hint="eastAsia" w:hAnsi="宋体"/>
          <w:bCs/>
          <w:color w:val="auto"/>
          <w:sz w:val="24"/>
          <w:szCs w:val="24"/>
          <w:highlight w:val="none"/>
          <w:u w:val="single"/>
          <w:lang w:eastAsia="zh-CN"/>
        </w:rPr>
        <w:t>邕宁区蒲庙电灌站灌区续建配套与节水改造工程项目立项建议报告编制技术服务项目</w:t>
      </w:r>
      <w:r>
        <w:rPr>
          <w:rFonts w:hint="eastAsia" w:hAnsi="宋体"/>
          <w:bCs/>
          <w:color w:val="auto"/>
          <w:sz w:val="24"/>
          <w:szCs w:val="24"/>
          <w:highlight w:val="none"/>
          <w:u w:val="single"/>
        </w:rPr>
        <w:t xml:space="preserve"> </w:t>
      </w:r>
    </w:p>
    <w:p w14:paraId="1EDA182D">
      <w:pPr>
        <w:pStyle w:val="15"/>
        <w:spacing w:line="360" w:lineRule="auto"/>
        <w:ind w:left="25" w:leftChars="12" w:firstLine="472" w:firstLineChars="197"/>
        <w:contextualSpacing/>
        <w:rPr>
          <w:rFonts w:hint="eastAsia" w:hAnsi="宋体"/>
          <w:color w:val="auto"/>
          <w:sz w:val="24"/>
          <w:szCs w:val="24"/>
          <w:highlight w:val="none"/>
        </w:rPr>
      </w:pPr>
      <w:r>
        <w:rPr>
          <w:rFonts w:hint="eastAsia" w:hAnsi="宋体"/>
          <w:bCs/>
          <w:color w:val="auto"/>
          <w:sz w:val="24"/>
          <w:szCs w:val="24"/>
          <w:highlight w:val="none"/>
        </w:rPr>
        <w:t>质疑</w:t>
      </w:r>
      <w:r>
        <w:rPr>
          <w:rFonts w:hint="eastAsia" w:hAnsi="宋体"/>
          <w:color w:val="auto"/>
          <w:sz w:val="24"/>
          <w:szCs w:val="24"/>
          <w:highlight w:val="none"/>
        </w:rPr>
        <w:t>项目的编号：</w:t>
      </w:r>
      <w:r>
        <w:rPr>
          <w:rFonts w:hint="eastAsia" w:hAnsi="宋体"/>
          <w:bCs/>
          <w:color w:val="auto"/>
          <w:sz w:val="24"/>
          <w:szCs w:val="24"/>
          <w:highlight w:val="none"/>
          <w:u w:val="single"/>
          <w:lang w:eastAsia="zh-CN"/>
        </w:rPr>
        <w:t>NNZC2026-C3-090018-KWZB</w:t>
      </w:r>
      <w:r>
        <w:rPr>
          <w:rFonts w:hint="eastAsia" w:hAnsi="宋体"/>
          <w:bCs/>
          <w:color w:val="auto"/>
          <w:sz w:val="24"/>
          <w:szCs w:val="24"/>
          <w:highlight w:val="none"/>
          <w:u w:val="single"/>
        </w:rPr>
        <w:t xml:space="preserve"> </w:t>
      </w:r>
    </w:p>
    <w:p w14:paraId="6853A774">
      <w:pPr>
        <w:pStyle w:val="15"/>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采购人名称：</w:t>
      </w:r>
      <w:r>
        <w:rPr>
          <w:rFonts w:hint="eastAsia" w:hAnsi="宋体"/>
          <w:bCs/>
          <w:color w:val="auto"/>
          <w:sz w:val="24"/>
          <w:szCs w:val="24"/>
          <w:highlight w:val="none"/>
          <w:u w:val="single"/>
        </w:rPr>
        <w:t xml:space="preserve">   </w:t>
      </w:r>
      <w:r>
        <w:rPr>
          <w:rFonts w:hint="eastAsia" w:hAnsi="宋体"/>
          <w:bCs/>
          <w:color w:val="auto"/>
          <w:sz w:val="24"/>
          <w:szCs w:val="24"/>
          <w:highlight w:val="none"/>
          <w:u w:val="single"/>
          <w:lang w:eastAsia="zh-CN"/>
        </w:rPr>
        <w:t>南宁市邕宁区农业农村局</w:t>
      </w:r>
      <w:r>
        <w:rPr>
          <w:rFonts w:hint="eastAsia" w:hAnsi="宋体"/>
          <w:bCs/>
          <w:color w:val="auto"/>
          <w:sz w:val="24"/>
          <w:szCs w:val="24"/>
          <w:highlight w:val="none"/>
          <w:u w:val="single"/>
        </w:rPr>
        <w:t xml:space="preserve">  </w:t>
      </w:r>
    </w:p>
    <w:p w14:paraId="5B4BD45A">
      <w:pPr>
        <w:pStyle w:val="15"/>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质疑事项：</w:t>
      </w:r>
    </w:p>
    <w:p w14:paraId="55F52671">
      <w:pPr>
        <w:pStyle w:val="15"/>
        <w:spacing w:line="360" w:lineRule="auto"/>
        <w:ind w:left="25" w:leftChars="12" w:firstLine="352" w:firstLineChars="147"/>
        <w:contextualSpacing/>
        <w:rPr>
          <w:rFonts w:hint="eastAsia" w:hAnsi="宋体"/>
          <w:color w:val="auto"/>
          <w:sz w:val="24"/>
          <w:szCs w:val="24"/>
          <w:highlight w:val="none"/>
        </w:rPr>
      </w:pPr>
      <w:r>
        <w:rPr>
          <w:rFonts w:hint="eastAsia" w:hAnsi="宋体"/>
          <w:color w:val="auto"/>
          <w:sz w:val="24"/>
          <w:szCs w:val="24"/>
          <w:highlight w:val="none"/>
        </w:rPr>
        <w:t>□采购文件   采购文件获取日期：</w:t>
      </w:r>
      <w:r>
        <w:rPr>
          <w:rFonts w:hint="eastAsia" w:hAnsi="宋体"/>
          <w:bCs/>
          <w:color w:val="auto"/>
          <w:sz w:val="24"/>
          <w:szCs w:val="24"/>
          <w:highlight w:val="none"/>
          <w:u w:val="single"/>
        </w:rPr>
        <w:t xml:space="preserve">                                   </w:t>
      </w:r>
    </w:p>
    <w:p w14:paraId="0E70A0C1">
      <w:pPr>
        <w:pStyle w:val="15"/>
        <w:spacing w:line="360" w:lineRule="auto"/>
        <w:ind w:left="25" w:leftChars="12" w:firstLine="352" w:firstLineChars="147"/>
        <w:contextualSpacing/>
        <w:rPr>
          <w:rFonts w:hint="eastAsia" w:hAnsi="宋体"/>
          <w:color w:val="auto"/>
          <w:sz w:val="24"/>
          <w:szCs w:val="24"/>
          <w:highlight w:val="none"/>
        </w:rPr>
      </w:pPr>
      <w:r>
        <w:rPr>
          <w:rFonts w:hint="eastAsia" w:hAnsi="宋体"/>
          <w:color w:val="auto"/>
          <w:sz w:val="24"/>
          <w:szCs w:val="24"/>
          <w:highlight w:val="none"/>
        </w:rPr>
        <w:t xml:space="preserve">□采购过程   </w:t>
      </w:r>
    </w:p>
    <w:p w14:paraId="3F010DBC">
      <w:pPr>
        <w:pStyle w:val="15"/>
        <w:spacing w:line="360" w:lineRule="auto"/>
        <w:ind w:left="25" w:leftChars="12" w:firstLine="352" w:firstLineChars="147"/>
        <w:contextualSpacing/>
        <w:rPr>
          <w:rFonts w:hint="eastAsia" w:hAnsi="宋体"/>
          <w:bCs/>
          <w:color w:val="auto"/>
          <w:sz w:val="24"/>
          <w:szCs w:val="24"/>
          <w:highlight w:val="none"/>
          <w:u w:val="single"/>
        </w:rPr>
      </w:pPr>
      <w:r>
        <w:rPr>
          <w:rFonts w:hint="eastAsia" w:hAnsi="宋体"/>
          <w:color w:val="auto"/>
          <w:sz w:val="24"/>
          <w:szCs w:val="24"/>
          <w:highlight w:val="none"/>
        </w:rPr>
        <w:t xml:space="preserve">□成交结果   </w:t>
      </w:r>
    </w:p>
    <w:p w14:paraId="72607C3E">
      <w:pPr>
        <w:pStyle w:val="15"/>
        <w:spacing w:line="360" w:lineRule="auto"/>
        <w:ind w:left="25" w:leftChars="12" w:firstLine="472" w:firstLineChars="196"/>
        <w:contextualSpacing/>
        <w:rPr>
          <w:rFonts w:hint="eastAsia" w:hAnsi="宋体"/>
          <w:b/>
          <w:color w:val="auto"/>
          <w:sz w:val="24"/>
          <w:szCs w:val="24"/>
          <w:highlight w:val="none"/>
        </w:rPr>
      </w:pPr>
      <w:r>
        <w:rPr>
          <w:rFonts w:hint="eastAsia" w:hAnsi="宋体"/>
          <w:b/>
          <w:color w:val="auto"/>
          <w:sz w:val="24"/>
          <w:szCs w:val="24"/>
          <w:highlight w:val="none"/>
        </w:rPr>
        <w:t>三、质疑事项具体内容</w:t>
      </w:r>
    </w:p>
    <w:p w14:paraId="180296CD">
      <w:pPr>
        <w:pStyle w:val="15"/>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质疑事项1：</w:t>
      </w:r>
      <w:r>
        <w:rPr>
          <w:rFonts w:hint="eastAsia" w:hAnsi="宋体"/>
          <w:bCs/>
          <w:color w:val="auto"/>
          <w:sz w:val="24"/>
          <w:szCs w:val="24"/>
          <w:highlight w:val="none"/>
          <w:u w:val="single"/>
        </w:rPr>
        <w:t xml:space="preserve">                                                                    </w:t>
      </w:r>
    </w:p>
    <w:p w14:paraId="732C5BD5">
      <w:pPr>
        <w:pStyle w:val="15"/>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事实依据：</w:t>
      </w:r>
      <w:r>
        <w:rPr>
          <w:rFonts w:hint="eastAsia" w:hAnsi="宋体"/>
          <w:bCs/>
          <w:color w:val="auto"/>
          <w:sz w:val="24"/>
          <w:szCs w:val="24"/>
          <w:highlight w:val="none"/>
          <w:u w:val="single"/>
        </w:rPr>
        <w:t xml:space="preserve">                                                                      </w:t>
      </w:r>
    </w:p>
    <w:p w14:paraId="15D757F8">
      <w:pPr>
        <w:pStyle w:val="15"/>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法律依据：</w:t>
      </w:r>
      <w:r>
        <w:rPr>
          <w:rFonts w:hint="eastAsia" w:hAnsi="宋体"/>
          <w:color w:val="auto"/>
          <w:sz w:val="24"/>
          <w:szCs w:val="24"/>
          <w:highlight w:val="none"/>
          <w:u w:val="single"/>
        </w:rPr>
        <w:t xml:space="preserve">                                                        </w:t>
      </w:r>
      <w:r>
        <w:rPr>
          <w:rFonts w:hint="eastAsia" w:hAnsi="宋体"/>
          <w:bCs/>
          <w:color w:val="auto"/>
          <w:sz w:val="24"/>
          <w:szCs w:val="24"/>
          <w:highlight w:val="none"/>
          <w:u w:val="single"/>
        </w:rPr>
        <w:t xml:space="preserve">               </w:t>
      </w:r>
    </w:p>
    <w:p w14:paraId="3EDA9B5D">
      <w:pPr>
        <w:pStyle w:val="15"/>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质疑事项2</w:t>
      </w:r>
    </w:p>
    <w:p w14:paraId="137CEFEC">
      <w:pPr>
        <w:pStyle w:val="15"/>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w:t>
      </w:r>
    </w:p>
    <w:p w14:paraId="31585C3F">
      <w:pPr>
        <w:pStyle w:val="15"/>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四、与质疑事项相关的质疑请求：</w:t>
      </w:r>
    </w:p>
    <w:p w14:paraId="3621BFF5">
      <w:pPr>
        <w:pStyle w:val="15"/>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请求：</w:t>
      </w:r>
      <w:r>
        <w:rPr>
          <w:rFonts w:hint="eastAsia" w:hAnsi="宋体"/>
          <w:bCs/>
          <w:color w:val="auto"/>
          <w:sz w:val="24"/>
          <w:szCs w:val="24"/>
          <w:highlight w:val="none"/>
          <w:u w:val="single"/>
        </w:rPr>
        <w:t xml:space="preserve">                                                                </w:t>
      </w:r>
    </w:p>
    <w:p w14:paraId="25A01563">
      <w:pPr>
        <w:pStyle w:val="15"/>
        <w:spacing w:line="360" w:lineRule="auto"/>
        <w:ind w:left="25" w:leftChars="12" w:firstLine="352" w:firstLineChars="147"/>
        <w:contextualSpacing/>
        <w:rPr>
          <w:rFonts w:hint="eastAsia" w:hAnsi="宋体"/>
          <w:color w:val="auto"/>
          <w:sz w:val="24"/>
          <w:szCs w:val="24"/>
          <w:highlight w:val="none"/>
        </w:rPr>
      </w:pPr>
    </w:p>
    <w:p w14:paraId="5259DEE8">
      <w:pPr>
        <w:pStyle w:val="15"/>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签字（签章）：                                       公章：</w:t>
      </w:r>
    </w:p>
    <w:p w14:paraId="09FCA74B">
      <w:pPr>
        <w:pStyle w:val="15"/>
        <w:spacing w:line="360" w:lineRule="auto"/>
        <w:ind w:left="25" w:leftChars="12" w:firstLine="352" w:firstLineChars="147"/>
        <w:contextualSpacing/>
        <w:rPr>
          <w:rFonts w:hint="eastAsia" w:hAnsi="宋体"/>
          <w:color w:val="auto"/>
          <w:sz w:val="24"/>
          <w:szCs w:val="24"/>
          <w:highlight w:val="none"/>
        </w:rPr>
      </w:pPr>
    </w:p>
    <w:p w14:paraId="2F14A1B2">
      <w:pPr>
        <w:pStyle w:val="15"/>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日期：</w:t>
      </w:r>
    </w:p>
    <w:p w14:paraId="0F059023">
      <w:pPr>
        <w:pStyle w:val="15"/>
        <w:spacing w:line="360" w:lineRule="auto"/>
        <w:rPr>
          <w:rFonts w:hint="eastAsia" w:hAnsi="宋体"/>
          <w:b/>
          <w:color w:val="auto"/>
          <w:sz w:val="24"/>
          <w:szCs w:val="24"/>
          <w:highlight w:val="none"/>
        </w:rPr>
      </w:pPr>
    </w:p>
    <w:p w14:paraId="4F415ADD">
      <w:pPr>
        <w:pStyle w:val="15"/>
        <w:spacing w:line="360" w:lineRule="auto"/>
        <w:rPr>
          <w:rFonts w:hint="eastAsia" w:hAnsi="宋体"/>
          <w:b/>
          <w:color w:val="auto"/>
          <w:sz w:val="24"/>
          <w:szCs w:val="24"/>
          <w:highlight w:val="none"/>
        </w:rPr>
      </w:pPr>
    </w:p>
    <w:p w14:paraId="7201D7F5">
      <w:pPr>
        <w:pStyle w:val="15"/>
        <w:spacing w:line="360" w:lineRule="auto"/>
        <w:rPr>
          <w:rFonts w:hint="eastAsia" w:hAnsi="宋体"/>
          <w:b/>
          <w:color w:val="auto"/>
          <w:sz w:val="24"/>
          <w:szCs w:val="24"/>
          <w:highlight w:val="none"/>
        </w:rPr>
      </w:pPr>
      <w:r>
        <w:rPr>
          <w:rFonts w:hint="eastAsia" w:hAnsi="宋体"/>
          <w:b/>
          <w:color w:val="auto"/>
          <w:sz w:val="24"/>
          <w:szCs w:val="24"/>
          <w:highlight w:val="none"/>
        </w:rPr>
        <w:t>说明：</w:t>
      </w:r>
    </w:p>
    <w:p w14:paraId="06033BC8">
      <w:pPr>
        <w:pStyle w:val="15"/>
        <w:spacing w:line="360" w:lineRule="auto"/>
        <w:ind w:left="25" w:leftChars="12" w:firstLine="354" w:firstLineChars="147"/>
        <w:contextualSpacing/>
        <w:rPr>
          <w:rFonts w:hint="eastAsia" w:hAnsi="宋体"/>
          <w:b/>
          <w:bCs/>
          <w:color w:val="auto"/>
          <w:sz w:val="24"/>
          <w:szCs w:val="24"/>
          <w:highlight w:val="none"/>
        </w:rPr>
      </w:pPr>
      <w:r>
        <w:rPr>
          <w:rFonts w:hint="eastAsia" w:hAnsi="宋体"/>
          <w:b/>
          <w:color w:val="auto"/>
          <w:sz w:val="24"/>
          <w:szCs w:val="24"/>
          <w:highlight w:val="none"/>
        </w:rPr>
        <w:t>1.供应商提出质疑时，应提交质疑函和必要的证明材料</w:t>
      </w:r>
      <w:r>
        <w:rPr>
          <w:rFonts w:hint="eastAsia" w:hAnsi="宋体"/>
          <w:b/>
          <w:bCs/>
          <w:color w:val="auto"/>
          <w:sz w:val="24"/>
          <w:szCs w:val="24"/>
          <w:highlight w:val="none"/>
        </w:rPr>
        <w:t>。</w:t>
      </w:r>
    </w:p>
    <w:p w14:paraId="181EEE6B">
      <w:pPr>
        <w:pStyle w:val="15"/>
        <w:spacing w:line="360" w:lineRule="auto"/>
        <w:ind w:left="25" w:leftChars="12" w:firstLine="354" w:firstLineChars="147"/>
        <w:contextualSpacing/>
        <w:rPr>
          <w:rFonts w:hint="eastAsia" w:hAnsi="宋体"/>
          <w:b/>
          <w:color w:val="auto"/>
          <w:sz w:val="24"/>
          <w:szCs w:val="24"/>
          <w:highlight w:val="none"/>
        </w:rPr>
      </w:pPr>
      <w:r>
        <w:rPr>
          <w:rFonts w:hint="eastAsia" w:hAnsi="宋体"/>
          <w:b/>
          <w:color w:val="auto"/>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18F8B87E">
      <w:pPr>
        <w:pStyle w:val="15"/>
        <w:spacing w:line="360" w:lineRule="auto"/>
        <w:ind w:left="25" w:leftChars="12" w:firstLine="354" w:firstLineChars="147"/>
        <w:contextualSpacing/>
        <w:rPr>
          <w:rFonts w:hint="eastAsia" w:hAnsi="宋体"/>
          <w:b/>
          <w:color w:val="auto"/>
          <w:sz w:val="24"/>
          <w:szCs w:val="24"/>
          <w:highlight w:val="none"/>
        </w:rPr>
      </w:pPr>
      <w:r>
        <w:rPr>
          <w:rFonts w:hint="eastAsia" w:hAnsi="宋体"/>
          <w:b/>
          <w:color w:val="auto"/>
          <w:sz w:val="24"/>
          <w:szCs w:val="24"/>
          <w:highlight w:val="none"/>
        </w:rPr>
        <w:t>3.质疑函的质疑事项应具体、明确，并有必要的事实依据和法律依据。</w:t>
      </w:r>
    </w:p>
    <w:p w14:paraId="6FFC9F0E">
      <w:pPr>
        <w:pStyle w:val="15"/>
        <w:spacing w:line="360" w:lineRule="auto"/>
        <w:ind w:left="25" w:leftChars="12" w:firstLine="354" w:firstLineChars="147"/>
        <w:contextualSpacing/>
        <w:rPr>
          <w:rFonts w:hint="eastAsia" w:hAnsi="宋体"/>
          <w:b/>
          <w:color w:val="auto"/>
          <w:sz w:val="24"/>
          <w:szCs w:val="24"/>
          <w:highlight w:val="none"/>
        </w:rPr>
      </w:pPr>
      <w:r>
        <w:rPr>
          <w:rFonts w:hint="eastAsia" w:hAnsi="宋体"/>
          <w:b/>
          <w:color w:val="auto"/>
          <w:sz w:val="24"/>
          <w:szCs w:val="24"/>
          <w:highlight w:val="none"/>
        </w:rPr>
        <w:t>4.质疑函的质疑请求应与质疑事项相关。</w:t>
      </w:r>
    </w:p>
    <w:p w14:paraId="16E0444F">
      <w:pPr>
        <w:pStyle w:val="15"/>
        <w:spacing w:line="360" w:lineRule="auto"/>
        <w:ind w:left="25" w:leftChars="12" w:firstLine="354" w:firstLineChars="147"/>
        <w:contextualSpacing/>
        <w:rPr>
          <w:rFonts w:hint="eastAsia" w:hAnsi="宋体"/>
          <w:b/>
          <w:color w:val="auto"/>
          <w:highlight w:val="none"/>
        </w:rPr>
      </w:pPr>
      <w:r>
        <w:rPr>
          <w:rFonts w:hint="eastAsia" w:hAnsi="宋体"/>
          <w:b/>
          <w:color w:val="auto"/>
          <w:sz w:val="24"/>
          <w:szCs w:val="24"/>
          <w:highlight w:val="none"/>
        </w:rPr>
        <w:t>5.质疑供应商为法人或者其他组织的，质疑函应由法定代表人、主要负责人，或者其授权代表签字或者盖章，并加盖公章。</w:t>
      </w:r>
    </w:p>
    <w:p w14:paraId="152A22D1">
      <w:pPr>
        <w:pStyle w:val="15"/>
        <w:snapToGrid w:val="0"/>
        <w:rPr>
          <w:rFonts w:hint="eastAsia"/>
          <w:b/>
          <w:color w:val="auto"/>
          <w:sz w:val="24"/>
          <w:szCs w:val="24"/>
          <w:highlight w:val="none"/>
        </w:rPr>
      </w:pPr>
    </w:p>
    <w:p w14:paraId="0AFDD8CB">
      <w:pPr>
        <w:spacing w:line="460" w:lineRule="exact"/>
        <w:jc w:val="center"/>
        <w:rPr>
          <w:rFonts w:hint="eastAsia" w:eastAsia="隶书"/>
          <w:color w:val="auto"/>
          <w:sz w:val="44"/>
          <w:highlight w:val="none"/>
        </w:rPr>
      </w:pPr>
      <w:r>
        <w:rPr>
          <w:rFonts w:eastAsia="隶书"/>
          <w:color w:val="auto"/>
          <w:sz w:val="44"/>
          <w:highlight w:val="none"/>
        </w:rPr>
        <w:br w:type="page"/>
      </w:r>
    </w:p>
    <w:p w14:paraId="68171D0F">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投诉书（格式）</w:t>
      </w:r>
    </w:p>
    <w:p w14:paraId="66A7F6A2">
      <w:pPr>
        <w:pStyle w:val="15"/>
        <w:snapToGrid w:val="0"/>
        <w:spacing w:line="360" w:lineRule="auto"/>
        <w:ind w:firstLine="482" w:firstLineChars="200"/>
        <w:rPr>
          <w:rFonts w:hint="eastAsia" w:hAnsi="宋体"/>
          <w:b/>
          <w:bCs/>
          <w:color w:val="auto"/>
          <w:sz w:val="24"/>
          <w:szCs w:val="24"/>
          <w:highlight w:val="none"/>
        </w:rPr>
      </w:pPr>
      <w:r>
        <w:rPr>
          <w:rFonts w:hint="eastAsia" w:hAnsi="宋体"/>
          <w:b/>
          <w:bCs/>
          <w:color w:val="auto"/>
          <w:sz w:val="24"/>
          <w:szCs w:val="24"/>
          <w:highlight w:val="none"/>
        </w:rPr>
        <w:t>一、投诉相关主体基本情况：</w:t>
      </w:r>
    </w:p>
    <w:p w14:paraId="797B003D">
      <w:pPr>
        <w:pStyle w:val="15"/>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供应商：</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0649F6D2">
      <w:pPr>
        <w:pStyle w:val="15"/>
        <w:snapToGrid w:val="0"/>
        <w:spacing w:line="360" w:lineRule="auto"/>
        <w:ind w:firstLine="480" w:firstLineChars="200"/>
        <w:rPr>
          <w:rFonts w:hint="eastAsia" w:hAnsi="宋体"/>
          <w:bCs/>
          <w:color w:val="auto"/>
          <w:sz w:val="24"/>
          <w:szCs w:val="24"/>
          <w:highlight w:val="none"/>
        </w:rPr>
      </w:pPr>
      <w:r>
        <w:rPr>
          <w:rFonts w:hint="eastAsia" w:hAnsi="宋体"/>
          <w:bCs/>
          <w:color w:val="auto"/>
          <w:sz w:val="24"/>
          <w:szCs w:val="24"/>
          <w:highlight w:val="none"/>
        </w:rPr>
        <w:t>地址：</w:t>
      </w:r>
      <w:r>
        <w:rPr>
          <w:rFonts w:hint="eastAsia" w:hAnsi="宋体"/>
          <w:bCs/>
          <w:color w:val="auto"/>
          <w:sz w:val="24"/>
          <w:szCs w:val="24"/>
          <w:highlight w:val="none"/>
          <w:u w:val="single"/>
        </w:rPr>
        <w:t xml:space="preserve">                                          </w:t>
      </w:r>
      <w:r>
        <w:rPr>
          <w:rFonts w:hint="eastAsia" w:hAnsi="宋体"/>
          <w:bCs/>
          <w:color w:val="auto"/>
          <w:sz w:val="24"/>
          <w:szCs w:val="24"/>
          <w:highlight w:val="none"/>
        </w:rPr>
        <w:t>邮编：</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5651E039">
      <w:pPr>
        <w:pStyle w:val="15"/>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法定代表人/主要负责人：</w:t>
      </w:r>
      <w:r>
        <w:rPr>
          <w:rFonts w:hint="eastAsia" w:hAnsi="宋体"/>
          <w:bCs/>
          <w:color w:val="auto"/>
          <w:sz w:val="24"/>
          <w:szCs w:val="24"/>
          <w:highlight w:val="none"/>
          <w:u w:val="single"/>
        </w:rPr>
        <w:t xml:space="preserve">                                                         </w:t>
      </w:r>
    </w:p>
    <w:p w14:paraId="4569DE11">
      <w:pPr>
        <w:pStyle w:val="15"/>
        <w:snapToGrid w:val="0"/>
        <w:spacing w:line="360" w:lineRule="auto"/>
        <w:ind w:firstLine="480" w:firstLineChars="200"/>
        <w:rPr>
          <w:rFonts w:hint="eastAsia" w:hAnsi="宋体"/>
          <w:bCs/>
          <w:color w:val="auto"/>
          <w:sz w:val="24"/>
          <w:szCs w:val="24"/>
          <w:highlight w:val="none"/>
        </w:rPr>
      </w:pPr>
      <w:r>
        <w:rPr>
          <w:rFonts w:hint="eastAsia" w:hAnsi="宋体"/>
          <w:bCs/>
          <w:color w:val="auto"/>
          <w:sz w:val="24"/>
          <w:szCs w:val="24"/>
          <w:highlight w:val="none"/>
        </w:rPr>
        <w:t>联系电话：</w:t>
      </w:r>
      <w:r>
        <w:rPr>
          <w:rFonts w:hint="eastAsia" w:hAnsi="宋体"/>
          <w:bCs/>
          <w:color w:val="auto"/>
          <w:sz w:val="24"/>
          <w:szCs w:val="24"/>
          <w:highlight w:val="none"/>
          <w:u w:val="single"/>
        </w:rPr>
        <w:t xml:space="preserve">                                         </w:t>
      </w:r>
    </w:p>
    <w:p w14:paraId="2C969344">
      <w:pPr>
        <w:pStyle w:val="15"/>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授权代表：</w:t>
      </w:r>
      <w:r>
        <w:rPr>
          <w:rFonts w:hint="eastAsia" w:hAnsi="宋体"/>
          <w:bCs/>
          <w:color w:val="auto"/>
          <w:sz w:val="24"/>
          <w:szCs w:val="24"/>
          <w:highlight w:val="none"/>
          <w:u w:val="single"/>
        </w:rPr>
        <w:t xml:space="preserve">                                         </w:t>
      </w:r>
      <w:r>
        <w:rPr>
          <w:rFonts w:hint="eastAsia" w:hAnsi="宋体"/>
          <w:bCs/>
          <w:color w:val="auto"/>
          <w:sz w:val="24"/>
          <w:szCs w:val="24"/>
          <w:highlight w:val="none"/>
        </w:rPr>
        <w:t>联系电话：</w:t>
      </w:r>
      <w:r>
        <w:rPr>
          <w:rFonts w:hint="eastAsia" w:hAnsi="宋体"/>
          <w:bCs/>
          <w:color w:val="auto"/>
          <w:sz w:val="24"/>
          <w:szCs w:val="24"/>
          <w:highlight w:val="none"/>
          <w:u w:val="single"/>
        </w:rPr>
        <w:t xml:space="preserve">                   </w:t>
      </w:r>
    </w:p>
    <w:p w14:paraId="114017B8">
      <w:pPr>
        <w:pStyle w:val="15"/>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地址：</w:t>
      </w:r>
      <w:r>
        <w:rPr>
          <w:rFonts w:hint="eastAsia" w:hAnsi="宋体"/>
          <w:bCs/>
          <w:color w:val="auto"/>
          <w:sz w:val="24"/>
          <w:szCs w:val="24"/>
          <w:highlight w:val="none"/>
          <w:u w:val="single"/>
        </w:rPr>
        <w:t xml:space="preserve">                                                            </w:t>
      </w:r>
    </w:p>
    <w:p w14:paraId="08B53049">
      <w:pPr>
        <w:pStyle w:val="15"/>
        <w:snapToGrid w:val="0"/>
        <w:spacing w:line="360" w:lineRule="auto"/>
        <w:ind w:firstLine="480" w:firstLineChars="200"/>
        <w:rPr>
          <w:rFonts w:hint="eastAsia" w:hAnsi="宋体"/>
          <w:bCs/>
          <w:color w:val="auto"/>
          <w:sz w:val="24"/>
          <w:szCs w:val="24"/>
          <w:highlight w:val="none"/>
        </w:rPr>
      </w:pPr>
      <w:r>
        <w:rPr>
          <w:rFonts w:hint="eastAsia" w:hAnsi="宋体"/>
          <w:bCs/>
          <w:color w:val="auto"/>
          <w:sz w:val="24"/>
          <w:szCs w:val="24"/>
          <w:highlight w:val="none"/>
        </w:rPr>
        <w:t>邮编：</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0A2DF546">
      <w:pPr>
        <w:pStyle w:val="15"/>
        <w:snapToGrid w:val="0"/>
        <w:spacing w:line="360" w:lineRule="auto"/>
        <w:ind w:firstLine="480" w:firstLineChars="200"/>
        <w:rPr>
          <w:rFonts w:hint="eastAsia" w:hAnsi="宋体"/>
          <w:bCs/>
          <w:color w:val="auto"/>
          <w:sz w:val="24"/>
          <w:szCs w:val="24"/>
          <w:highlight w:val="none"/>
        </w:rPr>
      </w:pPr>
      <w:r>
        <w:rPr>
          <w:rFonts w:hint="eastAsia" w:hAnsi="宋体"/>
          <w:bCs/>
          <w:color w:val="auto"/>
          <w:sz w:val="24"/>
          <w:szCs w:val="24"/>
          <w:highlight w:val="none"/>
        </w:rPr>
        <w:t>被投诉人1：</w:t>
      </w:r>
    </w:p>
    <w:p w14:paraId="3CC5A503">
      <w:pPr>
        <w:pStyle w:val="15"/>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地址：</w:t>
      </w:r>
      <w:r>
        <w:rPr>
          <w:rFonts w:hint="eastAsia" w:hAnsi="宋体"/>
          <w:bCs/>
          <w:color w:val="auto"/>
          <w:sz w:val="24"/>
          <w:szCs w:val="24"/>
          <w:highlight w:val="none"/>
          <w:u w:val="single"/>
        </w:rPr>
        <w:t xml:space="preserve">                                                            </w:t>
      </w:r>
    </w:p>
    <w:p w14:paraId="4B773387">
      <w:pPr>
        <w:pStyle w:val="15"/>
        <w:snapToGrid w:val="0"/>
        <w:spacing w:line="360" w:lineRule="auto"/>
        <w:ind w:firstLine="480" w:firstLineChars="200"/>
        <w:rPr>
          <w:rFonts w:hint="eastAsia" w:hAnsi="宋体"/>
          <w:bCs/>
          <w:color w:val="auto"/>
          <w:sz w:val="24"/>
          <w:szCs w:val="24"/>
          <w:highlight w:val="none"/>
        </w:rPr>
      </w:pPr>
      <w:r>
        <w:rPr>
          <w:rFonts w:hint="eastAsia" w:hAnsi="宋体"/>
          <w:bCs/>
          <w:color w:val="auto"/>
          <w:sz w:val="24"/>
          <w:szCs w:val="24"/>
          <w:highlight w:val="none"/>
        </w:rPr>
        <w:t>邮编：</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1B2D9D74">
      <w:pPr>
        <w:pStyle w:val="15"/>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联系人：</w:t>
      </w:r>
      <w:r>
        <w:rPr>
          <w:rFonts w:hint="eastAsia" w:hAnsi="宋体"/>
          <w:bCs/>
          <w:color w:val="auto"/>
          <w:sz w:val="24"/>
          <w:szCs w:val="24"/>
          <w:highlight w:val="none"/>
          <w:u w:val="single"/>
        </w:rPr>
        <w:t xml:space="preserve">                                                </w:t>
      </w:r>
      <w:r>
        <w:rPr>
          <w:rFonts w:hint="eastAsia" w:hAnsi="宋体"/>
          <w:bCs/>
          <w:color w:val="auto"/>
          <w:sz w:val="24"/>
          <w:szCs w:val="24"/>
          <w:highlight w:val="none"/>
        </w:rPr>
        <w:t>联系电话：</w:t>
      </w:r>
      <w:r>
        <w:rPr>
          <w:rFonts w:hint="eastAsia" w:hAnsi="宋体"/>
          <w:bCs/>
          <w:color w:val="auto"/>
          <w:sz w:val="24"/>
          <w:szCs w:val="24"/>
          <w:highlight w:val="none"/>
          <w:u w:val="single"/>
        </w:rPr>
        <w:t xml:space="preserve">                </w:t>
      </w:r>
    </w:p>
    <w:p w14:paraId="5258CCD8">
      <w:pPr>
        <w:pStyle w:val="15"/>
        <w:snapToGrid w:val="0"/>
        <w:spacing w:line="360" w:lineRule="auto"/>
        <w:ind w:firstLine="480" w:firstLineChars="200"/>
        <w:rPr>
          <w:rFonts w:hint="eastAsia" w:hAnsi="宋体"/>
          <w:bCs/>
          <w:color w:val="auto"/>
          <w:sz w:val="24"/>
          <w:szCs w:val="24"/>
          <w:highlight w:val="none"/>
        </w:rPr>
      </w:pPr>
      <w:r>
        <w:rPr>
          <w:rFonts w:hint="eastAsia" w:hAnsi="宋体"/>
          <w:bCs/>
          <w:color w:val="auto"/>
          <w:sz w:val="24"/>
          <w:szCs w:val="24"/>
          <w:highlight w:val="none"/>
        </w:rPr>
        <w:t>被投诉人2：</w:t>
      </w:r>
    </w:p>
    <w:p w14:paraId="2F8F14C1">
      <w:pPr>
        <w:pStyle w:val="15"/>
        <w:snapToGrid w:val="0"/>
        <w:spacing w:line="360" w:lineRule="auto"/>
        <w:ind w:firstLine="480" w:firstLineChars="200"/>
        <w:rPr>
          <w:rFonts w:hint="eastAsia" w:hAnsi="宋体"/>
          <w:bCs/>
          <w:color w:val="auto"/>
          <w:sz w:val="24"/>
          <w:szCs w:val="24"/>
          <w:highlight w:val="none"/>
        </w:rPr>
      </w:pPr>
      <w:r>
        <w:rPr>
          <w:rFonts w:hint="eastAsia" w:hAnsi="宋体"/>
          <w:bCs/>
          <w:color w:val="auto"/>
          <w:sz w:val="24"/>
          <w:szCs w:val="24"/>
          <w:highlight w:val="none"/>
        </w:rPr>
        <w:t>……</w:t>
      </w:r>
    </w:p>
    <w:p w14:paraId="155A88CA">
      <w:pPr>
        <w:pStyle w:val="15"/>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相关供应商：</w:t>
      </w:r>
      <w:r>
        <w:rPr>
          <w:rFonts w:hint="eastAsia" w:hAnsi="宋体"/>
          <w:bCs/>
          <w:color w:val="auto"/>
          <w:sz w:val="24"/>
          <w:szCs w:val="24"/>
          <w:highlight w:val="none"/>
          <w:u w:val="single"/>
        </w:rPr>
        <w:t xml:space="preserve">                                                                       </w:t>
      </w:r>
    </w:p>
    <w:p w14:paraId="7530856A">
      <w:pPr>
        <w:pStyle w:val="15"/>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地址：</w:t>
      </w:r>
      <w:r>
        <w:rPr>
          <w:rFonts w:hint="eastAsia" w:hAnsi="宋体"/>
          <w:bCs/>
          <w:color w:val="auto"/>
          <w:sz w:val="24"/>
          <w:szCs w:val="24"/>
          <w:highlight w:val="none"/>
          <w:u w:val="single"/>
        </w:rPr>
        <w:t xml:space="preserve">                                              </w:t>
      </w:r>
      <w:r>
        <w:rPr>
          <w:rFonts w:hint="eastAsia" w:hAnsi="宋体"/>
          <w:bCs/>
          <w:color w:val="auto"/>
          <w:sz w:val="24"/>
          <w:szCs w:val="24"/>
          <w:highlight w:val="none"/>
        </w:rPr>
        <w:t>邮编：</w:t>
      </w:r>
      <w:r>
        <w:rPr>
          <w:rFonts w:hint="eastAsia" w:hAnsi="宋体"/>
          <w:bCs/>
          <w:color w:val="auto"/>
          <w:sz w:val="24"/>
          <w:szCs w:val="24"/>
          <w:highlight w:val="none"/>
          <w:u w:val="single"/>
        </w:rPr>
        <w:t xml:space="preserve">                         </w:t>
      </w:r>
    </w:p>
    <w:p w14:paraId="04FE16A8">
      <w:pPr>
        <w:pStyle w:val="15"/>
        <w:snapToGrid w:val="0"/>
        <w:spacing w:line="360" w:lineRule="auto"/>
        <w:ind w:firstLine="480" w:firstLineChars="200"/>
        <w:rPr>
          <w:rFonts w:hint="eastAsia" w:hAnsi="宋体"/>
          <w:bCs/>
          <w:color w:val="auto"/>
          <w:sz w:val="24"/>
          <w:szCs w:val="24"/>
          <w:highlight w:val="none"/>
        </w:rPr>
      </w:pPr>
      <w:r>
        <w:rPr>
          <w:rFonts w:hint="eastAsia" w:hAnsi="宋体"/>
          <w:bCs/>
          <w:color w:val="auto"/>
          <w:sz w:val="24"/>
          <w:szCs w:val="24"/>
          <w:highlight w:val="none"/>
        </w:rPr>
        <w:t>联系人：</w:t>
      </w:r>
      <w:r>
        <w:rPr>
          <w:rFonts w:hint="eastAsia" w:hAnsi="宋体"/>
          <w:bCs/>
          <w:color w:val="auto"/>
          <w:sz w:val="24"/>
          <w:szCs w:val="24"/>
          <w:highlight w:val="none"/>
          <w:u w:val="single"/>
        </w:rPr>
        <w:t xml:space="preserve">                                            </w:t>
      </w:r>
      <w:r>
        <w:rPr>
          <w:rFonts w:hint="eastAsia" w:hAnsi="宋体"/>
          <w:bCs/>
          <w:color w:val="auto"/>
          <w:sz w:val="24"/>
          <w:szCs w:val="24"/>
          <w:highlight w:val="none"/>
        </w:rPr>
        <w:t>联系电话：</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5869C532">
      <w:pPr>
        <w:pStyle w:val="15"/>
        <w:snapToGrid w:val="0"/>
        <w:spacing w:line="360" w:lineRule="auto"/>
        <w:ind w:firstLine="482" w:firstLineChars="200"/>
        <w:rPr>
          <w:rFonts w:hint="eastAsia" w:hAnsi="宋体"/>
          <w:b/>
          <w:bCs/>
          <w:color w:val="auto"/>
          <w:sz w:val="24"/>
          <w:szCs w:val="24"/>
          <w:highlight w:val="none"/>
        </w:rPr>
      </w:pPr>
      <w:r>
        <w:rPr>
          <w:rFonts w:hint="eastAsia" w:hAnsi="宋体"/>
          <w:b/>
          <w:bCs/>
          <w:color w:val="auto"/>
          <w:sz w:val="24"/>
          <w:szCs w:val="24"/>
          <w:highlight w:val="none"/>
        </w:rPr>
        <w:t>二、投诉项目基本情况：</w:t>
      </w:r>
    </w:p>
    <w:p w14:paraId="211C0500">
      <w:pPr>
        <w:pStyle w:val="15"/>
        <w:spacing w:line="360" w:lineRule="auto"/>
        <w:ind w:left="25" w:leftChars="12" w:firstLine="472" w:firstLineChars="197"/>
        <w:rPr>
          <w:rFonts w:hint="eastAsia" w:hAnsi="宋体"/>
          <w:color w:val="auto"/>
          <w:sz w:val="24"/>
          <w:szCs w:val="24"/>
          <w:highlight w:val="none"/>
        </w:rPr>
      </w:pPr>
      <w:r>
        <w:rPr>
          <w:rFonts w:hint="eastAsia" w:hAnsi="宋体"/>
          <w:bCs/>
          <w:color w:val="auto"/>
          <w:sz w:val="24"/>
          <w:szCs w:val="24"/>
          <w:highlight w:val="none"/>
        </w:rPr>
        <w:t>采购</w:t>
      </w:r>
      <w:r>
        <w:rPr>
          <w:rFonts w:hint="eastAsia" w:hAnsi="宋体"/>
          <w:color w:val="auto"/>
          <w:sz w:val="24"/>
          <w:szCs w:val="24"/>
          <w:highlight w:val="none"/>
        </w:rPr>
        <w:t>项目的名称：</w:t>
      </w:r>
      <w:r>
        <w:rPr>
          <w:rFonts w:hint="eastAsia" w:hAnsi="宋体"/>
          <w:bCs/>
          <w:color w:val="auto"/>
          <w:sz w:val="24"/>
          <w:szCs w:val="24"/>
          <w:highlight w:val="none"/>
          <w:u w:val="single"/>
        </w:rPr>
        <w:t xml:space="preserve">  </w:t>
      </w:r>
      <w:r>
        <w:rPr>
          <w:rFonts w:hint="eastAsia" w:hAnsi="宋体"/>
          <w:bCs/>
          <w:color w:val="auto"/>
          <w:sz w:val="24"/>
          <w:szCs w:val="24"/>
          <w:highlight w:val="none"/>
          <w:u w:val="single"/>
          <w:lang w:eastAsia="zh-CN"/>
        </w:rPr>
        <w:t>邕宁区蒲庙电灌站灌区续建配套与节水改造工程项目立项建议报告编制技术服务项目</w:t>
      </w:r>
      <w:r>
        <w:rPr>
          <w:rFonts w:hint="eastAsia" w:hAnsi="宋体"/>
          <w:bCs/>
          <w:color w:val="auto"/>
          <w:sz w:val="24"/>
          <w:szCs w:val="24"/>
          <w:highlight w:val="none"/>
          <w:u w:val="single"/>
        </w:rPr>
        <w:t xml:space="preserve">    </w:t>
      </w:r>
    </w:p>
    <w:p w14:paraId="499B43E2">
      <w:pPr>
        <w:pStyle w:val="15"/>
        <w:spacing w:line="360" w:lineRule="auto"/>
        <w:ind w:left="25" w:leftChars="12" w:firstLine="472" w:firstLineChars="197"/>
        <w:rPr>
          <w:rFonts w:hint="eastAsia" w:hAnsi="宋体"/>
          <w:color w:val="auto"/>
          <w:sz w:val="24"/>
          <w:szCs w:val="24"/>
          <w:highlight w:val="none"/>
        </w:rPr>
      </w:pPr>
      <w:r>
        <w:rPr>
          <w:rFonts w:hint="eastAsia" w:hAnsi="宋体"/>
          <w:bCs/>
          <w:color w:val="auto"/>
          <w:sz w:val="24"/>
          <w:szCs w:val="24"/>
          <w:highlight w:val="none"/>
        </w:rPr>
        <w:t>采购</w:t>
      </w:r>
      <w:r>
        <w:rPr>
          <w:rFonts w:hint="eastAsia" w:hAnsi="宋体"/>
          <w:color w:val="auto"/>
          <w:sz w:val="24"/>
          <w:szCs w:val="24"/>
          <w:highlight w:val="none"/>
        </w:rPr>
        <w:t>项目的编号：</w:t>
      </w:r>
      <w:r>
        <w:rPr>
          <w:rFonts w:hint="eastAsia" w:hAnsi="宋体"/>
          <w:bCs/>
          <w:color w:val="auto"/>
          <w:sz w:val="24"/>
          <w:szCs w:val="24"/>
          <w:highlight w:val="none"/>
          <w:u w:val="single"/>
        </w:rPr>
        <w:t xml:space="preserve">  </w:t>
      </w:r>
      <w:r>
        <w:rPr>
          <w:rFonts w:hint="eastAsia" w:hAnsi="宋体"/>
          <w:bCs/>
          <w:color w:val="auto"/>
          <w:sz w:val="24"/>
          <w:szCs w:val="24"/>
          <w:highlight w:val="none"/>
          <w:u w:val="single"/>
          <w:lang w:eastAsia="zh-CN"/>
        </w:rPr>
        <w:t>NNZC2026-C3-090018-KWZB</w:t>
      </w:r>
      <w:r>
        <w:rPr>
          <w:rFonts w:hint="eastAsia" w:hAnsi="宋体"/>
          <w:bCs/>
          <w:color w:val="auto"/>
          <w:sz w:val="24"/>
          <w:szCs w:val="24"/>
          <w:highlight w:val="none"/>
          <w:u w:val="single"/>
        </w:rPr>
        <w:t xml:space="preserve">    </w:t>
      </w:r>
    </w:p>
    <w:p w14:paraId="3B400F4D">
      <w:pPr>
        <w:pStyle w:val="15"/>
        <w:spacing w:line="360" w:lineRule="auto"/>
        <w:ind w:left="25" w:leftChars="12" w:firstLine="472" w:firstLineChars="197"/>
        <w:rPr>
          <w:rFonts w:hint="eastAsia" w:hAnsi="宋体"/>
          <w:bCs/>
          <w:color w:val="auto"/>
          <w:sz w:val="24"/>
          <w:szCs w:val="24"/>
          <w:highlight w:val="none"/>
          <w:u w:val="single"/>
        </w:rPr>
      </w:pPr>
      <w:r>
        <w:rPr>
          <w:rFonts w:hint="eastAsia" w:hAnsi="宋体"/>
          <w:color w:val="auto"/>
          <w:sz w:val="24"/>
          <w:szCs w:val="24"/>
          <w:highlight w:val="none"/>
        </w:rPr>
        <w:t>采购人名称：</w:t>
      </w:r>
      <w:r>
        <w:rPr>
          <w:rFonts w:hint="eastAsia" w:hAnsi="宋体"/>
          <w:bCs/>
          <w:color w:val="auto"/>
          <w:sz w:val="24"/>
          <w:szCs w:val="24"/>
          <w:highlight w:val="none"/>
          <w:u w:val="single"/>
        </w:rPr>
        <w:t xml:space="preserve"> </w:t>
      </w:r>
      <w:r>
        <w:rPr>
          <w:rFonts w:hint="eastAsia" w:hAnsi="宋体"/>
          <w:bCs/>
          <w:color w:val="auto"/>
          <w:sz w:val="24"/>
          <w:szCs w:val="24"/>
          <w:highlight w:val="none"/>
          <w:u w:val="single"/>
          <w:lang w:eastAsia="zh-CN"/>
        </w:rPr>
        <w:t>南宁市邕宁区农业农村局</w:t>
      </w:r>
      <w:r>
        <w:rPr>
          <w:rFonts w:hint="eastAsia" w:hAnsi="宋体"/>
          <w:bCs/>
          <w:color w:val="auto"/>
          <w:sz w:val="24"/>
          <w:szCs w:val="24"/>
          <w:highlight w:val="none"/>
          <w:u w:val="single"/>
        </w:rPr>
        <w:t xml:space="preserve">                </w:t>
      </w:r>
    </w:p>
    <w:p w14:paraId="29728778">
      <w:pPr>
        <w:pStyle w:val="15"/>
        <w:spacing w:line="360" w:lineRule="auto"/>
        <w:ind w:left="25" w:leftChars="12" w:firstLine="472" w:firstLineChars="197"/>
        <w:rPr>
          <w:rFonts w:hint="eastAsia" w:hAnsi="宋体"/>
          <w:bCs/>
          <w:color w:val="auto"/>
          <w:sz w:val="24"/>
          <w:szCs w:val="24"/>
          <w:highlight w:val="none"/>
          <w:u w:val="single"/>
        </w:rPr>
      </w:pPr>
      <w:r>
        <w:rPr>
          <w:rFonts w:hint="eastAsia" w:hAnsi="宋体"/>
          <w:color w:val="auto"/>
          <w:sz w:val="24"/>
          <w:szCs w:val="24"/>
          <w:highlight w:val="none"/>
        </w:rPr>
        <w:t>代理机构名称：</w:t>
      </w:r>
      <w:r>
        <w:rPr>
          <w:rFonts w:hint="eastAsia" w:hAnsi="宋体"/>
          <w:bCs/>
          <w:color w:val="auto"/>
          <w:sz w:val="24"/>
          <w:szCs w:val="24"/>
          <w:highlight w:val="none"/>
          <w:u w:val="single"/>
        </w:rPr>
        <w:t xml:space="preserve"> </w:t>
      </w:r>
      <w:bookmarkStart w:id="270" w:name="PO_3000001868_PM031_5"/>
      <w:r>
        <w:rPr>
          <w:rFonts w:hint="eastAsia" w:hAnsi="宋体"/>
          <w:bCs/>
          <w:color w:val="auto"/>
          <w:sz w:val="24"/>
          <w:szCs w:val="24"/>
          <w:highlight w:val="none"/>
          <w:u w:val="single"/>
        </w:rPr>
        <w:t>广西科文招标有限公司</w:t>
      </w:r>
      <w:bookmarkEnd w:id="270"/>
      <w:r>
        <w:rPr>
          <w:rFonts w:hint="eastAsia" w:hAnsi="宋体"/>
          <w:bCs/>
          <w:color w:val="auto"/>
          <w:sz w:val="24"/>
          <w:szCs w:val="24"/>
          <w:highlight w:val="none"/>
          <w:u w:val="single"/>
        </w:rPr>
        <w:t xml:space="preserve">                </w:t>
      </w:r>
    </w:p>
    <w:p w14:paraId="3A6DC39C">
      <w:pPr>
        <w:pStyle w:val="15"/>
        <w:spacing w:line="360" w:lineRule="auto"/>
        <w:ind w:left="25" w:leftChars="12" w:firstLine="472" w:firstLineChars="197"/>
        <w:rPr>
          <w:rFonts w:hint="eastAsia" w:hAnsi="宋体"/>
          <w:bCs/>
          <w:color w:val="auto"/>
          <w:sz w:val="24"/>
          <w:szCs w:val="24"/>
          <w:highlight w:val="none"/>
          <w:u w:val="single"/>
        </w:rPr>
      </w:pPr>
      <w:r>
        <w:rPr>
          <w:rFonts w:hint="eastAsia" w:hAnsi="宋体"/>
          <w:bCs/>
          <w:color w:val="auto"/>
          <w:sz w:val="24"/>
          <w:szCs w:val="24"/>
          <w:highlight w:val="none"/>
        </w:rPr>
        <w:t>招标文件公告：</w:t>
      </w:r>
      <w:r>
        <w:rPr>
          <w:rFonts w:hint="eastAsia" w:hAnsi="宋体"/>
          <w:bCs/>
          <w:color w:val="auto"/>
          <w:sz w:val="24"/>
          <w:szCs w:val="24"/>
          <w:highlight w:val="none"/>
          <w:u w:val="single"/>
        </w:rPr>
        <w:t>是/否</w:t>
      </w:r>
      <w:r>
        <w:rPr>
          <w:rFonts w:hint="eastAsia" w:hAnsi="宋体"/>
          <w:bCs/>
          <w:color w:val="auto"/>
          <w:sz w:val="24"/>
          <w:szCs w:val="24"/>
          <w:highlight w:val="none"/>
        </w:rPr>
        <w:t>公告期限：</w:t>
      </w:r>
      <w:r>
        <w:rPr>
          <w:rFonts w:hint="eastAsia" w:hAnsi="宋体"/>
          <w:bCs/>
          <w:color w:val="auto"/>
          <w:sz w:val="24"/>
          <w:szCs w:val="24"/>
          <w:highlight w:val="none"/>
          <w:u w:val="single"/>
        </w:rPr>
        <w:t xml:space="preserve">                                                       </w:t>
      </w:r>
    </w:p>
    <w:p w14:paraId="0208C0E6">
      <w:pPr>
        <w:pStyle w:val="15"/>
        <w:spacing w:line="360" w:lineRule="auto"/>
        <w:ind w:left="25" w:leftChars="12" w:firstLine="472" w:firstLineChars="197"/>
        <w:rPr>
          <w:rFonts w:hint="eastAsia" w:hAnsi="宋体"/>
          <w:b/>
          <w:color w:val="auto"/>
          <w:sz w:val="24"/>
          <w:szCs w:val="24"/>
          <w:highlight w:val="none"/>
        </w:rPr>
      </w:pPr>
      <w:r>
        <w:rPr>
          <w:rFonts w:hint="eastAsia" w:hAnsi="宋体"/>
          <w:bCs/>
          <w:color w:val="auto"/>
          <w:sz w:val="24"/>
          <w:szCs w:val="24"/>
          <w:highlight w:val="none"/>
        </w:rPr>
        <w:t>采购结果公告：</w:t>
      </w:r>
      <w:r>
        <w:rPr>
          <w:rFonts w:hint="eastAsia" w:hAnsi="宋体"/>
          <w:bCs/>
          <w:color w:val="auto"/>
          <w:sz w:val="24"/>
          <w:szCs w:val="24"/>
          <w:highlight w:val="none"/>
          <w:u w:val="single"/>
        </w:rPr>
        <w:t>是/否</w:t>
      </w:r>
      <w:r>
        <w:rPr>
          <w:rFonts w:hint="eastAsia" w:hAnsi="宋体"/>
          <w:bCs/>
          <w:color w:val="auto"/>
          <w:sz w:val="24"/>
          <w:szCs w:val="24"/>
          <w:highlight w:val="none"/>
        </w:rPr>
        <w:t>公告期限：</w:t>
      </w:r>
      <w:r>
        <w:rPr>
          <w:rFonts w:hint="eastAsia" w:hAnsi="宋体"/>
          <w:bCs/>
          <w:color w:val="auto"/>
          <w:sz w:val="24"/>
          <w:szCs w:val="24"/>
          <w:highlight w:val="none"/>
          <w:u w:val="single"/>
        </w:rPr>
        <w:t xml:space="preserve">                                                       </w:t>
      </w:r>
    </w:p>
    <w:p w14:paraId="7C460344">
      <w:pPr>
        <w:pStyle w:val="15"/>
        <w:spacing w:line="360" w:lineRule="auto"/>
        <w:ind w:left="25" w:leftChars="12" w:firstLine="472" w:firstLineChars="196"/>
        <w:rPr>
          <w:rFonts w:hint="eastAsia" w:hAnsi="宋体"/>
          <w:b/>
          <w:color w:val="auto"/>
          <w:sz w:val="24"/>
          <w:szCs w:val="24"/>
          <w:highlight w:val="none"/>
        </w:rPr>
      </w:pPr>
      <w:r>
        <w:rPr>
          <w:rFonts w:hint="eastAsia" w:hAnsi="宋体"/>
          <w:b/>
          <w:color w:val="auto"/>
          <w:sz w:val="24"/>
          <w:szCs w:val="24"/>
          <w:highlight w:val="none"/>
        </w:rPr>
        <w:t>三、质疑基本情况</w:t>
      </w:r>
    </w:p>
    <w:p w14:paraId="49555D7F">
      <w:pPr>
        <w:pStyle w:val="15"/>
        <w:spacing w:line="360" w:lineRule="auto"/>
        <w:ind w:firstLine="480" w:firstLineChars="200"/>
        <w:rPr>
          <w:rFonts w:hint="eastAsia" w:hAnsi="宋体"/>
          <w:color w:val="auto"/>
          <w:sz w:val="24"/>
          <w:szCs w:val="24"/>
          <w:highlight w:val="none"/>
        </w:rPr>
      </w:pPr>
      <w:r>
        <w:rPr>
          <w:rFonts w:hint="eastAsia" w:hAnsi="宋体"/>
          <w:color w:val="auto"/>
          <w:sz w:val="24"/>
          <w:szCs w:val="24"/>
          <w:highlight w:val="none"/>
        </w:rPr>
        <w:t>投诉人于</w:t>
      </w:r>
      <w:r>
        <w:rPr>
          <w:rFonts w:hint="eastAsia" w:hAnsi="宋体"/>
          <w:color w:val="auto"/>
          <w:sz w:val="24"/>
          <w:szCs w:val="24"/>
          <w:highlight w:val="none"/>
          <w:u w:val="single"/>
        </w:rPr>
        <w:t xml:space="preserve">      </w:t>
      </w:r>
      <w:r>
        <w:rPr>
          <w:rFonts w:hint="eastAsia" w:hAnsi="宋体"/>
          <w:color w:val="auto"/>
          <w:sz w:val="24"/>
          <w:szCs w:val="24"/>
          <w:highlight w:val="none"/>
        </w:rPr>
        <w:t>年</w:t>
      </w:r>
      <w:r>
        <w:rPr>
          <w:rFonts w:hint="eastAsia" w:hAnsi="宋体"/>
          <w:color w:val="auto"/>
          <w:sz w:val="24"/>
          <w:szCs w:val="24"/>
          <w:highlight w:val="none"/>
          <w:u w:val="single"/>
        </w:rPr>
        <w:t xml:space="preserve">   </w:t>
      </w:r>
      <w:r>
        <w:rPr>
          <w:rFonts w:hint="eastAsia" w:hAnsi="宋体"/>
          <w:color w:val="auto"/>
          <w:sz w:val="24"/>
          <w:szCs w:val="24"/>
          <w:highlight w:val="none"/>
        </w:rPr>
        <w:t>月</w:t>
      </w:r>
      <w:r>
        <w:rPr>
          <w:rFonts w:hint="eastAsia" w:hAnsi="宋体"/>
          <w:color w:val="auto"/>
          <w:sz w:val="24"/>
          <w:szCs w:val="24"/>
          <w:highlight w:val="none"/>
          <w:u w:val="single"/>
        </w:rPr>
        <w:t xml:space="preserve">   </w:t>
      </w:r>
      <w:r>
        <w:rPr>
          <w:rFonts w:hint="eastAsia" w:hAnsi="宋体"/>
          <w:color w:val="auto"/>
          <w:sz w:val="24"/>
          <w:szCs w:val="24"/>
          <w:highlight w:val="none"/>
        </w:rPr>
        <w:t>日，向</w:t>
      </w:r>
      <w:r>
        <w:rPr>
          <w:rFonts w:hint="eastAsia" w:hAnsi="宋体"/>
          <w:color w:val="auto"/>
          <w:sz w:val="24"/>
          <w:szCs w:val="24"/>
          <w:highlight w:val="none"/>
          <w:u w:val="single"/>
        </w:rPr>
        <w:t xml:space="preserve">                                </w:t>
      </w:r>
      <w:r>
        <w:rPr>
          <w:rFonts w:hint="eastAsia" w:hAnsi="宋体"/>
          <w:color w:val="auto"/>
          <w:sz w:val="24"/>
          <w:szCs w:val="24"/>
          <w:highlight w:val="none"/>
        </w:rPr>
        <w:t>提出质疑，质疑事项为：</w:t>
      </w:r>
    </w:p>
    <w:p w14:paraId="5C9A8DED">
      <w:pPr>
        <w:pStyle w:val="15"/>
        <w:spacing w:line="360" w:lineRule="auto"/>
        <w:ind w:firstLine="241"/>
        <w:rPr>
          <w:rFonts w:hint="eastAsia" w:hAnsi="宋体"/>
          <w:bCs/>
          <w:color w:val="auto"/>
          <w:sz w:val="24"/>
          <w:szCs w:val="24"/>
          <w:highlight w:val="none"/>
          <w:u w:val="single"/>
        </w:rPr>
      </w:pP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484917E7">
      <w:pPr>
        <w:pStyle w:val="15"/>
        <w:spacing w:line="360" w:lineRule="auto"/>
        <w:ind w:firstLine="241"/>
        <w:rPr>
          <w:rFonts w:hint="eastAsia" w:hAnsi="宋体"/>
          <w:bCs/>
          <w:color w:val="auto"/>
          <w:sz w:val="24"/>
          <w:szCs w:val="24"/>
          <w:highlight w:val="none"/>
          <w:u w:val="single"/>
        </w:rPr>
      </w:pPr>
      <w:r>
        <w:rPr>
          <w:rFonts w:hint="eastAsia" w:hAnsi="宋体"/>
          <w:bCs/>
          <w:color w:val="auto"/>
          <w:sz w:val="24"/>
          <w:szCs w:val="24"/>
          <w:highlight w:val="none"/>
        </w:rPr>
        <w:t xml:space="preserve">    </w:t>
      </w:r>
      <w:r>
        <w:rPr>
          <w:rFonts w:hint="eastAsia" w:hAnsi="宋体"/>
          <w:bCs/>
          <w:color w:val="auto"/>
          <w:sz w:val="24"/>
          <w:szCs w:val="24"/>
          <w:highlight w:val="none"/>
          <w:u w:val="single"/>
        </w:rPr>
        <w:t xml:space="preserve">                                                                                      </w:t>
      </w:r>
    </w:p>
    <w:p w14:paraId="7EE8B5EA">
      <w:pPr>
        <w:pStyle w:val="15"/>
        <w:spacing w:line="360" w:lineRule="auto"/>
        <w:ind w:firstLine="480" w:firstLineChars="200"/>
        <w:rPr>
          <w:rFonts w:hint="eastAsia" w:hAnsi="宋体"/>
          <w:color w:val="auto"/>
          <w:sz w:val="24"/>
          <w:szCs w:val="24"/>
          <w:highlight w:val="none"/>
        </w:rPr>
      </w:pPr>
      <w:r>
        <w:rPr>
          <w:rFonts w:hint="eastAsia" w:hAnsi="宋体"/>
          <w:bCs/>
          <w:color w:val="auto"/>
          <w:sz w:val="24"/>
          <w:szCs w:val="24"/>
          <w:highlight w:val="none"/>
          <w:u w:val="single"/>
        </w:rPr>
        <w:t>采购人/代理机构</w:t>
      </w:r>
      <w:r>
        <w:rPr>
          <w:rFonts w:hint="eastAsia" w:hAnsi="宋体"/>
          <w:bCs/>
          <w:color w:val="auto"/>
          <w:sz w:val="24"/>
          <w:szCs w:val="24"/>
          <w:highlight w:val="none"/>
        </w:rPr>
        <w:t>于</w:t>
      </w:r>
      <w:r>
        <w:rPr>
          <w:rFonts w:hint="eastAsia" w:hAnsi="宋体"/>
          <w:color w:val="auto"/>
          <w:sz w:val="24"/>
          <w:szCs w:val="24"/>
          <w:highlight w:val="none"/>
          <w:u w:val="single"/>
        </w:rPr>
        <w:t xml:space="preserve">      </w:t>
      </w:r>
      <w:r>
        <w:rPr>
          <w:rFonts w:hint="eastAsia" w:hAnsi="宋体"/>
          <w:color w:val="auto"/>
          <w:sz w:val="24"/>
          <w:szCs w:val="24"/>
          <w:highlight w:val="none"/>
        </w:rPr>
        <w:t>年</w:t>
      </w:r>
      <w:r>
        <w:rPr>
          <w:rFonts w:hint="eastAsia" w:hAnsi="宋体"/>
          <w:color w:val="auto"/>
          <w:sz w:val="24"/>
          <w:szCs w:val="24"/>
          <w:highlight w:val="none"/>
          <w:u w:val="single"/>
        </w:rPr>
        <w:t xml:space="preserve">   </w:t>
      </w:r>
      <w:r>
        <w:rPr>
          <w:rFonts w:hint="eastAsia" w:hAnsi="宋体"/>
          <w:color w:val="auto"/>
          <w:sz w:val="24"/>
          <w:szCs w:val="24"/>
          <w:highlight w:val="none"/>
        </w:rPr>
        <w:t>月</w:t>
      </w:r>
      <w:r>
        <w:rPr>
          <w:rFonts w:hint="eastAsia" w:hAnsi="宋体"/>
          <w:color w:val="auto"/>
          <w:sz w:val="24"/>
          <w:szCs w:val="24"/>
          <w:highlight w:val="none"/>
          <w:u w:val="single"/>
        </w:rPr>
        <w:t xml:space="preserve">   </w:t>
      </w:r>
      <w:r>
        <w:rPr>
          <w:rFonts w:hint="eastAsia" w:hAnsi="宋体"/>
          <w:color w:val="auto"/>
          <w:sz w:val="24"/>
          <w:szCs w:val="24"/>
          <w:highlight w:val="none"/>
        </w:rPr>
        <w:t>日，</w:t>
      </w:r>
      <w:r>
        <w:rPr>
          <w:rFonts w:hint="eastAsia" w:hAnsi="宋体"/>
          <w:bCs/>
          <w:color w:val="auto"/>
          <w:sz w:val="24"/>
          <w:szCs w:val="24"/>
          <w:highlight w:val="none"/>
        </w:rPr>
        <w:t xml:space="preserve">就质疑事项作出了答复/没有在法定期限内作出答复。                                                                                             </w:t>
      </w:r>
    </w:p>
    <w:p w14:paraId="129E9DD7">
      <w:pPr>
        <w:pStyle w:val="15"/>
        <w:spacing w:line="360" w:lineRule="auto"/>
        <w:ind w:left="25" w:leftChars="12" w:firstLine="472" w:firstLineChars="196"/>
        <w:rPr>
          <w:rFonts w:hint="eastAsia" w:hAnsi="宋体"/>
          <w:b/>
          <w:color w:val="auto"/>
          <w:sz w:val="24"/>
          <w:szCs w:val="24"/>
          <w:highlight w:val="none"/>
        </w:rPr>
      </w:pPr>
      <w:r>
        <w:rPr>
          <w:rFonts w:hint="eastAsia" w:hAnsi="宋体"/>
          <w:b/>
          <w:color w:val="auto"/>
          <w:sz w:val="24"/>
          <w:szCs w:val="24"/>
          <w:highlight w:val="none"/>
        </w:rPr>
        <w:t>四、投诉事项具体内容</w:t>
      </w:r>
    </w:p>
    <w:p w14:paraId="736B742F">
      <w:pPr>
        <w:pStyle w:val="15"/>
        <w:spacing w:line="360" w:lineRule="auto"/>
        <w:ind w:left="25" w:leftChars="12" w:firstLine="472" w:firstLineChars="197"/>
        <w:rPr>
          <w:rFonts w:hint="eastAsia" w:hAnsi="宋体"/>
          <w:bCs/>
          <w:color w:val="auto"/>
          <w:sz w:val="24"/>
          <w:szCs w:val="24"/>
          <w:highlight w:val="none"/>
          <w:u w:val="single"/>
        </w:rPr>
      </w:pPr>
      <w:r>
        <w:rPr>
          <w:rFonts w:hint="eastAsia" w:hAnsi="宋体"/>
          <w:color w:val="auto"/>
          <w:sz w:val="24"/>
          <w:szCs w:val="24"/>
          <w:highlight w:val="none"/>
        </w:rPr>
        <w:t>投诉事项1：</w:t>
      </w:r>
      <w:r>
        <w:rPr>
          <w:rFonts w:hint="eastAsia" w:hAnsi="宋体"/>
          <w:bCs/>
          <w:color w:val="auto"/>
          <w:sz w:val="24"/>
          <w:szCs w:val="24"/>
          <w:highlight w:val="none"/>
          <w:u w:val="single"/>
        </w:rPr>
        <w:t xml:space="preserve">                                                                           </w:t>
      </w:r>
    </w:p>
    <w:p w14:paraId="0D0BAE3F">
      <w:pPr>
        <w:pStyle w:val="15"/>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事实依据：</w:t>
      </w: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26AF0872">
      <w:pPr>
        <w:pStyle w:val="15"/>
        <w:spacing w:line="360" w:lineRule="auto"/>
        <w:ind w:left="25" w:leftChars="12" w:firstLine="472" w:firstLineChars="197"/>
        <w:rPr>
          <w:rFonts w:hint="eastAsia" w:hAnsi="宋体"/>
          <w:color w:val="auto"/>
          <w:sz w:val="24"/>
          <w:szCs w:val="24"/>
          <w:highlight w:val="none"/>
        </w:rPr>
      </w:pPr>
      <w:r>
        <w:rPr>
          <w:rFonts w:hint="eastAsia" w:hAnsi="宋体"/>
          <w:bCs/>
          <w:color w:val="auto"/>
          <w:sz w:val="24"/>
          <w:szCs w:val="24"/>
          <w:highlight w:val="none"/>
          <w:u w:val="single"/>
        </w:rPr>
        <w:t xml:space="preserve">                                                                                        </w:t>
      </w:r>
    </w:p>
    <w:p w14:paraId="35F8D97E">
      <w:pPr>
        <w:pStyle w:val="15"/>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法律依据：</w:t>
      </w: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3204EFD9">
      <w:pPr>
        <w:pStyle w:val="15"/>
        <w:spacing w:line="360" w:lineRule="auto"/>
        <w:ind w:left="25" w:leftChars="12" w:firstLine="352" w:firstLineChars="147"/>
        <w:rPr>
          <w:rFonts w:hint="eastAsia" w:hAnsi="宋体"/>
          <w:bCs/>
          <w:color w:val="auto"/>
          <w:sz w:val="24"/>
          <w:szCs w:val="24"/>
          <w:highlight w:val="none"/>
          <w:u w:val="single"/>
        </w:rPr>
      </w:pPr>
      <w:r>
        <w:rPr>
          <w:rFonts w:hint="eastAsia" w:hAnsi="宋体"/>
          <w:bCs/>
          <w:color w:val="auto"/>
          <w:sz w:val="24"/>
          <w:szCs w:val="24"/>
          <w:highlight w:val="none"/>
        </w:rPr>
        <w:t xml:space="preserve"> </w:t>
      </w:r>
      <w:r>
        <w:rPr>
          <w:rFonts w:hint="eastAsia" w:hAnsi="宋体"/>
          <w:bCs/>
          <w:color w:val="auto"/>
          <w:sz w:val="24"/>
          <w:szCs w:val="24"/>
          <w:highlight w:val="none"/>
          <w:u w:val="single"/>
        </w:rPr>
        <w:t xml:space="preserve">                                                                                        </w:t>
      </w:r>
    </w:p>
    <w:p w14:paraId="12D25B00">
      <w:pPr>
        <w:pStyle w:val="15"/>
        <w:spacing w:line="360" w:lineRule="auto"/>
        <w:ind w:left="25" w:leftChars="12" w:firstLine="472" w:firstLineChars="197"/>
        <w:rPr>
          <w:rFonts w:hint="eastAsia" w:hAnsi="宋体"/>
          <w:bCs/>
          <w:color w:val="auto"/>
          <w:sz w:val="24"/>
          <w:szCs w:val="24"/>
          <w:highlight w:val="none"/>
        </w:rPr>
      </w:pPr>
      <w:r>
        <w:rPr>
          <w:rFonts w:hint="eastAsia" w:hAnsi="宋体"/>
          <w:color w:val="auto"/>
          <w:sz w:val="24"/>
          <w:szCs w:val="24"/>
          <w:highlight w:val="none"/>
        </w:rPr>
        <w:t xml:space="preserve">投诉事项2  </w:t>
      </w:r>
      <w:r>
        <w:rPr>
          <w:rFonts w:hint="eastAsia" w:hAnsi="宋体"/>
          <w:bCs/>
          <w:color w:val="auto"/>
          <w:sz w:val="24"/>
          <w:szCs w:val="24"/>
          <w:highlight w:val="none"/>
        </w:rPr>
        <w:t xml:space="preserve">   </w:t>
      </w:r>
    </w:p>
    <w:p w14:paraId="5F7D26A8">
      <w:pPr>
        <w:pStyle w:val="15"/>
        <w:spacing w:line="360" w:lineRule="auto"/>
        <w:ind w:left="25" w:leftChars="12" w:firstLine="472" w:firstLineChars="197"/>
        <w:rPr>
          <w:rFonts w:hint="eastAsia" w:hAnsi="宋体"/>
          <w:bCs/>
          <w:color w:val="auto"/>
          <w:sz w:val="24"/>
          <w:szCs w:val="24"/>
          <w:highlight w:val="none"/>
        </w:rPr>
      </w:pPr>
      <w:r>
        <w:rPr>
          <w:rFonts w:hint="eastAsia" w:hAnsi="宋体"/>
          <w:bCs/>
          <w:color w:val="auto"/>
          <w:sz w:val="24"/>
          <w:szCs w:val="24"/>
          <w:highlight w:val="none"/>
        </w:rPr>
        <w:t>……</w:t>
      </w:r>
    </w:p>
    <w:p w14:paraId="47705845">
      <w:pPr>
        <w:pStyle w:val="15"/>
        <w:spacing w:line="360" w:lineRule="auto"/>
        <w:ind w:left="25" w:leftChars="12" w:firstLine="472" w:firstLineChars="196"/>
        <w:rPr>
          <w:rFonts w:hint="eastAsia" w:hAnsi="宋体"/>
          <w:b/>
          <w:color w:val="auto"/>
          <w:sz w:val="24"/>
          <w:szCs w:val="24"/>
          <w:highlight w:val="none"/>
        </w:rPr>
      </w:pPr>
      <w:r>
        <w:rPr>
          <w:rFonts w:hint="eastAsia" w:hAnsi="宋体"/>
          <w:b/>
          <w:color w:val="auto"/>
          <w:sz w:val="24"/>
          <w:szCs w:val="24"/>
          <w:highlight w:val="none"/>
        </w:rPr>
        <w:t>五、与投诉事项相关的投诉请求：</w:t>
      </w:r>
    </w:p>
    <w:p w14:paraId="1E446E8A">
      <w:pPr>
        <w:pStyle w:val="15"/>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请求：</w:t>
      </w:r>
      <w:r>
        <w:rPr>
          <w:rFonts w:hint="eastAsia" w:hAnsi="宋体"/>
          <w:bCs/>
          <w:color w:val="auto"/>
          <w:sz w:val="24"/>
          <w:szCs w:val="24"/>
          <w:highlight w:val="none"/>
          <w:u w:val="single"/>
        </w:rPr>
        <w:t xml:space="preserve">                                                                                 </w:t>
      </w:r>
    </w:p>
    <w:p w14:paraId="7D61BED5">
      <w:pPr>
        <w:pStyle w:val="15"/>
        <w:spacing w:line="360" w:lineRule="auto"/>
        <w:ind w:left="25" w:leftChars="12" w:firstLine="352" w:firstLineChars="147"/>
        <w:rPr>
          <w:rFonts w:hint="eastAsia" w:hAnsi="宋体"/>
          <w:color w:val="auto"/>
          <w:sz w:val="24"/>
          <w:szCs w:val="24"/>
          <w:highlight w:val="none"/>
        </w:rPr>
      </w:pPr>
    </w:p>
    <w:p w14:paraId="05F368BD">
      <w:pPr>
        <w:pStyle w:val="15"/>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签字（签章）：                                       公章：</w:t>
      </w:r>
    </w:p>
    <w:p w14:paraId="17C9C879">
      <w:pPr>
        <w:pStyle w:val="15"/>
        <w:spacing w:line="360" w:lineRule="auto"/>
        <w:ind w:left="25" w:leftChars="12" w:firstLine="352" w:firstLineChars="147"/>
        <w:rPr>
          <w:rFonts w:hint="eastAsia" w:hAnsi="宋体"/>
          <w:color w:val="auto"/>
          <w:sz w:val="24"/>
          <w:szCs w:val="24"/>
          <w:highlight w:val="none"/>
        </w:rPr>
      </w:pPr>
    </w:p>
    <w:p w14:paraId="733C16AA">
      <w:pPr>
        <w:pStyle w:val="15"/>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日期：</w:t>
      </w:r>
    </w:p>
    <w:p w14:paraId="18566D68">
      <w:pPr>
        <w:pStyle w:val="15"/>
        <w:spacing w:line="360" w:lineRule="auto"/>
        <w:ind w:left="25" w:leftChars="12" w:firstLine="472" w:firstLineChars="197"/>
        <w:rPr>
          <w:rFonts w:hint="eastAsia" w:hAnsi="宋体"/>
          <w:color w:val="auto"/>
          <w:sz w:val="24"/>
          <w:szCs w:val="24"/>
          <w:highlight w:val="none"/>
        </w:rPr>
      </w:pPr>
      <w:r>
        <w:rPr>
          <w:rFonts w:hint="eastAsia" w:hAnsi="宋体"/>
          <w:bCs/>
          <w:color w:val="auto"/>
          <w:sz w:val="24"/>
          <w:szCs w:val="24"/>
          <w:highlight w:val="none"/>
        </w:rPr>
        <w:t xml:space="preserve">                                                                                 </w:t>
      </w:r>
    </w:p>
    <w:p w14:paraId="18C23666">
      <w:pPr>
        <w:pStyle w:val="15"/>
        <w:snapToGrid w:val="0"/>
        <w:spacing w:line="360" w:lineRule="auto"/>
        <w:rPr>
          <w:rFonts w:hint="eastAsia" w:hAnsi="宋体"/>
          <w:b/>
          <w:color w:val="auto"/>
          <w:sz w:val="24"/>
          <w:szCs w:val="24"/>
          <w:highlight w:val="none"/>
        </w:rPr>
      </w:pPr>
    </w:p>
    <w:p w14:paraId="6E3B51DA">
      <w:pPr>
        <w:pStyle w:val="15"/>
        <w:snapToGrid w:val="0"/>
        <w:spacing w:line="360" w:lineRule="auto"/>
        <w:rPr>
          <w:rFonts w:hint="eastAsia" w:hAnsi="宋体"/>
          <w:b/>
          <w:color w:val="auto"/>
          <w:sz w:val="24"/>
          <w:szCs w:val="24"/>
          <w:highlight w:val="none"/>
        </w:rPr>
      </w:pPr>
      <w:r>
        <w:rPr>
          <w:rFonts w:hint="eastAsia" w:hAnsi="宋体"/>
          <w:b/>
          <w:color w:val="auto"/>
          <w:sz w:val="24"/>
          <w:szCs w:val="24"/>
          <w:highlight w:val="none"/>
        </w:rPr>
        <w:t>说明：</w:t>
      </w:r>
    </w:p>
    <w:p w14:paraId="3B6576F6">
      <w:pPr>
        <w:pStyle w:val="15"/>
        <w:spacing w:line="360" w:lineRule="auto"/>
        <w:ind w:left="25" w:leftChars="12" w:firstLine="354" w:firstLineChars="147"/>
        <w:rPr>
          <w:rFonts w:hint="eastAsia" w:hAnsi="宋体"/>
          <w:b/>
          <w:bCs/>
          <w:color w:val="auto"/>
          <w:sz w:val="24"/>
          <w:szCs w:val="24"/>
          <w:highlight w:val="none"/>
        </w:rPr>
      </w:pPr>
      <w:r>
        <w:rPr>
          <w:rFonts w:hint="eastAsia" w:hAnsi="宋体"/>
          <w:b/>
          <w:color w:val="auto"/>
          <w:sz w:val="24"/>
          <w:szCs w:val="24"/>
          <w:highlight w:val="none"/>
        </w:rPr>
        <w:t>1.投诉人提起投诉时，应当提交投诉书和必要的证明材料，并按照被投诉人和与投诉事项有关的供应商数量提供投诉书副本</w:t>
      </w:r>
      <w:r>
        <w:rPr>
          <w:rFonts w:hint="eastAsia" w:hAnsi="宋体"/>
          <w:b/>
          <w:bCs/>
          <w:color w:val="auto"/>
          <w:sz w:val="24"/>
          <w:szCs w:val="24"/>
          <w:highlight w:val="none"/>
        </w:rPr>
        <w:t>。</w:t>
      </w:r>
    </w:p>
    <w:p w14:paraId="0B4F84F3">
      <w:pPr>
        <w:pStyle w:val="15"/>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57F2D44F">
      <w:pPr>
        <w:pStyle w:val="15"/>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3.投诉书应简要列明质疑事项，质疑函、质疑答复等作为附件材料提供。</w:t>
      </w:r>
    </w:p>
    <w:p w14:paraId="0E6EC94D">
      <w:pPr>
        <w:pStyle w:val="15"/>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4.投诉书的投诉事项应具体、明确，并有必要的事实依据和法律依据。</w:t>
      </w:r>
    </w:p>
    <w:p w14:paraId="48277D34">
      <w:pPr>
        <w:pStyle w:val="15"/>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5.投诉书的投诉请求应与投诉事项相关。</w:t>
      </w:r>
    </w:p>
    <w:p w14:paraId="715C2D4C">
      <w:pPr>
        <w:pStyle w:val="15"/>
        <w:spacing w:line="360" w:lineRule="auto"/>
        <w:ind w:left="25" w:leftChars="12" w:firstLine="354" w:firstLineChars="147"/>
        <w:rPr>
          <w:rFonts w:hint="eastAsia" w:hAnsi="宋体"/>
          <w:b/>
          <w:color w:val="auto"/>
          <w:highlight w:val="none"/>
        </w:rPr>
      </w:pPr>
      <w:r>
        <w:rPr>
          <w:rFonts w:hint="eastAsia" w:hAnsi="宋体"/>
          <w:b/>
          <w:color w:val="auto"/>
          <w:sz w:val="24"/>
          <w:szCs w:val="24"/>
          <w:highlight w:val="none"/>
        </w:rPr>
        <w:t>6.投诉人为法人或者其他组织的，投诉书应由法定代表人、主要负责人，或者其授权代表签字或者盖章，并加盖公章。</w:t>
      </w:r>
    </w:p>
    <w:p w14:paraId="3AB33FB1">
      <w:pPr>
        <w:rPr>
          <w:rFonts w:hint="eastAsia"/>
          <w:color w:val="auto"/>
          <w:highlight w:val="none"/>
        </w:rPr>
      </w:pPr>
    </w:p>
    <w:sectPr>
      <w:footerReference r:id="rId6" w:type="first"/>
      <w:footerReference r:id="rId5" w:type="default"/>
      <w:pgSz w:w="11910" w:h="16840"/>
      <w:pgMar w:top="1340" w:right="1500" w:bottom="280" w:left="168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85C03A71-07ED-4E25-B998-F9BE65AC6CA4}"/>
  </w:font>
  <w:font w:name="黑体">
    <w:panose1 w:val="02010609060101010101"/>
    <w:charset w:val="86"/>
    <w:family w:val="auto"/>
    <w:pitch w:val="default"/>
    <w:sig w:usb0="800002BF" w:usb1="38CF7CFA" w:usb2="00000016" w:usb3="00000000" w:csb0="00040001" w:csb1="00000000"/>
    <w:embedRegular r:id="rId2" w:fontKey="{AE97B122-F1BB-4924-A2F8-0CE94027A2DC}"/>
  </w:font>
  <w:font w:name="Courier New">
    <w:panose1 w:val="02070309020205020404"/>
    <w:charset w:val="01"/>
    <w:family w:val="modern"/>
    <w:pitch w:val="default"/>
    <w:sig w:usb0="E0002EFF" w:usb1="C0007843" w:usb2="00000009" w:usb3="00000000" w:csb0="400001FF" w:csb1="FFFF0000"/>
    <w:embedRegular r:id="rId3" w:fontKey="{75CA179A-4C12-4DCB-85EB-52EDF6E24839}"/>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83414EED-758F-4CA9-9CB3-ADADA6D5FDE7}"/>
  </w:font>
  <w:font w:name="Cambria">
    <w:panose1 w:val="02040503050406030204"/>
    <w:charset w:val="00"/>
    <w:family w:val="roman"/>
    <w:pitch w:val="default"/>
    <w:sig w:usb0="E00006FF" w:usb1="420024FF" w:usb2="02000000" w:usb3="00000000" w:csb0="2000019F" w:csb1="00000000"/>
    <w:embedRegular r:id="rId5" w:fontKey="{0FF84371-CBDE-4550-B8AF-FF3957AFFE7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6" w:fontKey="{D54C3E1C-6FE8-4E5D-8A93-34C3B5069282}"/>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embedRegular r:id="rId7" w:fontKey="{8C671FCD-0A41-4814-B4F4-B7E9E14E35E7}"/>
  </w:font>
  <w:font w:name="方正小标宋简体">
    <w:panose1 w:val="03000509000000000000"/>
    <w:charset w:val="86"/>
    <w:family w:val="script"/>
    <w:pitch w:val="default"/>
    <w:sig w:usb0="00000001" w:usb1="080E0000" w:usb2="00000000" w:usb3="00000000" w:csb0="00040000" w:csb1="00000000"/>
    <w:embedRegular r:id="rId8" w:fontKey="{AE05AF98-E418-4DA7-8011-40FBF999DE7E}"/>
  </w:font>
  <w:font w:name="华文新魏">
    <w:panose1 w:val="02010800040101010101"/>
    <w:charset w:val="86"/>
    <w:family w:val="auto"/>
    <w:pitch w:val="default"/>
    <w:sig w:usb0="00000001" w:usb1="080F0000" w:usb2="00000000" w:usb3="00000000" w:csb0="00040000" w:csb1="00000000"/>
    <w:embedRegular r:id="rId9" w:fontKey="{199CE4E0-3D58-4CEE-A305-E1E8A3332264}"/>
  </w:font>
  <w:font w:name="Arial Unicode MS">
    <w:panose1 w:val="020B0604020202020204"/>
    <w:charset w:val="86"/>
    <w:family w:val="swiss"/>
    <w:pitch w:val="default"/>
    <w:sig w:usb0="FFFFFFFF" w:usb1="E9FFFFFF" w:usb2="0000003F" w:usb3="00000000" w:csb0="603F01FF" w:csb1="FFFF0000"/>
    <w:embedRegular r:id="rId10" w:fontKey="{36A51573-6B51-4C9B-B7F7-E25C47AF76DB}"/>
  </w:font>
  <w:font w:name="微软雅黑">
    <w:panose1 w:val="020B0503020204020204"/>
    <w:charset w:val="86"/>
    <w:family w:val="swiss"/>
    <w:pitch w:val="default"/>
    <w:sig w:usb0="80000287" w:usb1="2ACF3C50" w:usb2="00000016" w:usb3="00000000" w:csb0="0004001F" w:csb1="00000000"/>
    <w:embedRegular r:id="rId11" w:fontKey="{7C536BCE-2138-4B9D-B018-A5358674F013}"/>
  </w:font>
  <w:font w:name="MS Mincho">
    <w:panose1 w:val="02020609040205080304"/>
    <w:charset w:val="80"/>
    <w:family w:val="modern"/>
    <w:pitch w:val="default"/>
    <w:sig w:usb0="A00002BF" w:usb1="68C7FCFB" w:usb2="00000010" w:usb3="00000000" w:csb0="4002009F" w:csb1="DFD70000"/>
    <w:embedRegular r:id="rId12" w:fontKey="{EA99163A-24F0-4AE5-99C7-A808A5C7D885}"/>
  </w:font>
  <w:font w:name="Helvetica">
    <w:panose1 w:val="020B0604020202020204"/>
    <w:charset w:val="00"/>
    <w:family w:val="swiss"/>
    <w:pitch w:val="default"/>
    <w:sig w:usb0="00000000" w:usb1="00000000" w:usb2="00000000" w:usb3="00000000" w:csb0="00000000" w:csb1="00000000"/>
    <w:embedRegular r:id="rId13" w:fontKey="{5C35AC24-1205-4412-92C2-002E6E1DD1E1}"/>
  </w:font>
  <w:font w:name="TimesNewRomanPSMT">
    <w:altName w:val="Times New Roman"/>
    <w:panose1 w:val="00000000000000000000"/>
    <w:charset w:val="00"/>
    <w:family w:val="roman"/>
    <w:pitch w:val="default"/>
    <w:sig w:usb0="00000000" w:usb1="00000000" w:usb2="00000000" w:usb3="00000000" w:csb0="00000001" w:csb1="00000000"/>
  </w:font>
  <w:font w:name="楷体">
    <w:panose1 w:val="02010609060101010101"/>
    <w:charset w:val="86"/>
    <w:family w:val="modern"/>
    <w:pitch w:val="default"/>
    <w:sig w:usb0="800002BF" w:usb1="38CF7CFA" w:usb2="00000016" w:usb3="00000000" w:csb0="00040001" w:csb1="00000000"/>
    <w:embedRegular r:id="rId14" w:fontKey="{B5E5FEFE-6C93-4D80-B789-C48A465EDA74}"/>
  </w:font>
  <w:font w:name="隶书">
    <w:panose1 w:val="02010509060101010101"/>
    <w:charset w:val="86"/>
    <w:family w:val="modern"/>
    <w:pitch w:val="default"/>
    <w:sig w:usb0="00000001" w:usb1="080E0000" w:usb2="00000000" w:usb3="00000000" w:csb0="00040000" w:csb1="00000000"/>
    <w:embedRegular r:id="rId15" w:fontKey="{159AB10E-1CEE-4921-B9A3-B4E39D5C432A}"/>
  </w:font>
  <w:font w:name="WPSEMBED2">
    <w:panose1 w:val="03000509000000000000"/>
    <w:charset w:val="86"/>
    <w:family w:val="auto"/>
    <w:pitch w:val="default"/>
    <w:sig w:usb0="00000001" w:usb1="080E0000" w:usb2="00000000" w:usb3="00000000" w:csb0="00040000" w:csb1="00000000"/>
  </w:font>
  <w:font w:name="WPSEMBED1">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7FAA58">
    <w:pPr>
      <w:pStyle w:val="18"/>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25AF657">
                          <w:pPr>
                            <w:pStyle w:val="18"/>
                          </w:pPr>
                          <w:r>
                            <w:t xml:space="preserve">第 </w:t>
                          </w:r>
                          <w:r>
                            <w:fldChar w:fldCharType="begin"/>
                          </w:r>
                          <w:r>
                            <w:instrText xml:space="preserve"> PAGE  \* MERGEFORMAT </w:instrText>
                          </w:r>
                          <w:r>
                            <w:fldChar w:fldCharType="separate"/>
                          </w:r>
                          <w:r>
                            <w:t>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89qo3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jtbVh6p7&#10;gCm0LGz1zvKYJkrl7eoYIG1SPArUqYJOxQPmMPWs35k46H+eU9Tj/8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AUfPaqNwIAAG8EAAAOAAAAAAAAAAEAIAAAAB8BAABkcnMvZTJvRG9jLnht&#10;bFBLBQYAAAAABgAGAFkBAADIBQAAAAA=&#10;">
              <v:fill on="f" focussize="0,0"/>
              <v:stroke on="f" weight="0.5pt"/>
              <v:imagedata o:title=""/>
              <o:lock v:ext="edit" aspectratio="f"/>
              <v:textbox inset="0mm,0mm,0mm,0mm" style="mso-fit-shape-to-text:t;">
                <w:txbxContent>
                  <w:p w14:paraId="425AF657">
                    <w:pPr>
                      <w:pStyle w:val="18"/>
                    </w:pPr>
                    <w:r>
                      <w:t xml:space="preserve">第 </w:t>
                    </w:r>
                    <w:r>
                      <w:fldChar w:fldCharType="begin"/>
                    </w:r>
                    <w:r>
                      <w:instrText xml:space="preserve"> PAGE  \* MERGEFORMAT </w:instrText>
                    </w:r>
                    <w:r>
                      <w:fldChar w:fldCharType="separate"/>
                    </w:r>
                    <w:r>
                      <w:t>5</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3EBB31">
    <w:pPr>
      <w:pStyle w:val="18"/>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51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A21E371">
                          <w:pPr>
                            <w:pStyle w:val="18"/>
                            <w:jc w:val="center"/>
                          </w:pPr>
                          <w:r>
                            <w:fldChar w:fldCharType="begin"/>
                          </w:r>
                          <w:r>
                            <w:instrText xml:space="preserve"> PAGE  \* MERGEFORMAT </w:instrText>
                          </w:r>
                          <w:r>
                            <w:fldChar w:fldCharType="separate"/>
                          </w:r>
                          <w:r>
                            <w:t>92</w:t>
                          </w:r>
                          <w:r>
                            <w:fldChar w:fldCharType="end"/>
                          </w:r>
                        </w:p>
                      </w:txbxContent>
                    </wps:txbx>
                    <wps:bodyPr wrap="none" lIns="0" tIns="0" rIns="0" bIns="0" upright="0">
                      <a:spAutoFit/>
                    </wps:bodyPr>
                  </wps:wsp>
                </a:graphicData>
              </a:graphic>
            </wp:anchor>
          </w:drawing>
        </mc:Choice>
        <mc:Fallback>
          <w:pict>
            <v:shape id="文本框 512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JaBIY3LAQAAnAMAAA4AAAAAAAAAAQAgAAAAHgEAAGRycy9lMm9E&#10;b2MueG1sUEsFBgAAAAAGAAYAWQEAAFsFAAAAAA==&#10;">
              <v:fill on="f" focussize="0,0"/>
              <v:stroke on="f"/>
              <v:imagedata o:title=""/>
              <o:lock v:ext="edit" aspectratio="f"/>
              <v:textbox inset="0mm,0mm,0mm,0mm" style="mso-fit-shape-to-text:t;">
                <w:txbxContent>
                  <w:p w14:paraId="2A21E371">
                    <w:pPr>
                      <w:pStyle w:val="18"/>
                      <w:jc w:val="center"/>
                    </w:pPr>
                    <w:r>
                      <w:fldChar w:fldCharType="begin"/>
                    </w:r>
                    <w:r>
                      <w:instrText xml:space="preserve"> PAGE  \* MERGEFORMAT </w:instrText>
                    </w:r>
                    <w:r>
                      <w:fldChar w:fldCharType="separate"/>
                    </w:r>
                    <w:r>
                      <w:t>92</w:t>
                    </w:r>
                    <w:r>
                      <w:fldChar w:fldCharType="end"/>
                    </w:r>
                  </w:p>
                </w:txbxContent>
              </v:textbox>
            </v:shape>
          </w:pict>
        </mc:Fallback>
      </mc:AlternateContent>
    </w:r>
  </w:p>
  <w:p w14:paraId="41D87AB8">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28FAB">
    <w:pPr>
      <w:pStyle w:val="18"/>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5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8292515">
                          <w:pPr>
                            <w:pStyle w:val="18"/>
                            <w:rPr>
                              <w:rFonts w:hint="eastAsia"/>
                            </w:rPr>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wps:txbx>
                    <wps:bodyPr wrap="none" lIns="0" tIns="0" rIns="0" bIns="0" upright="0">
                      <a:spAutoFit/>
                    </wps:bodyPr>
                  </wps:wsp>
                </a:graphicData>
              </a:graphic>
            </wp:anchor>
          </w:drawing>
        </mc:Choice>
        <mc:Fallback>
          <w:pict>
            <v:shape id="文本框 512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BeBhwNzAEAAJwDAAAOAAAAAAAAAAEAIAAAAB4BAABkcnMvZTJv&#10;RG9jLnhtbFBLBQYAAAAABgAGAFkBAABcBQAAAAA=&#10;">
              <v:fill on="f" focussize="0,0"/>
              <v:stroke on="f"/>
              <v:imagedata o:title=""/>
              <o:lock v:ext="edit" aspectratio="f"/>
              <v:textbox inset="0mm,0mm,0mm,0mm" style="mso-fit-shape-to-text:t;">
                <w:txbxContent>
                  <w:p w14:paraId="28292515">
                    <w:pPr>
                      <w:pStyle w:val="18"/>
                      <w:rPr>
                        <w:rFonts w:hint="eastAsia"/>
                      </w:rPr>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C20B60">
    <w:pPr>
      <w:pStyle w:val="19"/>
    </w:pPr>
    <w:r>
      <w:rPr>
        <w:rFonts w:hint="eastAsia"/>
        <w:lang w:eastAsia="zh-CN"/>
      </w:rPr>
      <w:t xml:space="preserve">                       </w:t>
    </w:r>
    <w:r>
      <w:rPr>
        <w:rFonts w:hint="eastAsia"/>
      </w:rPr>
      <w:t>南宁市政府采购竞争性磋商采购文件（项目编号：</w:t>
    </w:r>
    <w:r>
      <w:rPr>
        <w:rFonts w:hint="eastAsia"/>
        <w:lang w:eastAsia="zh-CN"/>
      </w:rPr>
      <w:t>NNZC2026-C3-090018-KWZB</w:t>
    </w:r>
    <w:r>
      <w:rPr>
        <w:rFonts w:hint="eastAsia"/>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362E8D6"/>
    <w:multiLevelType w:val="singleLevel"/>
    <w:tmpl w:val="E362E8D6"/>
    <w:lvl w:ilvl="0" w:tentative="0">
      <w:start w:val="2"/>
      <w:numFmt w:val="decimal"/>
      <w:lvlText w:val="%1."/>
      <w:lvlJc w:val="left"/>
      <w:pPr>
        <w:tabs>
          <w:tab w:val="left" w:pos="312"/>
        </w:tabs>
      </w:pPr>
    </w:lvl>
  </w:abstractNum>
  <w:abstractNum w:abstractNumId="1">
    <w:nsid w:val="0000000B"/>
    <w:multiLevelType w:val="multilevel"/>
    <w:tmpl w:val="0000000B"/>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2">
    <w:nsid w:val="508D7A92"/>
    <w:multiLevelType w:val="singleLevel"/>
    <w:tmpl w:val="508D7A92"/>
    <w:lvl w:ilvl="0" w:tentative="0">
      <w:start w:val="1"/>
      <w:numFmt w:val="decimal"/>
      <w:suff w:val="nothing"/>
      <w:lvlText w:val="（%1）"/>
      <w:lvlJc w:val="left"/>
    </w:lvl>
  </w:abstractNum>
  <w:num w:numId="1">
    <w:abstractNumId w:val="0"/>
  </w:num>
  <w:num w:numId="2">
    <w:abstractNumId w:val="2"/>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3,4,5,6,7"/>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Y4YTQwMjQzYTUwNmE4NjlhMGI2MGI2MmE4MWMwMWEifQ=="/>
    <w:docVar w:name="KSO_WPS_MARK_KEY" w:val="e9ed5fe4-d4ff-48fd-b210-c42fd9bdbd57"/>
  </w:docVars>
  <w:rsids>
    <w:rsidRoot w:val="00F34B14"/>
    <w:rsid w:val="00000672"/>
    <w:rsid w:val="00001013"/>
    <w:rsid w:val="00001799"/>
    <w:rsid w:val="00001AF2"/>
    <w:rsid w:val="00001ECA"/>
    <w:rsid w:val="00002D29"/>
    <w:rsid w:val="00003B93"/>
    <w:rsid w:val="0000474D"/>
    <w:rsid w:val="00005FDF"/>
    <w:rsid w:val="000070B3"/>
    <w:rsid w:val="000076B8"/>
    <w:rsid w:val="0001047A"/>
    <w:rsid w:val="000109DC"/>
    <w:rsid w:val="00010D39"/>
    <w:rsid w:val="0001172C"/>
    <w:rsid w:val="00011A4D"/>
    <w:rsid w:val="00011BC9"/>
    <w:rsid w:val="00012854"/>
    <w:rsid w:val="00012EA6"/>
    <w:rsid w:val="00013359"/>
    <w:rsid w:val="000139CF"/>
    <w:rsid w:val="00013AA4"/>
    <w:rsid w:val="00013DFE"/>
    <w:rsid w:val="000141EA"/>
    <w:rsid w:val="00015094"/>
    <w:rsid w:val="00016ABC"/>
    <w:rsid w:val="000177DB"/>
    <w:rsid w:val="000179C9"/>
    <w:rsid w:val="00017CCC"/>
    <w:rsid w:val="00020227"/>
    <w:rsid w:val="00020263"/>
    <w:rsid w:val="00020455"/>
    <w:rsid w:val="00020527"/>
    <w:rsid w:val="00020813"/>
    <w:rsid w:val="000220B2"/>
    <w:rsid w:val="0002264C"/>
    <w:rsid w:val="00022731"/>
    <w:rsid w:val="00022792"/>
    <w:rsid w:val="00024463"/>
    <w:rsid w:val="00025461"/>
    <w:rsid w:val="00025636"/>
    <w:rsid w:val="00025E36"/>
    <w:rsid w:val="00026855"/>
    <w:rsid w:val="00026886"/>
    <w:rsid w:val="0002785D"/>
    <w:rsid w:val="000329E0"/>
    <w:rsid w:val="000352E9"/>
    <w:rsid w:val="00035494"/>
    <w:rsid w:val="00036125"/>
    <w:rsid w:val="00036A07"/>
    <w:rsid w:val="0003780B"/>
    <w:rsid w:val="00040571"/>
    <w:rsid w:val="00040973"/>
    <w:rsid w:val="0004156E"/>
    <w:rsid w:val="00041713"/>
    <w:rsid w:val="0004440C"/>
    <w:rsid w:val="00046B5E"/>
    <w:rsid w:val="000470CB"/>
    <w:rsid w:val="000509D9"/>
    <w:rsid w:val="00051ACB"/>
    <w:rsid w:val="000533E7"/>
    <w:rsid w:val="000540D9"/>
    <w:rsid w:val="00055D41"/>
    <w:rsid w:val="00057CD6"/>
    <w:rsid w:val="00060DCE"/>
    <w:rsid w:val="000610E3"/>
    <w:rsid w:val="000614F3"/>
    <w:rsid w:val="000623B4"/>
    <w:rsid w:val="00062405"/>
    <w:rsid w:val="000634A7"/>
    <w:rsid w:val="00063B0B"/>
    <w:rsid w:val="00063F81"/>
    <w:rsid w:val="00064847"/>
    <w:rsid w:val="00064B76"/>
    <w:rsid w:val="00065E08"/>
    <w:rsid w:val="0006656C"/>
    <w:rsid w:val="000673E2"/>
    <w:rsid w:val="0007063F"/>
    <w:rsid w:val="000707FD"/>
    <w:rsid w:val="00070949"/>
    <w:rsid w:val="000711E4"/>
    <w:rsid w:val="000724D9"/>
    <w:rsid w:val="00072AED"/>
    <w:rsid w:val="00073F47"/>
    <w:rsid w:val="0007492F"/>
    <w:rsid w:val="00074ED8"/>
    <w:rsid w:val="00075B7E"/>
    <w:rsid w:val="00076B42"/>
    <w:rsid w:val="00077ACA"/>
    <w:rsid w:val="00077C70"/>
    <w:rsid w:val="000813B5"/>
    <w:rsid w:val="00081BA3"/>
    <w:rsid w:val="00081D2E"/>
    <w:rsid w:val="00081F89"/>
    <w:rsid w:val="00082619"/>
    <w:rsid w:val="00082D02"/>
    <w:rsid w:val="00083871"/>
    <w:rsid w:val="00083B91"/>
    <w:rsid w:val="0008473C"/>
    <w:rsid w:val="0008520B"/>
    <w:rsid w:val="000860BD"/>
    <w:rsid w:val="000871B8"/>
    <w:rsid w:val="000916DA"/>
    <w:rsid w:val="00092442"/>
    <w:rsid w:val="000929EF"/>
    <w:rsid w:val="000933BE"/>
    <w:rsid w:val="00093CD4"/>
    <w:rsid w:val="0009560F"/>
    <w:rsid w:val="0009588E"/>
    <w:rsid w:val="000959EE"/>
    <w:rsid w:val="00097183"/>
    <w:rsid w:val="000972CB"/>
    <w:rsid w:val="00097608"/>
    <w:rsid w:val="000A13F3"/>
    <w:rsid w:val="000A23B1"/>
    <w:rsid w:val="000A2B0E"/>
    <w:rsid w:val="000A398F"/>
    <w:rsid w:val="000A3BB7"/>
    <w:rsid w:val="000A448C"/>
    <w:rsid w:val="000A509C"/>
    <w:rsid w:val="000A54A7"/>
    <w:rsid w:val="000A6007"/>
    <w:rsid w:val="000A65A6"/>
    <w:rsid w:val="000A70E3"/>
    <w:rsid w:val="000A7275"/>
    <w:rsid w:val="000A7A12"/>
    <w:rsid w:val="000A7A72"/>
    <w:rsid w:val="000B1202"/>
    <w:rsid w:val="000B1801"/>
    <w:rsid w:val="000B1D0C"/>
    <w:rsid w:val="000B2273"/>
    <w:rsid w:val="000B2585"/>
    <w:rsid w:val="000B2BC6"/>
    <w:rsid w:val="000B2D03"/>
    <w:rsid w:val="000B3815"/>
    <w:rsid w:val="000B3C7B"/>
    <w:rsid w:val="000B3ED8"/>
    <w:rsid w:val="000B4321"/>
    <w:rsid w:val="000B6A6B"/>
    <w:rsid w:val="000B6C95"/>
    <w:rsid w:val="000B79FC"/>
    <w:rsid w:val="000B7BD1"/>
    <w:rsid w:val="000C02B1"/>
    <w:rsid w:val="000C1679"/>
    <w:rsid w:val="000C1EE3"/>
    <w:rsid w:val="000C3AE7"/>
    <w:rsid w:val="000C3CC9"/>
    <w:rsid w:val="000C6DE4"/>
    <w:rsid w:val="000C7202"/>
    <w:rsid w:val="000D0A89"/>
    <w:rsid w:val="000D1389"/>
    <w:rsid w:val="000D1798"/>
    <w:rsid w:val="000D2626"/>
    <w:rsid w:val="000D291C"/>
    <w:rsid w:val="000D3FB6"/>
    <w:rsid w:val="000D411D"/>
    <w:rsid w:val="000D4589"/>
    <w:rsid w:val="000D4809"/>
    <w:rsid w:val="000D73DD"/>
    <w:rsid w:val="000E1C51"/>
    <w:rsid w:val="000E28AB"/>
    <w:rsid w:val="000E2E3E"/>
    <w:rsid w:val="000E3583"/>
    <w:rsid w:val="000E3AF0"/>
    <w:rsid w:val="000E4E04"/>
    <w:rsid w:val="000E693B"/>
    <w:rsid w:val="000E6EC9"/>
    <w:rsid w:val="000E70B4"/>
    <w:rsid w:val="000E7B62"/>
    <w:rsid w:val="000F0E1E"/>
    <w:rsid w:val="000F1A1B"/>
    <w:rsid w:val="000F2A95"/>
    <w:rsid w:val="000F3281"/>
    <w:rsid w:val="000F32FD"/>
    <w:rsid w:val="000F3733"/>
    <w:rsid w:val="000F5F8B"/>
    <w:rsid w:val="000F6153"/>
    <w:rsid w:val="000F63C8"/>
    <w:rsid w:val="000F64AA"/>
    <w:rsid w:val="000F7AF4"/>
    <w:rsid w:val="000F7C33"/>
    <w:rsid w:val="000F7F0C"/>
    <w:rsid w:val="001004D6"/>
    <w:rsid w:val="00102676"/>
    <w:rsid w:val="00103646"/>
    <w:rsid w:val="00103918"/>
    <w:rsid w:val="00104897"/>
    <w:rsid w:val="00104EDE"/>
    <w:rsid w:val="00105CDA"/>
    <w:rsid w:val="00106BEE"/>
    <w:rsid w:val="00107C74"/>
    <w:rsid w:val="0011091C"/>
    <w:rsid w:val="00111266"/>
    <w:rsid w:val="001112EB"/>
    <w:rsid w:val="00112768"/>
    <w:rsid w:val="00113678"/>
    <w:rsid w:val="00113C3E"/>
    <w:rsid w:val="00115E11"/>
    <w:rsid w:val="00115EEE"/>
    <w:rsid w:val="00115F56"/>
    <w:rsid w:val="00116CA9"/>
    <w:rsid w:val="00116F38"/>
    <w:rsid w:val="001170A4"/>
    <w:rsid w:val="00117AE7"/>
    <w:rsid w:val="00117CBD"/>
    <w:rsid w:val="0012006A"/>
    <w:rsid w:val="00121979"/>
    <w:rsid w:val="00122064"/>
    <w:rsid w:val="00124341"/>
    <w:rsid w:val="00124492"/>
    <w:rsid w:val="00124B12"/>
    <w:rsid w:val="001250A0"/>
    <w:rsid w:val="001263B8"/>
    <w:rsid w:val="0012763E"/>
    <w:rsid w:val="00130217"/>
    <w:rsid w:val="00130783"/>
    <w:rsid w:val="00130A47"/>
    <w:rsid w:val="00130D7C"/>
    <w:rsid w:val="00132B47"/>
    <w:rsid w:val="001337F8"/>
    <w:rsid w:val="001348B4"/>
    <w:rsid w:val="001351CB"/>
    <w:rsid w:val="00135530"/>
    <w:rsid w:val="00135947"/>
    <w:rsid w:val="001359A2"/>
    <w:rsid w:val="00135F92"/>
    <w:rsid w:val="00136020"/>
    <w:rsid w:val="00136445"/>
    <w:rsid w:val="00140132"/>
    <w:rsid w:val="00141C9C"/>
    <w:rsid w:val="0014277F"/>
    <w:rsid w:val="001434BE"/>
    <w:rsid w:val="00144050"/>
    <w:rsid w:val="0014479F"/>
    <w:rsid w:val="001452B4"/>
    <w:rsid w:val="00145320"/>
    <w:rsid w:val="001476D3"/>
    <w:rsid w:val="0015002F"/>
    <w:rsid w:val="001509CF"/>
    <w:rsid w:val="00150D1D"/>
    <w:rsid w:val="001525AA"/>
    <w:rsid w:val="00152A87"/>
    <w:rsid w:val="00153BB5"/>
    <w:rsid w:val="00154518"/>
    <w:rsid w:val="00156359"/>
    <w:rsid w:val="001568F3"/>
    <w:rsid w:val="00156DD6"/>
    <w:rsid w:val="0016086E"/>
    <w:rsid w:val="00160D0C"/>
    <w:rsid w:val="00161172"/>
    <w:rsid w:val="00161998"/>
    <w:rsid w:val="00161E65"/>
    <w:rsid w:val="00162597"/>
    <w:rsid w:val="001629AF"/>
    <w:rsid w:val="001629FD"/>
    <w:rsid w:val="0016428A"/>
    <w:rsid w:val="001647C9"/>
    <w:rsid w:val="00165627"/>
    <w:rsid w:val="00165929"/>
    <w:rsid w:val="001661A3"/>
    <w:rsid w:val="00167226"/>
    <w:rsid w:val="0016782B"/>
    <w:rsid w:val="0016784D"/>
    <w:rsid w:val="00172100"/>
    <w:rsid w:val="00172CA8"/>
    <w:rsid w:val="00173256"/>
    <w:rsid w:val="00173B0E"/>
    <w:rsid w:val="00173E03"/>
    <w:rsid w:val="00174182"/>
    <w:rsid w:val="0017512C"/>
    <w:rsid w:val="0017586A"/>
    <w:rsid w:val="00175BA6"/>
    <w:rsid w:val="00176CA7"/>
    <w:rsid w:val="00176F8E"/>
    <w:rsid w:val="001778C5"/>
    <w:rsid w:val="00177E56"/>
    <w:rsid w:val="00177F0A"/>
    <w:rsid w:val="00180DA0"/>
    <w:rsid w:val="00181EAD"/>
    <w:rsid w:val="00181F43"/>
    <w:rsid w:val="00182862"/>
    <w:rsid w:val="00184474"/>
    <w:rsid w:val="00184F57"/>
    <w:rsid w:val="00185544"/>
    <w:rsid w:val="00185617"/>
    <w:rsid w:val="00186823"/>
    <w:rsid w:val="00186FE1"/>
    <w:rsid w:val="00187A14"/>
    <w:rsid w:val="0019171E"/>
    <w:rsid w:val="00192368"/>
    <w:rsid w:val="001923A0"/>
    <w:rsid w:val="001928B1"/>
    <w:rsid w:val="00193537"/>
    <w:rsid w:val="00193846"/>
    <w:rsid w:val="001952C2"/>
    <w:rsid w:val="00195424"/>
    <w:rsid w:val="001955FF"/>
    <w:rsid w:val="00196D6E"/>
    <w:rsid w:val="00197EDD"/>
    <w:rsid w:val="001A02B3"/>
    <w:rsid w:val="001A04BB"/>
    <w:rsid w:val="001A08D0"/>
    <w:rsid w:val="001A1B39"/>
    <w:rsid w:val="001A2120"/>
    <w:rsid w:val="001A28C6"/>
    <w:rsid w:val="001A2E69"/>
    <w:rsid w:val="001A3C34"/>
    <w:rsid w:val="001A3EDE"/>
    <w:rsid w:val="001A4222"/>
    <w:rsid w:val="001A50EA"/>
    <w:rsid w:val="001A5BA2"/>
    <w:rsid w:val="001A5E24"/>
    <w:rsid w:val="001A6B27"/>
    <w:rsid w:val="001A6D8B"/>
    <w:rsid w:val="001A6DAA"/>
    <w:rsid w:val="001A7717"/>
    <w:rsid w:val="001A793A"/>
    <w:rsid w:val="001B125A"/>
    <w:rsid w:val="001B1EBA"/>
    <w:rsid w:val="001B2142"/>
    <w:rsid w:val="001B2F2B"/>
    <w:rsid w:val="001B327A"/>
    <w:rsid w:val="001B35DE"/>
    <w:rsid w:val="001B3A13"/>
    <w:rsid w:val="001B3F5C"/>
    <w:rsid w:val="001B59FF"/>
    <w:rsid w:val="001B6512"/>
    <w:rsid w:val="001B65D7"/>
    <w:rsid w:val="001B6752"/>
    <w:rsid w:val="001B6768"/>
    <w:rsid w:val="001B6F1F"/>
    <w:rsid w:val="001B7CD7"/>
    <w:rsid w:val="001B7ECC"/>
    <w:rsid w:val="001C025B"/>
    <w:rsid w:val="001C115F"/>
    <w:rsid w:val="001C1EAB"/>
    <w:rsid w:val="001C25A7"/>
    <w:rsid w:val="001C318C"/>
    <w:rsid w:val="001C35C4"/>
    <w:rsid w:val="001C3798"/>
    <w:rsid w:val="001C4287"/>
    <w:rsid w:val="001C4479"/>
    <w:rsid w:val="001C5190"/>
    <w:rsid w:val="001C6081"/>
    <w:rsid w:val="001C7B48"/>
    <w:rsid w:val="001D0CFB"/>
    <w:rsid w:val="001D0DAE"/>
    <w:rsid w:val="001D1A0D"/>
    <w:rsid w:val="001D343C"/>
    <w:rsid w:val="001D34F5"/>
    <w:rsid w:val="001D56FC"/>
    <w:rsid w:val="001D58A1"/>
    <w:rsid w:val="001D58C2"/>
    <w:rsid w:val="001D5A8A"/>
    <w:rsid w:val="001D61CA"/>
    <w:rsid w:val="001D6E87"/>
    <w:rsid w:val="001D735E"/>
    <w:rsid w:val="001D73C8"/>
    <w:rsid w:val="001D7BC6"/>
    <w:rsid w:val="001E129E"/>
    <w:rsid w:val="001E175C"/>
    <w:rsid w:val="001E1B0E"/>
    <w:rsid w:val="001E3B63"/>
    <w:rsid w:val="001E522E"/>
    <w:rsid w:val="001E5A94"/>
    <w:rsid w:val="001E5F6F"/>
    <w:rsid w:val="001F0373"/>
    <w:rsid w:val="001F2A2E"/>
    <w:rsid w:val="001F3356"/>
    <w:rsid w:val="001F3C63"/>
    <w:rsid w:val="001F4460"/>
    <w:rsid w:val="001F711A"/>
    <w:rsid w:val="001F75B0"/>
    <w:rsid w:val="00200CE5"/>
    <w:rsid w:val="00200F7C"/>
    <w:rsid w:val="002014DB"/>
    <w:rsid w:val="0020150B"/>
    <w:rsid w:val="00201E12"/>
    <w:rsid w:val="002033B5"/>
    <w:rsid w:val="0020382C"/>
    <w:rsid w:val="0020437A"/>
    <w:rsid w:val="0020454C"/>
    <w:rsid w:val="00204740"/>
    <w:rsid w:val="00205129"/>
    <w:rsid w:val="0020521F"/>
    <w:rsid w:val="0020532C"/>
    <w:rsid w:val="002114C7"/>
    <w:rsid w:val="0021302C"/>
    <w:rsid w:val="00213B1C"/>
    <w:rsid w:val="00214202"/>
    <w:rsid w:val="002148E3"/>
    <w:rsid w:val="0021552D"/>
    <w:rsid w:val="002156AE"/>
    <w:rsid w:val="00215E99"/>
    <w:rsid w:val="0022054D"/>
    <w:rsid w:val="00223DDB"/>
    <w:rsid w:val="00223FA4"/>
    <w:rsid w:val="00223FB0"/>
    <w:rsid w:val="00224067"/>
    <w:rsid w:val="0022421C"/>
    <w:rsid w:val="00224E83"/>
    <w:rsid w:val="00225664"/>
    <w:rsid w:val="0022663D"/>
    <w:rsid w:val="00227F2D"/>
    <w:rsid w:val="00230179"/>
    <w:rsid w:val="00231851"/>
    <w:rsid w:val="002319FB"/>
    <w:rsid w:val="00231B89"/>
    <w:rsid w:val="00231F11"/>
    <w:rsid w:val="00231F5E"/>
    <w:rsid w:val="002346B4"/>
    <w:rsid w:val="00234F6E"/>
    <w:rsid w:val="002355BE"/>
    <w:rsid w:val="002358EA"/>
    <w:rsid w:val="00236578"/>
    <w:rsid w:val="00236DE9"/>
    <w:rsid w:val="00237342"/>
    <w:rsid w:val="00237D5A"/>
    <w:rsid w:val="002415AE"/>
    <w:rsid w:val="00241D3C"/>
    <w:rsid w:val="00242109"/>
    <w:rsid w:val="00243189"/>
    <w:rsid w:val="002439AB"/>
    <w:rsid w:val="00243C19"/>
    <w:rsid w:val="00244AE8"/>
    <w:rsid w:val="00244DC9"/>
    <w:rsid w:val="00245587"/>
    <w:rsid w:val="00245F2B"/>
    <w:rsid w:val="00247F3A"/>
    <w:rsid w:val="00250122"/>
    <w:rsid w:val="00250755"/>
    <w:rsid w:val="00251043"/>
    <w:rsid w:val="00251C4A"/>
    <w:rsid w:val="0025271C"/>
    <w:rsid w:val="002529E4"/>
    <w:rsid w:val="002533CD"/>
    <w:rsid w:val="002535EA"/>
    <w:rsid w:val="00254EAB"/>
    <w:rsid w:val="002557AF"/>
    <w:rsid w:val="0025589C"/>
    <w:rsid w:val="00255B62"/>
    <w:rsid w:val="002566B1"/>
    <w:rsid w:val="002575E3"/>
    <w:rsid w:val="00257A74"/>
    <w:rsid w:val="002603C1"/>
    <w:rsid w:val="002609A1"/>
    <w:rsid w:val="002612B1"/>
    <w:rsid w:val="00266165"/>
    <w:rsid w:val="002662FE"/>
    <w:rsid w:val="00266F2C"/>
    <w:rsid w:val="0027125E"/>
    <w:rsid w:val="00271767"/>
    <w:rsid w:val="00272293"/>
    <w:rsid w:val="002723C8"/>
    <w:rsid w:val="00273C2A"/>
    <w:rsid w:val="00273CBE"/>
    <w:rsid w:val="002746B1"/>
    <w:rsid w:val="00274BAD"/>
    <w:rsid w:val="00282D56"/>
    <w:rsid w:val="002835B0"/>
    <w:rsid w:val="00283C74"/>
    <w:rsid w:val="0028407E"/>
    <w:rsid w:val="0028410F"/>
    <w:rsid w:val="00284572"/>
    <w:rsid w:val="00285221"/>
    <w:rsid w:val="00286FB5"/>
    <w:rsid w:val="00287763"/>
    <w:rsid w:val="00287FCB"/>
    <w:rsid w:val="00290606"/>
    <w:rsid w:val="002909B2"/>
    <w:rsid w:val="00290D42"/>
    <w:rsid w:val="00291D6D"/>
    <w:rsid w:val="00291EC1"/>
    <w:rsid w:val="00291FF1"/>
    <w:rsid w:val="00292AA2"/>
    <w:rsid w:val="00293361"/>
    <w:rsid w:val="002952B1"/>
    <w:rsid w:val="00295D11"/>
    <w:rsid w:val="00296FB6"/>
    <w:rsid w:val="002A0001"/>
    <w:rsid w:val="002A0BD9"/>
    <w:rsid w:val="002A0C3A"/>
    <w:rsid w:val="002A1130"/>
    <w:rsid w:val="002A14F5"/>
    <w:rsid w:val="002A1880"/>
    <w:rsid w:val="002A23B7"/>
    <w:rsid w:val="002A3A57"/>
    <w:rsid w:val="002A4B4F"/>
    <w:rsid w:val="002A57A8"/>
    <w:rsid w:val="002A6DEF"/>
    <w:rsid w:val="002A6E42"/>
    <w:rsid w:val="002A770B"/>
    <w:rsid w:val="002B013E"/>
    <w:rsid w:val="002B058D"/>
    <w:rsid w:val="002B0C16"/>
    <w:rsid w:val="002B2AC5"/>
    <w:rsid w:val="002B3528"/>
    <w:rsid w:val="002B3539"/>
    <w:rsid w:val="002B4532"/>
    <w:rsid w:val="002B5042"/>
    <w:rsid w:val="002B69CC"/>
    <w:rsid w:val="002B6D71"/>
    <w:rsid w:val="002C0C1C"/>
    <w:rsid w:val="002C54C2"/>
    <w:rsid w:val="002C5D34"/>
    <w:rsid w:val="002C5D7F"/>
    <w:rsid w:val="002C60BB"/>
    <w:rsid w:val="002C661A"/>
    <w:rsid w:val="002D0D6F"/>
    <w:rsid w:val="002D25FC"/>
    <w:rsid w:val="002D4AC6"/>
    <w:rsid w:val="002D5BE9"/>
    <w:rsid w:val="002D5BF5"/>
    <w:rsid w:val="002D5E95"/>
    <w:rsid w:val="002D5EE8"/>
    <w:rsid w:val="002D7360"/>
    <w:rsid w:val="002D7648"/>
    <w:rsid w:val="002D780A"/>
    <w:rsid w:val="002E109C"/>
    <w:rsid w:val="002E193E"/>
    <w:rsid w:val="002E1A94"/>
    <w:rsid w:val="002E1D55"/>
    <w:rsid w:val="002E26C4"/>
    <w:rsid w:val="002E30A5"/>
    <w:rsid w:val="002E47E4"/>
    <w:rsid w:val="002E4BF9"/>
    <w:rsid w:val="002E4D61"/>
    <w:rsid w:val="002E5FED"/>
    <w:rsid w:val="002E68A7"/>
    <w:rsid w:val="002E6E6C"/>
    <w:rsid w:val="002F0522"/>
    <w:rsid w:val="002F0B85"/>
    <w:rsid w:val="002F16DD"/>
    <w:rsid w:val="002F199D"/>
    <w:rsid w:val="002F213C"/>
    <w:rsid w:val="002F2453"/>
    <w:rsid w:val="002F352D"/>
    <w:rsid w:val="002F381E"/>
    <w:rsid w:val="002F4084"/>
    <w:rsid w:val="002F4A08"/>
    <w:rsid w:val="002F4ADB"/>
    <w:rsid w:val="002F531E"/>
    <w:rsid w:val="002F548D"/>
    <w:rsid w:val="002F5ACC"/>
    <w:rsid w:val="002F6DBC"/>
    <w:rsid w:val="002F704B"/>
    <w:rsid w:val="002F72C3"/>
    <w:rsid w:val="002F768C"/>
    <w:rsid w:val="002F7D1E"/>
    <w:rsid w:val="00300201"/>
    <w:rsid w:val="0030025A"/>
    <w:rsid w:val="00301ADC"/>
    <w:rsid w:val="00302EFC"/>
    <w:rsid w:val="00303243"/>
    <w:rsid w:val="00303BCC"/>
    <w:rsid w:val="00303F2B"/>
    <w:rsid w:val="00303F8D"/>
    <w:rsid w:val="0030572D"/>
    <w:rsid w:val="0030586A"/>
    <w:rsid w:val="0030622D"/>
    <w:rsid w:val="00306811"/>
    <w:rsid w:val="00306F32"/>
    <w:rsid w:val="003074C5"/>
    <w:rsid w:val="00307A3C"/>
    <w:rsid w:val="00307FA4"/>
    <w:rsid w:val="00310290"/>
    <w:rsid w:val="0031083D"/>
    <w:rsid w:val="00310CC1"/>
    <w:rsid w:val="00311B60"/>
    <w:rsid w:val="00312504"/>
    <w:rsid w:val="00313026"/>
    <w:rsid w:val="00313913"/>
    <w:rsid w:val="0031421F"/>
    <w:rsid w:val="00314B31"/>
    <w:rsid w:val="00315A65"/>
    <w:rsid w:val="003165D7"/>
    <w:rsid w:val="00317BA7"/>
    <w:rsid w:val="00320BE2"/>
    <w:rsid w:val="00321886"/>
    <w:rsid w:val="00323694"/>
    <w:rsid w:val="00323BE7"/>
    <w:rsid w:val="00324C3A"/>
    <w:rsid w:val="00324D63"/>
    <w:rsid w:val="003255AF"/>
    <w:rsid w:val="003256EB"/>
    <w:rsid w:val="003259DB"/>
    <w:rsid w:val="003314D9"/>
    <w:rsid w:val="00331653"/>
    <w:rsid w:val="00331A48"/>
    <w:rsid w:val="00331BCC"/>
    <w:rsid w:val="003326D7"/>
    <w:rsid w:val="003330C9"/>
    <w:rsid w:val="0033364C"/>
    <w:rsid w:val="00334415"/>
    <w:rsid w:val="00335EA1"/>
    <w:rsid w:val="0033691E"/>
    <w:rsid w:val="00336A6A"/>
    <w:rsid w:val="00336CCB"/>
    <w:rsid w:val="003411D1"/>
    <w:rsid w:val="003416BA"/>
    <w:rsid w:val="00342148"/>
    <w:rsid w:val="00342F99"/>
    <w:rsid w:val="0034575A"/>
    <w:rsid w:val="00345F57"/>
    <w:rsid w:val="00350458"/>
    <w:rsid w:val="00350E6C"/>
    <w:rsid w:val="003518A6"/>
    <w:rsid w:val="00351E7F"/>
    <w:rsid w:val="00352953"/>
    <w:rsid w:val="00354062"/>
    <w:rsid w:val="0035459E"/>
    <w:rsid w:val="00355C0D"/>
    <w:rsid w:val="003566A9"/>
    <w:rsid w:val="00356988"/>
    <w:rsid w:val="003569D3"/>
    <w:rsid w:val="00356CE9"/>
    <w:rsid w:val="003570BB"/>
    <w:rsid w:val="00357128"/>
    <w:rsid w:val="0035755E"/>
    <w:rsid w:val="00357A80"/>
    <w:rsid w:val="00361441"/>
    <w:rsid w:val="00361B8B"/>
    <w:rsid w:val="00363F39"/>
    <w:rsid w:val="0036445C"/>
    <w:rsid w:val="00364627"/>
    <w:rsid w:val="00364AB0"/>
    <w:rsid w:val="00364D71"/>
    <w:rsid w:val="003667B0"/>
    <w:rsid w:val="003667DD"/>
    <w:rsid w:val="00366B48"/>
    <w:rsid w:val="00367764"/>
    <w:rsid w:val="00370316"/>
    <w:rsid w:val="00370DC7"/>
    <w:rsid w:val="00371CBD"/>
    <w:rsid w:val="00371F20"/>
    <w:rsid w:val="003721E3"/>
    <w:rsid w:val="00372B98"/>
    <w:rsid w:val="003737B7"/>
    <w:rsid w:val="003740CC"/>
    <w:rsid w:val="003745F4"/>
    <w:rsid w:val="00374E79"/>
    <w:rsid w:val="0037529A"/>
    <w:rsid w:val="00375388"/>
    <w:rsid w:val="00375FB9"/>
    <w:rsid w:val="00376170"/>
    <w:rsid w:val="00376851"/>
    <w:rsid w:val="00376FA2"/>
    <w:rsid w:val="00377A3B"/>
    <w:rsid w:val="00377E3C"/>
    <w:rsid w:val="00380BBE"/>
    <w:rsid w:val="00381D70"/>
    <w:rsid w:val="0038235E"/>
    <w:rsid w:val="003829D0"/>
    <w:rsid w:val="0038326A"/>
    <w:rsid w:val="0038444F"/>
    <w:rsid w:val="003853DE"/>
    <w:rsid w:val="003861F0"/>
    <w:rsid w:val="00387051"/>
    <w:rsid w:val="00387ECF"/>
    <w:rsid w:val="0039021B"/>
    <w:rsid w:val="00390429"/>
    <w:rsid w:val="003906A0"/>
    <w:rsid w:val="0039366C"/>
    <w:rsid w:val="00393EC8"/>
    <w:rsid w:val="003950F5"/>
    <w:rsid w:val="0039538F"/>
    <w:rsid w:val="00395E42"/>
    <w:rsid w:val="00396409"/>
    <w:rsid w:val="00396A2D"/>
    <w:rsid w:val="00396FC3"/>
    <w:rsid w:val="003A1A94"/>
    <w:rsid w:val="003A204E"/>
    <w:rsid w:val="003A2D25"/>
    <w:rsid w:val="003A5728"/>
    <w:rsid w:val="003A60E7"/>
    <w:rsid w:val="003A7092"/>
    <w:rsid w:val="003A72A1"/>
    <w:rsid w:val="003A7611"/>
    <w:rsid w:val="003A7D1F"/>
    <w:rsid w:val="003B0B6A"/>
    <w:rsid w:val="003B22F7"/>
    <w:rsid w:val="003B29CF"/>
    <w:rsid w:val="003B3A90"/>
    <w:rsid w:val="003B534F"/>
    <w:rsid w:val="003B5E4F"/>
    <w:rsid w:val="003B7A79"/>
    <w:rsid w:val="003C0FE1"/>
    <w:rsid w:val="003C151A"/>
    <w:rsid w:val="003C350C"/>
    <w:rsid w:val="003C3903"/>
    <w:rsid w:val="003C3BA0"/>
    <w:rsid w:val="003C4333"/>
    <w:rsid w:val="003C4580"/>
    <w:rsid w:val="003C5C5E"/>
    <w:rsid w:val="003C6746"/>
    <w:rsid w:val="003C7555"/>
    <w:rsid w:val="003C7898"/>
    <w:rsid w:val="003D0FF5"/>
    <w:rsid w:val="003D11A3"/>
    <w:rsid w:val="003D1537"/>
    <w:rsid w:val="003D183C"/>
    <w:rsid w:val="003D2C85"/>
    <w:rsid w:val="003D2D1B"/>
    <w:rsid w:val="003D48C7"/>
    <w:rsid w:val="003D4C27"/>
    <w:rsid w:val="003D7109"/>
    <w:rsid w:val="003D7CE8"/>
    <w:rsid w:val="003E0514"/>
    <w:rsid w:val="003E1032"/>
    <w:rsid w:val="003E1904"/>
    <w:rsid w:val="003E285E"/>
    <w:rsid w:val="003E3124"/>
    <w:rsid w:val="003E3300"/>
    <w:rsid w:val="003E43D3"/>
    <w:rsid w:val="003E48E1"/>
    <w:rsid w:val="003E59BB"/>
    <w:rsid w:val="003E6225"/>
    <w:rsid w:val="003E65AC"/>
    <w:rsid w:val="003E66AE"/>
    <w:rsid w:val="003E72B9"/>
    <w:rsid w:val="003E7ED4"/>
    <w:rsid w:val="003F0E52"/>
    <w:rsid w:val="003F0F6B"/>
    <w:rsid w:val="003F1FC6"/>
    <w:rsid w:val="003F1FE3"/>
    <w:rsid w:val="003F2359"/>
    <w:rsid w:val="003F3865"/>
    <w:rsid w:val="003F3D55"/>
    <w:rsid w:val="003F3E63"/>
    <w:rsid w:val="003F44E2"/>
    <w:rsid w:val="003F4632"/>
    <w:rsid w:val="003F47BA"/>
    <w:rsid w:val="003F4FE6"/>
    <w:rsid w:val="003F5638"/>
    <w:rsid w:val="003F6617"/>
    <w:rsid w:val="00402332"/>
    <w:rsid w:val="004025C2"/>
    <w:rsid w:val="00403195"/>
    <w:rsid w:val="004033A9"/>
    <w:rsid w:val="00403E55"/>
    <w:rsid w:val="0040407C"/>
    <w:rsid w:val="0040416C"/>
    <w:rsid w:val="00404681"/>
    <w:rsid w:val="00405AC1"/>
    <w:rsid w:val="00406923"/>
    <w:rsid w:val="0040763D"/>
    <w:rsid w:val="00410D17"/>
    <w:rsid w:val="00413442"/>
    <w:rsid w:val="00413821"/>
    <w:rsid w:val="00413BA5"/>
    <w:rsid w:val="004141A3"/>
    <w:rsid w:val="00414909"/>
    <w:rsid w:val="0041582F"/>
    <w:rsid w:val="00416112"/>
    <w:rsid w:val="00416AC8"/>
    <w:rsid w:val="00417AE0"/>
    <w:rsid w:val="00417BAA"/>
    <w:rsid w:val="0042042B"/>
    <w:rsid w:val="00420B45"/>
    <w:rsid w:val="00420D7A"/>
    <w:rsid w:val="00421257"/>
    <w:rsid w:val="00422193"/>
    <w:rsid w:val="004223DE"/>
    <w:rsid w:val="00422A10"/>
    <w:rsid w:val="00424D17"/>
    <w:rsid w:val="00425DFD"/>
    <w:rsid w:val="004263A3"/>
    <w:rsid w:val="00427713"/>
    <w:rsid w:val="00427CCC"/>
    <w:rsid w:val="0043013A"/>
    <w:rsid w:val="00430421"/>
    <w:rsid w:val="00430A36"/>
    <w:rsid w:val="00430B4F"/>
    <w:rsid w:val="00431084"/>
    <w:rsid w:val="004310D7"/>
    <w:rsid w:val="004322D6"/>
    <w:rsid w:val="00432589"/>
    <w:rsid w:val="00432A94"/>
    <w:rsid w:val="00432C95"/>
    <w:rsid w:val="00433827"/>
    <w:rsid w:val="00433A40"/>
    <w:rsid w:val="00434B70"/>
    <w:rsid w:val="004360C8"/>
    <w:rsid w:val="004371D5"/>
    <w:rsid w:val="0044006B"/>
    <w:rsid w:val="0044033F"/>
    <w:rsid w:val="00440630"/>
    <w:rsid w:val="00441F0F"/>
    <w:rsid w:val="00442965"/>
    <w:rsid w:val="00444157"/>
    <w:rsid w:val="0044417C"/>
    <w:rsid w:val="00444DB3"/>
    <w:rsid w:val="00445617"/>
    <w:rsid w:val="00445A2F"/>
    <w:rsid w:val="0044684E"/>
    <w:rsid w:val="00446F22"/>
    <w:rsid w:val="0045019F"/>
    <w:rsid w:val="004503A4"/>
    <w:rsid w:val="00450555"/>
    <w:rsid w:val="004506FA"/>
    <w:rsid w:val="00450DC6"/>
    <w:rsid w:val="004516A5"/>
    <w:rsid w:val="00451E9C"/>
    <w:rsid w:val="0045280F"/>
    <w:rsid w:val="004535AE"/>
    <w:rsid w:val="0045444D"/>
    <w:rsid w:val="0045463A"/>
    <w:rsid w:val="00454AC9"/>
    <w:rsid w:val="00455050"/>
    <w:rsid w:val="004554A3"/>
    <w:rsid w:val="00455A6E"/>
    <w:rsid w:val="00455EAD"/>
    <w:rsid w:val="004578EB"/>
    <w:rsid w:val="004604D5"/>
    <w:rsid w:val="00460697"/>
    <w:rsid w:val="0046117B"/>
    <w:rsid w:val="00464AB7"/>
    <w:rsid w:val="00465DE5"/>
    <w:rsid w:val="00467EF8"/>
    <w:rsid w:val="00472429"/>
    <w:rsid w:val="004725E5"/>
    <w:rsid w:val="00472751"/>
    <w:rsid w:val="00473128"/>
    <w:rsid w:val="00473263"/>
    <w:rsid w:val="00475078"/>
    <w:rsid w:val="00475767"/>
    <w:rsid w:val="004779A0"/>
    <w:rsid w:val="004808E3"/>
    <w:rsid w:val="00481016"/>
    <w:rsid w:val="0048204C"/>
    <w:rsid w:val="004821BB"/>
    <w:rsid w:val="004826FE"/>
    <w:rsid w:val="004827D5"/>
    <w:rsid w:val="00482AF2"/>
    <w:rsid w:val="004830C9"/>
    <w:rsid w:val="00483347"/>
    <w:rsid w:val="00483E2E"/>
    <w:rsid w:val="00484B69"/>
    <w:rsid w:val="0048526E"/>
    <w:rsid w:val="00485406"/>
    <w:rsid w:val="0048590F"/>
    <w:rsid w:val="004865D9"/>
    <w:rsid w:val="00486D60"/>
    <w:rsid w:val="00491FA1"/>
    <w:rsid w:val="00492A25"/>
    <w:rsid w:val="004938A3"/>
    <w:rsid w:val="0049558B"/>
    <w:rsid w:val="00496350"/>
    <w:rsid w:val="0049797C"/>
    <w:rsid w:val="004A00E1"/>
    <w:rsid w:val="004A0943"/>
    <w:rsid w:val="004A1405"/>
    <w:rsid w:val="004A1FC6"/>
    <w:rsid w:val="004A2E5F"/>
    <w:rsid w:val="004A38C2"/>
    <w:rsid w:val="004A3C03"/>
    <w:rsid w:val="004A3DB7"/>
    <w:rsid w:val="004A3E87"/>
    <w:rsid w:val="004A5088"/>
    <w:rsid w:val="004A5255"/>
    <w:rsid w:val="004A6CB0"/>
    <w:rsid w:val="004A70FF"/>
    <w:rsid w:val="004A7EDE"/>
    <w:rsid w:val="004B0D93"/>
    <w:rsid w:val="004B1FA4"/>
    <w:rsid w:val="004B29AC"/>
    <w:rsid w:val="004B35DF"/>
    <w:rsid w:val="004B3627"/>
    <w:rsid w:val="004B4922"/>
    <w:rsid w:val="004B57DF"/>
    <w:rsid w:val="004B5976"/>
    <w:rsid w:val="004B7137"/>
    <w:rsid w:val="004B722E"/>
    <w:rsid w:val="004B72E8"/>
    <w:rsid w:val="004C01A5"/>
    <w:rsid w:val="004C0412"/>
    <w:rsid w:val="004C0DBA"/>
    <w:rsid w:val="004C1142"/>
    <w:rsid w:val="004C1D55"/>
    <w:rsid w:val="004C2138"/>
    <w:rsid w:val="004C3940"/>
    <w:rsid w:val="004C51FD"/>
    <w:rsid w:val="004C65A8"/>
    <w:rsid w:val="004C6689"/>
    <w:rsid w:val="004D139A"/>
    <w:rsid w:val="004D14DC"/>
    <w:rsid w:val="004D17C6"/>
    <w:rsid w:val="004D2858"/>
    <w:rsid w:val="004D28C5"/>
    <w:rsid w:val="004D2E49"/>
    <w:rsid w:val="004D35BA"/>
    <w:rsid w:val="004D38E5"/>
    <w:rsid w:val="004D3C5A"/>
    <w:rsid w:val="004D449A"/>
    <w:rsid w:val="004D4701"/>
    <w:rsid w:val="004D47C7"/>
    <w:rsid w:val="004D4F35"/>
    <w:rsid w:val="004D5D45"/>
    <w:rsid w:val="004D618D"/>
    <w:rsid w:val="004D62A9"/>
    <w:rsid w:val="004D6FC3"/>
    <w:rsid w:val="004D7476"/>
    <w:rsid w:val="004D7716"/>
    <w:rsid w:val="004E0306"/>
    <w:rsid w:val="004E0572"/>
    <w:rsid w:val="004E06D5"/>
    <w:rsid w:val="004E1641"/>
    <w:rsid w:val="004E1818"/>
    <w:rsid w:val="004E1990"/>
    <w:rsid w:val="004E25A8"/>
    <w:rsid w:val="004E3930"/>
    <w:rsid w:val="004E3ED9"/>
    <w:rsid w:val="004E5866"/>
    <w:rsid w:val="004E6097"/>
    <w:rsid w:val="004E61EF"/>
    <w:rsid w:val="004E63C6"/>
    <w:rsid w:val="004E76A7"/>
    <w:rsid w:val="004E7B03"/>
    <w:rsid w:val="004F0064"/>
    <w:rsid w:val="004F06AC"/>
    <w:rsid w:val="004F1D2A"/>
    <w:rsid w:val="004F243F"/>
    <w:rsid w:val="004F252C"/>
    <w:rsid w:val="004F36A3"/>
    <w:rsid w:val="004F3E0C"/>
    <w:rsid w:val="004F4308"/>
    <w:rsid w:val="004F7160"/>
    <w:rsid w:val="00500258"/>
    <w:rsid w:val="00500B2D"/>
    <w:rsid w:val="00501A99"/>
    <w:rsid w:val="00503180"/>
    <w:rsid w:val="005038A4"/>
    <w:rsid w:val="005048E0"/>
    <w:rsid w:val="00505450"/>
    <w:rsid w:val="005100B7"/>
    <w:rsid w:val="005113C9"/>
    <w:rsid w:val="00512050"/>
    <w:rsid w:val="00512055"/>
    <w:rsid w:val="0051280C"/>
    <w:rsid w:val="00512842"/>
    <w:rsid w:val="005128BE"/>
    <w:rsid w:val="0051356F"/>
    <w:rsid w:val="00513E7C"/>
    <w:rsid w:val="005140BB"/>
    <w:rsid w:val="00514FBE"/>
    <w:rsid w:val="00514FD9"/>
    <w:rsid w:val="0051550A"/>
    <w:rsid w:val="0051608F"/>
    <w:rsid w:val="00520EF8"/>
    <w:rsid w:val="005210F7"/>
    <w:rsid w:val="00521753"/>
    <w:rsid w:val="0052239D"/>
    <w:rsid w:val="005224EE"/>
    <w:rsid w:val="00522879"/>
    <w:rsid w:val="00523BB1"/>
    <w:rsid w:val="0052570E"/>
    <w:rsid w:val="005260CD"/>
    <w:rsid w:val="00526265"/>
    <w:rsid w:val="0052655D"/>
    <w:rsid w:val="005265E0"/>
    <w:rsid w:val="00526BC3"/>
    <w:rsid w:val="00531761"/>
    <w:rsid w:val="0053248F"/>
    <w:rsid w:val="0053332A"/>
    <w:rsid w:val="0053358A"/>
    <w:rsid w:val="00534668"/>
    <w:rsid w:val="00534DDD"/>
    <w:rsid w:val="00535291"/>
    <w:rsid w:val="00535A94"/>
    <w:rsid w:val="00537874"/>
    <w:rsid w:val="0053795F"/>
    <w:rsid w:val="00537D3D"/>
    <w:rsid w:val="00540511"/>
    <w:rsid w:val="00540578"/>
    <w:rsid w:val="00540808"/>
    <w:rsid w:val="0054080E"/>
    <w:rsid w:val="00540EA1"/>
    <w:rsid w:val="0054358E"/>
    <w:rsid w:val="00543AF4"/>
    <w:rsid w:val="00544191"/>
    <w:rsid w:val="0054440C"/>
    <w:rsid w:val="005448EC"/>
    <w:rsid w:val="00544C0A"/>
    <w:rsid w:val="00544F39"/>
    <w:rsid w:val="00546F90"/>
    <w:rsid w:val="00547EFB"/>
    <w:rsid w:val="005522F2"/>
    <w:rsid w:val="005531DF"/>
    <w:rsid w:val="00553874"/>
    <w:rsid w:val="00554577"/>
    <w:rsid w:val="00554AD8"/>
    <w:rsid w:val="00554F78"/>
    <w:rsid w:val="00555DA1"/>
    <w:rsid w:val="00556BF7"/>
    <w:rsid w:val="00557F60"/>
    <w:rsid w:val="00561730"/>
    <w:rsid w:val="00561B97"/>
    <w:rsid w:val="00562149"/>
    <w:rsid w:val="00567B5D"/>
    <w:rsid w:val="005706D5"/>
    <w:rsid w:val="00570757"/>
    <w:rsid w:val="00573733"/>
    <w:rsid w:val="00573F8B"/>
    <w:rsid w:val="00574554"/>
    <w:rsid w:val="00574E06"/>
    <w:rsid w:val="005751BB"/>
    <w:rsid w:val="00576089"/>
    <w:rsid w:val="005764B1"/>
    <w:rsid w:val="00576852"/>
    <w:rsid w:val="00576D06"/>
    <w:rsid w:val="00577287"/>
    <w:rsid w:val="005779E4"/>
    <w:rsid w:val="00577F9F"/>
    <w:rsid w:val="00580EC7"/>
    <w:rsid w:val="00581132"/>
    <w:rsid w:val="0058289C"/>
    <w:rsid w:val="005836C7"/>
    <w:rsid w:val="0058408E"/>
    <w:rsid w:val="00585374"/>
    <w:rsid w:val="005854CA"/>
    <w:rsid w:val="00585FAB"/>
    <w:rsid w:val="0058628F"/>
    <w:rsid w:val="0058714B"/>
    <w:rsid w:val="0058789A"/>
    <w:rsid w:val="00590B77"/>
    <w:rsid w:val="00590D9A"/>
    <w:rsid w:val="005913A3"/>
    <w:rsid w:val="00592C33"/>
    <w:rsid w:val="005940D4"/>
    <w:rsid w:val="00594A7B"/>
    <w:rsid w:val="0059580E"/>
    <w:rsid w:val="00595D90"/>
    <w:rsid w:val="00596A6F"/>
    <w:rsid w:val="00596FCE"/>
    <w:rsid w:val="005A11BC"/>
    <w:rsid w:val="005A1525"/>
    <w:rsid w:val="005A1E17"/>
    <w:rsid w:val="005A252B"/>
    <w:rsid w:val="005A2A8F"/>
    <w:rsid w:val="005A3204"/>
    <w:rsid w:val="005A3341"/>
    <w:rsid w:val="005A3C3D"/>
    <w:rsid w:val="005A46EC"/>
    <w:rsid w:val="005A5EAE"/>
    <w:rsid w:val="005A6407"/>
    <w:rsid w:val="005A726C"/>
    <w:rsid w:val="005B07EC"/>
    <w:rsid w:val="005B2B11"/>
    <w:rsid w:val="005B32A4"/>
    <w:rsid w:val="005B3371"/>
    <w:rsid w:val="005B338D"/>
    <w:rsid w:val="005B36D7"/>
    <w:rsid w:val="005B3BAF"/>
    <w:rsid w:val="005B4DA3"/>
    <w:rsid w:val="005B5BEE"/>
    <w:rsid w:val="005B69F3"/>
    <w:rsid w:val="005B77D2"/>
    <w:rsid w:val="005C019B"/>
    <w:rsid w:val="005C08D0"/>
    <w:rsid w:val="005C1AED"/>
    <w:rsid w:val="005C30F5"/>
    <w:rsid w:val="005C51A5"/>
    <w:rsid w:val="005C557A"/>
    <w:rsid w:val="005C566F"/>
    <w:rsid w:val="005C5C47"/>
    <w:rsid w:val="005C61DD"/>
    <w:rsid w:val="005C6438"/>
    <w:rsid w:val="005C6B8B"/>
    <w:rsid w:val="005C727F"/>
    <w:rsid w:val="005D02E3"/>
    <w:rsid w:val="005D1F34"/>
    <w:rsid w:val="005D2C1F"/>
    <w:rsid w:val="005D2DE8"/>
    <w:rsid w:val="005D34B2"/>
    <w:rsid w:val="005D3B54"/>
    <w:rsid w:val="005D40CD"/>
    <w:rsid w:val="005D41B0"/>
    <w:rsid w:val="005D6B59"/>
    <w:rsid w:val="005D784B"/>
    <w:rsid w:val="005E03E4"/>
    <w:rsid w:val="005E0454"/>
    <w:rsid w:val="005E05F6"/>
    <w:rsid w:val="005E2442"/>
    <w:rsid w:val="005E3111"/>
    <w:rsid w:val="005E3F85"/>
    <w:rsid w:val="005E4A5F"/>
    <w:rsid w:val="005E57B0"/>
    <w:rsid w:val="005E5B01"/>
    <w:rsid w:val="005E6D3B"/>
    <w:rsid w:val="005F009E"/>
    <w:rsid w:val="005F0DF1"/>
    <w:rsid w:val="005F1516"/>
    <w:rsid w:val="005F229E"/>
    <w:rsid w:val="005F2564"/>
    <w:rsid w:val="005F3822"/>
    <w:rsid w:val="005F4635"/>
    <w:rsid w:val="005F4900"/>
    <w:rsid w:val="005F4A90"/>
    <w:rsid w:val="005F4E52"/>
    <w:rsid w:val="005F6D58"/>
    <w:rsid w:val="005F7383"/>
    <w:rsid w:val="0060058E"/>
    <w:rsid w:val="00601F77"/>
    <w:rsid w:val="00602A3C"/>
    <w:rsid w:val="00603EFD"/>
    <w:rsid w:val="0060475B"/>
    <w:rsid w:val="00604BED"/>
    <w:rsid w:val="00604FB6"/>
    <w:rsid w:val="00605387"/>
    <w:rsid w:val="00606302"/>
    <w:rsid w:val="006076FD"/>
    <w:rsid w:val="0061143F"/>
    <w:rsid w:val="006114D8"/>
    <w:rsid w:val="00613553"/>
    <w:rsid w:val="00613601"/>
    <w:rsid w:val="00613791"/>
    <w:rsid w:val="006150D6"/>
    <w:rsid w:val="00615245"/>
    <w:rsid w:val="0061590D"/>
    <w:rsid w:val="0061641E"/>
    <w:rsid w:val="00617EEE"/>
    <w:rsid w:val="00620A1F"/>
    <w:rsid w:val="006214DE"/>
    <w:rsid w:val="0062169D"/>
    <w:rsid w:val="0062181E"/>
    <w:rsid w:val="0062211B"/>
    <w:rsid w:val="00622BB7"/>
    <w:rsid w:val="00622C1E"/>
    <w:rsid w:val="00623389"/>
    <w:rsid w:val="00623DAA"/>
    <w:rsid w:val="00623FAF"/>
    <w:rsid w:val="006265C4"/>
    <w:rsid w:val="0062678A"/>
    <w:rsid w:val="006270AF"/>
    <w:rsid w:val="00634367"/>
    <w:rsid w:val="00640082"/>
    <w:rsid w:val="00640291"/>
    <w:rsid w:val="00640EFE"/>
    <w:rsid w:val="00641D6D"/>
    <w:rsid w:val="00641FAC"/>
    <w:rsid w:val="00643664"/>
    <w:rsid w:val="00643CAA"/>
    <w:rsid w:val="00644F16"/>
    <w:rsid w:val="006455EB"/>
    <w:rsid w:val="006456C2"/>
    <w:rsid w:val="00645A65"/>
    <w:rsid w:val="006477F0"/>
    <w:rsid w:val="006478E4"/>
    <w:rsid w:val="0065171A"/>
    <w:rsid w:val="00652680"/>
    <w:rsid w:val="00653CDE"/>
    <w:rsid w:val="00654585"/>
    <w:rsid w:val="00655AB6"/>
    <w:rsid w:val="00656281"/>
    <w:rsid w:val="0065636A"/>
    <w:rsid w:val="00657003"/>
    <w:rsid w:val="00660238"/>
    <w:rsid w:val="006602EF"/>
    <w:rsid w:val="00661277"/>
    <w:rsid w:val="006619E0"/>
    <w:rsid w:val="006634A0"/>
    <w:rsid w:val="00663FEA"/>
    <w:rsid w:val="00664803"/>
    <w:rsid w:val="006657C5"/>
    <w:rsid w:val="006661A4"/>
    <w:rsid w:val="00666AC0"/>
    <w:rsid w:val="006670E0"/>
    <w:rsid w:val="006671B8"/>
    <w:rsid w:val="00667275"/>
    <w:rsid w:val="00667532"/>
    <w:rsid w:val="0066783E"/>
    <w:rsid w:val="00667E53"/>
    <w:rsid w:val="006711C4"/>
    <w:rsid w:val="006713AB"/>
    <w:rsid w:val="00672CA5"/>
    <w:rsid w:val="00673711"/>
    <w:rsid w:val="00673F82"/>
    <w:rsid w:val="00674F74"/>
    <w:rsid w:val="0067508F"/>
    <w:rsid w:val="00677576"/>
    <w:rsid w:val="0068051E"/>
    <w:rsid w:val="00680B9D"/>
    <w:rsid w:val="00681F13"/>
    <w:rsid w:val="0068231C"/>
    <w:rsid w:val="00682344"/>
    <w:rsid w:val="00682F28"/>
    <w:rsid w:val="00683515"/>
    <w:rsid w:val="00684842"/>
    <w:rsid w:val="006859AA"/>
    <w:rsid w:val="00685BD6"/>
    <w:rsid w:val="00687116"/>
    <w:rsid w:val="006878A6"/>
    <w:rsid w:val="00687D5F"/>
    <w:rsid w:val="00690437"/>
    <w:rsid w:val="00690DC3"/>
    <w:rsid w:val="00690E65"/>
    <w:rsid w:val="00690F8A"/>
    <w:rsid w:val="006911B7"/>
    <w:rsid w:val="00691387"/>
    <w:rsid w:val="0069188E"/>
    <w:rsid w:val="00691974"/>
    <w:rsid w:val="00692BF6"/>
    <w:rsid w:val="00692CE6"/>
    <w:rsid w:val="00693186"/>
    <w:rsid w:val="00693381"/>
    <w:rsid w:val="00693B6C"/>
    <w:rsid w:val="006942AE"/>
    <w:rsid w:val="00695421"/>
    <w:rsid w:val="00697BD3"/>
    <w:rsid w:val="00697DFA"/>
    <w:rsid w:val="006A16D5"/>
    <w:rsid w:val="006A1772"/>
    <w:rsid w:val="006A1780"/>
    <w:rsid w:val="006A21DD"/>
    <w:rsid w:val="006A26C6"/>
    <w:rsid w:val="006A3302"/>
    <w:rsid w:val="006A3B28"/>
    <w:rsid w:val="006A4FEE"/>
    <w:rsid w:val="006A703E"/>
    <w:rsid w:val="006A7BE3"/>
    <w:rsid w:val="006A7D32"/>
    <w:rsid w:val="006B01D1"/>
    <w:rsid w:val="006B0DF4"/>
    <w:rsid w:val="006B0E2B"/>
    <w:rsid w:val="006B16EA"/>
    <w:rsid w:val="006B1780"/>
    <w:rsid w:val="006B224E"/>
    <w:rsid w:val="006B376E"/>
    <w:rsid w:val="006B4589"/>
    <w:rsid w:val="006B4DB6"/>
    <w:rsid w:val="006B610E"/>
    <w:rsid w:val="006B643B"/>
    <w:rsid w:val="006B6805"/>
    <w:rsid w:val="006B6DE0"/>
    <w:rsid w:val="006C0C0C"/>
    <w:rsid w:val="006C16C3"/>
    <w:rsid w:val="006C2187"/>
    <w:rsid w:val="006C32F4"/>
    <w:rsid w:val="006C3C54"/>
    <w:rsid w:val="006C3D1C"/>
    <w:rsid w:val="006C4B6B"/>
    <w:rsid w:val="006C4F9F"/>
    <w:rsid w:val="006C71A2"/>
    <w:rsid w:val="006C73EC"/>
    <w:rsid w:val="006D0C1D"/>
    <w:rsid w:val="006D2E9D"/>
    <w:rsid w:val="006D4A4E"/>
    <w:rsid w:val="006D4C42"/>
    <w:rsid w:val="006D5389"/>
    <w:rsid w:val="006D5809"/>
    <w:rsid w:val="006D607E"/>
    <w:rsid w:val="006D6781"/>
    <w:rsid w:val="006D6E12"/>
    <w:rsid w:val="006D70CB"/>
    <w:rsid w:val="006D715C"/>
    <w:rsid w:val="006D7363"/>
    <w:rsid w:val="006D774E"/>
    <w:rsid w:val="006D7EA2"/>
    <w:rsid w:val="006E0754"/>
    <w:rsid w:val="006E2668"/>
    <w:rsid w:val="006E2D39"/>
    <w:rsid w:val="006E32B0"/>
    <w:rsid w:val="006E348E"/>
    <w:rsid w:val="006E396A"/>
    <w:rsid w:val="006E3D63"/>
    <w:rsid w:val="006E58BF"/>
    <w:rsid w:val="006E5DD8"/>
    <w:rsid w:val="006E5EA1"/>
    <w:rsid w:val="006E6DEE"/>
    <w:rsid w:val="006E7D4B"/>
    <w:rsid w:val="006F0760"/>
    <w:rsid w:val="006F11E2"/>
    <w:rsid w:val="006F2574"/>
    <w:rsid w:val="006F3221"/>
    <w:rsid w:val="006F3231"/>
    <w:rsid w:val="006F3DE3"/>
    <w:rsid w:val="006F4787"/>
    <w:rsid w:val="006F5C43"/>
    <w:rsid w:val="006F61D8"/>
    <w:rsid w:val="006F62B7"/>
    <w:rsid w:val="006F70BC"/>
    <w:rsid w:val="006F734B"/>
    <w:rsid w:val="006F7E7C"/>
    <w:rsid w:val="0070174E"/>
    <w:rsid w:val="007018DB"/>
    <w:rsid w:val="00701DE6"/>
    <w:rsid w:val="00702740"/>
    <w:rsid w:val="0070381B"/>
    <w:rsid w:val="007076DD"/>
    <w:rsid w:val="0070796C"/>
    <w:rsid w:val="007109BB"/>
    <w:rsid w:val="00710EBF"/>
    <w:rsid w:val="007110B8"/>
    <w:rsid w:val="0071209F"/>
    <w:rsid w:val="007125A2"/>
    <w:rsid w:val="00713DD9"/>
    <w:rsid w:val="00713F79"/>
    <w:rsid w:val="007148A8"/>
    <w:rsid w:val="00716AC8"/>
    <w:rsid w:val="00716E54"/>
    <w:rsid w:val="00717421"/>
    <w:rsid w:val="0072033C"/>
    <w:rsid w:val="00720B1B"/>
    <w:rsid w:val="00721062"/>
    <w:rsid w:val="00721E5D"/>
    <w:rsid w:val="007229D4"/>
    <w:rsid w:val="007230F8"/>
    <w:rsid w:val="007233F4"/>
    <w:rsid w:val="00724044"/>
    <w:rsid w:val="007248D3"/>
    <w:rsid w:val="00724DF8"/>
    <w:rsid w:val="00725137"/>
    <w:rsid w:val="00725378"/>
    <w:rsid w:val="00727A43"/>
    <w:rsid w:val="00727FF2"/>
    <w:rsid w:val="00730550"/>
    <w:rsid w:val="00730C2A"/>
    <w:rsid w:val="00731434"/>
    <w:rsid w:val="00731E59"/>
    <w:rsid w:val="007323E0"/>
    <w:rsid w:val="00732911"/>
    <w:rsid w:val="00733721"/>
    <w:rsid w:val="00733DE2"/>
    <w:rsid w:val="007352EA"/>
    <w:rsid w:val="0073625F"/>
    <w:rsid w:val="0073792F"/>
    <w:rsid w:val="00740C81"/>
    <w:rsid w:val="00740DA6"/>
    <w:rsid w:val="007419B8"/>
    <w:rsid w:val="00741B4B"/>
    <w:rsid w:val="00741D1E"/>
    <w:rsid w:val="00741DD6"/>
    <w:rsid w:val="00741EE2"/>
    <w:rsid w:val="0074207F"/>
    <w:rsid w:val="00742367"/>
    <w:rsid w:val="00742EAA"/>
    <w:rsid w:val="00743360"/>
    <w:rsid w:val="00743818"/>
    <w:rsid w:val="00743857"/>
    <w:rsid w:val="007441FB"/>
    <w:rsid w:val="00744517"/>
    <w:rsid w:val="0074522A"/>
    <w:rsid w:val="00747295"/>
    <w:rsid w:val="00747520"/>
    <w:rsid w:val="00747829"/>
    <w:rsid w:val="00747DE2"/>
    <w:rsid w:val="007504BF"/>
    <w:rsid w:val="007506CD"/>
    <w:rsid w:val="0075267F"/>
    <w:rsid w:val="007526EC"/>
    <w:rsid w:val="007527F7"/>
    <w:rsid w:val="00753C48"/>
    <w:rsid w:val="00754250"/>
    <w:rsid w:val="00754FE4"/>
    <w:rsid w:val="00755216"/>
    <w:rsid w:val="00756236"/>
    <w:rsid w:val="00756271"/>
    <w:rsid w:val="00756348"/>
    <w:rsid w:val="00756521"/>
    <w:rsid w:val="00756AB7"/>
    <w:rsid w:val="0076106D"/>
    <w:rsid w:val="007623FB"/>
    <w:rsid w:val="00762517"/>
    <w:rsid w:val="00763240"/>
    <w:rsid w:val="0076376A"/>
    <w:rsid w:val="007648AD"/>
    <w:rsid w:val="0076504E"/>
    <w:rsid w:val="00767BFD"/>
    <w:rsid w:val="00767EA0"/>
    <w:rsid w:val="0077068F"/>
    <w:rsid w:val="00771EDF"/>
    <w:rsid w:val="00772986"/>
    <w:rsid w:val="00772A90"/>
    <w:rsid w:val="00772F8D"/>
    <w:rsid w:val="0077408D"/>
    <w:rsid w:val="00774270"/>
    <w:rsid w:val="007743F6"/>
    <w:rsid w:val="00775679"/>
    <w:rsid w:val="0077574F"/>
    <w:rsid w:val="00775823"/>
    <w:rsid w:val="007777CC"/>
    <w:rsid w:val="00777B32"/>
    <w:rsid w:val="0078051E"/>
    <w:rsid w:val="00781089"/>
    <w:rsid w:val="007838F3"/>
    <w:rsid w:val="007856FE"/>
    <w:rsid w:val="00785F46"/>
    <w:rsid w:val="007865F4"/>
    <w:rsid w:val="00786D5C"/>
    <w:rsid w:val="00786E96"/>
    <w:rsid w:val="00787DFF"/>
    <w:rsid w:val="00787F93"/>
    <w:rsid w:val="00791E6D"/>
    <w:rsid w:val="00791EB5"/>
    <w:rsid w:val="00791FF2"/>
    <w:rsid w:val="00792608"/>
    <w:rsid w:val="00793696"/>
    <w:rsid w:val="007955DA"/>
    <w:rsid w:val="00796F65"/>
    <w:rsid w:val="007A11C2"/>
    <w:rsid w:val="007A18BB"/>
    <w:rsid w:val="007A27DD"/>
    <w:rsid w:val="007A41BF"/>
    <w:rsid w:val="007A490A"/>
    <w:rsid w:val="007A7B95"/>
    <w:rsid w:val="007B0297"/>
    <w:rsid w:val="007B02FA"/>
    <w:rsid w:val="007B0F53"/>
    <w:rsid w:val="007B21AE"/>
    <w:rsid w:val="007B2570"/>
    <w:rsid w:val="007B3113"/>
    <w:rsid w:val="007B3304"/>
    <w:rsid w:val="007B7490"/>
    <w:rsid w:val="007C0525"/>
    <w:rsid w:val="007C13F7"/>
    <w:rsid w:val="007C218D"/>
    <w:rsid w:val="007C2D28"/>
    <w:rsid w:val="007C3E22"/>
    <w:rsid w:val="007C5B90"/>
    <w:rsid w:val="007C6218"/>
    <w:rsid w:val="007C6484"/>
    <w:rsid w:val="007C67C6"/>
    <w:rsid w:val="007C78BE"/>
    <w:rsid w:val="007C7E59"/>
    <w:rsid w:val="007D0476"/>
    <w:rsid w:val="007D0B91"/>
    <w:rsid w:val="007D1386"/>
    <w:rsid w:val="007D1452"/>
    <w:rsid w:val="007D3DCB"/>
    <w:rsid w:val="007D460C"/>
    <w:rsid w:val="007D4996"/>
    <w:rsid w:val="007D4AD3"/>
    <w:rsid w:val="007D5D19"/>
    <w:rsid w:val="007D5FDC"/>
    <w:rsid w:val="007D6176"/>
    <w:rsid w:val="007D6D68"/>
    <w:rsid w:val="007E32DA"/>
    <w:rsid w:val="007E4998"/>
    <w:rsid w:val="007E4A9C"/>
    <w:rsid w:val="007E6914"/>
    <w:rsid w:val="007E7F78"/>
    <w:rsid w:val="007F0179"/>
    <w:rsid w:val="007F2C13"/>
    <w:rsid w:val="007F2CEC"/>
    <w:rsid w:val="007F3435"/>
    <w:rsid w:val="007F55DE"/>
    <w:rsid w:val="007F762D"/>
    <w:rsid w:val="007F78F0"/>
    <w:rsid w:val="007F78FF"/>
    <w:rsid w:val="008001C5"/>
    <w:rsid w:val="00800F6C"/>
    <w:rsid w:val="00801065"/>
    <w:rsid w:val="00802C0B"/>
    <w:rsid w:val="008051FC"/>
    <w:rsid w:val="008055A9"/>
    <w:rsid w:val="008056C4"/>
    <w:rsid w:val="008057FD"/>
    <w:rsid w:val="00805D8B"/>
    <w:rsid w:val="00810BB6"/>
    <w:rsid w:val="00810E8E"/>
    <w:rsid w:val="00812C44"/>
    <w:rsid w:val="008135E1"/>
    <w:rsid w:val="00813779"/>
    <w:rsid w:val="00813E26"/>
    <w:rsid w:val="0081481D"/>
    <w:rsid w:val="00814BE8"/>
    <w:rsid w:val="00814F6E"/>
    <w:rsid w:val="00815363"/>
    <w:rsid w:val="00815B84"/>
    <w:rsid w:val="00816BE9"/>
    <w:rsid w:val="0082027C"/>
    <w:rsid w:val="00822518"/>
    <w:rsid w:val="008226F5"/>
    <w:rsid w:val="00823FC6"/>
    <w:rsid w:val="00824306"/>
    <w:rsid w:val="00825C74"/>
    <w:rsid w:val="00825CFA"/>
    <w:rsid w:val="00826AB9"/>
    <w:rsid w:val="00826E0E"/>
    <w:rsid w:val="00827D11"/>
    <w:rsid w:val="00827E0F"/>
    <w:rsid w:val="00827F6E"/>
    <w:rsid w:val="00831758"/>
    <w:rsid w:val="008317D9"/>
    <w:rsid w:val="0083279F"/>
    <w:rsid w:val="008334DB"/>
    <w:rsid w:val="00833B7F"/>
    <w:rsid w:val="00833E8E"/>
    <w:rsid w:val="00834906"/>
    <w:rsid w:val="00836075"/>
    <w:rsid w:val="00836417"/>
    <w:rsid w:val="00836A3E"/>
    <w:rsid w:val="00837526"/>
    <w:rsid w:val="00837F20"/>
    <w:rsid w:val="008407A7"/>
    <w:rsid w:val="0084322B"/>
    <w:rsid w:val="00843F81"/>
    <w:rsid w:val="00844087"/>
    <w:rsid w:val="00844526"/>
    <w:rsid w:val="008448F1"/>
    <w:rsid w:val="0084519E"/>
    <w:rsid w:val="00845CAE"/>
    <w:rsid w:val="00846370"/>
    <w:rsid w:val="008477E7"/>
    <w:rsid w:val="00847C2B"/>
    <w:rsid w:val="00850272"/>
    <w:rsid w:val="008506B9"/>
    <w:rsid w:val="00851822"/>
    <w:rsid w:val="008532BF"/>
    <w:rsid w:val="008539B2"/>
    <w:rsid w:val="00853BF4"/>
    <w:rsid w:val="00854294"/>
    <w:rsid w:val="0085572E"/>
    <w:rsid w:val="0085788B"/>
    <w:rsid w:val="00857A9E"/>
    <w:rsid w:val="00857DE2"/>
    <w:rsid w:val="00862413"/>
    <w:rsid w:val="00863A8E"/>
    <w:rsid w:val="0086407F"/>
    <w:rsid w:val="00864152"/>
    <w:rsid w:val="008645E3"/>
    <w:rsid w:val="00864E79"/>
    <w:rsid w:val="0086661F"/>
    <w:rsid w:val="00866A0D"/>
    <w:rsid w:val="00866DB5"/>
    <w:rsid w:val="0086701D"/>
    <w:rsid w:val="0086702B"/>
    <w:rsid w:val="008672E2"/>
    <w:rsid w:val="0086784E"/>
    <w:rsid w:val="0087121C"/>
    <w:rsid w:val="00871FD2"/>
    <w:rsid w:val="00872084"/>
    <w:rsid w:val="00872827"/>
    <w:rsid w:val="00872A32"/>
    <w:rsid w:val="00874911"/>
    <w:rsid w:val="008754E4"/>
    <w:rsid w:val="00876EAE"/>
    <w:rsid w:val="00880106"/>
    <w:rsid w:val="00880F95"/>
    <w:rsid w:val="00882B44"/>
    <w:rsid w:val="008838AD"/>
    <w:rsid w:val="008864B3"/>
    <w:rsid w:val="008865E5"/>
    <w:rsid w:val="008871B0"/>
    <w:rsid w:val="00890B57"/>
    <w:rsid w:val="008916BA"/>
    <w:rsid w:val="0089217C"/>
    <w:rsid w:val="00892790"/>
    <w:rsid w:val="008931DA"/>
    <w:rsid w:val="00893671"/>
    <w:rsid w:val="008946DC"/>
    <w:rsid w:val="00895838"/>
    <w:rsid w:val="00895A1E"/>
    <w:rsid w:val="00895A72"/>
    <w:rsid w:val="00895CDF"/>
    <w:rsid w:val="00896679"/>
    <w:rsid w:val="00896D8C"/>
    <w:rsid w:val="008A0FC9"/>
    <w:rsid w:val="008A1956"/>
    <w:rsid w:val="008A1A7C"/>
    <w:rsid w:val="008A2CE2"/>
    <w:rsid w:val="008A40D3"/>
    <w:rsid w:val="008A469C"/>
    <w:rsid w:val="008A51D1"/>
    <w:rsid w:val="008A5DCE"/>
    <w:rsid w:val="008A75D3"/>
    <w:rsid w:val="008B05DD"/>
    <w:rsid w:val="008B07B8"/>
    <w:rsid w:val="008B17E8"/>
    <w:rsid w:val="008B2E7C"/>
    <w:rsid w:val="008B321A"/>
    <w:rsid w:val="008B399A"/>
    <w:rsid w:val="008B45F0"/>
    <w:rsid w:val="008B4A70"/>
    <w:rsid w:val="008B502F"/>
    <w:rsid w:val="008B6DFC"/>
    <w:rsid w:val="008B7227"/>
    <w:rsid w:val="008C02FB"/>
    <w:rsid w:val="008C04E0"/>
    <w:rsid w:val="008C191C"/>
    <w:rsid w:val="008C1DA4"/>
    <w:rsid w:val="008C29B0"/>
    <w:rsid w:val="008C2CD5"/>
    <w:rsid w:val="008C3618"/>
    <w:rsid w:val="008C3754"/>
    <w:rsid w:val="008C39E7"/>
    <w:rsid w:val="008C43AD"/>
    <w:rsid w:val="008C6118"/>
    <w:rsid w:val="008C6341"/>
    <w:rsid w:val="008C6CD9"/>
    <w:rsid w:val="008C731F"/>
    <w:rsid w:val="008C74D9"/>
    <w:rsid w:val="008D03C2"/>
    <w:rsid w:val="008D12FB"/>
    <w:rsid w:val="008D3B2D"/>
    <w:rsid w:val="008D58D9"/>
    <w:rsid w:val="008D5AD4"/>
    <w:rsid w:val="008D695E"/>
    <w:rsid w:val="008D6DD5"/>
    <w:rsid w:val="008D6E59"/>
    <w:rsid w:val="008D7155"/>
    <w:rsid w:val="008D76E0"/>
    <w:rsid w:val="008D7F0B"/>
    <w:rsid w:val="008E0B29"/>
    <w:rsid w:val="008E141A"/>
    <w:rsid w:val="008E1A44"/>
    <w:rsid w:val="008E1E55"/>
    <w:rsid w:val="008E28E6"/>
    <w:rsid w:val="008E3232"/>
    <w:rsid w:val="008E3674"/>
    <w:rsid w:val="008E3B6C"/>
    <w:rsid w:val="008E3DE7"/>
    <w:rsid w:val="008E562C"/>
    <w:rsid w:val="008E6540"/>
    <w:rsid w:val="008E77D4"/>
    <w:rsid w:val="008E7ADD"/>
    <w:rsid w:val="008F091F"/>
    <w:rsid w:val="008F17B2"/>
    <w:rsid w:val="008F22B3"/>
    <w:rsid w:val="008F357B"/>
    <w:rsid w:val="008F44CA"/>
    <w:rsid w:val="008F49D3"/>
    <w:rsid w:val="008F62C1"/>
    <w:rsid w:val="008F6519"/>
    <w:rsid w:val="008F7012"/>
    <w:rsid w:val="008F7ADA"/>
    <w:rsid w:val="008F7B17"/>
    <w:rsid w:val="00900042"/>
    <w:rsid w:val="0090034B"/>
    <w:rsid w:val="00901121"/>
    <w:rsid w:val="00902623"/>
    <w:rsid w:val="00902A67"/>
    <w:rsid w:val="00902C5E"/>
    <w:rsid w:val="00904BE4"/>
    <w:rsid w:val="0090504A"/>
    <w:rsid w:val="009051F5"/>
    <w:rsid w:val="00905221"/>
    <w:rsid w:val="00905A7C"/>
    <w:rsid w:val="00905D7E"/>
    <w:rsid w:val="00907037"/>
    <w:rsid w:val="0091112C"/>
    <w:rsid w:val="0091160A"/>
    <w:rsid w:val="00912E04"/>
    <w:rsid w:val="00913258"/>
    <w:rsid w:val="00913851"/>
    <w:rsid w:val="00913BB0"/>
    <w:rsid w:val="0091456C"/>
    <w:rsid w:val="00914C58"/>
    <w:rsid w:val="0091564D"/>
    <w:rsid w:val="009156DA"/>
    <w:rsid w:val="00915774"/>
    <w:rsid w:val="00916BC5"/>
    <w:rsid w:val="0091726A"/>
    <w:rsid w:val="00917C01"/>
    <w:rsid w:val="00920184"/>
    <w:rsid w:val="00920EA4"/>
    <w:rsid w:val="00921792"/>
    <w:rsid w:val="00921BEA"/>
    <w:rsid w:val="009227BE"/>
    <w:rsid w:val="009238FD"/>
    <w:rsid w:val="00923998"/>
    <w:rsid w:val="00923DB4"/>
    <w:rsid w:val="00923FD2"/>
    <w:rsid w:val="0092420B"/>
    <w:rsid w:val="0092430E"/>
    <w:rsid w:val="00924570"/>
    <w:rsid w:val="00924A46"/>
    <w:rsid w:val="00926112"/>
    <w:rsid w:val="0092625F"/>
    <w:rsid w:val="00926B28"/>
    <w:rsid w:val="00926D9C"/>
    <w:rsid w:val="00927028"/>
    <w:rsid w:val="00927726"/>
    <w:rsid w:val="00927763"/>
    <w:rsid w:val="00927A2D"/>
    <w:rsid w:val="00927B37"/>
    <w:rsid w:val="00931917"/>
    <w:rsid w:val="009321B1"/>
    <w:rsid w:val="00932ED7"/>
    <w:rsid w:val="009333CF"/>
    <w:rsid w:val="0093422D"/>
    <w:rsid w:val="0093483B"/>
    <w:rsid w:val="00934991"/>
    <w:rsid w:val="00934CF9"/>
    <w:rsid w:val="00934DD7"/>
    <w:rsid w:val="009369A9"/>
    <w:rsid w:val="00936CF7"/>
    <w:rsid w:val="00937783"/>
    <w:rsid w:val="00937EAD"/>
    <w:rsid w:val="00937F28"/>
    <w:rsid w:val="00940FE1"/>
    <w:rsid w:val="00942306"/>
    <w:rsid w:val="00942384"/>
    <w:rsid w:val="009424B8"/>
    <w:rsid w:val="00944668"/>
    <w:rsid w:val="00944DC6"/>
    <w:rsid w:val="009458B0"/>
    <w:rsid w:val="00945B52"/>
    <w:rsid w:val="00945B7A"/>
    <w:rsid w:val="00945F05"/>
    <w:rsid w:val="00946348"/>
    <w:rsid w:val="00947797"/>
    <w:rsid w:val="009478A2"/>
    <w:rsid w:val="00953808"/>
    <w:rsid w:val="009539A6"/>
    <w:rsid w:val="00954032"/>
    <w:rsid w:val="00954537"/>
    <w:rsid w:val="0095472D"/>
    <w:rsid w:val="00955FBB"/>
    <w:rsid w:val="0095694B"/>
    <w:rsid w:val="00956BD5"/>
    <w:rsid w:val="00956D84"/>
    <w:rsid w:val="009577B5"/>
    <w:rsid w:val="009608E6"/>
    <w:rsid w:val="00960F57"/>
    <w:rsid w:val="00961C90"/>
    <w:rsid w:val="00965443"/>
    <w:rsid w:val="00965954"/>
    <w:rsid w:val="00965A21"/>
    <w:rsid w:val="00965E55"/>
    <w:rsid w:val="0096608E"/>
    <w:rsid w:val="00966522"/>
    <w:rsid w:val="00966C33"/>
    <w:rsid w:val="00966FCB"/>
    <w:rsid w:val="00967711"/>
    <w:rsid w:val="0096772E"/>
    <w:rsid w:val="00970F18"/>
    <w:rsid w:val="00971CF1"/>
    <w:rsid w:val="00971F5D"/>
    <w:rsid w:val="009721E9"/>
    <w:rsid w:val="00973772"/>
    <w:rsid w:val="0097471B"/>
    <w:rsid w:val="0097560A"/>
    <w:rsid w:val="00975E1E"/>
    <w:rsid w:val="00975E70"/>
    <w:rsid w:val="009761DE"/>
    <w:rsid w:val="009766FA"/>
    <w:rsid w:val="00977CD6"/>
    <w:rsid w:val="0098048B"/>
    <w:rsid w:val="00980DF9"/>
    <w:rsid w:val="00981150"/>
    <w:rsid w:val="0098243D"/>
    <w:rsid w:val="00982D26"/>
    <w:rsid w:val="00983B6E"/>
    <w:rsid w:val="00983FE5"/>
    <w:rsid w:val="009849E9"/>
    <w:rsid w:val="009859E4"/>
    <w:rsid w:val="00987812"/>
    <w:rsid w:val="00990225"/>
    <w:rsid w:val="00992A13"/>
    <w:rsid w:val="00994AAD"/>
    <w:rsid w:val="00994DE1"/>
    <w:rsid w:val="00995150"/>
    <w:rsid w:val="00995D67"/>
    <w:rsid w:val="009A013B"/>
    <w:rsid w:val="009A01A8"/>
    <w:rsid w:val="009A02F4"/>
    <w:rsid w:val="009A06BF"/>
    <w:rsid w:val="009A0D17"/>
    <w:rsid w:val="009A2494"/>
    <w:rsid w:val="009A295D"/>
    <w:rsid w:val="009A32B1"/>
    <w:rsid w:val="009A33A3"/>
    <w:rsid w:val="009A36F2"/>
    <w:rsid w:val="009A40C3"/>
    <w:rsid w:val="009A40D5"/>
    <w:rsid w:val="009A57D0"/>
    <w:rsid w:val="009A6559"/>
    <w:rsid w:val="009A68FC"/>
    <w:rsid w:val="009A6CE4"/>
    <w:rsid w:val="009A7514"/>
    <w:rsid w:val="009A7E7A"/>
    <w:rsid w:val="009B1584"/>
    <w:rsid w:val="009B18F0"/>
    <w:rsid w:val="009B1F4C"/>
    <w:rsid w:val="009B2471"/>
    <w:rsid w:val="009B314F"/>
    <w:rsid w:val="009B439C"/>
    <w:rsid w:val="009B46BC"/>
    <w:rsid w:val="009B49A1"/>
    <w:rsid w:val="009B4A6C"/>
    <w:rsid w:val="009B4DA8"/>
    <w:rsid w:val="009B519A"/>
    <w:rsid w:val="009B620C"/>
    <w:rsid w:val="009B6753"/>
    <w:rsid w:val="009B676C"/>
    <w:rsid w:val="009B6A26"/>
    <w:rsid w:val="009C079D"/>
    <w:rsid w:val="009C0D70"/>
    <w:rsid w:val="009C13D1"/>
    <w:rsid w:val="009C1AF6"/>
    <w:rsid w:val="009C2913"/>
    <w:rsid w:val="009C2BD4"/>
    <w:rsid w:val="009C5AFE"/>
    <w:rsid w:val="009C6606"/>
    <w:rsid w:val="009C6CE5"/>
    <w:rsid w:val="009C6D50"/>
    <w:rsid w:val="009C7547"/>
    <w:rsid w:val="009D05EC"/>
    <w:rsid w:val="009D18D4"/>
    <w:rsid w:val="009D2F60"/>
    <w:rsid w:val="009D3A2E"/>
    <w:rsid w:val="009D5ADE"/>
    <w:rsid w:val="009D5BAC"/>
    <w:rsid w:val="009D5C56"/>
    <w:rsid w:val="009D6265"/>
    <w:rsid w:val="009D64BD"/>
    <w:rsid w:val="009D6CB1"/>
    <w:rsid w:val="009D6F7F"/>
    <w:rsid w:val="009E0286"/>
    <w:rsid w:val="009E153F"/>
    <w:rsid w:val="009E322A"/>
    <w:rsid w:val="009E393E"/>
    <w:rsid w:val="009E444E"/>
    <w:rsid w:val="009E4968"/>
    <w:rsid w:val="009E663C"/>
    <w:rsid w:val="009E684A"/>
    <w:rsid w:val="009E6BB1"/>
    <w:rsid w:val="009E6E14"/>
    <w:rsid w:val="009E794A"/>
    <w:rsid w:val="009E7C14"/>
    <w:rsid w:val="009F0494"/>
    <w:rsid w:val="009F0CD9"/>
    <w:rsid w:val="009F1A79"/>
    <w:rsid w:val="009F1F57"/>
    <w:rsid w:val="009F2DDD"/>
    <w:rsid w:val="009F3447"/>
    <w:rsid w:val="009F65F4"/>
    <w:rsid w:val="009F676B"/>
    <w:rsid w:val="009F6D2D"/>
    <w:rsid w:val="009F6D54"/>
    <w:rsid w:val="00A0010C"/>
    <w:rsid w:val="00A004DF"/>
    <w:rsid w:val="00A00FD5"/>
    <w:rsid w:val="00A012C0"/>
    <w:rsid w:val="00A019A8"/>
    <w:rsid w:val="00A01B03"/>
    <w:rsid w:val="00A01B89"/>
    <w:rsid w:val="00A02C66"/>
    <w:rsid w:val="00A02C84"/>
    <w:rsid w:val="00A0464C"/>
    <w:rsid w:val="00A050BB"/>
    <w:rsid w:val="00A054E0"/>
    <w:rsid w:val="00A05D91"/>
    <w:rsid w:val="00A0740B"/>
    <w:rsid w:val="00A07ED3"/>
    <w:rsid w:val="00A10CA8"/>
    <w:rsid w:val="00A11042"/>
    <w:rsid w:val="00A12579"/>
    <w:rsid w:val="00A133D8"/>
    <w:rsid w:val="00A13812"/>
    <w:rsid w:val="00A139FA"/>
    <w:rsid w:val="00A15655"/>
    <w:rsid w:val="00A160B0"/>
    <w:rsid w:val="00A1740C"/>
    <w:rsid w:val="00A20069"/>
    <w:rsid w:val="00A2244D"/>
    <w:rsid w:val="00A2253D"/>
    <w:rsid w:val="00A2267F"/>
    <w:rsid w:val="00A22CDB"/>
    <w:rsid w:val="00A247B8"/>
    <w:rsid w:val="00A2495A"/>
    <w:rsid w:val="00A24C7A"/>
    <w:rsid w:val="00A24D8F"/>
    <w:rsid w:val="00A25B8B"/>
    <w:rsid w:val="00A25C5D"/>
    <w:rsid w:val="00A2689F"/>
    <w:rsid w:val="00A26ECA"/>
    <w:rsid w:val="00A27461"/>
    <w:rsid w:val="00A27D67"/>
    <w:rsid w:val="00A30ABC"/>
    <w:rsid w:val="00A33B74"/>
    <w:rsid w:val="00A3467F"/>
    <w:rsid w:val="00A34B4C"/>
    <w:rsid w:val="00A35030"/>
    <w:rsid w:val="00A3551A"/>
    <w:rsid w:val="00A366A0"/>
    <w:rsid w:val="00A37209"/>
    <w:rsid w:val="00A37584"/>
    <w:rsid w:val="00A376E8"/>
    <w:rsid w:val="00A37F8E"/>
    <w:rsid w:val="00A41537"/>
    <w:rsid w:val="00A41737"/>
    <w:rsid w:val="00A42951"/>
    <w:rsid w:val="00A42B8F"/>
    <w:rsid w:val="00A42D8E"/>
    <w:rsid w:val="00A43254"/>
    <w:rsid w:val="00A43896"/>
    <w:rsid w:val="00A43A26"/>
    <w:rsid w:val="00A447A0"/>
    <w:rsid w:val="00A459F5"/>
    <w:rsid w:val="00A45FC0"/>
    <w:rsid w:val="00A46B74"/>
    <w:rsid w:val="00A47ECC"/>
    <w:rsid w:val="00A50171"/>
    <w:rsid w:val="00A504FA"/>
    <w:rsid w:val="00A50671"/>
    <w:rsid w:val="00A5102E"/>
    <w:rsid w:val="00A5132E"/>
    <w:rsid w:val="00A51375"/>
    <w:rsid w:val="00A51533"/>
    <w:rsid w:val="00A531D4"/>
    <w:rsid w:val="00A54572"/>
    <w:rsid w:val="00A575B8"/>
    <w:rsid w:val="00A61C60"/>
    <w:rsid w:val="00A61ECB"/>
    <w:rsid w:val="00A6410C"/>
    <w:rsid w:val="00A647B1"/>
    <w:rsid w:val="00A64DEF"/>
    <w:rsid w:val="00A654D2"/>
    <w:rsid w:val="00A665DF"/>
    <w:rsid w:val="00A67928"/>
    <w:rsid w:val="00A67FCC"/>
    <w:rsid w:val="00A70AA5"/>
    <w:rsid w:val="00A70C03"/>
    <w:rsid w:val="00A71256"/>
    <w:rsid w:val="00A7217B"/>
    <w:rsid w:val="00A73861"/>
    <w:rsid w:val="00A739A6"/>
    <w:rsid w:val="00A740ED"/>
    <w:rsid w:val="00A74C29"/>
    <w:rsid w:val="00A74C62"/>
    <w:rsid w:val="00A75DF5"/>
    <w:rsid w:val="00A75EF9"/>
    <w:rsid w:val="00A8270C"/>
    <w:rsid w:val="00A8311C"/>
    <w:rsid w:val="00A835D0"/>
    <w:rsid w:val="00A84C5F"/>
    <w:rsid w:val="00A85930"/>
    <w:rsid w:val="00A863F7"/>
    <w:rsid w:val="00A86604"/>
    <w:rsid w:val="00A87519"/>
    <w:rsid w:val="00A9246D"/>
    <w:rsid w:val="00A92CCA"/>
    <w:rsid w:val="00A93BD0"/>
    <w:rsid w:val="00A93CC2"/>
    <w:rsid w:val="00A974CC"/>
    <w:rsid w:val="00AA1067"/>
    <w:rsid w:val="00AA2001"/>
    <w:rsid w:val="00AA2B5C"/>
    <w:rsid w:val="00AA32D2"/>
    <w:rsid w:val="00AA4016"/>
    <w:rsid w:val="00AA4C1F"/>
    <w:rsid w:val="00AA5328"/>
    <w:rsid w:val="00AA5393"/>
    <w:rsid w:val="00AA63D4"/>
    <w:rsid w:val="00AB03FD"/>
    <w:rsid w:val="00AB2000"/>
    <w:rsid w:val="00AB2E94"/>
    <w:rsid w:val="00AB38CB"/>
    <w:rsid w:val="00AB3BEC"/>
    <w:rsid w:val="00AB44E4"/>
    <w:rsid w:val="00AB4AEB"/>
    <w:rsid w:val="00AB4E5F"/>
    <w:rsid w:val="00AB5352"/>
    <w:rsid w:val="00AB56AE"/>
    <w:rsid w:val="00AB62D5"/>
    <w:rsid w:val="00AB65B5"/>
    <w:rsid w:val="00AB6DCD"/>
    <w:rsid w:val="00AB6EE0"/>
    <w:rsid w:val="00AC17A2"/>
    <w:rsid w:val="00AC40B7"/>
    <w:rsid w:val="00AC531F"/>
    <w:rsid w:val="00AC5B36"/>
    <w:rsid w:val="00AC6377"/>
    <w:rsid w:val="00AC66A4"/>
    <w:rsid w:val="00AC68C1"/>
    <w:rsid w:val="00AC6CB1"/>
    <w:rsid w:val="00AC7D6D"/>
    <w:rsid w:val="00AD0091"/>
    <w:rsid w:val="00AD23EF"/>
    <w:rsid w:val="00AD2662"/>
    <w:rsid w:val="00AD307B"/>
    <w:rsid w:val="00AD4014"/>
    <w:rsid w:val="00AD41B3"/>
    <w:rsid w:val="00AD5721"/>
    <w:rsid w:val="00AD5C4D"/>
    <w:rsid w:val="00AD69F0"/>
    <w:rsid w:val="00AD7127"/>
    <w:rsid w:val="00AD730C"/>
    <w:rsid w:val="00AE123A"/>
    <w:rsid w:val="00AE1539"/>
    <w:rsid w:val="00AE28A7"/>
    <w:rsid w:val="00AE2A98"/>
    <w:rsid w:val="00AE2CF2"/>
    <w:rsid w:val="00AE3012"/>
    <w:rsid w:val="00AE33A6"/>
    <w:rsid w:val="00AE3729"/>
    <w:rsid w:val="00AE4138"/>
    <w:rsid w:val="00AE4CCE"/>
    <w:rsid w:val="00AE5C6A"/>
    <w:rsid w:val="00AE6317"/>
    <w:rsid w:val="00AE6B62"/>
    <w:rsid w:val="00AE7280"/>
    <w:rsid w:val="00AF033A"/>
    <w:rsid w:val="00AF045C"/>
    <w:rsid w:val="00AF1699"/>
    <w:rsid w:val="00AF1FD3"/>
    <w:rsid w:val="00AF2910"/>
    <w:rsid w:val="00AF34B8"/>
    <w:rsid w:val="00AF3896"/>
    <w:rsid w:val="00AF3FC2"/>
    <w:rsid w:val="00B0098A"/>
    <w:rsid w:val="00B00A5F"/>
    <w:rsid w:val="00B00F89"/>
    <w:rsid w:val="00B029B8"/>
    <w:rsid w:val="00B02F60"/>
    <w:rsid w:val="00B032B8"/>
    <w:rsid w:val="00B04721"/>
    <w:rsid w:val="00B04B15"/>
    <w:rsid w:val="00B04B46"/>
    <w:rsid w:val="00B0534D"/>
    <w:rsid w:val="00B05685"/>
    <w:rsid w:val="00B05F9F"/>
    <w:rsid w:val="00B06368"/>
    <w:rsid w:val="00B068DA"/>
    <w:rsid w:val="00B06A00"/>
    <w:rsid w:val="00B06FC6"/>
    <w:rsid w:val="00B074C9"/>
    <w:rsid w:val="00B07D9D"/>
    <w:rsid w:val="00B11AE5"/>
    <w:rsid w:val="00B12FE6"/>
    <w:rsid w:val="00B1303F"/>
    <w:rsid w:val="00B1364A"/>
    <w:rsid w:val="00B13859"/>
    <w:rsid w:val="00B13EC9"/>
    <w:rsid w:val="00B14319"/>
    <w:rsid w:val="00B14A06"/>
    <w:rsid w:val="00B158E1"/>
    <w:rsid w:val="00B16715"/>
    <w:rsid w:val="00B1768E"/>
    <w:rsid w:val="00B17910"/>
    <w:rsid w:val="00B20F18"/>
    <w:rsid w:val="00B21516"/>
    <w:rsid w:val="00B21A37"/>
    <w:rsid w:val="00B21D23"/>
    <w:rsid w:val="00B21F62"/>
    <w:rsid w:val="00B22CE0"/>
    <w:rsid w:val="00B23738"/>
    <w:rsid w:val="00B23BEF"/>
    <w:rsid w:val="00B247BB"/>
    <w:rsid w:val="00B2504A"/>
    <w:rsid w:val="00B25EE6"/>
    <w:rsid w:val="00B3115A"/>
    <w:rsid w:val="00B31825"/>
    <w:rsid w:val="00B31A5C"/>
    <w:rsid w:val="00B33B06"/>
    <w:rsid w:val="00B33C19"/>
    <w:rsid w:val="00B35A15"/>
    <w:rsid w:val="00B35B45"/>
    <w:rsid w:val="00B36A99"/>
    <w:rsid w:val="00B42264"/>
    <w:rsid w:val="00B434B2"/>
    <w:rsid w:val="00B43D45"/>
    <w:rsid w:val="00B442FB"/>
    <w:rsid w:val="00B468F2"/>
    <w:rsid w:val="00B469DE"/>
    <w:rsid w:val="00B47286"/>
    <w:rsid w:val="00B50234"/>
    <w:rsid w:val="00B51BF4"/>
    <w:rsid w:val="00B52C68"/>
    <w:rsid w:val="00B5372B"/>
    <w:rsid w:val="00B542FE"/>
    <w:rsid w:val="00B55A1B"/>
    <w:rsid w:val="00B561DB"/>
    <w:rsid w:val="00B56DF9"/>
    <w:rsid w:val="00B600BD"/>
    <w:rsid w:val="00B61274"/>
    <w:rsid w:val="00B61DCE"/>
    <w:rsid w:val="00B62188"/>
    <w:rsid w:val="00B62F79"/>
    <w:rsid w:val="00B62F82"/>
    <w:rsid w:val="00B6306A"/>
    <w:rsid w:val="00B635E3"/>
    <w:rsid w:val="00B653D7"/>
    <w:rsid w:val="00B662FF"/>
    <w:rsid w:val="00B66679"/>
    <w:rsid w:val="00B70145"/>
    <w:rsid w:val="00B71A92"/>
    <w:rsid w:val="00B721D8"/>
    <w:rsid w:val="00B730CA"/>
    <w:rsid w:val="00B747C5"/>
    <w:rsid w:val="00B74F2F"/>
    <w:rsid w:val="00B753ED"/>
    <w:rsid w:val="00B757F3"/>
    <w:rsid w:val="00B769BC"/>
    <w:rsid w:val="00B77349"/>
    <w:rsid w:val="00B7761E"/>
    <w:rsid w:val="00B80A3D"/>
    <w:rsid w:val="00B80B04"/>
    <w:rsid w:val="00B8127B"/>
    <w:rsid w:val="00B819E5"/>
    <w:rsid w:val="00B821E4"/>
    <w:rsid w:val="00B823E0"/>
    <w:rsid w:val="00B8260D"/>
    <w:rsid w:val="00B82B78"/>
    <w:rsid w:val="00B845B4"/>
    <w:rsid w:val="00B84662"/>
    <w:rsid w:val="00B84C74"/>
    <w:rsid w:val="00B85191"/>
    <w:rsid w:val="00B858A1"/>
    <w:rsid w:val="00B85FEC"/>
    <w:rsid w:val="00B864A3"/>
    <w:rsid w:val="00B86C2A"/>
    <w:rsid w:val="00B878BE"/>
    <w:rsid w:val="00B902A5"/>
    <w:rsid w:val="00B90420"/>
    <w:rsid w:val="00B90848"/>
    <w:rsid w:val="00B91146"/>
    <w:rsid w:val="00B913E4"/>
    <w:rsid w:val="00B914C0"/>
    <w:rsid w:val="00B91DB9"/>
    <w:rsid w:val="00B91FF3"/>
    <w:rsid w:val="00B93EFE"/>
    <w:rsid w:val="00B944B9"/>
    <w:rsid w:val="00B946B3"/>
    <w:rsid w:val="00B94956"/>
    <w:rsid w:val="00B94C7F"/>
    <w:rsid w:val="00B94E93"/>
    <w:rsid w:val="00B956B5"/>
    <w:rsid w:val="00B96095"/>
    <w:rsid w:val="00B96DF2"/>
    <w:rsid w:val="00B96E18"/>
    <w:rsid w:val="00B96F5A"/>
    <w:rsid w:val="00BA0B39"/>
    <w:rsid w:val="00BA0CB2"/>
    <w:rsid w:val="00BA0E26"/>
    <w:rsid w:val="00BA138B"/>
    <w:rsid w:val="00BA305B"/>
    <w:rsid w:val="00BA31BF"/>
    <w:rsid w:val="00BA3FC7"/>
    <w:rsid w:val="00BA478B"/>
    <w:rsid w:val="00BA5224"/>
    <w:rsid w:val="00BA575E"/>
    <w:rsid w:val="00BA76B7"/>
    <w:rsid w:val="00BA7E3B"/>
    <w:rsid w:val="00BB078D"/>
    <w:rsid w:val="00BB079C"/>
    <w:rsid w:val="00BB0D7A"/>
    <w:rsid w:val="00BB10E1"/>
    <w:rsid w:val="00BB2471"/>
    <w:rsid w:val="00BB25B8"/>
    <w:rsid w:val="00BB3035"/>
    <w:rsid w:val="00BB39C1"/>
    <w:rsid w:val="00BB3DF5"/>
    <w:rsid w:val="00BB5D16"/>
    <w:rsid w:val="00BB6180"/>
    <w:rsid w:val="00BB69E6"/>
    <w:rsid w:val="00BB7BE5"/>
    <w:rsid w:val="00BC08BD"/>
    <w:rsid w:val="00BC11E8"/>
    <w:rsid w:val="00BC1B7A"/>
    <w:rsid w:val="00BC2C17"/>
    <w:rsid w:val="00BC3ACD"/>
    <w:rsid w:val="00BC3B20"/>
    <w:rsid w:val="00BC3EE4"/>
    <w:rsid w:val="00BC588C"/>
    <w:rsid w:val="00BC62F4"/>
    <w:rsid w:val="00BC6E73"/>
    <w:rsid w:val="00BC74D3"/>
    <w:rsid w:val="00BC78B9"/>
    <w:rsid w:val="00BD0014"/>
    <w:rsid w:val="00BD01D8"/>
    <w:rsid w:val="00BD255F"/>
    <w:rsid w:val="00BD2895"/>
    <w:rsid w:val="00BD4236"/>
    <w:rsid w:val="00BD483B"/>
    <w:rsid w:val="00BD5CD4"/>
    <w:rsid w:val="00BD65D9"/>
    <w:rsid w:val="00BD6DF3"/>
    <w:rsid w:val="00BD6E09"/>
    <w:rsid w:val="00BD6EF9"/>
    <w:rsid w:val="00BE0ACB"/>
    <w:rsid w:val="00BE2260"/>
    <w:rsid w:val="00BE3917"/>
    <w:rsid w:val="00BE3D55"/>
    <w:rsid w:val="00BE50FD"/>
    <w:rsid w:val="00BE51CA"/>
    <w:rsid w:val="00BE537F"/>
    <w:rsid w:val="00BE5D77"/>
    <w:rsid w:val="00BE6D47"/>
    <w:rsid w:val="00BE7032"/>
    <w:rsid w:val="00BE7330"/>
    <w:rsid w:val="00BF01C5"/>
    <w:rsid w:val="00BF061A"/>
    <w:rsid w:val="00BF066A"/>
    <w:rsid w:val="00BF14CC"/>
    <w:rsid w:val="00BF1821"/>
    <w:rsid w:val="00BF4342"/>
    <w:rsid w:val="00BF4704"/>
    <w:rsid w:val="00BF4FFC"/>
    <w:rsid w:val="00BF5050"/>
    <w:rsid w:val="00BF50D1"/>
    <w:rsid w:val="00BF5422"/>
    <w:rsid w:val="00BF59B1"/>
    <w:rsid w:val="00BF6A78"/>
    <w:rsid w:val="00BF7695"/>
    <w:rsid w:val="00BF79B4"/>
    <w:rsid w:val="00BF7C61"/>
    <w:rsid w:val="00C00037"/>
    <w:rsid w:val="00C00D18"/>
    <w:rsid w:val="00C01427"/>
    <w:rsid w:val="00C014C7"/>
    <w:rsid w:val="00C047AB"/>
    <w:rsid w:val="00C058AF"/>
    <w:rsid w:val="00C075B6"/>
    <w:rsid w:val="00C124C1"/>
    <w:rsid w:val="00C128AE"/>
    <w:rsid w:val="00C12BA8"/>
    <w:rsid w:val="00C136D6"/>
    <w:rsid w:val="00C13902"/>
    <w:rsid w:val="00C13D5B"/>
    <w:rsid w:val="00C141D7"/>
    <w:rsid w:val="00C1711B"/>
    <w:rsid w:val="00C17AE2"/>
    <w:rsid w:val="00C17E00"/>
    <w:rsid w:val="00C20140"/>
    <w:rsid w:val="00C20F27"/>
    <w:rsid w:val="00C215CF"/>
    <w:rsid w:val="00C2244B"/>
    <w:rsid w:val="00C22711"/>
    <w:rsid w:val="00C2280A"/>
    <w:rsid w:val="00C22B0D"/>
    <w:rsid w:val="00C22BFF"/>
    <w:rsid w:val="00C23522"/>
    <w:rsid w:val="00C240C1"/>
    <w:rsid w:val="00C24AED"/>
    <w:rsid w:val="00C250D0"/>
    <w:rsid w:val="00C252AC"/>
    <w:rsid w:val="00C25C0F"/>
    <w:rsid w:val="00C26567"/>
    <w:rsid w:val="00C26923"/>
    <w:rsid w:val="00C27214"/>
    <w:rsid w:val="00C27597"/>
    <w:rsid w:val="00C27E5E"/>
    <w:rsid w:val="00C30382"/>
    <w:rsid w:val="00C30772"/>
    <w:rsid w:val="00C30D6F"/>
    <w:rsid w:val="00C31063"/>
    <w:rsid w:val="00C31B7E"/>
    <w:rsid w:val="00C322D1"/>
    <w:rsid w:val="00C3242A"/>
    <w:rsid w:val="00C33201"/>
    <w:rsid w:val="00C33A39"/>
    <w:rsid w:val="00C33B57"/>
    <w:rsid w:val="00C34619"/>
    <w:rsid w:val="00C35D01"/>
    <w:rsid w:val="00C360B3"/>
    <w:rsid w:val="00C37027"/>
    <w:rsid w:val="00C37B19"/>
    <w:rsid w:val="00C413CB"/>
    <w:rsid w:val="00C42752"/>
    <w:rsid w:val="00C42973"/>
    <w:rsid w:val="00C44C69"/>
    <w:rsid w:val="00C4712A"/>
    <w:rsid w:val="00C5034F"/>
    <w:rsid w:val="00C50830"/>
    <w:rsid w:val="00C52479"/>
    <w:rsid w:val="00C5266E"/>
    <w:rsid w:val="00C52C59"/>
    <w:rsid w:val="00C5349E"/>
    <w:rsid w:val="00C539FF"/>
    <w:rsid w:val="00C544BD"/>
    <w:rsid w:val="00C54D3D"/>
    <w:rsid w:val="00C55A30"/>
    <w:rsid w:val="00C56384"/>
    <w:rsid w:val="00C60F8C"/>
    <w:rsid w:val="00C61794"/>
    <w:rsid w:val="00C62A48"/>
    <w:rsid w:val="00C62AC4"/>
    <w:rsid w:val="00C62B59"/>
    <w:rsid w:val="00C62F96"/>
    <w:rsid w:val="00C631E1"/>
    <w:rsid w:val="00C638D8"/>
    <w:rsid w:val="00C63AE7"/>
    <w:rsid w:val="00C63D26"/>
    <w:rsid w:val="00C6540A"/>
    <w:rsid w:val="00C668A1"/>
    <w:rsid w:val="00C67223"/>
    <w:rsid w:val="00C707B8"/>
    <w:rsid w:val="00C70D64"/>
    <w:rsid w:val="00C712AC"/>
    <w:rsid w:val="00C71C15"/>
    <w:rsid w:val="00C71F3D"/>
    <w:rsid w:val="00C72F53"/>
    <w:rsid w:val="00C74035"/>
    <w:rsid w:val="00C748EA"/>
    <w:rsid w:val="00C77818"/>
    <w:rsid w:val="00C8063F"/>
    <w:rsid w:val="00C81282"/>
    <w:rsid w:val="00C827B4"/>
    <w:rsid w:val="00C83214"/>
    <w:rsid w:val="00C8329F"/>
    <w:rsid w:val="00C84F8A"/>
    <w:rsid w:val="00C85BA4"/>
    <w:rsid w:val="00C8618F"/>
    <w:rsid w:val="00C8625D"/>
    <w:rsid w:val="00C90372"/>
    <w:rsid w:val="00C9041F"/>
    <w:rsid w:val="00C9166B"/>
    <w:rsid w:val="00C91A45"/>
    <w:rsid w:val="00C91FB4"/>
    <w:rsid w:val="00C92150"/>
    <w:rsid w:val="00C92328"/>
    <w:rsid w:val="00C92D42"/>
    <w:rsid w:val="00C938C2"/>
    <w:rsid w:val="00C93F8A"/>
    <w:rsid w:val="00C9447B"/>
    <w:rsid w:val="00C94EA1"/>
    <w:rsid w:val="00C9511B"/>
    <w:rsid w:val="00C95745"/>
    <w:rsid w:val="00C95902"/>
    <w:rsid w:val="00C962E3"/>
    <w:rsid w:val="00C978E2"/>
    <w:rsid w:val="00C97997"/>
    <w:rsid w:val="00CA10A2"/>
    <w:rsid w:val="00CA1D83"/>
    <w:rsid w:val="00CA25C0"/>
    <w:rsid w:val="00CA3451"/>
    <w:rsid w:val="00CA35C6"/>
    <w:rsid w:val="00CA4948"/>
    <w:rsid w:val="00CA52F9"/>
    <w:rsid w:val="00CA5368"/>
    <w:rsid w:val="00CA568B"/>
    <w:rsid w:val="00CA573A"/>
    <w:rsid w:val="00CA5C58"/>
    <w:rsid w:val="00CB19D7"/>
    <w:rsid w:val="00CB19FE"/>
    <w:rsid w:val="00CB1C3F"/>
    <w:rsid w:val="00CB2364"/>
    <w:rsid w:val="00CB304C"/>
    <w:rsid w:val="00CB3933"/>
    <w:rsid w:val="00CB53E8"/>
    <w:rsid w:val="00CB594A"/>
    <w:rsid w:val="00CB5CB2"/>
    <w:rsid w:val="00CB6979"/>
    <w:rsid w:val="00CB7DDE"/>
    <w:rsid w:val="00CC0A3D"/>
    <w:rsid w:val="00CC1585"/>
    <w:rsid w:val="00CC3C53"/>
    <w:rsid w:val="00CC3D24"/>
    <w:rsid w:val="00CC3F91"/>
    <w:rsid w:val="00CC4ACD"/>
    <w:rsid w:val="00CC4B0A"/>
    <w:rsid w:val="00CC544A"/>
    <w:rsid w:val="00CC57EA"/>
    <w:rsid w:val="00CC5954"/>
    <w:rsid w:val="00CC629B"/>
    <w:rsid w:val="00CC6C4E"/>
    <w:rsid w:val="00CD009D"/>
    <w:rsid w:val="00CD05A2"/>
    <w:rsid w:val="00CD29D4"/>
    <w:rsid w:val="00CD2B5C"/>
    <w:rsid w:val="00CD2FF3"/>
    <w:rsid w:val="00CD3323"/>
    <w:rsid w:val="00CD38F5"/>
    <w:rsid w:val="00CD437E"/>
    <w:rsid w:val="00CD5DAD"/>
    <w:rsid w:val="00CD6E7F"/>
    <w:rsid w:val="00CD72C5"/>
    <w:rsid w:val="00CD79A7"/>
    <w:rsid w:val="00CE0789"/>
    <w:rsid w:val="00CE0E8D"/>
    <w:rsid w:val="00CE1A03"/>
    <w:rsid w:val="00CE2346"/>
    <w:rsid w:val="00CE25B2"/>
    <w:rsid w:val="00CE2687"/>
    <w:rsid w:val="00CE3529"/>
    <w:rsid w:val="00CE35C8"/>
    <w:rsid w:val="00CE3962"/>
    <w:rsid w:val="00CE4D1A"/>
    <w:rsid w:val="00CE4E8A"/>
    <w:rsid w:val="00CE5105"/>
    <w:rsid w:val="00CE56BD"/>
    <w:rsid w:val="00CE5EC0"/>
    <w:rsid w:val="00CE6A0B"/>
    <w:rsid w:val="00CE6F9F"/>
    <w:rsid w:val="00CE781A"/>
    <w:rsid w:val="00CE7B08"/>
    <w:rsid w:val="00CE7D52"/>
    <w:rsid w:val="00CF1D74"/>
    <w:rsid w:val="00CF2BE2"/>
    <w:rsid w:val="00CF3DEB"/>
    <w:rsid w:val="00CF55F9"/>
    <w:rsid w:val="00CF7074"/>
    <w:rsid w:val="00CF7390"/>
    <w:rsid w:val="00CF7495"/>
    <w:rsid w:val="00D01027"/>
    <w:rsid w:val="00D01CF9"/>
    <w:rsid w:val="00D0334D"/>
    <w:rsid w:val="00D0374D"/>
    <w:rsid w:val="00D06D7B"/>
    <w:rsid w:val="00D06DA5"/>
    <w:rsid w:val="00D07191"/>
    <w:rsid w:val="00D07F1D"/>
    <w:rsid w:val="00D10558"/>
    <w:rsid w:val="00D11D4D"/>
    <w:rsid w:val="00D126DC"/>
    <w:rsid w:val="00D12B03"/>
    <w:rsid w:val="00D135DA"/>
    <w:rsid w:val="00D13E70"/>
    <w:rsid w:val="00D15CAA"/>
    <w:rsid w:val="00D15FCD"/>
    <w:rsid w:val="00D16C58"/>
    <w:rsid w:val="00D17019"/>
    <w:rsid w:val="00D17FC8"/>
    <w:rsid w:val="00D20B44"/>
    <w:rsid w:val="00D21168"/>
    <w:rsid w:val="00D2438C"/>
    <w:rsid w:val="00D2585A"/>
    <w:rsid w:val="00D259B0"/>
    <w:rsid w:val="00D26C3F"/>
    <w:rsid w:val="00D27026"/>
    <w:rsid w:val="00D27185"/>
    <w:rsid w:val="00D30EF8"/>
    <w:rsid w:val="00D32518"/>
    <w:rsid w:val="00D33488"/>
    <w:rsid w:val="00D33AB3"/>
    <w:rsid w:val="00D33F24"/>
    <w:rsid w:val="00D34160"/>
    <w:rsid w:val="00D346B8"/>
    <w:rsid w:val="00D34DCA"/>
    <w:rsid w:val="00D35AC8"/>
    <w:rsid w:val="00D36F87"/>
    <w:rsid w:val="00D37E4E"/>
    <w:rsid w:val="00D400A4"/>
    <w:rsid w:val="00D40DEF"/>
    <w:rsid w:val="00D417D8"/>
    <w:rsid w:val="00D41F78"/>
    <w:rsid w:val="00D42E6C"/>
    <w:rsid w:val="00D4351C"/>
    <w:rsid w:val="00D43B80"/>
    <w:rsid w:val="00D44988"/>
    <w:rsid w:val="00D45B4C"/>
    <w:rsid w:val="00D45BA4"/>
    <w:rsid w:val="00D471AF"/>
    <w:rsid w:val="00D4724F"/>
    <w:rsid w:val="00D50519"/>
    <w:rsid w:val="00D512C8"/>
    <w:rsid w:val="00D51601"/>
    <w:rsid w:val="00D51ECB"/>
    <w:rsid w:val="00D5264C"/>
    <w:rsid w:val="00D52918"/>
    <w:rsid w:val="00D52BBC"/>
    <w:rsid w:val="00D537FE"/>
    <w:rsid w:val="00D53CC9"/>
    <w:rsid w:val="00D54A6A"/>
    <w:rsid w:val="00D54B8F"/>
    <w:rsid w:val="00D55951"/>
    <w:rsid w:val="00D559F0"/>
    <w:rsid w:val="00D57EB6"/>
    <w:rsid w:val="00D608C0"/>
    <w:rsid w:val="00D60D6D"/>
    <w:rsid w:val="00D6128C"/>
    <w:rsid w:val="00D66D8B"/>
    <w:rsid w:val="00D70849"/>
    <w:rsid w:val="00D72297"/>
    <w:rsid w:val="00D72A1C"/>
    <w:rsid w:val="00D7308F"/>
    <w:rsid w:val="00D7313E"/>
    <w:rsid w:val="00D73580"/>
    <w:rsid w:val="00D73802"/>
    <w:rsid w:val="00D73C2C"/>
    <w:rsid w:val="00D73D52"/>
    <w:rsid w:val="00D745E7"/>
    <w:rsid w:val="00D774ED"/>
    <w:rsid w:val="00D777C3"/>
    <w:rsid w:val="00D7797C"/>
    <w:rsid w:val="00D77C44"/>
    <w:rsid w:val="00D77F88"/>
    <w:rsid w:val="00D81AFA"/>
    <w:rsid w:val="00D81EAA"/>
    <w:rsid w:val="00D81FE2"/>
    <w:rsid w:val="00D8259F"/>
    <w:rsid w:val="00D825F2"/>
    <w:rsid w:val="00D8285C"/>
    <w:rsid w:val="00D828B1"/>
    <w:rsid w:val="00D82A55"/>
    <w:rsid w:val="00D83D49"/>
    <w:rsid w:val="00D84181"/>
    <w:rsid w:val="00D846AD"/>
    <w:rsid w:val="00D84754"/>
    <w:rsid w:val="00D84F27"/>
    <w:rsid w:val="00D853F0"/>
    <w:rsid w:val="00D85862"/>
    <w:rsid w:val="00D86D47"/>
    <w:rsid w:val="00D8710C"/>
    <w:rsid w:val="00D873C6"/>
    <w:rsid w:val="00D9074A"/>
    <w:rsid w:val="00D9099E"/>
    <w:rsid w:val="00D9193A"/>
    <w:rsid w:val="00D923B2"/>
    <w:rsid w:val="00D92463"/>
    <w:rsid w:val="00D93E64"/>
    <w:rsid w:val="00D93F64"/>
    <w:rsid w:val="00D94CA4"/>
    <w:rsid w:val="00D95E99"/>
    <w:rsid w:val="00D965D5"/>
    <w:rsid w:val="00D97DA2"/>
    <w:rsid w:val="00DA00BD"/>
    <w:rsid w:val="00DA1A3A"/>
    <w:rsid w:val="00DA2351"/>
    <w:rsid w:val="00DA249E"/>
    <w:rsid w:val="00DA2D3D"/>
    <w:rsid w:val="00DA4C30"/>
    <w:rsid w:val="00DA7722"/>
    <w:rsid w:val="00DB145E"/>
    <w:rsid w:val="00DB1A94"/>
    <w:rsid w:val="00DB1D52"/>
    <w:rsid w:val="00DB1E2B"/>
    <w:rsid w:val="00DB1F62"/>
    <w:rsid w:val="00DB21E7"/>
    <w:rsid w:val="00DB2E03"/>
    <w:rsid w:val="00DB3742"/>
    <w:rsid w:val="00DB3E9B"/>
    <w:rsid w:val="00DB3F4B"/>
    <w:rsid w:val="00DB5375"/>
    <w:rsid w:val="00DB67C1"/>
    <w:rsid w:val="00DB6C0B"/>
    <w:rsid w:val="00DB70F4"/>
    <w:rsid w:val="00DB748A"/>
    <w:rsid w:val="00DC009D"/>
    <w:rsid w:val="00DC1056"/>
    <w:rsid w:val="00DC1442"/>
    <w:rsid w:val="00DC21D8"/>
    <w:rsid w:val="00DC282A"/>
    <w:rsid w:val="00DC34DC"/>
    <w:rsid w:val="00DC3780"/>
    <w:rsid w:val="00DC3ADA"/>
    <w:rsid w:val="00DC3CC6"/>
    <w:rsid w:val="00DC3F55"/>
    <w:rsid w:val="00DC4782"/>
    <w:rsid w:val="00DC514A"/>
    <w:rsid w:val="00DC67B1"/>
    <w:rsid w:val="00DC7FBC"/>
    <w:rsid w:val="00DD0019"/>
    <w:rsid w:val="00DD132B"/>
    <w:rsid w:val="00DD1725"/>
    <w:rsid w:val="00DD2159"/>
    <w:rsid w:val="00DD218B"/>
    <w:rsid w:val="00DD2A18"/>
    <w:rsid w:val="00DD3044"/>
    <w:rsid w:val="00DD3985"/>
    <w:rsid w:val="00DD61E8"/>
    <w:rsid w:val="00DD62C0"/>
    <w:rsid w:val="00DD64DE"/>
    <w:rsid w:val="00DD7859"/>
    <w:rsid w:val="00DD7B41"/>
    <w:rsid w:val="00DE0784"/>
    <w:rsid w:val="00DE0A1D"/>
    <w:rsid w:val="00DE15B2"/>
    <w:rsid w:val="00DE1A9A"/>
    <w:rsid w:val="00DE3D2C"/>
    <w:rsid w:val="00DE5E82"/>
    <w:rsid w:val="00DE5FA6"/>
    <w:rsid w:val="00DE6792"/>
    <w:rsid w:val="00DE6AA1"/>
    <w:rsid w:val="00DE7AAB"/>
    <w:rsid w:val="00DE7EF7"/>
    <w:rsid w:val="00DF015B"/>
    <w:rsid w:val="00DF02EC"/>
    <w:rsid w:val="00DF10FC"/>
    <w:rsid w:val="00DF1185"/>
    <w:rsid w:val="00DF1299"/>
    <w:rsid w:val="00DF1A70"/>
    <w:rsid w:val="00DF1E5F"/>
    <w:rsid w:val="00DF23A8"/>
    <w:rsid w:val="00DF2F27"/>
    <w:rsid w:val="00DF36B6"/>
    <w:rsid w:val="00DF4296"/>
    <w:rsid w:val="00DF53F0"/>
    <w:rsid w:val="00DF5F38"/>
    <w:rsid w:val="00DF6608"/>
    <w:rsid w:val="00DF6CCC"/>
    <w:rsid w:val="00DF6D0C"/>
    <w:rsid w:val="00DF6F64"/>
    <w:rsid w:val="00DF721E"/>
    <w:rsid w:val="00DF7B8A"/>
    <w:rsid w:val="00DF7C87"/>
    <w:rsid w:val="00E009B0"/>
    <w:rsid w:val="00E00A12"/>
    <w:rsid w:val="00E00C49"/>
    <w:rsid w:val="00E01C9C"/>
    <w:rsid w:val="00E0219D"/>
    <w:rsid w:val="00E04C0F"/>
    <w:rsid w:val="00E0570B"/>
    <w:rsid w:val="00E10343"/>
    <w:rsid w:val="00E10913"/>
    <w:rsid w:val="00E10B87"/>
    <w:rsid w:val="00E121CE"/>
    <w:rsid w:val="00E1478B"/>
    <w:rsid w:val="00E14FAC"/>
    <w:rsid w:val="00E15007"/>
    <w:rsid w:val="00E16277"/>
    <w:rsid w:val="00E16EC7"/>
    <w:rsid w:val="00E219CE"/>
    <w:rsid w:val="00E2227C"/>
    <w:rsid w:val="00E24071"/>
    <w:rsid w:val="00E24EBC"/>
    <w:rsid w:val="00E2522C"/>
    <w:rsid w:val="00E2552F"/>
    <w:rsid w:val="00E2599B"/>
    <w:rsid w:val="00E2710C"/>
    <w:rsid w:val="00E27428"/>
    <w:rsid w:val="00E305B4"/>
    <w:rsid w:val="00E31AFA"/>
    <w:rsid w:val="00E31CB7"/>
    <w:rsid w:val="00E324EE"/>
    <w:rsid w:val="00E32990"/>
    <w:rsid w:val="00E34DB1"/>
    <w:rsid w:val="00E35931"/>
    <w:rsid w:val="00E359FF"/>
    <w:rsid w:val="00E36BD1"/>
    <w:rsid w:val="00E37951"/>
    <w:rsid w:val="00E402C5"/>
    <w:rsid w:val="00E402F4"/>
    <w:rsid w:val="00E405F1"/>
    <w:rsid w:val="00E4178B"/>
    <w:rsid w:val="00E417DB"/>
    <w:rsid w:val="00E43054"/>
    <w:rsid w:val="00E43655"/>
    <w:rsid w:val="00E44440"/>
    <w:rsid w:val="00E46013"/>
    <w:rsid w:val="00E47099"/>
    <w:rsid w:val="00E47284"/>
    <w:rsid w:val="00E4730A"/>
    <w:rsid w:val="00E477C3"/>
    <w:rsid w:val="00E47BE3"/>
    <w:rsid w:val="00E517A5"/>
    <w:rsid w:val="00E51E16"/>
    <w:rsid w:val="00E53730"/>
    <w:rsid w:val="00E5438D"/>
    <w:rsid w:val="00E54511"/>
    <w:rsid w:val="00E54E50"/>
    <w:rsid w:val="00E55288"/>
    <w:rsid w:val="00E57577"/>
    <w:rsid w:val="00E62043"/>
    <w:rsid w:val="00E626B9"/>
    <w:rsid w:val="00E627C9"/>
    <w:rsid w:val="00E630F3"/>
    <w:rsid w:val="00E6332F"/>
    <w:rsid w:val="00E637C9"/>
    <w:rsid w:val="00E6402D"/>
    <w:rsid w:val="00E6680A"/>
    <w:rsid w:val="00E66F0D"/>
    <w:rsid w:val="00E70615"/>
    <w:rsid w:val="00E7161E"/>
    <w:rsid w:val="00E7207B"/>
    <w:rsid w:val="00E7347A"/>
    <w:rsid w:val="00E746E1"/>
    <w:rsid w:val="00E75A47"/>
    <w:rsid w:val="00E75BB6"/>
    <w:rsid w:val="00E75D8C"/>
    <w:rsid w:val="00E777F2"/>
    <w:rsid w:val="00E802C9"/>
    <w:rsid w:val="00E80BFB"/>
    <w:rsid w:val="00E80F0A"/>
    <w:rsid w:val="00E815D4"/>
    <w:rsid w:val="00E8291B"/>
    <w:rsid w:val="00E82E70"/>
    <w:rsid w:val="00E82F92"/>
    <w:rsid w:val="00E8395F"/>
    <w:rsid w:val="00E8410F"/>
    <w:rsid w:val="00E849D7"/>
    <w:rsid w:val="00E85E41"/>
    <w:rsid w:val="00E85EA1"/>
    <w:rsid w:val="00E86703"/>
    <w:rsid w:val="00E91044"/>
    <w:rsid w:val="00E910D3"/>
    <w:rsid w:val="00E91257"/>
    <w:rsid w:val="00E92154"/>
    <w:rsid w:val="00E923CF"/>
    <w:rsid w:val="00E93685"/>
    <w:rsid w:val="00E93B65"/>
    <w:rsid w:val="00E93C8C"/>
    <w:rsid w:val="00E95111"/>
    <w:rsid w:val="00E95FDF"/>
    <w:rsid w:val="00EA14C8"/>
    <w:rsid w:val="00EA2110"/>
    <w:rsid w:val="00EA283A"/>
    <w:rsid w:val="00EA2C90"/>
    <w:rsid w:val="00EA2E07"/>
    <w:rsid w:val="00EA383B"/>
    <w:rsid w:val="00EA48F3"/>
    <w:rsid w:val="00EA60BF"/>
    <w:rsid w:val="00EA7365"/>
    <w:rsid w:val="00EA763F"/>
    <w:rsid w:val="00EA77E9"/>
    <w:rsid w:val="00EB05D0"/>
    <w:rsid w:val="00EB1151"/>
    <w:rsid w:val="00EB1D49"/>
    <w:rsid w:val="00EB23D9"/>
    <w:rsid w:val="00EB39A0"/>
    <w:rsid w:val="00EB559F"/>
    <w:rsid w:val="00EB566C"/>
    <w:rsid w:val="00EB5F3D"/>
    <w:rsid w:val="00EC1CEB"/>
    <w:rsid w:val="00EC1DC0"/>
    <w:rsid w:val="00EC1DC2"/>
    <w:rsid w:val="00EC21EC"/>
    <w:rsid w:val="00EC24B8"/>
    <w:rsid w:val="00EC268C"/>
    <w:rsid w:val="00EC3753"/>
    <w:rsid w:val="00EC4E71"/>
    <w:rsid w:val="00EC5F1C"/>
    <w:rsid w:val="00ED0365"/>
    <w:rsid w:val="00ED0865"/>
    <w:rsid w:val="00ED1C60"/>
    <w:rsid w:val="00ED2EB9"/>
    <w:rsid w:val="00ED32D5"/>
    <w:rsid w:val="00ED3722"/>
    <w:rsid w:val="00ED3A31"/>
    <w:rsid w:val="00ED4469"/>
    <w:rsid w:val="00ED5424"/>
    <w:rsid w:val="00ED5F23"/>
    <w:rsid w:val="00ED6DC0"/>
    <w:rsid w:val="00ED7A7A"/>
    <w:rsid w:val="00EE0327"/>
    <w:rsid w:val="00EE038C"/>
    <w:rsid w:val="00EE28C5"/>
    <w:rsid w:val="00EE2F09"/>
    <w:rsid w:val="00EE47C5"/>
    <w:rsid w:val="00EE490C"/>
    <w:rsid w:val="00EE4E57"/>
    <w:rsid w:val="00EE5738"/>
    <w:rsid w:val="00EE58BD"/>
    <w:rsid w:val="00EE5E59"/>
    <w:rsid w:val="00EE6549"/>
    <w:rsid w:val="00EE73D0"/>
    <w:rsid w:val="00EE7CB0"/>
    <w:rsid w:val="00EF08A8"/>
    <w:rsid w:val="00EF167B"/>
    <w:rsid w:val="00EF30BF"/>
    <w:rsid w:val="00EF41A8"/>
    <w:rsid w:val="00EF44FB"/>
    <w:rsid w:val="00EF5122"/>
    <w:rsid w:val="00EF5554"/>
    <w:rsid w:val="00EF5AD8"/>
    <w:rsid w:val="00EF6B90"/>
    <w:rsid w:val="00EF7807"/>
    <w:rsid w:val="00EF79F7"/>
    <w:rsid w:val="00F006C0"/>
    <w:rsid w:val="00F0125F"/>
    <w:rsid w:val="00F019AA"/>
    <w:rsid w:val="00F0267E"/>
    <w:rsid w:val="00F02686"/>
    <w:rsid w:val="00F030C0"/>
    <w:rsid w:val="00F03291"/>
    <w:rsid w:val="00F0459B"/>
    <w:rsid w:val="00F04E15"/>
    <w:rsid w:val="00F050EB"/>
    <w:rsid w:val="00F05DF3"/>
    <w:rsid w:val="00F0692C"/>
    <w:rsid w:val="00F069EA"/>
    <w:rsid w:val="00F070E5"/>
    <w:rsid w:val="00F07DDE"/>
    <w:rsid w:val="00F111D4"/>
    <w:rsid w:val="00F11675"/>
    <w:rsid w:val="00F12557"/>
    <w:rsid w:val="00F13599"/>
    <w:rsid w:val="00F13B28"/>
    <w:rsid w:val="00F14E01"/>
    <w:rsid w:val="00F156A0"/>
    <w:rsid w:val="00F15730"/>
    <w:rsid w:val="00F176A6"/>
    <w:rsid w:val="00F202C2"/>
    <w:rsid w:val="00F212F6"/>
    <w:rsid w:val="00F22756"/>
    <w:rsid w:val="00F23248"/>
    <w:rsid w:val="00F23890"/>
    <w:rsid w:val="00F2504D"/>
    <w:rsid w:val="00F2637F"/>
    <w:rsid w:val="00F268F7"/>
    <w:rsid w:val="00F30B83"/>
    <w:rsid w:val="00F30BDB"/>
    <w:rsid w:val="00F30CF8"/>
    <w:rsid w:val="00F31EDF"/>
    <w:rsid w:val="00F32CDE"/>
    <w:rsid w:val="00F32D4C"/>
    <w:rsid w:val="00F3327E"/>
    <w:rsid w:val="00F338C3"/>
    <w:rsid w:val="00F34B14"/>
    <w:rsid w:val="00F34F58"/>
    <w:rsid w:val="00F35DA7"/>
    <w:rsid w:val="00F36A6A"/>
    <w:rsid w:val="00F40101"/>
    <w:rsid w:val="00F404F7"/>
    <w:rsid w:val="00F40CCA"/>
    <w:rsid w:val="00F42D97"/>
    <w:rsid w:val="00F436B2"/>
    <w:rsid w:val="00F43813"/>
    <w:rsid w:val="00F43FEE"/>
    <w:rsid w:val="00F45A72"/>
    <w:rsid w:val="00F46723"/>
    <w:rsid w:val="00F4706D"/>
    <w:rsid w:val="00F476E1"/>
    <w:rsid w:val="00F47D1D"/>
    <w:rsid w:val="00F47F29"/>
    <w:rsid w:val="00F50016"/>
    <w:rsid w:val="00F50058"/>
    <w:rsid w:val="00F5118A"/>
    <w:rsid w:val="00F51A21"/>
    <w:rsid w:val="00F52614"/>
    <w:rsid w:val="00F5276E"/>
    <w:rsid w:val="00F52E9F"/>
    <w:rsid w:val="00F53304"/>
    <w:rsid w:val="00F53B81"/>
    <w:rsid w:val="00F540FE"/>
    <w:rsid w:val="00F556FF"/>
    <w:rsid w:val="00F55D12"/>
    <w:rsid w:val="00F5687F"/>
    <w:rsid w:val="00F56A12"/>
    <w:rsid w:val="00F56D3F"/>
    <w:rsid w:val="00F575C7"/>
    <w:rsid w:val="00F57FD0"/>
    <w:rsid w:val="00F60305"/>
    <w:rsid w:val="00F61B12"/>
    <w:rsid w:val="00F63264"/>
    <w:rsid w:val="00F634E4"/>
    <w:rsid w:val="00F6379E"/>
    <w:rsid w:val="00F64047"/>
    <w:rsid w:val="00F65171"/>
    <w:rsid w:val="00F6560D"/>
    <w:rsid w:val="00F65C23"/>
    <w:rsid w:val="00F67844"/>
    <w:rsid w:val="00F70799"/>
    <w:rsid w:val="00F70A8B"/>
    <w:rsid w:val="00F70B8D"/>
    <w:rsid w:val="00F71936"/>
    <w:rsid w:val="00F724FB"/>
    <w:rsid w:val="00F726B8"/>
    <w:rsid w:val="00F72A26"/>
    <w:rsid w:val="00F733C3"/>
    <w:rsid w:val="00F746A1"/>
    <w:rsid w:val="00F74820"/>
    <w:rsid w:val="00F756DD"/>
    <w:rsid w:val="00F77F4E"/>
    <w:rsid w:val="00F80047"/>
    <w:rsid w:val="00F800C7"/>
    <w:rsid w:val="00F80D7B"/>
    <w:rsid w:val="00F8104D"/>
    <w:rsid w:val="00F81587"/>
    <w:rsid w:val="00F8288F"/>
    <w:rsid w:val="00F82D24"/>
    <w:rsid w:val="00F84033"/>
    <w:rsid w:val="00F84802"/>
    <w:rsid w:val="00F85B72"/>
    <w:rsid w:val="00F86540"/>
    <w:rsid w:val="00F865CE"/>
    <w:rsid w:val="00F8766F"/>
    <w:rsid w:val="00F87CE0"/>
    <w:rsid w:val="00F91082"/>
    <w:rsid w:val="00F9116D"/>
    <w:rsid w:val="00F91A9A"/>
    <w:rsid w:val="00F9203B"/>
    <w:rsid w:val="00F93ABB"/>
    <w:rsid w:val="00F94D79"/>
    <w:rsid w:val="00F9658C"/>
    <w:rsid w:val="00F97A7F"/>
    <w:rsid w:val="00FA0889"/>
    <w:rsid w:val="00FA16E7"/>
    <w:rsid w:val="00FA31C7"/>
    <w:rsid w:val="00FA472D"/>
    <w:rsid w:val="00FB0CBF"/>
    <w:rsid w:val="00FB18F6"/>
    <w:rsid w:val="00FB2A52"/>
    <w:rsid w:val="00FB3F92"/>
    <w:rsid w:val="00FB52C7"/>
    <w:rsid w:val="00FB57DC"/>
    <w:rsid w:val="00FB6E19"/>
    <w:rsid w:val="00FB71F6"/>
    <w:rsid w:val="00FC0AF8"/>
    <w:rsid w:val="00FC1483"/>
    <w:rsid w:val="00FC1C47"/>
    <w:rsid w:val="00FC3102"/>
    <w:rsid w:val="00FC39ED"/>
    <w:rsid w:val="00FC4419"/>
    <w:rsid w:val="00FC47E2"/>
    <w:rsid w:val="00FC4AA5"/>
    <w:rsid w:val="00FC4B88"/>
    <w:rsid w:val="00FC4BB8"/>
    <w:rsid w:val="00FC5148"/>
    <w:rsid w:val="00FC623A"/>
    <w:rsid w:val="00FC6524"/>
    <w:rsid w:val="00FC75AC"/>
    <w:rsid w:val="00FC7ECF"/>
    <w:rsid w:val="00FD01BF"/>
    <w:rsid w:val="00FD0525"/>
    <w:rsid w:val="00FD0AB7"/>
    <w:rsid w:val="00FD297D"/>
    <w:rsid w:val="00FD2D13"/>
    <w:rsid w:val="00FD374D"/>
    <w:rsid w:val="00FD6071"/>
    <w:rsid w:val="00FD633B"/>
    <w:rsid w:val="00FE0794"/>
    <w:rsid w:val="00FE1041"/>
    <w:rsid w:val="00FE24CB"/>
    <w:rsid w:val="00FE323F"/>
    <w:rsid w:val="00FE3473"/>
    <w:rsid w:val="00FE4049"/>
    <w:rsid w:val="00FE4794"/>
    <w:rsid w:val="00FE480F"/>
    <w:rsid w:val="00FE4998"/>
    <w:rsid w:val="00FE57DE"/>
    <w:rsid w:val="00FE7A68"/>
    <w:rsid w:val="00FF0231"/>
    <w:rsid w:val="00FF1C9B"/>
    <w:rsid w:val="00FF1D49"/>
    <w:rsid w:val="00FF203B"/>
    <w:rsid w:val="00FF2562"/>
    <w:rsid w:val="00FF3A41"/>
    <w:rsid w:val="00FF3E5B"/>
    <w:rsid w:val="00FF57E4"/>
    <w:rsid w:val="00FF78E5"/>
    <w:rsid w:val="01AF3D99"/>
    <w:rsid w:val="02511F9D"/>
    <w:rsid w:val="03A314B8"/>
    <w:rsid w:val="03D82B98"/>
    <w:rsid w:val="03F83E8B"/>
    <w:rsid w:val="041651F4"/>
    <w:rsid w:val="04D82DEC"/>
    <w:rsid w:val="05C56868"/>
    <w:rsid w:val="05EE1084"/>
    <w:rsid w:val="061802F7"/>
    <w:rsid w:val="070A1498"/>
    <w:rsid w:val="07B72767"/>
    <w:rsid w:val="08077E72"/>
    <w:rsid w:val="08882DD0"/>
    <w:rsid w:val="08916D3B"/>
    <w:rsid w:val="08E12275"/>
    <w:rsid w:val="09CC2AAC"/>
    <w:rsid w:val="09D26E76"/>
    <w:rsid w:val="0A652D3E"/>
    <w:rsid w:val="0B326F2A"/>
    <w:rsid w:val="0C1E2888"/>
    <w:rsid w:val="0C57577D"/>
    <w:rsid w:val="0C92213C"/>
    <w:rsid w:val="0D1D5845"/>
    <w:rsid w:val="0D517DC3"/>
    <w:rsid w:val="0D84032B"/>
    <w:rsid w:val="0F2A74C4"/>
    <w:rsid w:val="0F3375A2"/>
    <w:rsid w:val="0F76281E"/>
    <w:rsid w:val="0FB363BE"/>
    <w:rsid w:val="10A27F31"/>
    <w:rsid w:val="115B70CA"/>
    <w:rsid w:val="11927058"/>
    <w:rsid w:val="11E13176"/>
    <w:rsid w:val="138E61A0"/>
    <w:rsid w:val="13AF4F03"/>
    <w:rsid w:val="14142751"/>
    <w:rsid w:val="14736E66"/>
    <w:rsid w:val="147F458F"/>
    <w:rsid w:val="14D958EC"/>
    <w:rsid w:val="1534169A"/>
    <w:rsid w:val="15C03E03"/>
    <w:rsid w:val="162A25EB"/>
    <w:rsid w:val="16C12860"/>
    <w:rsid w:val="16CC4D9B"/>
    <w:rsid w:val="16FD2A55"/>
    <w:rsid w:val="17067C1A"/>
    <w:rsid w:val="17366761"/>
    <w:rsid w:val="17764258"/>
    <w:rsid w:val="177C01F0"/>
    <w:rsid w:val="17CE6630"/>
    <w:rsid w:val="188148FA"/>
    <w:rsid w:val="1AFF0AFE"/>
    <w:rsid w:val="1B1E4477"/>
    <w:rsid w:val="1B4F19F8"/>
    <w:rsid w:val="1C226F03"/>
    <w:rsid w:val="1DFE6FCD"/>
    <w:rsid w:val="1E72393C"/>
    <w:rsid w:val="1ECC44FA"/>
    <w:rsid w:val="1F063325"/>
    <w:rsid w:val="1FBC5DF5"/>
    <w:rsid w:val="1FF90588"/>
    <w:rsid w:val="20C3623F"/>
    <w:rsid w:val="21606276"/>
    <w:rsid w:val="21781212"/>
    <w:rsid w:val="21B83F86"/>
    <w:rsid w:val="221178A8"/>
    <w:rsid w:val="221213CF"/>
    <w:rsid w:val="22327A92"/>
    <w:rsid w:val="231D53A2"/>
    <w:rsid w:val="236D5383"/>
    <w:rsid w:val="23B7504C"/>
    <w:rsid w:val="24571307"/>
    <w:rsid w:val="25110A2A"/>
    <w:rsid w:val="256C0944"/>
    <w:rsid w:val="26446DE3"/>
    <w:rsid w:val="269669E7"/>
    <w:rsid w:val="26D7699F"/>
    <w:rsid w:val="2B774624"/>
    <w:rsid w:val="2B813A06"/>
    <w:rsid w:val="2C7A72BE"/>
    <w:rsid w:val="2C893628"/>
    <w:rsid w:val="2C9A7D75"/>
    <w:rsid w:val="2CC17412"/>
    <w:rsid w:val="2E8914B0"/>
    <w:rsid w:val="2E9976CE"/>
    <w:rsid w:val="2E9A689E"/>
    <w:rsid w:val="2F401D3C"/>
    <w:rsid w:val="2F5B24E1"/>
    <w:rsid w:val="2FA95C88"/>
    <w:rsid w:val="3041370F"/>
    <w:rsid w:val="30977539"/>
    <w:rsid w:val="312B50A3"/>
    <w:rsid w:val="32453A27"/>
    <w:rsid w:val="3263064A"/>
    <w:rsid w:val="32A43132"/>
    <w:rsid w:val="32AC0C06"/>
    <w:rsid w:val="33344EF5"/>
    <w:rsid w:val="343D6C21"/>
    <w:rsid w:val="34454F45"/>
    <w:rsid w:val="350A7B13"/>
    <w:rsid w:val="3537750C"/>
    <w:rsid w:val="3537798C"/>
    <w:rsid w:val="35A87E15"/>
    <w:rsid w:val="35C13FC9"/>
    <w:rsid w:val="364257B6"/>
    <w:rsid w:val="366530FC"/>
    <w:rsid w:val="37EA5922"/>
    <w:rsid w:val="38276B93"/>
    <w:rsid w:val="38AC3431"/>
    <w:rsid w:val="392F2E16"/>
    <w:rsid w:val="394B7A64"/>
    <w:rsid w:val="39514DBF"/>
    <w:rsid w:val="39E00529"/>
    <w:rsid w:val="3A0B64A7"/>
    <w:rsid w:val="3A574DDA"/>
    <w:rsid w:val="3AD3075A"/>
    <w:rsid w:val="3AF74C02"/>
    <w:rsid w:val="3B0B1FFB"/>
    <w:rsid w:val="3C0059A5"/>
    <w:rsid w:val="3C134E78"/>
    <w:rsid w:val="3D0B50D3"/>
    <w:rsid w:val="3DEC7285"/>
    <w:rsid w:val="3DF6345D"/>
    <w:rsid w:val="3E2B5515"/>
    <w:rsid w:val="3E4D4F28"/>
    <w:rsid w:val="3EE13701"/>
    <w:rsid w:val="3F1A4BB3"/>
    <w:rsid w:val="40192BA6"/>
    <w:rsid w:val="41766EA9"/>
    <w:rsid w:val="41EA5E97"/>
    <w:rsid w:val="41EB7C38"/>
    <w:rsid w:val="42550A18"/>
    <w:rsid w:val="429D496A"/>
    <w:rsid w:val="42F473A1"/>
    <w:rsid w:val="441E62C0"/>
    <w:rsid w:val="44B539F2"/>
    <w:rsid w:val="45325D14"/>
    <w:rsid w:val="45811C7C"/>
    <w:rsid w:val="45906116"/>
    <w:rsid w:val="461C402C"/>
    <w:rsid w:val="468B3EFB"/>
    <w:rsid w:val="470A6193"/>
    <w:rsid w:val="47385210"/>
    <w:rsid w:val="47DC4F5C"/>
    <w:rsid w:val="48B40671"/>
    <w:rsid w:val="499B5738"/>
    <w:rsid w:val="499F244D"/>
    <w:rsid w:val="4A973F3F"/>
    <w:rsid w:val="4AAB5E5A"/>
    <w:rsid w:val="4AF96BC7"/>
    <w:rsid w:val="4B093B50"/>
    <w:rsid w:val="4B5A416B"/>
    <w:rsid w:val="4B862A85"/>
    <w:rsid w:val="4BEA2D54"/>
    <w:rsid w:val="4C773CFD"/>
    <w:rsid w:val="4CEF36E2"/>
    <w:rsid w:val="4CEF4DC5"/>
    <w:rsid w:val="4E257655"/>
    <w:rsid w:val="4E8E7871"/>
    <w:rsid w:val="4ECE2D9B"/>
    <w:rsid w:val="4EDF3AA5"/>
    <w:rsid w:val="4F372380"/>
    <w:rsid w:val="4F372FFB"/>
    <w:rsid w:val="5025116D"/>
    <w:rsid w:val="50D24E31"/>
    <w:rsid w:val="50E47C22"/>
    <w:rsid w:val="516D2E6C"/>
    <w:rsid w:val="51A074F4"/>
    <w:rsid w:val="52395ECD"/>
    <w:rsid w:val="527750B1"/>
    <w:rsid w:val="52C10D75"/>
    <w:rsid w:val="53C27FF8"/>
    <w:rsid w:val="549E1A80"/>
    <w:rsid w:val="54C658F4"/>
    <w:rsid w:val="550C4BD7"/>
    <w:rsid w:val="554C1D56"/>
    <w:rsid w:val="55572986"/>
    <w:rsid w:val="558974DC"/>
    <w:rsid w:val="55C062DD"/>
    <w:rsid w:val="565340FA"/>
    <w:rsid w:val="5723343E"/>
    <w:rsid w:val="573D7EAB"/>
    <w:rsid w:val="57593E58"/>
    <w:rsid w:val="59130438"/>
    <w:rsid w:val="59694173"/>
    <w:rsid w:val="5A2F2CC8"/>
    <w:rsid w:val="5BA26962"/>
    <w:rsid w:val="5C10702D"/>
    <w:rsid w:val="5C152601"/>
    <w:rsid w:val="5C591F03"/>
    <w:rsid w:val="5C8A1B2F"/>
    <w:rsid w:val="5D914004"/>
    <w:rsid w:val="5F561B72"/>
    <w:rsid w:val="606007BB"/>
    <w:rsid w:val="608E7761"/>
    <w:rsid w:val="60AC7F66"/>
    <w:rsid w:val="60B93363"/>
    <w:rsid w:val="61691F7C"/>
    <w:rsid w:val="61BF10D9"/>
    <w:rsid w:val="61DA3D4C"/>
    <w:rsid w:val="62AC22DC"/>
    <w:rsid w:val="637833E8"/>
    <w:rsid w:val="64373C6C"/>
    <w:rsid w:val="64A72D12"/>
    <w:rsid w:val="64E45EF7"/>
    <w:rsid w:val="654E5711"/>
    <w:rsid w:val="6691014E"/>
    <w:rsid w:val="66C24191"/>
    <w:rsid w:val="66C87CCE"/>
    <w:rsid w:val="66E87A37"/>
    <w:rsid w:val="677435B2"/>
    <w:rsid w:val="67EF75F1"/>
    <w:rsid w:val="69124F16"/>
    <w:rsid w:val="694A5205"/>
    <w:rsid w:val="69545352"/>
    <w:rsid w:val="69CD5C14"/>
    <w:rsid w:val="69CF0D33"/>
    <w:rsid w:val="6A222CC8"/>
    <w:rsid w:val="6B9946B3"/>
    <w:rsid w:val="6BA53E65"/>
    <w:rsid w:val="6C662189"/>
    <w:rsid w:val="6C7007C7"/>
    <w:rsid w:val="6D405F36"/>
    <w:rsid w:val="6D4261FA"/>
    <w:rsid w:val="6DE76850"/>
    <w:rsid w:val="6F76762C"/>
    <w:rsid w:val="6FB20BD4"/>
    <w:rsid w:val="6FB650F7"/>
    <w:rsid w:val="6FBA59BE"/>
    <w:rsid w:val="70296B3E"/>
    <w:rsid w:val="70611204"/>
    <w:rsid w:val="72AE5A41"/>
    <w:rsid w:val="73445350"/>
    <w:rsid w:val="73A905D0"/>
    <w:rsid w:val="74D774D1"/>
    <w:rsid w:val="74FA2C30"/>
    <w:rsid w:val="754D5C4B"/>
    <w:rsid w:val="75742F72"/>
    <w:rsid w:val="76C240A7"/>
    <w:rsid w:val="775246B7"/>
    <w:rsid w:val="77860FED"/>
    <w:rsid w:val="781E69D1"/>
    <w:rsid w:val="78A84CE1"/>
    <w:rsid w:val="7A263B6B"/>
    <w:rsid w:val="7AE2011E"/>
    <w:rsid w:val="7AF46346"/>
    <w:rsid w:val="7B0F5EBF"/>
    <w:rsid w:val="7B130FB9"/>
    <w:rsid w:val="7B7C7063"/>
    <w:rsid w:val="7BF64EDE"/>
    <w:rsid w:val="7C400C1E"/>
    <w:rsid w:val="7DD11708"/>
    <w:rsid w:val="7EBD579E"/>
    <w:rsid w:val="7EC167BD"/>
    <w:rsid w:val="7F00119D"/>
    <w:rsid w:val="7F272D9E"/>
    <w:rsid w:val="7F7338C5"/>
    <w:rsid w:val="7F7A5EA8"/>
    <w:rsid w:val="7FFD3B64"/>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nhideWhenUsed="0" w:uiPriority="9" w:semiHidden="0" w:name="heading 5"/>
    <w:lsdException w:qFormat="1" w:uiPriority="9" w:name="heading 6"/>
    <w:lsdException w:qFormat="1" w:uiPriority="9" w:name="heading 7"/>
    <w:lsdException w:qFormat="1" w:unhideWhenUsed="0" w:uiPriority="9" w:semiHidden="0"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qFormat="1" w:uiPriority="99" w:semiHidden="0" w:name="endnote reference"/>
    <w:lsdException w:uiPriority="99" w:name="endnote text"/>
    <w:lsdException w:uiPriority="99" w:name="table of authorities"/>
    <w:lsdException w:uiPriority="99" w:name="macro"/>
    <w:lsdException w:uiPriority="99" w:name="toa heading"/>
    <w:lsdException w:qFormat="1" w:uiPriority="99" w:semiHidden="0" w:name="List"/>
    <w:lsdException w:uiPriority="99" w:name="List Bullet"/>
    <w:lsdException w:qFormat="1" w:unhideWhenUsed="0" w:uiPriority="99" w:semiHidden="0" w:name="List Number"/>
    <w:lsdException w:qFormat="1"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qFormat="1" w:uiPriority="99" w:semiHidden="0"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3"/>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4"/>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link w:val="35"/>
    <w:qFormat/>
    <w:uiPriority w:val="9"/>
    <w:pPr>
      <w:keepNext/>
      <w:keepLines/>
      <w:spacing w:before="260" w:after="260" w:line="416" w:lineRule="auto"/>
      <w:outlineLvl w:val="2"/>
    </w:pPr>
    <w:rPr>
      <w:b/>
      <w:bCs/>
      <w:sz w:val="32"/>
      <w:szCs w:val="32"/>
    </w:rPr>
  </w:style>
  <w:style w:type="paragraph" w:styleId="5">
    <w:name w:val="heading 5"/>
    <w:basedOn w:val="1"/>
    <w:next w:val="6"/>
    <w:link w:val="36"/>
    <w:qFormat/>
    <w:uiPriority w:val="9"/>
    <w:pPr>
      <w:keepNext/>
      <w:keepLines/>
      <w:spacing w:before="280" w:after="290" w:line="376" w:lineRule="auto"/>
      <w:outlineLvl w:val="4"/>
    </w:pPr>
    <w:rPr>
      <w:b/>
      <w:bCs/>
      <w:sz w:val="28"/>
      <w:szCs w:val="28"/>
    </w:rPr>
  </w:style>
  <w:style w:type="paragraph" w:styleId="7">
    <w:name w:val="heading 8"/>
    <w:basedOn w:val="1"/>
    <w:next w:val="1"/>
    <w:link w:val="37"/>
    <w:qFormat/>
    <w:uiPriority w:val="9"/>
    <w:pPr>
      <w:keepNext/>
      <w:keepLines/>
      <w:spacing w:before="240" w:after="64" w:line="320" w:lineRule="auto"/>
      <w:outlineLvl w:val="7"/>
    </w:pPr>
    <w:rPr>
      <w:rFonts w:ascii="等线 Light" w:hAnsi="等线 Light" w:eastAsia="等线 Light"/>
      <w:sz w:val="24"/>
    </w:rPr>
  </w:style>
  <w:style w:type="character" w:default="1" w:styleId="27">
    <w:name w:val="Default Paragraph Font"/>
    <w:unhideWhenUsed/>
    <w:qFormat/>
    <w:uiPriority w:val="1"/>
  </w:style>
  <w:style w:type="table" w:default="1" w:styleId="25">
    <w:name w:val="Normal Table"/>
    <w:unhideWhenUsed/>
    <w:qFormat/>
    <w:uiPriority w:val="99"/>
    <w:tblPr>
      <w:tblCellMar>
        <w:top w:w="0" w:type="dxa"/>
        <w:left w:w="108" w:type="dxa"/>
        <w:bottom w:w="0" w:type="dxa"/>
        <w:right w:w="108" w:type="dxa"/>
      </w:tblCellMar>
    </w:tblPr>
  </w:style>
  <w:style w:type="paragraph" w:styleId="6">
    <w:name w:val="Normal Indent"/>
    <w:basedOn w:val="1"/>
    <w:qFormat/>
    <w:uiPriority w:val="99"/>
    <w:pPr>
      <w:ind w:firstLine="420"/>
    </w:pPr>
    <w:rPr>
      <w:szCs w:val="20"/>
    </w:rPr>
  </w:style>
  <w:style w:type="paragraph" w:styleId="8">
    <w:name w:val="List Number"/>
    <w:basedOn w:val="1"/>
    <w:qFormat/>
    <w:uiPriority w:val="99"/>
    <w:pPr>
      <w:widowControl/>
      <w:tabs>
        <w:tab w:val="left" w:pos="454"/>
        <w:tab w:val="left" w:pos="720"/>
        <w:tab w:val="left" w:pos="840"/>
      </w:tabs>
      <w:spacing w:after="50" w:afterLines="50"/>
      <w:ind w:left="454" w:hanging="284"/>
      <w:jc w:val="left"/>
    </w:pPr>
    <w:rPr>
      <w:kern w:val="0"/>
      <w:sz w:val="24"/>
      <w:szCs w:val="20"/>
    </w:rPr>
  </w:style>
  <w:style w:type="paragraph" w:styleId="9">
    <w:name w:val="annotation text"/>
    <w:basedOn w:val="1"/>
    <w:link w:val="38"/>
    <w:qFormat/>
    <w:uiPriority w:val="0"/>
    <w:pPr>
      <w:jc w:val="left"/>
    </w:pPr>
  </w:style>
  <w:style w:type="paragraph" w:styleId="10">
    <w:name w:val="Body Text 3"/>
    <w:basedOn w:val="1"/>
    <w:link w:val="39"/>
    <w:unhideWhenUsed/>
    <w:qFormat/>
    <w:uiPriority w:val="99"/>
    <w:pPr>
      <w:spacing w:after="120"/>
    </w:pPr>
    <w:rPr>
      <w:sz w:val="16"/>
      <w:szCs w:val="16"/>
    </w:rPr>
  </w:style>
  <w:style w:type="paragraph" w:styleId="11">
    <w:name w:val="Body Text"/>
    <w:basedOn w:val="1"/>
    <w:link w:val="40"/>
    <w:unhideWhenUsed/>
    <w:qFormat/>
    <w:uiPriority w:val="0"/>
    <w:pPr>
      <w:spacing w:after="120"/>
    </w:pPr>
  </w:style>
  <w:style w:type="paragraph" w:styleId="12">
    <w:name w:val="Body Text Indent"/>
    <w:basedOn w:val="1"/>
    <w:link w:val="41"/>
    <w:qFormat/>
    <w:uiPriority w:val="0"/>
    <w:pPr>
      <w:ind w:firstLine="830" w:firstLineChars="352"/>
    </w:pPr>
    <w:rPr>
      <w:rFonts w:ascii="仿宋_GB2312" w:eastAsia="仿宋_GB2312"/>
      <w:kern w:val="0"/>
      <w:sz w:val="32"/>
      <w:szCs w:val="20"/>
    </w:rPr>
  </w:style>
  <w:style w:type="paragraph" w:styleId="13">
    <w:name w:val="List 2"/>
    <w:basedOn w:val="1"/>
    <w:unhideWhenUsed/>
    <w:qFormat/>
    <w:uiPriority w:val="99"/>
    <w:pPr>
      <w:ind w:left="100" w:leftChars="200" w:hanging="200" w:hangingChars="200"/>
      <w:contextualSpacing/>
    </w:pPr>
  </w:style>
  <w:style w:type="paragraph" w:styleId="14">
    <w:name w:val="toc 3"/>
    <w:basedOn w:val="1"/>
    <w:next w:val="1"/>
    <w:unhideWhenUsed/>
    <w:qFormat/>
    <w:uiPriority w:val="39"/>
    <w:pPr>
      <w:ind w:left="840" w:leftChars="400"/>
    </w:pPr>
  </w:style>
  <w:style w:type="paragraph" w:styleId="15">
    <w:name w:val="Plain Text"/>
    <w:basedOn w:val="1"/>
    <w:link w:val="42"/>
    <w:qFormat/>
    <w:uiPriority w:val="0"/>
    <w:rPr>
      <w:rFonts w:ascii="宋体" w:hAnsi="Courier New"/>
      <w:kern w:val="0"/>
      <w:sz w:val="20"/>
      <w:szCs w:val="21"/>
    </w:rPr>
  </w:style>
  <w:style w:type="paragraph" w:styleId="16">
    <w:name w:val="Date"/>
    <w:basedOn w:val="1"/>
    <w:next w:val="1"/>
    <w:link w:val="43"/>
    <w:unhideWhenUsed/>
    <w:qFormat/>
    <w:uiPriority w:val="99"/>
    <w:pPr>
      <w:ind w:left="100" w:leftChars="2500"/>
    </w:pPr>
  </w:style>
  <w:style w:type="paragraph" w:styleId="17">
    <w:name w:val="Balloon Text"/>
    <w:basedOn w:val="1"/>
    <w:link w:val="44"/>
    <w:semiHidden/>
    <w:qFormat/>
    <w:uiPriority w:val="99"/>
    <w:rPr>
      <w:sz w:val="18"/>
      <w:szCs w:val="18"/>
    </w:rPr>
  </w:style>
  <w:style w:type="paragraph" w:styleId="18">
    <w:name w:val="footer"/>
    <w:basedOn w:val="1"/>
    <w:link w:val="45"/>
    <w:unhideWhenUsed/>
    <w:qFormat/>
    <w:uiPriority w:val="99"/>
    <w:pPr>
      <w:tabs>
        <w:tab w:val="center" w:pos="4153"/>
        <w:tab w:val="right" w:pos="8306"/>
      </w:tabs>
      <w:snapToGrid w:val="0"/>
      <w:jc w:val="left"/>
    </w:pPr>
    <w:rPr>
      <w:kern w:val="0"/>
      <w:sz w:val="18"/>
      <w:szCs w:val="18"/>
    </w:rPr>
  </w:style>
  <w:style w:type="paragraph" w:styleId="19">
    <w:name w:val="header"/>
    <w:basedOn w:val="1"/>
    <w:link w:val="46"/>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20">
    <w:name w:val="toc 1"/>
    <w:basedOn w:val="1"/>
    <w:next w:val="1"/>
    <w:unhideWhenUsed/>
    <w:qFormat/>
    <w:uiPriority w:val="39"/>
  </w:style>
  <w:style w:type="paragraph" w:styleId="21">
    <w:name w:val="List"/>
    <w:basedOn w:val="1"/>
    <w:unhideWhenUsed/>
    <w:qFormat/>
    <w:uiPriority w:val="99"/>
    <w:pPr>
      <w:ind w:left="200" w:hanging="200" w:hangingChars="200"/>
      <w:contextualSpacing/>
    </w:pPr>
  </w:style>
  <w:style w:type="paragraph" w:styleId="22">
    <w:name w:val="toc 2"/>
    <w:basedOn w:val="1"/>
    <w:next w:val="1"/>
    <w:unhideWhenUsed/>
    <w:qFormat/>
    <w:uiPriority w:val="39"/>
    <w:pPr>
      <w:tabs>
        <w:tab w:val="right" w:leader="dot" w:pos="8296"/>
      </w:tabs>
      <w:ind w:left="420" w:leftChars="200"/>
    </w:pPr>
  </w:style>
  <w:style w:type="paragraph" w:styleId="23">
    <w:name w:val="Normal (Web)"/>
    <w:basedOn w:val="1"/>
    <w:unhideWhenUsed/>
    <w:qFormat/>
    <w:uiPriority w:val="99"/>
    <w:pPr>
      <w:spacing w:before="0" w:beforeAutospacing="0" w:after="0" w:afterAutospacing="0"/>
      <w:ind w:left="0" w:right="0"/>
      <w:jc w:val="both"/>
    </w:pPr>
    <w:rPr>
      <w:rFonts w:hint="default" w:ascii="Calibri" w:hAnsi="Calibri" w:cs="Calibri"/>
      <w:kern w:val="0"/>
      <w:sz w:val="24"/>
      <w:szCs w:val="24"/>
      <w:lang w:val="en-US" w:eastAsia="zh-CN" w:bidi="ar"/>
    </w:rPr>
  </w:style>
  <w:style w:type="paragraph" w:styleId="24">
    <w:name w:val="annotation subject"/>
    <w:basedOn w:val="9"/>
    <w:next w:val="9"/>
    <w:link w:val="47"/>
    <w:qFormat/>
    <w:uiPriority w:val="99"/>
    <w:rPr>
      <w:b/>
      <w:bCs/>
    </w:rPr>
  </w:style>
  <w:style w:type="table" w:styleId="26">
    <w:name w:val="Table Grid"/>
    <w:basedOn w:val="25"/>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8">
    <w:name w:val="endnote reference"/>
    <w:unhideWhenUsed/>
    <w:qFormat/>
    <w:uiPriority w:val="99"/>
    <w:rPr>
      <w:vertAlign w:val="superscript"/>
    </w:rPr>
  </w:style>
  <w:style w:type="character" w:styleId="29">
    <w:name w:val="page number"/>
    <w:qFormat/>
    <w:uiPriority w:val="0"/>
  </w:style>
  <w:style w:type="character" w:styleId="30">
    <w:name w:val="FollowedHyperlink"/>
    <w:unhideWhenUsed/>
    <w:qFormat/>
    <w:uiPriority w:val="99"/>
    <w:rPr>
      <w:color w:val="800080"/>
      <w:u w:val="single"/>
    </w:rPr>
  </w:style>
  <w:style w:type="character" w:styleId="31">
    <w:name w:val="Hyperlink"/>
    <w:unhideWhenUsed/>
    <w:qFormat/>
    <w:uiPriority w:val="99"/>
    <w:rPr>
      <w:color w:val="0000FF"/>
      <w:u w:val="single"/>
    </w:rPr>
  </w:style>
  <w:style w:type="character" w:styleId="32">
    <w:name w:val="annotation reference"/>
    <w:qFormat/>
    <w:uiPriority w:val="99"/>
    <w:rPr>
      <w:sz w:val="21"/>
      <w:szCs w:val="21"/>
    </w:rPr>
  </w:style>
  <w:style w:type="character" w:customStyle="1" w:styleId="33">
    <w:name w:val="标题 1 Char"/>
    <w:link w:val="2"/>
    <w:qFormat/>
    <w:uiPriority w:val="9"/>
    <w:rPr>
      <w:b/>
      <w:bCs/>
      <w:kern w:val="44"/>
      <w:sz w:val="44"/>
      <w:szCs w:val="44"/>
    </w:rPr>
  </w:style>
  <w:style w:type="character" w:customStyle="1" w:styleId="34">
    <w:name w:val="标题 2 Char1"/>
    <w:link w:val="3"/>
    <w:qFormat/>
    <w:uiPriority w:val="9"/>
    <w:rPr>
      <w:rFonts w:ascii="Cambria" w:hAnsi="Cambria" w:eastAsia="宋体" w:cs="Times New Roman"/>
      <w:b/>
      <w:bCs/>
      <w:kern w:val="2"/>
      <w:sz w:val="32"/>
      <w:szCs w:val="32"/>
    </w:rPr>
  </w:style>
  <w:style w:type="character" w:customStyle="1" w:styleId="35">
    <w:name w:val="标题 3 Char"/>
    <w:link w:val="4"/>
    <w:qFormat/>
    <w:uiPriority w:val="9"/>
    <w:rPr>
      <w:b/>
      <w:bCs/>
      <w:kern w:val="2"/>
      <w:sz w:val="32"/>
      <w:szCs w:val="32"/>
    </w:rPr>
  </w:style>
  <w:style w:type="character" w:customStyle="1" w:styleId="36">
    <w:name w:val="标题 5 Char"/>
    <w:link w:val="5"/>
    <w:qFormat/>
    <w:uiPriority w:val="9"/>
    <w:rPr>
      <w:rFonts w:ascii="Times New Roman" w:hAnsi="Times New Roman"/>
      <w:b/>
      <w:bCs/>
      <w:kern w:val="2"/>
      <w:sz w:val="28"/>
      <w:szCs w:val="28"/>
    </w:rPr>
  </w:style>
  <w:style w:type="character" w:customStyle="1" w:styleId="37">
    <w:name w:val="标题 8 Char1"/>
    <w:link w:val="7"/>
    <w:qFormat/>
    <w:uiPriority w:val="9"/>
    <w:rPr>
      <w:rFonts w:ascii="等线 Light" w:hAnsi="等线 Light" w:eastAsia="等线 Light" w:cs="Times New Roman"/>
      <w:kern w:val="2"/>
      <w:sz w:val="24"/>
      <w:szCs w:val="24"/>
    </w:rPr>
  </w:style>
  <w:style w:type="character" w:customStyle="1" w:styleId="38">
    <w:name w:val="批注文字 Char1"/>
    <w:link w:val="9"/>
    <w:qFormat/>
    <w:uiPriority w:val="0"/>
    <w:rPr>
      <w:rFonts w:ascii="Times New Roman" w:hAnsi="Times New Roman"/>
      <w:kern w:val="2"/>
      <w:sz w:val="21"/>
      <w:szCs w:val="24"/>
    </w:rPr>
  </w:style>
  <w:style w:type="character" w:customStyle="1" w:styleId="39">
    <w:name w:val="正文文本 3 Char"/>
    <w:link w:val="10"/>
    <w:qFormat/>
    <w:uiPriority w:val="99"/>
    <w:rPr>
      <w:kern w:val="2"/>
      <w:sz w:val="16"/>
      <w:szCs w:val="16"/>
    </w:rPr>
  </w:style>
  <w:style w:type="character" w:customStyle="1" w:styleId="40">
    <w:name w:val="正文文本 Char1"/>
    <w:link w:val="11"/>
    <w:qFormat/>
    <w:uiPriority w:val="0"/>
    <w:rPr>
      <w:rFonts w:ascii="Times New Roman" w:hAnsi="Times New Roman"/>
      <w:kern w:val="2"/>
      <w:sz w:val="21"/>
      <w:szCs w:val="24"/>
    </w:rPr>
  </w:style>
  <w:style w:type="character" w:customStyle="1" w:styleId="41">
    <w:name w:val="正文文本缩进 Char"/>
    <w:link w:val="12"/>
    <w:qFormat/>
    <w:uiPriority w:val="0"/>
    <w:rPr>
      <w:rFonts w:ascii="仿宋_GB2312" w:hAnsi="Times New Roman" w:eastAsia="仿宋_GB2312" w:cs="Times New Roman"/>
      <w:sz w:val="32"/>
      <w:szCs w:val="20"/>
    </w:rPr>
  </w:style>
  <w:style w:type="character" w:customStyle="1" w:styleId="42">
    <w:name w:val="纯文本 Char1"/>
    <w:link w:val="15"/>
    <w:qFormat/>
    <w:uiPriority w:val="0"/>
    <w:rPr>
      <w:rFonts w:ascii="宋体" w:hAnsi="Courier New" w:eastAsia="宋体" w:cs="Courier New"/>
      <w:szCs w:val="21"/>
    </w:rPr>
  </w:style>
  <w:style w:type="character" w:customStyle="1" w:styleId="43">
    <w:name w:val="日期 Char"/>
    <w:link w:val="16"/>
    <w:qFormat/>
    <w:uiPriority w:val="99"/>
    <w:rPr>
      <w:rFonts w:ascii="Times New Roman" w:hAnsi="Times New Roman"/>
      <w:kern w:val="2"/>
      <w:sz w:val="21"/>
      <w:szCs w:val="24"/>
    </w:rPr>
  </w:style>
  <w:style w:type="character" w:customStyle="1" w:styleId="44">
    <w:name w:val="批注框文本 Char"/>
    <w:link w:val="17"/>
    <w:semiHidden/>
    <w:qFormat/>
    <w:uiPriority w:val="99"/>
    <w:rPr>
      <w:kern w:val="2"/>
      <w:sz w:val="18"/>
      <w:szCs w:val="18"/>
    </w:rPr>
  </w:style>
  <w:style w:type="character" w:customStyle="1" w:styleId="45">
    <w:name w:val="页脚 Char"/>
    <w:link w:val="18"/>
    <w:qFormat/>
    <w:uiPriority w:val="99"/>
    <w:rPr>
      <w:sz w:val="18"/>
      <w:szCs w:val="18"/>
    </w:rPr>
  </w:style>
  <w:style w:type="character" w:customStyle="1" w:styleId="46">
    <w:name w:val="页眉 Char"/>
    <w:link w:val="19"/>
    <w:qFormat/>
    <w:uiPriority w:val="99"/>
    <w:rPr>
      <w:sz w:val="18"/>
      <w:szCs w:val="18"/>
    </w:rPr>
  </w:style>
  <w:style w:type="character" w:customStyle="1" w:styleId="47">
    <w:name w:val="批注主题 Char"/>
    <w:link w:val="24"/>
    <w:qFormat/>
    <w:uiPriority w:val="99"/>
    <w:rPr>
      <w:rFonts w:ascii="Times New Roman" w:hAnsi="Times New Roman"/>
      <w:b/>
      <w:bCs/>
      <w:kern w:val="2"/>
      <w:sz w:val="21"/>
      <w:szCs w:val="24"/>
    </w:rPr>
  </w:style>
  <w:style w:type="character" w:customStyle="1" w:styleId="48">
    <w:name w:val="纯文本 字符2"/>
    <w:qFormat/>
    <w:uiPriority w:val="0"/>
    <w:rPr>
      <w:rFonts w:ascii="宋体" w:hAnsi="Courier New" w:eastAsia="宋体" w:cs="Courier New"/>
      <w:szCs w:val="21"/>
    </w:rPr>
  </w:style>
  <w:style w:type="character" w:customStyle="1" w:styleId="49">
    <w:name w:val="apple-style-span"/>
    <w:qFormat/>
    <w:uiPriority w:val="0"/>
  </w:style>
  <w:style w:type="character" w:customStyle="1" w:styleId="50">
    <w:name w:val="标题 2 Char"/>
    <w:qFormat/>
    <w:uiPriority w:val="9"/>
    <w:rPr>
      <w:rFonts w:ascii="Cambria" w:hAnsi="Cambria" w:eastAsia="宋体" w:cs="Times New Roman"/>
      <w:b/>
      <w:bCs/>
      <w:kern w:val="2"/>
      <w:sz w:val="32"/>
      <w:szCs w:val="32"/>
    </w:rPr>
  </w:style>
  <w:style w:type="character" w:customStyle="1" w:styleId="51">
    <w:name w:val="纯文本 字符"/>
    <w:qFormat/>
    <w:uiPriority w:val="0"/>
    <w:rPr>
      <w:rFonts w:ascii="宋体" w:hAnsi="Courier New" w:eastAsia="宋体" w:cs="Courier New"/>
      <w:szCs w:val="21"/>
    </w:rPr>
  </w:style>
  <w:style w:type="character" w:customStyle="1" w:styleId="52">
    <w:name w:val="纯文本 字符1"/>
    <w:qFormat/>
    <w:uiPriority w:val="0"/>
    <w:rPr>
      <w:rFonts w:ascii="宋体" w:hAnsi="Courier New"/>
    </w:rPr>
  </w:style>
  <w:style w:type="character" w:customStyle="1" w:styleId="53">
    <w:name w:val="标题 8 Char"/>
    <w:qFormat/>
    <w:uiPriority w:val="0"/>
    <w:rPr>
      <w:rFonts w:ascii="Arial" w:hAnsi="Arial" w:eastAsia="黑体"/>
      <w:kern w:val="2"/>
      <w:sz w:val="24"/>
      <w:szCs w:val="24"/>
    </w:rPr>
  </w:style>
  <w:style w:type="character" w:customStyle="1" w:styleId="54">
    <w:name w:val="纯文本 Char"/>
    <w:qFormat/>
    <w:uiPriority w:val="0"/>
    <w:rPr>
      <w:rFonts w:ascii="宋体" w:hAnsi="Courier New" w:eastAsia="宋体" w:cs="Courier New"/>
      <w:szCs w:val="21"/>
    </w:rPr>
  </w:style>
  <w:style w:type="character" w:customStyle="1" w:styleId="55">
    <w:name w:val="正文文本 Char"/>
    <w:qFormat/>
    <w:uiPriority w:val="0"/>
    <w:rPr>
      <w:rFonts w:ascii="Times New Roman" w:hAnsi="Times New Roman"/>
      <w:kern w:val="2"/>
      <w:sz w:val="21"/>
      <w:szCs w:val="24"/>
    </w:rPr>
  </w:style>
  <w:style w:type="character" w:customStyle="1" w:styleId="56">
    <w:name w:val="批注文字 字符1"/>
    <w:qFormat/>
    <w:uiPriority w:val="0"/>
    <w:rPr>
      <w:rFonts w:ascii="Times New Roman" w:hAnsi="Times New Roman"/>
      <w:kern w:val="2"/>
      <w:sz w:val="21"/>
      <w:szCs w:val="24"/>
    </w:rPr>
  </w:style>
  <w:style w:type="character" w:customStyle="1" w:styleId="57">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58">
    <w:name w:val="标题 1 字符1"/>
    <w:qFormat/>
    <w:uiPriority w:val="0"/>
    <w:rPr>
      <w:b/>
      <w:bCs/>
      <w:kern w:val="44"/>
      <w:sz w:val="44"/>
      <w:szCs w:val="44"/>
    </w:rPr>
  </w:style>
  <w:style w:type="character" w:customStyle="1" w:styleId="59">
    <w:name w:val="正文文本 字符"/>
    <w:qFormat/>
    <w:uiPriority w:val="0"/>
    <w:rPr>
      <w:rFonts w:ascii="Times New Roman" w:hAnsi="Times New Roman"/>
      <w:kern w:val="2"/>
      <w:sz w:val="21"/>
      <w:szCs w:val="24"/>
    </w:rPr>
  </w:style>
  <w:style w:type="character" w:customStyle="1" w:styleId="60">
    <w:name w:val="批注文字 字符"/>
    <w:qFormat/>
    <w:uiPriority w:val="0"/>
    <w:rPr>
      <w:rFonts w:ascii="Times New Roman" w:hAnsi="Times New Roman"/>
      <w:kern w:val="2"/>
      <w:sz w:val="21"/>
      <w:szCs w:val="24"/>
    </w:rPr>
  </w:style>
  <w:style w:type="character" w:customStyle="1" w:styleId="61">
    <w:name w:val="textcontents"/>
    <w:qFormat/>
    <w:uiPriority w:val="0"/>
  </w:style>
  <w:style w:type="character" w:customStyle="1" w:styleId="62">
    <w:name w:val="批注文字 Char"/>
    <w:qFormat/>
    <w:uiPriority w:val="0"/>
    <w:rPr>
      <w:rFonts w:ascii="Times New Roman" w:hAnsi="Times New Roman"/>
      <w:kern w:val="2"/>
      <w:sz w:val="21"/>
      <w:szCs w:val="24"/>
    </w:rPr>
  </w:style>
  <w:style w:type="paragraph" w:customStyle="1" w:styleId="63">
    <w:name w:val="表内文字"/>
    <w:basedOn w:val="1"/>
    <w:qFormat/>
    <w:uiPriority w:val="99"/>
    <w:pPr>
      <w:snapToGrid w:val="0"/>
      <w:spacing w:before="50" w:after="50"/>
      <w:jc w:val="center"/>
    </w:pPr>
    <w:rPr>
      <w:rFonts w:ascii="仿宋_GB2312" w:hAnsi="宋体" w:eastAsia="仿宋_GB2312"/>
      <w:b/>
      <w:color w:val="000000"/>
      <w:sz w:val="32"/>
      <w:szCs w:val="32"/>
    </w:rPr>
  </w:style>
  <w:style w:type="paragraph" w:styleId="64">
    <w:name w:val="List Paragraph"/>
    <w:basedOn w:val="1"/>
    <w:qFormat/>
    <w:uiPriority w:val="34"/>
    <w:pPr>
      <w:ind w:firstLine="420" w:firstLineChars="200"/>
    </w:pPr>
  </w:style>
  <w:style w:type="paragraph" w:customStyle="1" w:styleId="65">
    <w:name w:val="默认段落字体 Para Char Char Char Char Char Char Char Char Char1 Char Char Char Char"/>
    <w:basedOn w:val="1"/>
    <w:qFormat/>
    <w:uiPriority w:val="99"/>
    <w:rPr>
      <w:rFonts w:ascii="Tahoma" w:hAnsi="Tahoma"/>
      <w:sz w:val="24"/>
      <w:szCs w:val="20"/>
    </w:rPr>
  </w:style>
  <w:style w:type="paragraph" w:customStyle="1" w:styleId="66">
    <w:name w:val="Table Paragraph"/>
    <w:basedOn w:val="1"/>
    <w:qFormat/>
    <w:uiPriority w:val="1"/>
    <w:pPr>
      <w:jc w:val="left"/>
    </w:pPr>
    <w:rPr>
      <w:rFonts w:ascii="Calibri" w:hAnsi="Calibri"/>
      <w:kern w:val="0"/>
      <w:sz w:val="22"/>
      <w:szCs w:val="22"/>
      <w:lang w:eastAsia="en-US"/>
    </w:rPr>
  </w:style>
  <w:style w:type="paragraph" w:customStyle="1" w:styleId="67">
    <w:name w:val="Char Char Char Char"/>
    <w:basedOn w:val="1"/>
    <w:qFormat/>
    <w:uiPriority w:val="99"/>
    <w:pPr>
      <w:widowControl/>
      <w:spacing w:after="160" w:line="240" w:lineRule="exact"/>
      <w:jc w:val="left"/>
    </w:pPr>
  </w:style>
  <w:style w:type="character" w:customStyle="1" w:styleId="68">
    <w:name w:val="未处理的提及"/>
    <w:unhideWhenUsed/>
    <w:qFormat/>
    <w:uiPriority w:val="99"/>
    <w:rPr>
      <w:color w:val="605E5C"/>
      <w:shd w:val="clear" w:color="auto" w:fill="E1DFDD"/>
    </w:rPr>
  </w:style>
  <w:style w:type="paragraph" w:customStyle="1" w:styleId="69">
    <w:name w:val="_Style 68"/>
    <w:basedOn w:val="2"/>
    <w:next w:val="1"/>
    <w:qFormat/>
    <w:uiPriority w:val="39"/>
    <w:pPr>
      <w:widowControl/>
      <w:spacing w:before="240" w:after="0" w:line="259" w:lineRule="auto"/>
      <w:jc w:val="left"/>
      <w:outlineLvl w:val="9"/>
    </w:pPr>
    <w:rPr>
      <w:rFonts w:ascii="等线 Light" w:hAnsi="等线 Light" w:eastAsia="等线 Light" w:cs="Times New Roman"/>
      <w:b w:val="0"/>
      <w:bCs w:val="0"/>
      <w:color w:val="2F5496"/>
      <w:kern w:val="0"/>
      <w:sz w:val="32"/>
      <w:szCs w:val="32"/>
      <w:lang w:val="en-US" w:eastAsia="zh-CN"/>
    </w:rPr>
  </w:style>
  <w:style w:type="character" w:customStyle="1" w:styleId="70">
    <w:name w:val="正文2 Char Char"/>
    <w:link w:val="71"/>
    <w:qFormat/>
    <w:uiPriority w:val="0"/>
    <w:rPr>
      <w:sz w:val="24"/>
    </w:rPr>
  </w:style>
  <w:style w:type="paragraph" w:customStyle="1" w:styleId="71">
    <w:name w:val="正文2"/>
    <w:basedOn w:val="1"/>
    <w:link w:val="70"/>
    <w:qFormat/>
    <w:uiPriority w:val="0"/>
    <w:pPr>
      <w:adjustRightInd w:val="0"/>
      <w:spacing w:before="156" w:line="360" w:lineRule="auto"/>
      <w:ind w:firstLine="510" w:firstLineChars="200"/>
    </w:pPr>
    <w:rPr>
      <w:kern w:val="0"/>
      <w:sz w:val="24"/>
      <w:szCs w:val="20"/>
    </w:rPr>
  </w:style>
  <w:style w:type="paragraph" w:customStyle="1" w:styleId="72">
    <w:name w:val="样式5"/>
    <w:basedOn w:val="1"/>
    <w:qFormat/>
    <w:uiPriority w:val="99"/>
    <w:pPr>
      <w:adjustRightInd w:val="0"/>
      <w:spacing w:line="440" w:lineRule="exact"/>
      <w:ind w:left="2" w:firstLine="480" w:firstLineChars="200"/>
    </w:pPr>
    <w:rPr>
      <w:rFonts w:ascii="仿宋_GB2312" w:hAnsi="仿宋" w:eastAsia="仿宋_GB2312"/>
      <w:sz w:val="24"/>
    </w:rPr>
  </w:style>
  <w:style w:type="paragraph" w:customStyle="1" w:styleId="73">
    <w:name w:val="正文缩进1"/>
    <w:basedOn w:val="1"/>
    <w:next w:val="12"/>
    <w:qFormat/>
    <w:uiPriority w:val="99"/>
    <w:pPr>
      <w:autoSpaceDE w:val="0"/>
      <w:autoSpaceDN w:val="0"/>
      <w:adjustRightInd w:val="0"/>
      <w:snapToGrid w:val="0"/>
      <w:spacing w:after="120" w:line="360" w:lineRule="auto"/>
      <w:ind w:left="420" w:leftChars="200" w:firstLine="480" w:firstLineChars="200"/>
    </w:pPr>
    <w:rPr>
      <w:sz w:val="24"/>
      <w:szCs w:val="21"/>
    </w:rPr>
  </w:style>
  <w:style w:type="character" w:customStyle="1" w:styleId="74">
    <w:name w:val="标题 1 字符"/>
    <w:qFormat/>
    <w:uiPriority w:val="9"/>
    <w:rPr>
      <w:b/>
      <w:bCs/>
      <w:kern w:val="44"/>
      <w:sz w:val="44"/>
      <w:szCs w:val="44"/>
    </w:rPr>
  </w:style>
  <w:style w:type="character" w:customStyle="1" w:styleId="75">
    <w:name w:val="标题 2 字符"/>
    <w:qFormat/>
    <w:uiPriority w:val="9"/>
    <w:rPr>
      <w:rFonts w:ascii="Cambria" w:hAnsi="Cambria"/>
      <w:b/>
      <w:bCs/>
      <w:kern w:val="2"/>
      <w:sz w:val="32"/>
      <w:szCs w:val="32"/>
    </w:rPr>
  </w:style>
  <w:style w:type="character" w:customStyle="1" w:styleId="76">
    <w:name w:val="标题 3 字符"/>
    <w:qFormat/>
    <w:uiPriority w:val="9"/>
    <w:rPr>
      <w:b/>
      <w:bCs/>
      <w:kern w:val="2"/>
      <w:sz w:val="32"/>
      <w:szCs w:val="32"/>
    </w:rPr>
  </w:style>
  <w:style w:type="character" w:customStyle="1" w:styleId="77">
    <w:name w:val="标题 5 字符"/>
    <w:qFormat/>
    <w:uiPriority w:val="9"/>
    <w:rPr>
      <w:b/>
      <w:bCs/>
      <w:kern w:val="2"/>
      <w:sz w:val="28"/>
      <w:szCs w:val="28"/>
    </w:rPr>
  </w:style>
  <w:style w:type="character" w:customStyle="1" w:styleId="78">
    <w:name w:val="标题 8 字符"/>
    <w:qFormat/>
    <w:uiPriority w:val="9"/>
    <w:rPr>
      <w:rFonts w:ascii="等线 Light" w:hAnsi="等线 Light" w:eastAsia="等线 Light"/>
      <w:kern w:val="2"/>
      <w:sz w:val="24"/>
      <w:szCs w:val="24"/>
    </w:rPr>
  </w:style>
  <w:style w:type="character" w:customStyle="1" w:styleId="79">
    <w:name w:val="批注文字 字符2"/>
    <w:qFormat/>
    <w:uiPriority w:val="99"/>
    <w:rPr>
      <w:kern w:val="2"/>
      <w:sz w:val="21"/>
      <w:szCs w:val="24"/>
    </w:rPr>
  </w:style>
  <w:style w:type="character" w:customStyle="1" w:styleId="80">
    <w:name w:val="正文文本 3 字符"/>
    <w:qFormat/>
    <w:uiPriority w:val="99"/>
    <w:rPr>
      <w:kern w:val="2"/>
      <w:sz w:val="16"/>
      <w:szCs w:val="16"/>
    </w:rPr>
  </w:style>
  <w:style w:type="character" w:customStyle="1" w:styleId="81">
    <w:name w:val="正文文本 字符1"/>
    <w:qFormat/>
    <w:uiPriority w:val="99"/>
    <w:rPr>
      <w:kern w:val="2"/>
      <w:sz w:val="21"/>
      <w:szCs w:val="24"/>
    </w:rPr>
  </w:style>
  <w:style w:type="character" w:customStyle="1" w:styleId="82">
    <w:name w:val="正文文本缩进 字符"/>
    <w:qFormat/>
    <w:uiPriority w:val="99"/>
    <w:rPr>
      <w:rFonts w:ascii="仿宋_GB2312" w:eastAsia="仿宋_GB2312"/>
      <w:sz w:val="32"/>
    </w:rPr>
  </w:style>
  <w:style w:type="character" w:customStyle="1" w:styleId="83">
    <w:name w:val="纯文本 字符3"/>
    <w:qFormat/>
    <w:uiPriority w:val="99"/>
    <w:rPr>
      <w:rFonts w:ascii="宋体" w:hAnsi="Courier New"/>
      <w:szCs w:val="21"/>
    </w:rPr>
  </w:style>
  <w:style w:type="character" w:customStyle="1" w:styleId="84">
    <w:name w:val="日期 字符"/>
    <w:qFormat/>
    <w:uiPriority w:val="99"/>
    <w:rPr>
      <w:kern w:val="2"/>
      <w:sz w:val="21"/>
      <w:szCs w:val="24"/>
    </w:rPr>
  </w:style>
  <w:style w:type="character" w:customStyle="1" w:styleId="85">
    <w:name w:val="页脚 字符"/>
    <w:qFormat/>
    <w:uiPriority w:val="99"/>
    <w:rPr>
      <w:sz w:val="18"/>
      <w:szCs w:val="18"/>
    </w:rPr>
  </w:style>
  <w:style w:type="character" w:customStyle="1" w:styleId="86">
    <w:name w:val="页眉 字符"/>
    <w:qFormat/>
    <w:uiPriority w:val="99"/>
    <w:rPr>
      <w:sz w:val="18"/>
      <w:szCs w:val="18"/>
    </w:rPr>
  </w:style>
  <w:style w:type="character" w:customStyle="1" w:styleId="87">
    <w:name w:val="批注主题 字符"/>
    <w:qFormat/>
    <w:uiPriority w:val="99"/>
    <w:rPr>
      <w:rFonts w:ascii="Times New Roman" w:hAnsi="Times New Roman"/>
      <w:b/>
      <w:bCs/>
      <w:kern w:val="2"/>
      <w:sz w:val="21"/>
      <w:szCs w:val="24"/>
    </w:rPr>
  </w:style>
  <w:style w:type="paragraph" w:customStyle="1" w:styleId="88">
    <w:name w:val="_Style 94"/>
    <w:basedOn w:val="1"/>
    <w:unhideWhenUsed/>
    <w:qFormat/>
    <w:uiPriority w:val="99"/>
  </w:style>
  <w:style w:type="paragraph" w:customStyle="1" w:styleId="89">
    <w:name w:val="_Style 95"/>
    <w:basedOn w:val="1"/>
    <w:unhideWhenUsed/>
    <w:qFormat/>
    <w:uiPriority w:val="99"/>
  </w:style>
  <w:style w:type="paragraph" w:customStyle="1" w:styleId="90">
    <w:name w:val="msonormal"/>
    <w:basedOn w:val="1"/>
    <w:qFormat/>
    <w:uiPriority w:val="99"/>
    <w:rPr>
      <w:rFonts w:ascii="Calibri" w:hAnsi="Calibri"/>
      <w:kern w:val="0"/>
      <w:sz w:val="24"/>
    </w:rPr>
  </w:style>
  <w:style w:type="table" w:customStyle="1" w:styleId="91">
    <w:name w:val="Table Normal"/>
    <w:unhideWhenUsed/>
    <w:qFormat/>
    <w:uiPriority w:val="0"/>
    <w:rPr>
      <w:rFonts w:ascii="Arial" w:hAnsi="Arial" w:cs="Arial"/>
      <w:snapToGrid w:val="0"/>
      <w:color w:val="000000"/>
      <w:sz w:val="21"/>
      <w:szCs w:val="21"/>
      <w:lang w:val="en-US" w:eastAsia="en-US" w:bidi="ar-SA"/>
    </w:rPr>
    <w:tblPr>
      <w:tblCellMar>
        <w:top w:w="0" w:type="dxa"/>
        <w:left w:w="0" w:type="dxa"/>
        <w:bottom w:w="0" w:type="dxa"/>
        <w:right w:w="0" w:type="dxa"/>
      </w:tblCellMar>
    </w:tblPr>
  </w:style>
  <w:style w:type="paragraph" w:customStyle="1" w:styleId="92">
    <w:name w:val="Table Text"/>
    <w:basedOn w:val="1"/>
    <w:semiHidden/>
    <w:qFormat/>
    <w:uiPriority w:val="0"/>
    <w:pPr>
      <w:widowControl/>
      <w:kinsoku w:val="0"/>
      <w:autoSpaceDE w:val="0"/>
      <w:autoSpaceDN w:val="0"/>
      <w:adjustRightInd w:val="0"/>
      <w:snapToGrid w:val="0"/>
      <w:jc w:val="left"/>
      <w:textAlignment w:val="baseline"/>
    </w:pPr>
    <w:rPr>
      <w:rFonts w:ascii="宋体" w:hAnsi="宋体" w:eastAsia="宋体" w:cs="宋体"/>
      <w:snapToGrid w:val="0"/>
      <w:color w:val="000000"/>
      <w:kern w:val="0"/>
      <w:sz w:val="22"/>
      <w:szCs w:val="22"/>
      <w:lang w:eastAsia="en-US"/>
    </w:rPr>
  </w:style>
  <w:style w:type="paragraph" w:customStyle="1" w:styleId="93">
    <w:name w:val="Normal_0"/>
    <w:qFormat/>
    <w:uiPriority w:val="0"/>
    <w:rPr>
      <w:rFonts w:ascii="Times New Roman" w:hAnsi="Times New Roman" w:eastAsia="Times New Roman" w:cs="Times New Roman"/>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广西云龙招标有限公司</Company>
  <Pages>88</Pages>
  <Words>4297</Words>
  <Characters>5028</Characters>
  <Lines>454</Lines>
  <Paragraphs>128</Paragraphs>
  <TotalTime>0</TotalTime>
  <ScaleCrop>false</ScaleCrop>
  <LinksUpToDate>false</LinksUpToDate>
  <CharactersWithSpaces>5127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2021-08-17T04:20:00Z</dcterms:created>
  <dc:creator>唐冰</dc:creator>
  <cp:lastModifiedBy>YR</cp:lastModifiedBy>
  <cp:lastPrinted>2021-08-26T02:26:00Z</cp:lastPrinted>
  <dcterms:modified xsi:type="dcterms:W3CDTF">2026-04-08T10:19:06Z</dcterms:modified>
  <dc:title>竞争性谈判文件规范</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74B7C2D2872546E88D7AD4AC59391891_13</vt:lpwstr>
  </property>
  <property fmtid="{D5CDD505-2E9C-101B-9397-08002B2CF9AE}" pid="4" name="KSOTemplateDocerSaveRecord">
    <vt:lpwstr>eyJoZGlkIjoiYWQyZWI0ZGU5NmZiYWM0Mjc1OTFmYTAwNzY3N2ViZTMiLCJ1c2VySWQiOiIzNTM4NjE4NzMifQ==</vt:lpwstr>
  </property>
</Properties>
</file>